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BF3420" w14:textId="77777777" w:rsidR="00DC792C" w:rsidRDefault="007F4225">
      <w:pPr>
        <w:pBdr>
          <w:top w:val="nil"/>
          <w:left w:val="nil"/>
          <w:bottom w:val="nil"/>
          <w:right w:val="nil"/>
          <w:between w:val="nil"/>
        </w:pBdr>
        <w:rPr>
          <w:color w:val="000000"/>
        </w:rPr>
      </w:pPr>
      <w:r>
        <w:rPr>
          <w:noProof/>
          <w:color w:val="000000"/>
        </w:rPr>
        <w:drawing>
          <wp:inline distT="0" distB="101600" distL="0" distR="0" wp14:anchorId="333319CE" wp14:editId="4A71B9D2">
            <wp:extent cx="3303905" cy="981075"/>
            <wp:effectExtent l="0" t="0" r="0" b="0"/>
            <wp:docPr id="1"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8"/>
                    <a:srcRect/>
                    <a:stretch>
                      <a:fillRect/>
                    </a:stretch>
                  </pic:blipFill>
                  <pic:spPr>
                    <a:xfrm>
                      <a:off x="0" y="0"/>
                      <a:ext cx="3303905" cy="981075"/>
                    </a:xfrm>
                    <a:prstGeom prst="rect">
                      <a:avLst/>
                    </a:prstGeom>
                    <a:ln/>
                  </pic:spPr>
                </pic:pic>
              </a:graphicData>
            </a:graphic>
          </wp:inline>
        </w:drawing>
      </w:r>
    </w:p>
    <w:p w14:paraId="073F56AB" w14:textId="77777777" w:rsidR="00DC792C" w:rsidRDefault="00DC792C">
      <w:pPr>
        <w:pBdr>
          <w:top w:val="nil"/>
          <w:left w:val="nil"/>
          <w:bottom w:val="nil"/>
          <w:right w:val="nil"/>
          <w:between w:val="nil"/>
        </w:pBdr>
        <w:rPr>
          <w:color w:val="000000"/>
        </w:rPr>
      </w:pPr>
    </w:p>
    <w:p w14:paraId="23EC8396" w14:textId="77777777" w:rsidR="00DC792C" w:rsidRDefault="00DC792C">
      <w:pPr>
        <w:pBdr>
          <w:top w:val="nil"/>
          <w:left w:val="nil"/>
          <w:bottom w:val="nil"/>
          <w:right w:val="nil"/>
          <w:between w:val="nil"/>
        </w:pBdr>
        <w:rPr>
          <w:color w:val="000000"/>
        </w:rPr>
      </w:pPr>
    </w:p>
    <w:p w14:paraId="4380E470" w14:textId="77777777" w:rsidR="00DC792C" w:rsidRDefault="00DC792C">
      <w:pPr>
        <w:pBdr>
          <w:top w:val="nil"/>
          <w:left w:val="nil"/>
          <w:bottom w:val="nil"/>
          <w:right w:val="nil"/>
          <w:between w:val="nil"/>
        </w:pBdr>
        <w:rPr>
          <w:color w:val="000000"/>
        </w:rPr>
      </w:pPr>
    </w:p>
    <w:p w14:paraId="42C87973" w14:textId="77777777" w:rsidR="00DC792C" w:rsidRDefault="00DC792C">
      <w:pPr>
        <w:pBdr>
          <w:top w:val="nil"/>
          <w:left w:val="nil"/>
          <w:bottom w:val="nil"/>
          <w:right w:val="nil"/>
          <w:between w:val="nil"/>
        </w:pBdr>
        <w:rPr>
          <w:color w:val="000000"/>
        </w:rPr>
      </w:pPr>
    </w:p>
    <w:p w14:paraId="1FE805AC" w14:textId="77777777" w:rsidR="00DC792C" w:rsidRDefault="00DC792C">
      <w:pPr>
        <w:pBdr>
          <w:top w:val="nil"/>
          <w:left w:val="nil"/>
          <w:bottom w:val="nil"/>
          <w:right w:val="nil"/>
          <w:between w:val="nil"/>
        </w:pBdr>
        <w:rPr>
          <w:color w:val="000000"/>
        </w:rPr>
      </w:pPr>
    </w:p>
    <w:p w14:paraId="232E699C" w14:textId="77777777" w:rsidR="00DC792C" w:rsidRDefault="00DC792C">
      <w:pPr>
        <w:pBdr>
          <w:top w:val="nil"/>
          <w:left w:val="nil"/>
          <w:bottom w:val="nil"/>
          <w:right w:val="nil"/>
          <w:between w:val="nil"/>
        </w:pBdr>
        <w:rPr>
          <w:color w:val="000000"/>
        </w:rPr>
      </w:pPr>
    </w:p>
    <w:p w14:paraId="46963C25" w14:textId="77777777" w:rsidR="00DC792C" w:rsidRDefault="007F4225">
      <w:pPr>
        <w:pBdr>
          <w:top w:val="nil"/>
          <w:left w:val="nil"/>
          <w:bottom w:val="nil"/>
          <w:right w:val="nil"/>
          <w:between w:val="nil"/>
        </w:pBdr>
        <w:jc w:val="center"/>
        <w:rPr>
          <w:rFonts w:ascii="Arial" w:eastAsia="Arial" w:hAnsi="Arial" w:cs="Arial"/>
          <w:b/>
          <w:bCs/>
          <w:color w:val="000000"/>
          <w:sz w:val="40"/>
          <w:szCs w:val="40"/>
        </w:rPr>
      </w:pPr>
      <w:r>
        <w:rPr>
          <w:rFonts w:ascii="Arial" w:eastAsia="Arial" w:hAnsi="Arial" w:cs="Arial"/>
          <w:b/>
          <w:bCs/>
          <w:color w:val="000000"/>
          <w:sz w:val="40"/>
          <w:szCs w:val="40"/>
        </w:rPr>
        <w:t>Social Epidemiology and Public Health Development</w:t>
      </w:r>
    </w:p>
    <w:p w14:paraId="0C8E334F" w14:textId="59913296" w:rsidR="00DC792C" w:rsidRDefault="00DC5CF0">
      <w:pPr>
        <w:pBdr>
          <w:top w:val="nil"/>
          <w:left w:val="nil"/>
          <w:bottom w:val="nil"/>
          <w:right w:val="nil"/>
          <w:between w:val="nil"/>
        </w:pBdr>
        <w:jc w:val="center"/>
        <w:rPr>
          <w:rFonts w:ascii="Arial" w:eastAsia="Arial" w:hAnsi="Arial" w:cs="Arial"/>
          <w:b/>
          <w:bCs/>
          <w:color w:val="000000"/>
          <w:sz w:val="40"/>
          <w:szCs w:val="40"/>
        </w:rPr>
      </w:pPr>
      <w:r>
        <w:rPr>
          <w:rFonts w:ascii="Arial" w:eastAsia="Arial" w:hAnsi="Arial" w:cs="Arial"/>
          <w:b/>
          <w:bCs/>
          <w:color w:val="000000"/>
          <w:sz w:val="40"/>
          <w:szCs w:val="40"/>
        </w:rPr>
        <w:t xml:space="preserve">Moodle code: </w:t>
      </w:r>
      <w:r w:rsidR="007F4225">
        <w:rPr>
          <w:rFonts w:ascii="Arial" w:eastAsia="Arial" w:hAnsi="Arial" w:cs="Arial"/>
          <w:b/>
          <w:bCs/>
          <w:color w:val="000000"/>
          <w:sz w:val="40"/>
          <w:szCs w:val="40"/>
        </w:rPr>
        <w:t>LCHS7000</w:t>
      </w:r>
    </w:p>
    <w:p w14:paraId="46530556" w14:textId="77777777" w:rsidR="00DC792C" w:rsidRDefault="00DC792C">
      <w:pPr>
        <w:pBdr>
          <w:top w:val="nil"/>
          <w:left w:val="nil"/>
          <w:bottom w:val="nil"/>
          <w:right w:val="nil"/>
          <w:between w:val="nil"/>
        </w:pBdr>
        <w:jc w:val="center"/>
        <w:rPr>
          <w:rFonts w:ascii="Arial" w:eastAsia="Arial" w:hAnsi="Arial" w:cs="Arial"/>
          <w:color w:val="000000"/>
          <w:sz w:val="40"/>
          <w:szCs w:val="40"/>
        </w:rPr>
      </w:pPr>
    </w:p>
    <w:p w14:paraId="7A009173" w14:textId="524B0ECC" w:rsidR="00DC792C" w:rsidRDefault="007F4225">
      <w:pPr>
        <w:pBdr>
          <w:top w:val="nil"/>
          <w:left w:val="nil"/>
          <w:bottom w:val="nil"/>
          <w:right w:val="nil"/>
          <w:between w:val="nil"/>
        </w:pBdr>
        <w:jc w:val="center"/>
        <w:rPr>
          <w:rFonts w:ascii="Arial" w:eastAsia="Arial" w:hAnsi="Arial" w:cs="Arial"/>
          <w:b/>
          <w:bCs/>
          <w:color w:val="000000"/>
          <w:sz w:val="40"/>
          <w:szCs w:val="40"/>
        </w:rPr>
      </w:pPr>
      <w:r>
        <w:rPr>
          <w:rFonts w:ascii="Arial" w:eastAsia="Arial" w:hAnsi="Arial" w:cs="Arial"/>
          <w:b/>
          <w:bCs/>
          <w:color w:val="000000"/>
          <w:sz w:val="40"/>
          <w:szCs w:val="40"/>
        </w:rPr>
        <w:t>Topic: Disability and Inequality: Health Inequalities Among People with Disabilities in the U</w:t>
      </w:r>
      <w:r w:rsidR="00EA37D5">
        <w:rPr>
          <w:rFonts w:ascii="Arial" w:eastAsia="Arial" w:hAnsi="Arial" w:cs="Arial"/>
          <w:b/>
          <w:bCs/>
          <w:color w:val="000000"/>
          <w:sz w:val="40"/>
          <w:szCs w:val="40"/>
        </w:rPr>
        <w:t xml:space="preserve">nited </w:t>
      </w:r>
      <w:r>
        <w:rPr>
          <w:rFonts w:ascii="Arial" w:eastAsia="Arial" w:hAnsi="Arial" w:cs="Arial"/>
          <w:b/>
          <w:bCs/>
          <w:color w:val="000000"/>
          <w:sz w:val="40"/>
          <w:szCs w:val="40"/>
        </w:rPr>
        <w:t>K</w:t>
      </w:r>
      <w:r w:rsidR="00EA37D5">
        <w:rPr>
          <w:rFonts w:ascii="Arial" w:eastAsia="Arial" w:hAnsi="Arial" w:cs="Arial"/>
          <w:b/>
          <w:bCs/>
          <w:color w:val="000000"/>
          <w:sz w:val="40"/>
          <w:szCs w:val="40"/>
        </w:rPr>
        <w:t>ingdom</w:t>
      </w:r>
      <w:r>
        <w:rPr>
          <w:rFonts w:ascii="Arial" w:eastAsia="Arial" w:hAnsi="Arial" w:cs="Arial"/>
          <w:b/>
          <w:bCs/>
          <w:color w:val="000000"/>
          <w:sz w:val="40"/>
          <w:szCs w:val="40"/>
        </w:rPr>
        <w:t xml:space="preserve">. </w:t>
      </w:r>
    </w:p>
    <w:p w14:paraId="02D8E77C" w14:textId="77777777" w:rsidR="00DC792C" w:rsidRDefault="00DC792C">
      <w:pPr>
        <w:pBdr>
          <w:top w:val="nil"/>
          <w:left w:val="nil"/>
          <w:bottom w:val="nil"/>
          <w:right w:val="nil"/>
          <w:between w:val="nil"/>
        </w:pBdr>
        <w:rPr>
          <w:color w:val="000000"/>
        </w:rPr>
      </w:pPr>
    </w:p>
    <w:p w14:paraId="56353984" w14:textId="77777777" w:rsidR="00DC792C" w:rsidRDefault="00DC792C">
      <w:pPr>
        <w:pBdr>
          <w:top w:val="nil"/>
          <w:left w:val="nil"/>
          <w:bottom w:val="nil"/>
          <w:right w:val="nil"/>
          <w:between w:val="nil"/>
        </w:pBdr>
        <w:rPr>
          <w:color w:val="000000"/>
        </w:rPr>
      </w:pPr>
    </w:p>
    <w:p w14:paraId="52EC6302" w14:textId="77777777" w:rsidR="00DC792C" w:rsidRDefault="00DC792C">
      <w:pPr>
        <w:pBdr>
          <w:top w:val="nil"/>
          <w:left w:val="nil"/>
          <w:bottom w:val="nil"/>
          <w:right w:val="nil"/>
          <w:between w:val="nil"/>
        </w:pBdr>
        <w:rPr>
          <w:color w:val="000000"/>
        </w:rPr>
      </w:pPr>
    </w:p>
    <w:p w14:paraId="519F1D57" w14:textId="77777777" w:rsidR="00DC792C" w:rsidRDefault="00DC792C">
      <w:pPr>
        <w:pBdr>
          <w:top w:val="nil"/>
          <w:left w:val="nil"/>
          <w:bottom w:val="nil"/>
          <w:right w:val="nil"/>
          <w:between w:val="nil"/>
        </w:pBdr>
        <w:rPr>
          <w:color w:val="000000"/>
        </w:rPr>
      </w:pPr>
    </w:p>
    <w:p w14:paraId="603575BC" w14:textId="77777777" w:rsidR="00DC792C" w:rsidRDefault="00DC792C">
      <w:pPr>
        <w:pBdr>
          <w:top w:val="nil"/>
          <w:left w:val="nil"/>
          <w:bottom w:val="nil"/>
          <w:right w:val="nil"/>
          <w:between w:val="nil"/>
        </w:pBdr>
        <w:rPr>
          <w:color w:val="000000"/>
        </w:rPr>
      </w:pPr>
    </w:p>
    <w:p w14:paraId="7DF2930C" w14:textId="77777777" w:rsidR="00DC792C" w:rsidRDefault="00DC792C">
      <w:pPr>
        <w:pBdr>
          <w:top w:val="nil"/>
          <w:left w:val="nil"/>
          <w:bottom w:val="nil"/>
          <w:right w:val="nil"/>
          <w:between w:val="nil"/>
        </w:pBdr>
        <w:rPr>
          <w:b/>
          <w:bCs/>
          <w:color w:val="000000"/>
        </w:rPr>
      </w:pPr>
    </w:p>
    <w:p w14:paraId="5E0026D3" w14:textId="7E7D8FCB" w:rsidR="00DC792C" w:rsidRDefault="007F4225">
      <w:pPr>
        <w:pBdr>
          <w:top w:val="nil"/>
          <w:left w:val="nil"/>
          <w:bottom w:val="nil"/>
          <w:right w:val="nil"/>
          <w:between w:val="nil"/>
        </w:pBdr>
        <w:rPr>
          <w:b/>
          <w:bCs/>
          <w:color w:val="000000"/>
        </w:rPr>
      </w:pPr>
      <w:r>
        <w:rPr>
          <w:b/>
          <w:bCs/>
          <w:color w:val="000000"/>
        </w:rPr>
        <w:t>Lecturer:</w:t>
      </w:r>
      <w:r w:rsidR="00D32713">
        <w:rPr>
          <w:b/>
          <w:bCs/>
          <w:color w:val="000000"/>
        </w:rPr>
        <w:t xml:space="preserve"> Jolly Nwankwo</w:t>
      </w:r>
    </w:p>
    <w:p w14:paraId="46DE430B" w14:textId="639F0FF1" w:rsidR="00DC792C" w:rsidRDefault="007F4225">
      <w:pPr>
        <w:pBdr>
          <w:top w:val="nil"/>
          <w:left w:val="nil"/>
          <w:bottom w:val="nil"/>
          <w:right w:val="nil"/>
          <w:between w:val="nil"/>
        </w:pBdr>
        <w:rPr>
          <w:b/>
          <w:bCs/>
          <w:color w:val="000000"/>
        </w:rPr>
      </w:pPr>
      <w:r>
        <w:rPr>
          <w:b/>
          <w:bCs/>
          <w:color w:val="000000"/>
        </w:rPr>
        <w:t>Student name:</w:t>
      </w:r>
      <w:r w:rsidR="006E441E">
        <w:rPr>
          <w:b/>
          <w:bCs/>
          <w:color w:val="000000"/>
        </w:rPr>
        <w:t xml:space="preserve"> Katia Ferreira Amado</w:t>
      </w:r>
    </w:p>
    <w:p w14:paraId="57BEE765" w14:textId="78F87577" w:rsidR="00DC792C" w:rsidRDefault="007F4225">
      <w:pPr>
        <w:pBdr>
          <w:top w:val="nil"/>
          <w:left w:val="nil"/>
          <w:bottom w:val="nil"/>
          <w:right w:val="nil"/>
          <w:between w:val="nil"/>
        </w:pBdr>
        <w:rPr>
          <w:b/>
          <w:bCs/>
          <w:color w:val="000000"/>
        </w:rPr>
      </w:pPr>
      <w:r>
        <w:rPr>
          <w:b/>
          <w:bCs/>
          <w:color w:val="000000"/>
        </w:rPr>
        <w:t>Student number:</w:t>
      </w:r>
      <w:r w:rsidR="006E441E">
        <w:rPr>
          <w:b/>
          <w:bCs/>
          <w:color w:val="000000"/>
        </w:rPr>
        <w:t xml:space="preserve"> 2211924</w:t>
      </w:r>
      <w:r>
        <w:br w:type="page"/>
      </w:r>
    </w:p>
    <w:p w14:paraId="51BFE4D5" w14:textId="4BF193AA" w:rsidR="00DC792C" w:rsidRDefault="00DC792C">
      <w:pPr>
        <w:pBdr>
          <w:top w:val="nil"/>
          <w:left w:val="nil"/>
          <w:bottom w:val="nil"/>
          <w:right w:val="nil"/>
          <w:between w:val="nil"/>
        </w:pBdr>
        <w:rPr>
          <w:color w:val="000000"/>
        </w:rPr>
      </w:pPr>
    </w:p>
    <w:p w14:paraId="49BAA2BC" w14:textId="77777777" w:rsidR="00DC792C" w:rsidRDefault="007F4225">
      <w:pPr>
        <w:pBdr>
          <w:top w:val="nil"/>
          <w:left w:val="nil"/>
          <w:bottom w:val="nil"/>
          <w:right w:val="nil"/>
          <w:between w:val="nil"/>
        </w:pBdr>
        <w:rPr>
          <w:rFonts w:ascii="Arial" w:eastAsia="Arial" w:hAnsi="Arial" w:cs="Arial"/>
          <w:b/>
          <w:bCs/>
          <w:color w:val="000000"/>
          <w:sz w:val="22"/>
          <w:szCs w:val="22"/>
        </w:rPr>
      </w:pPr>
      <w:r>
        <w:rPr>
          <w:rFonts w:ascii="Arial" w:eastAsia="Arial" w:hAnsi="Arial" w:cs="Arial"/>
          <w:b/>
          <w:bCs/>
          <w:color w:val="000000"/>
          <w:sz w:val="22"/>
          <w:szCs w:val="22"/>
        </w:rPr>
        <w:t>Task 1: Social Epidemiological Analysis</w:t>
      </w:r>
    </w:p>
    <w:p w14:paraId="1801DA98" w14:textId="77777777" w:rsidR="00DC792C" w:rsidRDefault="007F4225">
      <w:pPr>
        <w:pBdr>
          <w:top w:val="nil"/>
          <w:left w:val="nil"/>
          <w:bottom w:val="nil"/>
          <w:right w:val="nil"/>
          <w:between w:val="nil"/>
        </w:pBdr>
        <w:rPr>
          <w:rFonts w:ascii="Arial" w:eastAsia="Arial" w:hAnsi="Arial" w:cs="Arial"/>
          <w:b/>
          <w:bCs/>
          <w:color w:val="000000"/>
          <w:sz w:val="22"/>
          <w:szCs w:val="22"/>
        </w:rPr>
      </w:pPr>
      <w:r>
        <w:rPr>
          <w:rFonts w:ascii="Arial" w:eastAsia="Arial" w:hAnsi="Arial" w:cs="Arial"/>
          <w:b/>
          <w:bCs/>
          <w:color w:val="000000"/>
          <w:sz w:val="22"/>
          <w:szCs w:val="22"/>
        </w:rPr>
        <w:t>Introduction</w:t>
      </w:r>
    </w:p>
    <w:p w14:paraId="0338BF08" w14:textId="4A4AED71" w:rsidR="001364CF" w:rsidRDefault="00D14D12">
      <w:pPr>
        <w:pBdr>
          <w:top w:val="nil"/>
          <w:left w:val="nil"/>
          <w:bottom w:val="nil"/>
          <w:right w:val="nil"/>
          <w:between w:val="nil"/>
        </w:pBdr>
        <w:spacing w:after="0"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 </w:t>
      </w:r>
      <w:r w:rsidR="00102758">
        <w:rPr>
          <w:rFonts w:ascii="Arial" w:eastAsia="Arial" w:hAnsi="Arial" w:cs="Arial"/>
          <w:color w:val="000000"/>
          <w:sz w:val="22"/>
          <w:szCs w:val="22"/>
        </w:rPr>
        <w:t xml:space="preserve">       </w:t>
      </w:r>
      <w:r w:rsidR="007F4225">
        <w:rPr>
          <w:rFonts w:ascii="Arial" w:eastAsia="Arial" w:hAnsi="Arial" w:cs="Arial"/>
          <w:color w:val="000000"/>
          <w:sz w:val="22"/>
          <w:szCs w:val="22"/>
        </w:rPr>
        <w:t xml:space="preserve">People with disabilities refers to individuals who have long-term physical or mental health conditions or illnesses that substantially reduce their ability to carry out day-to-day </w:t>
      </w:r>
      <w:r w:rsidR="00102758">
        <w:rPr>
          <w:rFonts w:ascii="Arial" w:eastAsia="Arial" w:hAnsi="Arial" w:cs="Arial"/>
          <w:color w:val="000000"/>
          <w:sz w:val="22"/>
          <w:szCs w:val="22"/>
        </w:rPr>
        <w:t>activities (</w:t>
      </w:r>
      <w:r w:rsidR="00102758">
        <w:rPr>
          <w:rFonts w:ascii="Arial" w:eastAsia="Arial" w:hAnsi="Arial" w:cs="Arial"/>
          <w:color w:val="000000"/>
          <w:sz w:val="22"/>
          <w:szCs w:val="22"/>
        </w:rPr>
        <w:t>Stiebahl et al., 2025)</w:t>
      </w:r>
      <w:r w:rsidR="007F4225">
        <w:rPr>
          <w:rFonts w:ascii="Arial" w:eastAsia="Arial" w:hAnsi="Arial" w:cs="Arial"/>
          <w:color w:val="000000"/>
          <w:sz w:val="22"/>
          <w:szCs w:val="22"/>
        </w:rPr>
        <w:t xml:space="preserve">. According to the Family Resources Survey (FRS) for 2023/24, an estimated 16.8 million people in the UK 25% of the population reported having a </w:t>
      </w:r>
      <w:r w:rsidR="00102758">
        <w:rPr>
          <w:rFonts w:ascii="Arial" w:eastAsia="Arial" w:hAnsi="Arial" w:cs="Arial"/>
          <w:color w:val="000000"/>
          <w:sz w:val="22"/>
          <w:szCs w:val="22"/>
        </w:rPr>
        <w:t>disability. The</w:t>
      </w:r>
      <w:r w:rsidR="007F4225">
        <w:rPr>
          <w:rFonts w:ascii="Arial" w:eastAsia="Arial" w:hAnsi="Arial" w:cs="Arial"/>
          <w:color w:val="000000"/>
          <w:sz w:val="22"/>
          <w:szCs w:val="22"/>
        </w:rPr>
        <w:t xml:space="preserve"> prevalence of disability has increased over the past two decades, from 18% in 2002/03 to 25% in 2023/24, with notable growth among children and working-age adults.</w:t>
      </w:r>
      <w:r w:rsidR="00102758">
        <w:rPr>
          <w:rFonts w:ascii="Arial" w:eastAsia="Arial" w:hAnsi="Arial" w:cs="Arial"/>
          <w:color w:val="000000"/>
          <w:sz w:val="22"/>
          <w:szCs w:val="22"/>
        </w:rPr>
        <w:t xml:space="preserve"> </w:t>
      </w:r>
      <w:r w:rsidR="007F4225">
        <w:rPr>
          <w:rFonts w:ascii="Arial" w:eastAsia="Arial" w:hAnsi="Arial" w:cs="Arial"/>
          <w:color w:val="000000"/>
          <w:sz w:val="22"/>
          <w:szCs w:val="22"/>
        </w:rPr>
        <w:t xml:space="preserve">Disability prevalence rises with age, affecting around 12% of children, 24% of working-age adults, and 45% of adults over State Pension age. The </w:t>
      </w:r>
      <w:r w:rsidR="00780787">
        <w:rPr>
          <w:rFonts w:ascii="Arial" w:eastAsia="Arial" w:hAnsi="Arial" w:cs="Arial"/>
          <w:color w:val="000000"/>
          <w:sz w:val="22"/>
          <w:szCs w:val="22"/>
        </w:rPr>
        <w:t>most reported</w:t>
      </w:r>
      <w:r w:rsidR="007F4225">
        <w:rPr>
          <w:rFonts w:ascii="Arial" w:eastAsia="Arial" w:hAnsi="Arial" w:cs="Arial"/>
          <w:color w:val="000000"/>
          <w:sz w:val="22"/>
          <w:szCs w:val="22"/>
        </w:rPr>
        <w:t xml:space="preserve"> impairments among working-age adults are mental health conditions (48%) and mobility impairments (42%), while mobility issues are most prevalent among older adults. Among children, social or behavioural impairments are most </w:t>
      </w:r>
      <w:r w:rsidR="006E441E">
        <w:rPr>
          <w:rFonts w:ascii="Arial" w:eastAsia="Arial" w:hAnsi="Arial" w:cs="Arial"/>
          <w:color w:val="000000"/>
          <w:sz w:val="22"/>
          <w:szCs w:val="22"/>
        </w:rPr>
        <w:t>often</w:t>
      </w:r>
      <w:r w:rsidR="007F4225">
        <w:rPr>
          <w:rFonts w:ascii="Arial" w:eastAsia="Arial" w:hAnsi="Arial" w:cs="Arial"/>
          <w:color w:val="000000"/>
          <w:sz w:val="22"/>
          <w:szCs w:val="22"/>
        </w:rPr>
        <w:t xml:space="preserve"> reported. Recent increases in reported disability appear largely driven by mental health conditions in children and working-age adults.</w:t>
      </w:r>
      <w:r w:rsidR="00102758">
        <w:rPr>
          <w:rFonts w:ascii="Arial" w:eastAsia="Arial" w:hAnsi="Arial" w:cs="Arial"/>
          <w:color w:val="000000"/>
          <w:sz w:val="22"/>
          <w:szCs w:val="22"/>
        </w:rPr>
        <w:t xml:space="preserve"> </w:t>
      </w:r>
      <w:r w:rsidR="007F4225">
        <w:rPr>
          <w:rFonts w:ascii="Arial" w:eastAsia="Arial" w:hAnsi="Arial" w:cs="Arial"/>
          <w:color w:val="000000"/>
          <w:sz w:val="22"/>
          <w:szCs w:val="22"/>
        </w:rPr>
        <w:t>People with disabilities are at greater risk of health inequalities, as their conditions often intersect with social disadvantages such as lower income, limited employment opportunities, barriers to healthcare access, and social exclusion, which can result in poorer health outcomes compared with non-disabled people</w:t>
      </w:r>
      <w:r w:rsidR="001364CF">
        <w:rPr>
          <w:rFonts w:ascii="Arial" w:eastAsia="Arial" w:hAnsi="Arial" w:cs="Arial"/>
          <w:color w:val="000000"/>
          <w:sz w:val="22"/>
          <w:szCs w:val="22"/>
        </w:rPr>
        <w:t xml:space="preserve"> (Stiebahl et al., 2025</w:t>
      </w:r>
      <w:r w:rsidR="00102758">
        <w:rPr>
          <w:rFonts w:ascii="Arial" w:eastAsia="Arial" w:hAnsi="Arial" w:cs="Arial"/>
          <w:color w:val="000000"/>
          <w:sz w:val="22"/>
          <w:szCs w:val="22"/>
        </w:rPr>
        <w:t>).</w:t>
      </w:r>
    </w:p>
    <w:p w14:paraId="6E6C1EF7" w14:textId="77777777" w:rsidR="00DC792C" w:rsidRDefault="00DC792C">
      <w:pPr>
        <w:pBdr>
          <w:top w:val="nil"/>
          <w:left w:val="nil"/>
          <w:bottom w:val="nil"/>
          <w:right w:val="nil"/>
          <w:between w:val="nil"/>
        </w:pBdr>
        <w:rPr>
          <w:b/>
          <w:bCs/>
          <w:color w:val="000000"/>
        </w:rPr>
      </w:pPr>
    </w:p>
    <w:p w14:paraId="44ECD255" w14:textId="77777777" w:rsidR="00DC792C" w:rsidRPr="00D14D12" w:rsidRDefault="007F4225">
      <w:pPr>
        <w:pBdr>
          <w:top w:val="nil"/>
          <w:left w:val="nil"/>
          <w:bottom w:val="nil"/>
          <w:right w:val="nil"/>
          <w:between w:val="nil"/>
        </w:pBdr>
        <w:rPr>
          <w:rFonts w:ascii="Arial" w:hAnsi="Arial" w:cs="Arial"/>
          <w:b/>
          <w:bCs/>
          <w:color w:val="000000"/>
          <w:sz w:val="22"/>
          <w:szCs w:val="22"/>
        </w:rPr>
      </w:pPr>
      <w:r w:rsidRPr="00D14D12">
        <w:rPr>
          <w:rFonts w:ascii="Arial" w:hAnsi="Arial" w:cs="Arial"/>
          <w:b/>
          <w:bCs/>
          <w:color w:val="000000"/>
          <w:sz w:val="22"/>
          <w:szCs w:val="22"/>
        </w:rPr>
        <w:t>Contextual Background and Underlying Factors</w:t>
      </w:r>
    </w:p>
    <w:p w14:paraId="4C4DD03C" w14:textId="10D9070F" w:rsidR="00DC792C" w:rsidRDefault="007F4225" w:rsidP="00D14D12">
      <w:pPr>
        <w:pBdr>
          <w:top w:val="nil"/>
          <w:left w:val="nil"/>
          <w:bottom w:val="nil"/>
          <w:right w:val="nil"/>
          <w:between w:val="nil"/>
        </w:pBdr>
        <w:spacing w:after="0" w:line="360" w:lineRule="auto"/>
        <w:jc w:val="both"/>
        <w:rPr>
          <w:rFonts w:ascii="Arial" w:eastAsia="Arial" w:hAnsi="Arial" w:cs="Arial"/>
          <w:b/>
          <w:bCs/>
          <w:color w:val="000000"/>
          <w:sz w:val="22"/>
          <w:szCs w:val="22"/>
        </w:rPr>
      </w:pPr>
      <w:r>
        <w:rPr>
          <w:rFonts w:ascii="Arial" w:eastAsia="Arial" w:hAnsi="Arial" w:cs="Arial"/>
          <w:b/>
          <w:bCs/>
          <w:color w:val="000000"/>
          <w:sz w:val="22"/>
          <w:szCs w:val="22"/>
        </w:rPr>
        <w:t xml:space="preserve">Mental </w:t>
      </w:r>
      <w:r w:rsidR="00D14D12">
        <w:rPr>
          <w:rFonts w:ascii="Arial" w:eastAsia="Arial" w:hAnsi="Arial" w:cs="Arial"/>
          <w:b/>
          <w:bCs/>
          <w:color w:val="000000"/>
          <w:sz w:val="22"/>
          <w:szCs w:val="22"/>
        </w:rPr>
        <w:t>h</w:t>
      </w:r>
      <w:r>
        <w:rPr>
          <w:rFonts w:ascii="Arial" w:eastAsia="Arial" w:hAnsi="Arial" w:cs="Arial"/>
          <w:b/>
          <w:bCs/>
          <w:color w:val="000000"/>
          <w:sz w:val="22"/>
          <w:szCs w:val="22"/>
        </w:rPr>
        <w:t xml:space="preserve">ealth conditions </w:t>
      </w:r>
      <w:r w:rsidR="00D14D12">
        <w:rPr>
          <w:rFonts w:ascii="Arial" w:eastAsia="Arial" w:hAnsi="Arial" w:cs="Arial"/>
          <w:b/>
          <w:bCs/>
          <w:color w:val="000000"/>
          <w:sz w:val="22"/>
          <w:szCs w:val="22"/>
        </w:rPr>
        <w:t>a</w:t>
      </w:r>
      <w:r>
        <w:rPr>
          <w:rFonts w:ascii="Arial" w:eastAsia="Arial" w:hAnsi="Arial" w:cs="Arial"/>
          <w:b/>
          <w:bCs/>
          <w:color w:val="000000"/>
          <w:sz w:val="22"/>
          <w:szCs w:val="22"/>
        </w:rPr>
        <w:t xml:space="preserve">mong </w:t>
      </w:r>
      <w:r w:rsidR="00D14D12">
        <w:rPr>
          <w:rFonts w:ascii="Arial" w:eastAsia="Arial" w:hAnsi="Arial" w:cs="Arial"/>
          <w:b/>
          <w:bCs/>
          <w:color w:val="000000"/>
          <w:sz w:val="22"/>
          <w:szCs w:val="22"/>
        </w:rPr>
        <w:t>a</w:t>
      </w:r>
      <w:r>
        <w:rPr>
          <w:rFonts w:ascii="Arial" w:eastAsia="Arial" w:hAnsi="Arial" w:cs="Arial"/>
          <w:b/>
          <w:bCs/>
          <w:color w:val="000000"/>
          <w:sz w:val="22"/>
          <w:szCs w:val="22"/>
        </w:rPr>
        <w:t>dults with disabilities in the UK</w:t>
      </w:r>
    </w:p>
    <w:p w14:paraId="603A60F7" w14:textId="59163E28" w:rsidR="00DC792C" w:rsidRDefault="00102758" w:rsidP="00D14D12">
      <w:pPr>
        <w:pBdr>
          <w:top w:val="nil"/>
          <w:left w:val="nil"/>
          <w:bottom w:val="nil"/>
          <w:right w:val="nil"/>
          <w:between w:val="nil"/>
        </w:pBdr>
        <w:spacing w:after="0" w:line="360" w:lineRule="auto"/>
        <w:jc w:val="both"/>
        <w:rPr>
          <w:color w:val="000000"/>
        </w:rPr>
      </w:pPr>
      <w:r>
        <w:rPr>
          <w:rFonts w:ascii="Arial" w:eastAsia="Arial" w:hAnsi="Arial" w:cs="Arial"/>
          <w:color w:val="000000"/>
          <w:sz w:val="22"/>
          <w:szCs w:val="22"/>
        </w:rPr>
        <w:t xml:space="preserve">       </w:t>
      </w:r>
      <w:r w:rsidR="007F4225">
        <w:rPr>
          <w:rFonts w:ascii="Arial" w:eastAsia="Arial" w:hAnsi="Arial" w:cs="Arial"/>
          <w:color w:val="000000"/>
          <w:sz w:val="22"/>
          <w:szCs w:val="22"/>
        </w:rPr>
        <w:t xml:space="preserve">Adults with disabilities in the UK have higher rates of mental health conditions compared to the general </w:t>
      </w:r>
      <w:r>
        <w:rPr>
          <w:rFonts w:ascii="Arial" w:eastAsia="Arial" w:hAnsi="Arial" w:cs="Arial"/>
          <w:color w:val="000000"/>
          <w:sz w:val="22"/>
          <w:szCs w:val="22"/>
        </w:rPr>
        <w:t>population (</w:t>
      </w:r>
      <w:r>
        <w:rPr>
          <w:rFonts w:ascii="Arial" w:eastAsia="Arial" w:hAnsi="Arial" w:cs="Arial"/>
          <w:color w:val="000000"/>
          <w:sz w:val="22"/>
          <w:szCs w:val="22"/>
        </w:rPr>
        <w:t>GOV, 2025a)</w:t>
      </w:r>
      <w:r w:rsidR="007F4225">
        <w:rPr>
          <w:rFonts w:ascii="Arial" w:eastAsia="Arial" w:hAnsi="Arial" w:cs="Arial"/>
          <w:color w:val="000000"/>
          <w:sz w:val="22"/>
          <w:szCs w:val="22"/>
        </w:rPr>
        <w:t xml:space="preserve">. Between 2013/14 and 2024/25, the number of disabled people reporting mental health conditions (such as depression, anxiety, or other nervous disorders) doubled, increasing by around 1.26 million. Young women (aged 16–34) saw the largest rise, with an increase of nearly 190%. Additionally, many disabled adults have more than one health condition, such as musculoskeletal problems alongside mental health issues, which further </w:t>
      </w:r>
      <w:r w:rsidR="006E441E">
        <w:rPr>
          <w:rFonts w:ascii="Arial" w:eastAsia="Arial" w:hAnsi="Arial" w:cs="Arial"/>
          <w:color w:val="000000"/>
          <w:sz w:val="22"/>
          <w:szCs w:val="22"/>
        </w:rPr>
        <w:t>affects</w:t>
      </w:r>
      <w:r w:rsidR="007F4225">
        <w:rPr>
          <w:rFonts w:ascii="Arial" w:eastAsia="Arial" w:hAnsi="Arial" w:cs="Arial"/>
          <w:color w:val="000000"/>
          <w:sz w:val="22"/>
          <w:szCs w:val="22"/>
        </w:rPr>
        <w:t xml:space="preserve"> daily life and makes it more difficult to enter or remain in employment</w:t>
      </w:r>
      <w:r w:rsidR="00D976C4">
        <w:rPr>
          <w:rFonts w:ascii="Arial" w:eastAsia="Arial" w:hAnsi="Arial" w:cs="Arial"/>
          <w:color w:val="000000"/>
          <w:sz w:val="22"/>
          <w:szCs w:val="22"/>
        </w:rPr>
        <w:t xml:space="preserve"> (GOV, 2025</w:t>
      </w:r>
      <w:r w:rsidR="00411AA1">
        <w:rPr>
          <w:rFonts w:ascii="Arial" w:eastAsia="Arial" w:hAnsi="Arial" w:cs="Arial"/>
          <w:color w:val="000000"/>
          <w:sz w:val="22"/>
          <w:szCs w:val="22"/>
        </w:rPr>
        <w:t>a</w:t>
      </w:r>
      <w:r w:rsidR="00D976C4">
        <w:rPr>
          <w:rFonts w:ascii="Arial" w:eastAsia="Arial" w:hAnsi="Arial" w:cs="Arial"/>
          <w:color w:val="000000"/>
          <w:sz w:val="22"/>
          <w:szCs w:val="22"/>
        </w:rPr>
        <w:t>)</w:t>
      </w:r>
      <w:r w:rsidR="007F4225">
        <w:rPr>
          <w:rFonts w:ascii="Arial" w:eastAsia="Arial" w:hAnsi="Arial" w:cs="Arial"/>
          <w:color w:val="000000"/>
          <w:sz w:val="22"/>
          <w:szCs w:val="22"/>
        </w:rPr>
        <w:t>.</w:t>
      </w:r>
    </w:p>
    <w:p w14:paraId="3AA6D566" w14:textId="66C70E4E" w:rsidR="00DC792C" w:rsidRDefault="00102758">
      <w:pPr>
        <w:pBdr>
          <w:top w:val="nil"/>
          <w:left w:val="nil"/>
          <w:bottom w:val="nil"/>
          <w:right w:val="nil"/>
          <w:between w:val="nil"/>
        </w:pBdr>
        <w:spacing w:after="0" w:line="360" w:lineRule="auto"/>
        <w:jc w:val="both"/>
        <w:rPr>
          <w:color w:val="000000"/>
        </w:rPr>
      </w:pPr>
      <w:r>
        <w:rPr>
          <w:rFonts w:ascii="Arial" w:eastAsia="Arial" w:hAnsi="Arial" w:cs="Arial"/>
          <w:color w:val="000000"/>
          <w:sz w:val="22"/>
          <w:szCs w:val="22"/>
        </w:rPr>
        <w:t xml:space="preserve">      </w:t>
      </w:r>
      <w:r w:rsidR="007F4225">
        <w:rPr>
          <w:rFonts w:ascii="Arial" w:eastAsia="Arial" w:hAnsi="Arial" w:cs="Arial"/>
          <w:color w:val="000000"/>
          <w:sz w:val="22"/>
          <w:szCs w:val="22"/>
        </w:rPr>
        <w:t>During the COVID-19 pandemic, people with disabilities in the United Kingdom experienced disproportionately severe impacts on mental health and social well-being</w:t>
      </w:r>
      <w:r w:rsidR="00216E04">
        <w:rPr>
          <w:rFonts w:ascii="Arial" w:eastAsia="Arial" w:hAnsi="Arial" w:cs="Arial"/>
          <w:color w:val="000000"/>
          <w:sz w:val="22"/>
          <w:szCs w:val="22"/>
        </w:rPr>
        <w:t xml:space="preserve"> (GOV, 2025a)</w:t>
      </w:r>
      <w:r w:rsidR="007F4225">
        <w:rPr>
          <w:rFonts w:ascii="Arial" w:eastAsia="Arial" w:hAnsi="Arial" w:cs="Arial"/>
          <w:color w:val="000000"/>
          <w:sz w:val="22"/>
          <w:szCs w:val="22"/>
        </w:rPr>
        <w:t xml:space="preserve">. Research </w:t>
      </w:r>
      <w:r w:rsidR="006E441E">
        <w:rPr>
          <w:rFonts w:ascii="Arial" w:eastAsia="Arial" w:hAnsi="Arial" w:cs="Arial"/>
          <w:color w:val="000000"/>
          <w:sz w:val="22"/>
          <w:szCs w:val="22"/>
        </w:rPr>
        <w:t>shows</w:t>
      </w:r>
      <w:r w:rsidR="007F4225">
        <w:rPr>
          <w:rFonts w:ascii="Arial" w:eastAsia="Arial" w:hAnsi="Arial" w:cs="Arial"/>
          <w:color w:val="000000"/>
          <w:sz w:val="22"/>
          <w:szCs w:val="22"/>
        </w:rPr>
        <w:t xml:space="preserve"> that 54% of people with disabilities reported symptoms of psychological distress, compared with 37% of the non-disabled population, while 26% reported feeling </w:t>
      </w:r>
      <w:r w:rsidR="006E441E">
        <w:rPr>
          <w:rFonts w:ascii="Arial" w:eastAsia="Arial" w:hAnsi="Arial" w:cs="Arial"/>
          <w:color w:val="000000"/>
          <w:sz w:val="22"/>
          <w:szCs w:val="22"/>
        </w:rPr>
        <w:t>often</w:t>
      </w:r>
      <w:r w:rsidR="007F4225">
        <w:rPr>
          <w:rFonts w:ascii="Arial" w:eastAsia="Arial" w:hAnsi="Arial" w:cs="Arial"/>
          <w:color w:val="000000"/>
          <w:sz w:val="22"/>
          <w:szCs w:val="22"/>
        </w:rPr>
        <w:t xml:space="preserve"> lonely, compared with only 11% of those without disabilities. These </w:t>
      </w:r>
      <w:r w:rsidR="007F4225">
        <w:rPr>
          <w:rFonts w:ascii="Arial" w:eastAsia="Arial" w:hAnsi="Arial" w:cs="Arial"/>
          <w:color w:val="000000"/>
          <w:sz w:val="22"/>
          <w:szCs w:val="22"/>
        </w:rPr>
        <w:lastRenderedPageBreak/>
        <w:t xml:space="preserve">figures </w:t>
      </w:r>
      <w:r w:rsidR="006E441E">
        <w:rPr>
          <w:rFonts w:ascii="Arial" w:eastAsia="Arial" w:hAnsi="Arial" w:cs="Arial"/>
          <w:color w:val="000000"/>
          <w:sz w:val="22"/>
          <w:szCs w:val="22"/>
        </w:rPr>
        <w:t>prove</w:t>
      </w:r>
      <w:r w:rsidR="007F4225">
        <w:rPr>
          <w:rFonts w:ascii="Arial" w:eastAsia="Arial" w:hAnsi="Arial" w:cs="Arial"/>
          <w:color w:val="000000"/>
          <w:sz w:val="22"/>
          <w:szCs w:val="22"/>
        </w:rPr>
        <w:t xml:space="preserve"> that the pandemic not only reinforced pre-existing vulnerabilities but also </w:t>
      </w:r>
      <w:r w:rsidR="006E441E">
        <w:rPr>
          <w:rFonts w:ascii="Arial" w:eastAsia="Arial" w:hAnsi="Arial" w:cs="Arial"/>
          <w:color w:val="000000"/>
          <w:sz w:val="22"/>
          <w:szCs w:val="22"/>
        </w:rPr>
        <w:t>worsened</w:t>
      </w:r>
      <w:r w:rsidR="007F4225">
        <w:rPr>
          <w:rFonts w:ascii="Arial" w:eastAsia="Arial" w:hAnsi="Arial" w:cs="Arial"/>
          <w:color w:val="000000"/>
          <w:sz w:val="22"/>
          <w:szCs w:val="22"/>
        </w:rPr>
        <w:t xml:space="preserve"> social isolation and anxiety within this group, suggesting that existing support mechanisms were often insufficient (GOV, 2025</w:t>
      </w:r>
      <w:r w:rsidR="00411AA1">
        <w:rPr>
          <w:rFonts w:ascii="Arial" w:eastAsia="Arial" w:hAnsi="Arial" w:cs="Arial"/>
          <w:color w:val="000000"/>
          <w:sz w:val="22"/>
          <w:szCs w:val="22"/>
        </w:rPr>
        <w:t>a</w:t>
      </w:r>
      <w:r w:rsidR="007F4225">
        <w:rPr>
          <w:rFonts w:ascii="Arial" w:eastAsia="Arial" w:hAnsi="Arial" w:cs="Arial"/>
          <w:color w:val="000000"/>
          <w:sz w:val="22"/>
          <w:szCs w:val="22"/>
        </w:rPr>
        <w:t xml:space="preserve">). </w:t>
      </w:r>
    </w:p>
    <w:p w14:paraId="2D557296" w14:textId="17B4538C" w:rsidR="00DC792C" w:rsidRDefault="00102758">
      <w:pPr>
        <w:pBdr>
          <w:top w:val="nil"/>
          <w:left w:val="nil"/>
          <w:bottom w:val="nil"/>
          <w:right w:val="nil"/>
          <w:between w:val="nil"/>
        </w:pBdr>
        <w:spacing w:after="0" w:line="360" w:lineRule="auto"/>
        <w:jc w:val="both"/>
        <w:rPr>
          <w:color w:val="000000"/>
        </w:rPr>
      </w:pPr>
      <w:r>
        <w:rPr>
          <w:rFonts w:ascii="Arial" w:eastAsia="Arial" w:hAnsi="Arial" w:cs="Arial"/>
          <w:color w:val="000000"/>
          <w:sz w:val="22"/>
          <w:szCs w:val="22"/>
        </w:rPr>
        <w:t xml:space="preserve">      </w:t>
      </w:r>
      <w:r w:rsidR="007F4225">
        <w:rPr>
          <w:rFonts w:ascii="Arial" w:eastAsia="Arial" w:hAnsi="Arial" w:cs="Arial"/>
          <w:color w:val="000000"/>
          <w:sz w:val="22"/>
          <w:szCs w:val="22"/>
        </w:rPr>
        <w:t>The lived experience of people with disabilities was further compounded by their reliance on caregivers for essential daily activities, such as feeding, hygiene, and mobility, which were disrupted or reduced during lockdowns</w:t>
      </w:r>
      <w:r>
        <w:rPr>
          <w:rFonts w:ascii="Arial" w:eastAsia="Arial" w:hAnsi="Arial" w:cs="Arial"/>
          <w:color w:val="000000"/>
          <w:sz w:val="22"/>
          <w:szCs w:val="22"/>
        </w:rPr>
        <w:t xml:space="preserve"> </w:t>
      </w:r>
      <w:r>
        <w:rPr>
          <w:rFonts w:ascii="Arial" w:eastAsia="Arial" w:hAnsi="Arial" w:cs="Arial"/>
          <w:color w:val="000000"/>
          <w:sz w:val="22"/>
          <w:szCs w:val="22"/>
        </w:rPr>
        <w:t xml:space="preserve">(Kavanagh </w:t>
      </w:r>
      <w:r>
        <w:rPr>
          <w:rFonts w:ascii="Arial" w:eastAsia="Arial" w:hAnsi="Arial" w:cs="Arial"/>
          <w:i/>
          <w:iCs/>
          <w:color w:val="000000"/>
          <w:sz w:val="22"/>
          <w:szCs w:val="22"/>
        </w:rPr>
        <w:t>et al.</w:t>
      </w:r>
      <w:r>
        <w:rPr>
          <w:rFonts w:ascii="Arial" w:eastAsia="Arial" w:hAnsi="Arial" w:cs="Arial"/>
          <w:color w:val="000000"/>
          <w:sz w:val="22"/>
          <w:szCs w:val="22"/>
        </w:rPr>
        <w:t>, 2021)</w:t>
      </w:r>
      <w:r w:rsidR="007F4225">
        <w:rPr>
          <w:rFonts w:ascii="Arial" w:eastAsia="Arial" w:hAnsi="Arial" w:cs="Arial"/>
          <w:color w:val="000000"/>
          <w:sz w:val="22"/>
          <w:szCs w:val="22"/>
        </w:rPr>
        <w:t xml:space="preserve">. This disruption increased both exposure to risk and feelings of insecurity and neglect, highlighting that public health measures, while necessary, </w:t>
      </w:r>
      <w:r w:rsidR="006E441E">
        <w:rPr>
          <w:rFonts w:ascii="Arial" w:eastAsia="Arial" w:hAnsi="Arial" w:cs="Arial"/>
          <w:color w:val="000000"/>
          <w:sz w:val="22"/>
          <w:szCs w:val="22"/>
        </w:rPr>
        <w:t>often</w:t>
      </w:r>
      <w:r w:rsidR="007F4225">
        <w:rPr>
          <w:rFonts w:ascii="Arial" w:eastAsia="Arial" w:hAnsi="Arial" w:cs="Arial"/>
          <w:color w:val="000000"/>
          <w:sz w:val="22"/>
          <w:szCs w:val="22"/>
        </w:rPr>
        <w:t xml:space="preserve"> </w:t>
      </w:r>
      <w:r w:rsidR="006E441E">
        <w:rPr>
          <w:rFonts w:ascii="Arial" w:eastAsia="Arial" w:hAnsi="Arial" w:cs="Arial"/>
          <w:color w:val="000000"/>
          <w:sz w:val="22"/>
          <w:szCs w:val="22"/>
        </w:rPr>
        <w:t>did not</w:t>
      </w:r>
      <w:r w:rsidR="007F4225">
        <w:rPr>
          <w:rFonts w:ascii="Arial" w:eastAsia="Arial" w:hAnsi="Arial" w:cs="Arial"/>
          <w:color w:val="000000"/>
          <w:sz w:val="22"/>
          <w:szCs w:val="22"/>
        </w:rPr>
        <w:t xml:space="preserve"> accommodate the specific needs of this population. Furthermore, the physical isolation recommended to prevent COVID-19 infection restricted access to social networks and support services, intensifying experiences of loneliness and psychological distress. These factors </w:t>
      </w:r>
      <w:r w:rsidR="006E441E">
        <w:rPr>
          <w:rFonts w:ascii="Arial" w:eastAsia="Arial" w:hAnsi="Arial" w:cs="Arial"/>
          <w:color w:val="000000"/>
          <w:sz w:val="22"/>
          <w:szCs w:val="22"/>
        </w:rPr>
        <w:t>show</w:t>
      </w:r>
      <w:r w:rsidR="007F4225">
        <w:rPr>
          <w:rFonts w:ascii="Arial" w:eastAsia="Arial" w:hAnsi="Arial" w:cs="Arial"/>
          <w:color w:val="000000"/>
          <w:sz w:val="22"/>
          <w:szCs w:val="22"/>
        </w:rPr>
        <w:t xml:space="preserve"> that the vulnerability of people with disabilities during the pandemic extends beyond biological risk, encompassing social and emotional dimensions that require targeted attention. The situation underscores the urgency of public policies that combine protection of physical health with tailored psychological and social support, </w:t>
      </w:r>
      <w:r w:rsidR="006E441E">
        <w:rPr>
          <w:rFonts w:ascii="Arial" w:eastAsia="Arial" w:hAnsi="Arial" w:cs="Arial"/>
          <w:color w:val="000000"/>
          <w:sz w:val="22"/>
          <w:szCs w:val="22"/>
        </w:rPr>
        <w:t>to</w:t>
      </w:r>
      <w:r w:rsidR="007F4225">
        <w:rPr>
          <w:rFonts w:ascii="Arial" w:eastAsia="Arial" w:hAnsi="Arial" w:cs="Arial"/>
          <w:color w:val="000000"/>
          <w:sz w:val="22"/>
          <w:szCs w:val="22"/>
        </w:rPr>
        <w:t xml:space="preserve"> address structural inequalities and ensure that future crises do not </w:t>
      </w:r>
      <w:r w:rsidR="006E441E">
        <w:rPr>
          <w:rFonts w:ascii="Arial" w:eastAsia="Arial" w:hAnsi="Arial" w:cs="Arial"/>
          <w:color w:val="000000"/>
          <w:sz w:val="22"/>
          <w:szCs w:val="22"/>
        </w:rPr>
        <w:t>worsen</w:t>
      </w:r>
      <w:r w:rsidR="007F4225">
        <w:rPr>
          <w:rFonts w:ascii="Arial" w:eastAsia="Arial" w:hAnsi="Arial" w:cs="Arial"/>
          <w:color w:val="000000"/>
          <w:sz w:val="22"/>
          <w:szCs w:val="22"/>
        </w:rPr>
        <w:t xml:space="preserve"> the marginalisation of this group (Kavanagh </w:t>
      </w:r>
      <w:r w:rsidR="007F4225">
        <w:rPr>
          <w:rFonts w:ascii="Arial" w:eastAsia="Arial" w:hAnsi="Arial" w:cs="Arial"/>
          <w:i/>
          <w:iCs/>
          <w:color w:val="000000"/>
          <w:sz w:val="22"/>
          <w:szCs w:val="22"/>
        </w:rPr>
        <w:t>et al.</w:t>
      </w:r>
      <w:r w:rsidR="007F4225">
        <w:rPr>
          <w:rFonts w:ascii="Arial" w:eastAsia="Arial" w:hAnsi="Arial" w:cs="Arial"/>
          <w:color w:val="000000"/>
          <w:sz w:val="22"/>
          <w:szCs w:val="22"/>
        </w:rPr>
        <w:t>, 2021).</w:t>
      </w:r>
      <w:r w:rsidR="007F4225">
        <w:rPr>
          <w:color w:val="000000"/>
        </w:rPr>
        <w:t xml:space="preserve"> </w:t>
      </w:r>
    </w:p>
    <w:p w14:paraId="4219B7BD" w14:textId="77777777" w:rsidR="00DC792C" w:rsidRDefault="00DC792C">
      <w:pPr>
        <w:pBdr>
          <w:top w:val="nil"/>
          <w:left w:val="nil"/>
          <w:bottom w:val="nil"/>
          <w:right w:val="nil"/>
          <w:between w:val="nil"/>
        </w:pBdr>
        <w:spacing w:line="360" w:lineRule="auto"/>
        <w:jc w:val="both"/>
        <w:rPr>
          <w:rFonts w:ascii="Arial" w:eastAsia="Arial" w:hAnsi="Arial" w:cs="Arial"/>
          <w:color w:val="000000"/>
          <w:sz w:val="22"/>
          <w:szCs w:val="22"/>
        </w:rPr>
      </w:pPr>
    </w:p>
    <w:p w14:paraId="6FAA9FEE" w14:textId="36EDA396" w:rsidR="00DC792C" w:rsidRDefault="007F4225" w:rsidP="00D14D12">
      <w:pPr>
        <w:pBdr>
          <w:top w:val="nil"/>
          <w:left w:val="nil"/>
          <w:bottom w:val="nil"/>
          <w:right w:val="nil"/>
          <w:between w:val="nil"/>
        </w:pBdr>
        <w:spacing w:after="0" w:line="360" w:lineRule="auto"/>
        <w:jc w:val="both"/>
        <w:rPr>
          <w:rFonts w:ascii="Arial" w:eastAsia="Arial" w:hAnsi="Arial" w:cs="Arial"/>
          <w:b/>
          <w:bCs/>
          <w:color w:val="000000"/>
          <w:sz w:val="22"/>
          <w:szCs w:val="22"/>
        </w:rPr>
      </w:pPr>
      <w:r>
        <w:rPr>
          <w:rFonts w:ascii="Arial" w:eastAsia="Arial" w:hAnsi="Arial" w:cs="Arial"/>
          <w:b/>
          <w:bCs/>
          <w:color w:val="000000"/>
          <w:sz w:val="22"/>
          <w:szCs w:val="22"/>
        </w:rPr>
        <w:t xml:space="preserve">Barriers to </w:t>
      </w:r>
      <w:r w:rsidR="00102758">
        <w:rPr>
          <w:rFonts w:ascii="Arial" w:eastAsia="Arial" w:hAnsi="Arial" w:cs="Arial"/>
          <w:b/>
          <w:bCs/>
          <w:color w:val="000000"/>
          <w:sz w:val="22"/>
          <w:szCs w:val="22"/>
        </w:rPr>
        <w:t>h</w:t>
      </w:r>
      <w:r>
        <w:rPr>
          <w:rFonts w:ascii="Arial" w:eastAsia="Arial" w:hAnsi="Arial" w:cs="Arial"/>
          <w:b/>
          <w:bCs/>
          <w:color w:val="000000"/>
          <w:sz w:val="22"/>
          <w:szCs w:val="22"/>
        </w:rPr>
        <w:t xml:space="preserve">ealthcare </w:t>
      </w:r>
      <w:r w:rsidR="00102758">
        <w:rPr>
          <w:rFonts w:ascii="Arial" w:eastAsia="Arial" w:hAnsi="Arial" w:cs="Arial"/>
          <w:b/>
          <w:bCs/>
          <w:color w:val="000000"/>
          <w:sz w:val="22"/>
          <w:szCs w:val="22"/>
        </w:rPr>
        <w:t>a</w:t>
      </w:r>
      <w:r>
        <w:rPr>
          <w:rFonts w:ascii="Arial" w:eastAsia="Arial" w:hAnsi="Arial" w:cs="Arial"/>
          <w:b/>
          <w:bCs/>
          <w:color w:val="000000"/>
          <w:sz w:val="22"/>
          <w:szCs w:val="22"/>
        </w:rPr>
        <w:t xml:space="preserve">ccess for </w:t>
      </w:r>
      <w:r w:rsidR="00102758">
        <w:rPr>
          <w:rFonts w:ascii="Arial" w:eastAsia="Arial" w:hAnsi="Arial" w:cs="Arial"/>
          <w:b/>
          <w:bCs/>
          <w:color w:val="000000"/>
          <w:sz w:val="22"/>
          <w:szCs w:val="22"/>
        </w:rPr>
        <w:t>d</w:t>
      </w:r>
      <w:r>
        <w:rPr>
          <w:rFonts w:ascii="Arial" w:eastAsia="Arial" w:hAnsi="Arial" w:cs="Arial"/>
          <w:b/>
          <w:bCs/>
          <w:color w:val="000000"/>
          <w:sz w:val="22"/>
          <w:szCs w:val="22"/>
        </w:rPr>
        <w:t xml:space="preserve">isabled </w:t>
      </w:r>
      <w:r w:rsidR="00102758">
        <w:rPr>
          <w:rFonts w:ascii="Arial" w:eastAsia="Arial" w:hAnsi="Arial" w:cs="Arial"/>
          <w:b/>
          <w:bCs/>
          <w:color w:val="000000"/>
          <w:sz w:val="22"/>
          <w:szCs w:val="22"/>
        </w:rPr>
        <w:t>a</w:t>
      </w:r>
      <w:r>
        <w:rPr>
          <w:rFonts w:ascii="Arial" w:eastAsia="Arial" w:hAnsi="Arial" w:cs="Arial"/>
          <w:b/>
          <w:bCs/>
          <w:color w:val="000000"/>
          <w:sz w:val="22"/>
          <w:szCs w:val="22"/>
        </w:rPr>
        <w:t>dults in the UK</w:t>
      </w:r>
    </w:p>
    <w:p w14:paraId="7FC6583B" w14:textId="6F7EF67B" w:rsidR="00DC792C" w:rsidRDefault="00102758" w:rsidP="00D14D12">
      <w:pPr>
        <w:pBdr>
          <w:top w:val="nil"/>
          <w:left w:val="nil"/>
          <w:bottom w:val="nil"/>
          <w:right w:val="nil"/>
          <w:between w:val="nil"/>
        </w:pBdr>
        <w:spacing w:after="0"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     </w:t>
      </w:r>
      <w:r w:rsidR="007F4225">
        <w:rPr>
          <w:rFonts w:ascii="Arial" w:eastAsia="Arial" w:hAnsi="Arial" w:cs="Arial"/>
          <w:color w:val="000000"/>
          <w:sz w:val="22"/>
          <w:szCs w:val="22"/>
        </w:rPr>
        <w:t xml:space="preserve">Disabled adults in the UK continue to face significant barriers when accessing healthcare services, including transport difficulties, limited physical accessibility, and a lack of </w:t>
      </w:r>
      <w:r w:rsidR="006E441E">
        <w:rPr>
          <w:rFonts w:ascii="Arial" w:eastAsia="Arial" w:hAnsi="Arial" w:cs="Arial"/>
          <w:color w:val="000000"/>
          <w:sz w:val="22"/>
          <w:szCs w:val="22"/>
        </w:rPr>
        <w:t>proper adjustments</w:t>
      </w:r>
      <w:r>
        <w:rPr>
          <w:rFonts w:ascii="Arial" w:eastAsia="Arial" w:hAnsi="Arial" w:cs="Arial"/>
          <w:color w:val="000000"/>
          <w:sz w:val="22"/>
          <w:szCs w:val="22"/>
        </w:rPr>
        <w:t xml:space="preserve"> </w:t>
      </w:r>
      <w:r>
        <w:rPr>
          <w:rFonts w:ascii="Arial" w:eastAsia="Arial" w:hAnsi="Arial" w:cs="Arial"/>
          <w:color w:val="000000"/>
          <w:sz w:val="22"/>
          <w:szCs w:val="22"/>
        </w:rPr>
        <w:t>(Foubert et al., 2022)</w:t>
      </w:r>
      <w:r w:rsidR="007F4225">
        <w:rPr>
          <w:rFonts w:ascii="Arial" w:eastAsia="Arial" w:hAnsi="Arial" w:cs="Arial"/>
          <w:color w:val="000000"/>
          <w:sz w:val="22"/>
          <w:szCs w:val="22"/>
        </w:rPr>
        <w:t xml:space="preserve">. These obstacles often result in delays to treatment and disrupted continuity of care, particularly affecting older disabled people. Consequently, access to healthcare </w:t>
      </w:r>
      <w:r w:rsidR="006E441E">
        <w:rPr>
          <w:rFonts w:ascii="Arial" w:eastAsia="Arial" w:hAnsi="Arial" w:cs="Arial"/>
          <w:color w:val="000000"/>
          <w:sz w:val="22"/>
          <w:szCs w:val="22"/>
        </w:rPr>
        <w:t>stays</w:t>
      </w:r>
      <w:r w:rsidR="007F4225">
        <w:rPr>
          <w:rFonts w:ascii="Arial" w:eastAsia="Arial" w:hAnsi="Arial" w:cs="Arial"/>
          <w:color w:val="000000"/>
          <w:sz w:val="22"/>
          <w:szCs w:val="22"/>
        </w:rPr>
        <w:t xml:space="preserve"> unequal and requires targeted action to ensure equity (Foubert et al., 2022</w:t>
      </w:r>
      <w:r>
        <w:rPr>
          <w:rFonts w:ascii="Arial" w:eastAsia="Arial" w:hAnsi="Arial" w:cs="Arial"/>
          <w:color w:val="000000"/>
          <w:sz w:val="22"/>
          <w:szCs w:val="22"/>
        </w:rPr>
        <w:t>).</w:t>
      </w:r>
      <w:r w:rsidR="007F4225">
        <w:rPr>
          <w:rFonts w:ascii="Arial" w:eastAsia="Arial" w:hAnsi="Arial" w:cs="Arial"/>
          <w:color w:val="000000"/>
          <w:sz w:val="22"/>
          <w:szCs w:val="22"/>
        </w:rPr>
        <w:t xml:space="preserve"> During the COVID-19 pandemic in 2020, adults with intellectual disabilities in the UK faced significant barriers to accessing healthcare services, particularly medical appointments and routine health checks. The suspension of essential support and increased social isolation further worsened the situation. Regional differences in service availability created </w:t>
      </w:r>
      <w:r w:rsidR="006E441E">
        <w:rPr>
          <w:rFonts w:ascii="Arial" w:eastAsia="Arial" w:hAnsi="Arial" w:cs="Arial"/>
          <w:color w:val="000000"/>
          <w:sz w:val="22"/>
          <w:szCs w:val="22"/>
        </w:rPr>
        <w:t>more</w:t>
      </w:r>
      <w:r w:rsidR="007F4225">
        <w:rPr>
          <w:rFonts w:ascii="Arial" w:eastAsia="Arial" w:hAnsi="Arial" w:cs="Arial"/>
          <w:color w:val="000000"/>
          <w:sz w:val="22"/>
          <w:szCs w:val="22"/>
        </w:rPr>
        <w:t xml:space="preserve"> inequalities. These limitations negatively </w:t>
      </w:r>
      <w:r w:rsidR="006E441E">
        <w:rPr>
          <w:rFonts w:ascii="Arial" w:eastAsia="Arial" w:hAnsi="Arial" w:cs="Arial"/>
          <w:color w:val="000000"/>
          <w:sz w:val="22"/>
          <w:szCs w:val="22"/>
        </w:rPr>
        <w:t>affected</w:t>
      </w:r>
      <w:r w:rsidR="007F4225">
        <w:rPr>
          <w:rFonts w:ascii="Arial" w:eastAsia="Arial" w:hAnsi="Arial" w:cs="Arial"/>
          <w:color w:val="000000"/>
          <w:sz w:val="22"/>
          <w:szCs w:val="22"/>
        </w:rPr>
        <w:t xml:space="preserve"> the physical and mental health of these individuals, highlighting the need to ensure continuity of care in future crises (Flynn and Hatton, 2021).</w:t>
      </w:r>
    </w:p>
    <w:p w14:paraId="7733C97D" w14:textId="77777777" w:rsidR="00DC792C" w:rsidRDefault="00DC792C">
      <w:pPr>
        <w:pBdr>
          <w:top w:val="nil"/>
          <w:left w:val="nil"/>
          <w:bottom w:val="nil"/>
          <w:right w:val="nil"/>
          <w:between w:val="nil"/>
        </w:pBdr>
        <w:spacing w:line="360" w:lineRule="auto"/>
        <w:jc w:val="both"/>
        <w:rPr>
          <w:rFonts w:ascii="Arial" w:eastAsia="Arial" w:hAnsi="Arial" w:cs="Arial"/>
          <w:color w:val="000000"/>
          <w:sz w:val="22"/>
          <w:szCs w:val="22"/>
        </w:rPr>
      </w:pPr>
    </w:p>
    <w:p w14:paraId="18C5BC92" w14:textId="77777777" w:rsidR="00DC792C" w:rsidRDefault="00DC792C">
      <w:pPr>
        <w:pBdr>
          <w:top w:val="nil"/>
          <w:left w:val="nil"/>
          <w:bottom w:val="nil"/>
          <w:right w:val="nil"/>
          <w:between w:val="nil"/>
        </w:pBdr>
        <w:spacing w:line="360" w:lineRule="auto"/>
        <w:jc w:val="both"/>
        <w:rPr>
          <w:rFonts w:ascii="Arial" w:eastAsia="Arial" w:hAnsi="Arial" w:cs="Arial"/>
          <w:color w:val="000000"/>
          <w:sz w:val="22"/>
          <w:szCs w:val="22"/>
        </w:rPr>
      </w:pPr>
    </w:p>
    <w:p w14:paraId="74DFDFC3" w14:textId="77777777" w:rsidR="00DC792C" w:rsidRDefault="00DC792C">
      <w:pPr>
        <w:pBdr>
          <w:top w:val="nil"/>
          <w:left w:val="nil"/>
          <w:bottom w:val="nil"/>
          <w:right w:val="nil"/>
          <w:between w:val="nil"/>
        </w:pBdr>
        <w:spacing w:line="360" w:lineRule="auto"/>
        <w:jc w:val="both"/>
        <w:rPr>
          <w:rFonts w:ascii="Arial" w:eastAsia="Arial" w:hAnsi="Arial" w:cs="Arial"/>
          <w:color w:val="000000"/>
          <w:sz w:val="22"/>
          <w:szCs w:val="22"/>
        </w:rPr>
      </w:pPr>
    </w:p>
    <w:p w14:paraId="524FD1D4" w14:textId="77777777" w:rsidR="00D14D12" w:rsidRDefault="00D14D12">
      <w:pPr>
        <w:pBdr>
          <w:top w:val="nil"/>
          <w:left w:val="nil"/>
          <w:bottom w:val="nil"/>
          <w:right w:val="nil"/>
          <w:between w:val="nil"/>
        </w:pBdr>
        <w:spacing w:line="360" w:lineRule="auto"/>
        <w:jc w:val="both"/>
        <w:rPr>
          <w:rFonts w:ascii="Arial" w:eastAsia="Arial" w:hAnsi="Arial" w:cs="Arial"/>
          <w:color w:val="000000"/>
          <w:sz w:val="22"/>
          <w:szCs w:val="22"/>
        </w:rPr>
      </w:pPr>
    </w:p>
    <w:p w14:paraId="3E2167BB" w14:textId="77777777" w:rsidR="00D976C4" w:rsidRDefault="00D976C4">
      <w:pPr>
        <w:pBdr>
          <w:top w:val="nil"/>
          <w:left w:val="nil"/>
          <w:bottom w:val="nil"/>
          <w:right w:val="nil"/>
          <w:between w:val="nil"/>
        </w:pBdr>
        <w:spacing w:line="360" w:lineRule="auto"/>
        <w:jc w:val="both"/>
        <w:rPr>
          <w:rFonts w:ascii="Arial" w:eastAsia="Arial" w:hAnsi="Arial" w:cs="Arial"/>
          <w:color w:val="000000"/>
          <w:sz w:val="22"/>
          <w:szCs w:val="22"/>
        </w:rPr>
      </w:pPr>
    </w:p>
    <w:p w14:paraId="4B983AEB" w14:textId="27B9EE56" w:rsidR="00DC792C" w:rsidRDefault="007F4225" w:rsidP="00D14D12">
      <w:pPr>
        <w:pBdr>
          <w:top w:val="nil"/>
          <w:left w:val="nil"/>
          <w:bottom w:val="nil"/>
          <w:right w:val="nil"/>
          <w:between w:val="nil"/>
        </w:pBdr>
        <w:spacing w:after="0" w:line="360" w:lineRule="auto"/>
        <w:jc w:val="both"/>
        <w:rPr>
          <w:rFonts w:ascii="Arial" w:eastAsia="Arial" w:hAnsi="Arial" w:cs="Arial"/>
          <w:b/>
          <w:bCs/>
          <w:color w:val="000000"/>
          <w:sz w:val="22"/>
          <w:szCs w:val="22"/>
        </w:rPr>
      </w:pPr>
      <w:r>
        <w:rPr>
          <w:rFonts w:ascii="Arial" w:eastAsia="Arial" w:hAnsi="Arial" w:cs="Arial"/>
          <w:b/>
          <w:bCs/>
          <w:color w:val="000000"/>
          <w:sz w:val="22"/>
          <w:szCs w:val="22"/>
        </w:rPr>
        <w:lastRenderedPageBreak/>
        <w:t xml:space="preserve">Life </w:t>
      </w:r>
      <w:r w:rsidR="00102758">
        <w:rPr>
          <w:rFonts w:ascii="Arial" w:eastAsia="Arial" w:hAnsi="Arial" w:cs="Arial"/>
          <w:b/>
          <w:bCs/>
          <w:color w:val="000000"/>
          <w:sz w:val="22"/>
          <w:szCs w:val="22"/>
        </w:rPr>
        <w:t>e</w:t>
      </w:r>
      <w:r>
        <w:rPr>
          <w:rFonts w:ascii="Arial" w:eastAsia="Arial" w:hAnsi="Arial" w:cs="Arial"/>
          <w:b/>
          <w:bCs/>
          <w:color w:val="000000"/>
          <w:sz w:val="22"/>
          <w:szCs w:val="22"/>
        </w:rPr>
        <w:t xml:space="preserve">xpectancy and </w:t>
      </w:r>
      <w:r w:rsidR="00102758">
        <w:rPr>
          <w:rFonts w:ascii="Arial" w:eastAsia="Arial" w:hAnsi="Arial" w:cs="Arial"/>
          <w:b/>
          <w:bCs/>
          <w:color w:val="000000"/>
          <w:sz w:val="22"/>
          <w:szCs w:val="22"/>
        </w:rPr>
        <w:t>m</w:t>
      </w:r>
      <w:r>
        <w:rPr>
          <w:rFonts w:ascii="Arial" w:eastAsia="Arial" w:hAnsi="Arial" w:cs="Arial"/>
          <w:b/>
          <w:bCs/>
          <w:color w:val="000000"/>
          <w:sz w:val="22"/>
          <w:szCs w:val="22"/>
        </w:rPr>
        <w:t xml:space="preserve">ortality </w:t>
      </w:r>
      <w:r w:rsidR="00102758">
        <w:rPr>
          <w:rFonts w:ascii="Arial" w:eastAsia="Arial" w:hAnsi="Arial" w:cs="Arial"/>
          <w:b/>
          <w:bCs/>
          <w:color w:val="000000"/>
          <w:sz w:val="22"/>
          <w:szCs w:val="22"/>
        </w:rPr>
        <w:t>a</w:t>
      </w:r>
      <w:r>
        <w:rPr>
          <w:rFonts w:ascii="Arial" w:eastAsia="Arial" w:hAnsi="Arial" w:cs="Arial"/>
          <w:b/>
          <w:bCs/>
          <w:color w:val="000000"/>
          <w:sz w:val="22"/>
          <w:szCs w:val="22"/>
        </w:rPr>
        <w:t xml:space="preserve">mong </w:t>
      </w:r>
      <w:r w:rsidR="00102758">
        <w:rPr>
          <w:rFonts w:ascii="Arial" w:eastAsia="Arial" w:hAnsi="Arial" w:cs="Arial"/>
          <w:b/>
          <w:bCs/>
          <w:color w:val="000000"/>
          <w:sz w:val="22"/>
          <w:szCs w:val="22"/>
        </w:rPr>
        <w:t>a</w:t>
      </w:r>
      <w:r>
        <w:rPr>
          <w:rFonts w:ascii="Arial" w:eastAsia="Arial" w:hAnsi="Arial" w:cs="Arial"/>
          <w:b/>
          <w:bCs/>
          <w:color w:val="000000"/>
          <w:sz w:val="22"/>
          <w:szCs w:val="22"/>
        </w:rPr>
        <w:t xml:space="preserve">dults with </w:t>
      </w:r>
      <w:r w:rsidR="00102758">
        <w:rPr>
          <w:rFonts w:ascii="Arial" w:eastAsia="Arial" w:hAnsi="Arial" w:cs="Arial"/>
          <w:b/>
          <w:bCs/>
          <w:color w:val="000000"/>
          <w:sz w:val="22"/>
          <w:szCs w:val="22"/>
        </w:rPr>
        <w:t>d</w:t>
      </w:r>
      <w:r>
        <w:rPr>
          <w:rFonts w:ascii="Arial" w:eastAsia="Arial" w:hAnsi="Arial" w:cs="Arial"/>
          <w:b/>
          <w:bCs/>
          <w:color w:val="000000"/>
          <w:sz w:val="22"/>
          <w:szCs w:val="22"/>
        </w:rPr>
        <w:t>isabilities in the UK</w:t>
      </w:r>
    </w:p>
    <w:p w14:paraId="21C49C27" w14:textId="7F56AD4F" w:rsidR="00DC792C" w:rsidRDefault="007F4225" w:rsidP="00102758">
      <w:pPr>
        <w:pBdr>
          <w:top w:val="nil"/>
          <w:left w:val="nil"/>
          <w:bottom w:val="nil"/>
          <w:right w:val="nil"/>
          <w:between w:val="nil"/>
        </w:pBdr>
        <w:spacing w:after="0" w:line="360" w:lineRule="auto"/>
        <w:ind w:firstLine="240"/>
        <w:jc w:val="both"/>
        <w:rPr>
          <w:rFonts w:ascii="Arial" w:eastAsia="Arial" w:hAnsi="Arial" w:cs="Arial"/>
          <w:color w:val="000000"/>
          <w:sz w:val="22"/>
          <w:szCs w:val="22"/>
        </w:rPr>
      </w:pPr>
      <w:r>
        <w:rPr>
          <w:rFonts w:ascii="Arial" w:eastAsia="Arial" w:hAnsi="Arial" w:cs="Arial"/>
          <w:color w:val="000000"/>
          <w:sz w:val="22"/>
          <w:szCs w:val="22"/>
        </w:rPr>
        <w:t xml:space="preserve">Adults with learning disabilities in the UK face serious health inequalities and shorter life expectancy than the general </w:t>
      </w:r>
      <w:r w:rsidR="00102758">
        <w:rPr>
          <w:rFonts w:ascii="Arial" w:eastAsia="Arial" w:hAnsi="Arial" w:cs="Arial"/>
          <w:color w:val="000000"/>
          <w:sz w:val="22"/>
          <w:szCs w:val="22"/>
        </w:rPr>
        <w:t>population (</w:t>
      </w:r>
      <w:r w:rsidR="00102758">
        <w:rPr>
          <w:rFonts w:ascii="Arial" w:eastAsia="Arial" w:hAnsi="Arial" w:cs="Arial"/>
          <w:color w:val="000000"/>
          <w:sz w:val="22"/>
          <w:szCs w:val="22"/>
        </w:rPr>
        <w:t>NHS, 2020)</w:t>
      </w:r>
      <w:r>
        <w:rPr>
          <w:rFonts w:ascii="Arial" w:eastAsia="Arial" w:hAnsi="Arial" w:cs="Arial"/>
          <w:color w:val="000000"/>
          <w:sz w:val="22"/>
          <w:szCs w:val="22"/>
        </w:rPr>
        <w:t xml:space="preserve">. Men with learning disabilities live, on average, 66 years (14 years less than other men), and women live 67 years (17 years less than other women). People aged 0 to 74 with learning disabilities are around four times more likely to die than others of the same age and sex (NHS, 2020). Many adults with learning disabilities have multiple health conditions and often struggle to access healthcare services, including mental health support. Autistic people and those with ADHD face even more difficulties, with long waiting times for assessments and limited tailored support. Although the NHS has made progress such as increasing annual health checks, staff training, and reducing hospital stays avoidable deaths </w:t>
      </w:r>
      <w:r w:rsidR="006E441E">
        <w:rPr>
          <w:rFonts w:ascii="Arial" w:eastAsia="Arial" w:hAnsi="Arial" w:cs="Arial"/>
          <w:color w:val="000000"/>
          <w:sz w:val="22"/>
          <w:szCs w:val="22"/>
        </w:rPr>
        <w:t>still are</w:t>
      </w:r>
      <w:r>
        <w:rPr>
          <w:rFonts w:ascii="Arial" w:eastAsia="Arial" w:hAnsi="Arial" w:cs="Arial"/>
          <w:color w:val="000000"/>
          <w:sz w:val="22"/>
          <w:szCs w:val="22"/>
        </w:rPr>
        <w:t xml:space="preserve"> high and some people still stay in hospitals for years due to insufficient community care. Efforts are now focused on improving access to healthcare, </w:t>
      </w:r>
      <w:r w:rsidR="006E441E">
        <w:rPr>
          <w:rFonts w:ascii="Arial" w:eastAsia="Arial" w:hAnsi="Arial" w:cs="Arial"/>
          <w:color w:val="000000"/>
          <w:sz w:val="22"/>
          <w:szCs w:val="22"/>
        </w:rPr>
        <w:t>supplying</w:t>
      </w:r>
      <w:r>
        <w:rPr>
          <w:rFonts w:ascii="Arial" w:eastAsia="Arial" w:hAnsi="Arial" w:cs="Arial"/>
          <w:color w:val="000000"/>
          <w:sz w:val="22"/>
          <w:szCs w:val="22"/>
        </w:rPr>
        <w:t xml:space="preserve"> reasonable adjustments, and strengthening community services. Using digital tools and earlier support can help ensure better health outcomes for people with learning disabilities and neurodivergent conditions (Cahill, 2025).</w:t>
      </w:r>
    </w:p>
    <w:p w14:paraId="33212E06" w14:textId="77777777" w:rsidR="00102758" w:rsidRDefault="00102758" w:rsidP="00102758">
      <w:pPr>
        <w:pBdr>
          <w:top w:val="nil"/>
          <w:left w:val="nil"/>
          <w:bottom w:val="nil"/>
          <w:right w:val="nil"/>
          <w:between w:val="nil"/>
        </w:pBdr>
        <w:spacing w:after="0" w:line="360" w:lineRule="auto"/>
        <w:ind w:firstLine="240"/>
        <w:jc w:val="both"/>
        <w:rPr>
          <w:rFonts w:ascii="Arial" w:eastAsia="Arial" w:hAnsi="Arial" w:cs="Arial"/>
          <w:color w:val="000000"/>
          <w:sz w:val="22"/>
          <w:szCs w:val="22"/>
        </w:rPr>
      </w:pPr>
    </w:p>
    <w:p w14:paraId="0EA74CC7" w14:textId="77777777" w:rsidR="00DC792C" w:rsidRDefault="007F4225">
      <w:pPr>
        <w:pBdr>
          <w:top w:val="nil"/>
          <w:left w:val="nil"/>
          <w:bottom w:val="nil"/>
          <w:right w:val="nil"/>
          <w:between w:val="nil"/>
        </w:pBdr>
        <w:rPr>
          <w:b/>
          <w:bCs/>
          <w:color w:val="000000"/>
        </w:rPr>
      </w:pPr>
      <w:r>
        <w:rPr>
          <w:b/>
          <w:bCs/>
          <w:color w:val="000000"/>
        </w:rPr>
        <w:t>3 social issues:</w:t>
      </w:r>
    </w:p>
    <w:p w14:paraId="43392225" w14:textId="0E3156AE" w:rsidR="00DC792C" w:rsidRDefault="007F4225" w:rsidP="00D14D12">
      <w:pPr>
        <w:pBdr>
          <w:top w:val="nil"/>
          <w:left w:val="nil"/>
          <w:bottom w:val="nil"/>
          <w:right w:val="nil"/>
          <w:between w:val="nil"/>
        </w:pBdr>
        <w:spacing w:after="0" w:line="360" w:lineRule="auto"/>
        <w:jc w:val="both"/>
        <w:rPr>
          <w:rFonts w:ascii="Arial" w:eastAsia="Arial" w:hAnsi="Arial" w:cs="Arial"/>
          <w:b/>
          <w:bCs/>
          <w:color w:val="000000"/>
          <w:sz w:val="22"/>
          <w:szCs w:val="22"/>
        </w:rPr>
      </w:pPr>
      <w:r>
        <w:rPr>
          <w:rFonts w:ascii="Arial" w:eastAsia="Arial" w:hAnsi="Arial" w:cs="Arial"/>
          <w:b/>
          <w:bCs/>
          <w:color w:val="000000"/>
          <w:sz w:val="22"/>
          <w:szCs w:val="22"/>
        </w:rPr>
        <w:t xml:space="preserve">Social isolation and loneliness </w:t>
      </w:r>
      <w:r w:rsidR="00102758">
        <w:rPr>
          <w:rFonts w:ascii="Arial" w:eastAsia="Arial" w:hAnsi="Arial" w:cs="Arial"/>
          <w:b/>
          <w:bCs/>
          <w:color w:val="000000"/>
          <w:sz w:val="22"/>
          <w:szCs w:val="22"/>
        </w:rPr>
        <w:t>a</w:t>
      </w:r>
      <w:r>
        <w:rPr>
          <w:rFonts w:ascii="Arial" w:eastAsia="Arial" w:hAnsi="Arial" w:cs="Arial"/>
          <w:b/>
          <w:bCs/>
          <w:color w:val="000000"/>
          <w:sz w:val="22"/>
          <w:szCs w:val="22"/>
        </w:rPr>
        <w:t xml:space="preserve">mong </w:t>
      </w:r>
      <w:r w:rsidR="00102758">
        <w:rPr>
          <w:rFonts w:ascii="Arial" w:eastAsia="Arial" w:hAnsi="Arial" w:cs="Arial"/>
          <w:b/>
          <w:bCs/>
          <w:color w:val="000000"/>
          <w:sz w:val="22"/>
          <w:szCs w:val="22"/>
        </w:rPr>
        <w:t>a</w:t>
      </w:r>
      <w:r>
        <w:rPr>
          <w:rFonts w:ascii="Arial" w:eastAsia="Arial" w:hAnsi="Arial" w:cs="Arial"/>
          <w:b/>
          <w:bCs/>
          <w:color w:val="000000"/>
          <w:sz w:val="22"/>
          <w:szCs w:val="22"/>
        </w:rPr>
        <w:t xml:space="preserve">dults with </w:t>
      </w:r>
      <w:r w:rsidR="00102758">
        <w:rPr>
          <w:rFonts w:ascii="Arial" w:eastAsia="Arial" w:hAnsi="Arial" w:cs="Arial"/>
          <w:b/>
          <w:bCs/>
          <w:color w:val="000000"/>
          <w:sz w:val="22"/>
          <w:szCs w:val="22"/>
        </w:rPr>
        <w:t>d</w:t>
      </w:r>
      <w:r>
        <w:rPr>
          <w:rFonts w:ascii="Arial" w:eastAsia="Arial" w:hAnsi="Arial" w:cs="Arial"/>
          <w:b/>
          <w:bCs/>
          <w:color w:val="000000"/>
          <w:sz w:val="22"/>
          <w:szCs w:val="22"/>
        </w:rPr>
        <w:t>isabilities in the UK</w:t>
      </w:r>
    </w:p>
    <w:p w14:paraId="01DFB399" w14:textId="26E00560" w:rsidR="00DC792C" w:rsidRDefault="00102758" w:rsidP="00D14D12">
      <w:pPr>
        <w:pBdr>
          <w:top w:val="nil"/>
          <w:left w:val="nil"/>
          <w:bottom w:val="nil"/>
          <w:right w:val="nil"/>
          <w:between w:val="nil"/>
        </w:pBdr>
        <w:spacing w:after="0"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      </w:t>
      </w:r>
      <w:r w:rsidR="007F4225">
        <w:rPr>
          <w:rFonts w:ascii="Arial" w:eastAsia="Arial" w:hAnsi="Arial" w:cs="Arial"/>
          <w:color w:val="000000"/>
          <w:sz w:val="22"/>
          <w:szCs w:val="22"/>
        </w:rPr>
        <w:t xml:space="preserve">Loneliness is a major public health concern for working-age adults with disabilities in the UK, affecting 25.4% of those with persistent disabilities compared with 6.9% of adults without </w:t>
      </w:r>
      <w:r>
        <w:rPr>
          <w:rFonts w:ascii="Arial" w:eastAsia="Arial" w:hAnsi="Arial" w:cs="Arial"/>
          <w:color w:val="000000"/>
          <w:sz w:val="22"/>
          <w:szCs w:val="22"/>
        </w:rPr>
        <w:t>disabilities (</w:t>
      </w:r>
      <w:r>
        <w:rPr>
          <w:rFonts w:ascii="Arial" w:eastAsia="Arial" w:hAnsi="Arial" w:cs="Arial"/>
          <w:color w:val="000000"/>
          <w:sz w:val="22"/>
          <w:szCs w:val="22"/>
        </w:rPr>
        <w:t>Emerson </w:t>
      </w:r>
      <w:r>
        <w:rPr>
          <w:rFonts w:ascii="Arial" w:eastAsia="Arial" w:hAnsi="Arial" w:cs="Arial"/>
          <w:i/>
          <w:iCs/>
          <w:color w:val="000000"/>
          <w:sz w:val="22"/>
          <w:szCs w:val="22"/>
        </w:rPr>
        <w:t>et al.</w:t>
      </w:r>
      <w:r>
        <w:rPr>
          <w:rFonts w:ascii="Arial" w:eastAsia="Arial" w:hAnsi="Arial" w:cs="Arial"/>
          <w:color w:val="000000"/>
          <w:sz w:val="22"/>
          <w:szCs w:val="22"/>
        </w:rPr>
        <w:t>, 2021).</w:t>
      </w:r>
      <w:r w:rsidR="007F4225">
        <w:rPr>
          <w:rFonts w:ascii="Arial" w:eastAsia="Arial" w:hAnsi="Arial" w:cs="Arial"/>
          <w:color w:val="000000"/>
          <w:sz w:val="22"/>
          <w:szCs w:val="22"/>
        </w:rPr>
        <w:t xml:space="preserve"> It is </w:t>
      </w:r>
      <w:r w:rsidR="006E441E">
        <w:rPr>
          <w:rFonts w:ascii="Arial" w:eastAsia="Arial" w:hAnsi="Arial" w:cs="Arial"/>
          <w:color w:val="000000"/>
          <w:sz w:val="22"/>
          <w:szCs w:val="22"/>
        </w:rPr>
        <w:t>linked</w:t>
      </w:r>
      <w:r w:rsidR="007F4225">
        <w:rPr>
          <w:rFonts w:ascii="Arial" w:eastAsia="Arial" w:hAnsi="Arial" w:cs="Arial"/>
          <w:color w:val="000000"/>
          <w:sz w:val="22"/>
          <w:szCs w:val="22"/>
        </w:rPr>
        <w:t xml:space="preserve"> to poorer mental health, including increased anxiety, depression, and emotional distress (Emerson </w:t>
      </w:r>
      <w:r w:rsidR="007F4225">
        <w:rPr>
          <w:rFonts w:ascii="Arial" w:eastAsia="Arial" w:hAnsi="Arial" w:cs="Arial"/>
          <w:i/>
          <w:iCs/>
          <w:color w:val="000000"/>
          <w:sz w:val="22"/>
          <w:szCs w:val="22"/>
        </w:rPr>
        <w:t>et al.</w:t>
      </w:r>
      <w:r w:rsidR="007F4225">
        <w:rPr>
          <w:rFonts w:ascii="Arial" w:eastAsia="Arial" w:hAnsi="Arial" w:cs="Arial"/>
          <w:color w:val="000000"/>
          <w:sz w:val="22"/>
          <w:szCs w:val="22"/>
        </w:rPr>
        <w:t xml:space="preserve">, 2021). Contributing factors include social isolation, disruption of routines, and limited access to health, social, and community support, which were intensified during the COVID-19 pandemic. Engagement in purposeful activities such as work, education, volunteering, and community involvement along with outdoor exercise, can mitigate loneliness and enhance well-being. Addressing this issue requires strategies that promote social connection, meaningful engagement, and </w:t>
      </w:r>
      <w:r w:rsidR="006E441E">
        <w:rPr>
          <w:rFonts w:ascii="Arial" w:eastAsia="Arial" w:hAnsi="Arial" w:cs="Arial"/>
          <w:color w:val="000000"/>
          <w:sz w:val="22"/>
          <w:szCs w:val="22"/>
        </w:rPr>
        <w:t>fair</w:t>
      </w:r>
      <w:r w:rsidR="007F4225">
        <w:rPr>
          <w:rFonts w:ascii="Arial" w:eastAsia="Arial" w:hAnsi="Arial" w:cs="Arial"/>
          <w:color w:val="000000"/>
          <w:sz w:val="22"/>
          <w:szCs w:val="22"/>
        </w:rPr>
        <w:t xml:space="preserve"> access to mental health support (Gillooly </w:t>
      </w:r>
      <w:r w:rsidR="007F4225">
        <w:rPr>
          <w:rFonts w:ascii="Arial" w:eastAsia="Arial" w:hAnsi="Arial" w:cs="Arial"/>
          <w:i/>
          <w:iCs/>
          <w:color w:val="000000"/>
          <w:sz w:val="22"/>
          <w:szCs w:val="22"/>
        </w:rPr>
        <w:t>et al.</w:t>
      </w:r>
      <w:r w:rsidR="007F4225">
        <w:rPr>
          <w:rFonts w:ascii="Arial" w:eastAsia="Arial" w:hAnsi="Arial" w:cs="Arial"/>
          <w:color w:val="000000"/>
          <w:sz w:val="22"/>
          <w:szCs w:val="22"/>
        </w:rPr>
        <w:t>, 2025).</w:t>
      </w:r>
    </w:p>
    <w:p w14:paraId="6386F6BB" w14:textId="77777777" w:rsidR="00102758" w:rsidRDefault="00102758" w:rsidP="00D14D12">
      <w:pPr>
        <w:pBdr>
          <w:top w:val="nil"/>
          <w:left w:val="nil"/>
          <w:bottom w:val="nil"/>
          <w:right w:val="nil"/>
          <w:between w:val="nil"/>
        </w:pBdr>
        <w:spacing w:after="0" w:line="360" w:lineRule="auto"/>
        <w:jc w:val="both"/>
        <w:rPr>
          <w:color w:val="000000"/>
        </w:rPr>
      </w:pPr>
    </w:p>
    <w:p w14:paraId="7DF99300" w14:textId="57C90428" w:rsidR="00DC792C" w:rsidRDefault="007F4225" w:rsidP="00D14D12">
      <w:pPr>
        <w:pBdr>
          <w:top w:val="nil"/>
          <w:left w:val="nil"/>
          <w:bottom w:val="nil"/>
          <w:right w:val="nil"/>
          <w:between w:val="nil"/>
        </w:pBdr>
        <w:spacing w:after="0"/>
        <w:rPr>
          <w:color w:val="000000"/>
        </w:rPr>
      </w:pPr>
      <w:r>
        <w:rPr>
          <w:b/>
          <w:bCs/>
          <w:color w:val="000000"/>
        </w:rPr>
        <w:t xml:space="preserve">Poverty </w:t>
      </w:r>
      <w:r w:rsidR="00EA37D5">
        <w:rPr>
          <w:rFonts w:ascii="Arial" w:eastAsia="Arial" w:hAnsi="Arial" w:cs="Arial"/>
          <w:b/>
          <w:bCs/>
          <w:color w:val="000000"/>
          <w:sz w:val="22"/>
          <w:szCs w:val="22"/>
        </w:rPr>
        <w:t>a</w:t>
      </w:r>
      <w:r>
        <w:rPr>
          <w:rFonts w:ascii="Arial" w:eastAsia="Arial" w:hAnsi="Arial" w:cs="Arial"/>
          <w:b/>
          <w:bCs/>
          <w:color w:val="000000"/>
          <w:sz w:val="22"/>
          <w:szCs w:val="22"/>
        </w:rPr>
        <w:t xml:space="preserve">mong </w:t>
      </w:r>
      <w:r w:rsidR="00EA37D5">
        <w:rPr>
          <w:rFonts w:ascii="Arial" w:eastAsia="Arial" w:hAnsi="Arial" w:cs="Arial"/>
          <w:b/>
          <w:bCs/>
          <w:color w:val="000000"/>
          <w:sz w:val="22"/>
          <w:szCs w:val="22"/>
        </w:rPr>
        <w:t>a</w:t>
      </w:r>
      <w:r>
        <w:rPr>
          <w:rFonts w:ascii="Arial" w:eastAsia="Arial" w:hAnsi="Arial" w:cs="Arial"/>
          <w:b/>
          <w:bCs/>
          <w:color w:val="000000"/>
          <w:sz w:val="22"/>
          <w:szCs w:val="22"/>
        </w:rPr>
        <w:t xml:space="preserve">dults with </w:t>
      </w:r>
      <w:r w:rsidR="00EA37D5">
        <w:rPr>
          <w:rFonts w:ascii="Arial" w:eastAsia="Arial" w:hAnsi="Arial" w:cs="Arial"/>
          <w:b/>
          <w:bCs/>
          <w:color w:val="000000"/>
          <w:sz w:val="22"/>
          <w:szCs w:val="22"/>
        </w:rPr>
        <w:t>d</w:t>
      </w:r>
      <w:r>
        <w:rPr>
          <w:rFonts w:ascii="Arial" w:eastAsia="Arial" w:hAnsi="Arial" w:cs="Arial"/>
          <w:b/>
          <w:bCs/>
          <w:color w:val="000000"/>
          <w:sz w:val="22"/>
          <w:szCs w:val="22"/>
        </w:rPr>
        <w:t>isabilities in the UK</w:t>
      </w:r>
      <w:r w:rsidR="00D14D12">
        <w:rPr>
          <w:rFonts w:ascii="Arial" w:eastAsia="Arial" w:hAnsi="Arial" w:cs="Arial"/>
          <w:b/>
          <w:bCs/>
          <w:color w:val="000000"/>
          <w:sz w:val="22"/>
          <w:szCs w:val="22"/>
        </w:rPr>
        <w:t>.</w:t>
      </w:r>
    </w:p>
    <w:p w14:paraId="6A895D76" w14:textId="48C9E8CF" w:rsidR="00DC792C" w:rsidRDefault="00EA37D5" w:rsidP="00D14D12">
      <w:pPr>
        <w:pBdr>
          <w:top w:val="nil"/>
          <w:left w:val="nil"/>
          <w:bottom w:val="nil"/>
          <w:right w:val="nil"/>
          <w:between w:val="nil"/>
        </w:pBdr>
        <w:spacing w:after="0"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      </w:t>
      </w:r>
      <w:r w:rsidR="007F4225">
        <w:rPr>
          <w:rFonts w:ascii="Arial" w:eastAsia="Arial" w:hAnsi="Arial" w:cs="Arial"/>
          <w:color w:val="000000"/>
          <w:sz w:val="22"/>
          <w:szCs w:val="22"/>
        </w:rPr>
        <w:t xml:space="preserve">Poverty is a significant public health and social concern for adults with disabilities in the UK, with 31% living in poverty compared to 22% of the general </w:t>
      </w:r>
      <w:r>
        <w:rPr>
          <w:rFonts w:ascii="Arial" w:eastAsia="Arial" w:hAnsi="Arial" w:cs="Arial"/>
          <w:color w:val="000000"/>
          <w:sz w:val="22"/>
          <w:szCs w:val="22"/>
        </w:rPr>
        <w:t>population (</w:t>
      </w:r>
      <w:r>
        <w:rPr>
          <w:rFonts w:ascii="Arial" w:eastAsia="Arial" w:hAnsi="Arial" w:cs="Arial"/>
          <w:color w:val="000000"/>
          <w:sz w:val="22"/>
          <w:szCs w:val="22"/>
        </w:rPr>
        <w:t>Kirklees Council, 2018)</w:t>
      </w:r>
      <w:r w:rsidR="007F4225">
        <w:rPr>
          <w:rFonts w:ascii="Arial" w:eastAsia="Arial" w:hAnsi="Arial" w:cs="Arial"/>
          <w:color w:val="000000"/>
          <w:sz w:val="22"/>
          <w:szCs w:val="22"/>
        </w:rPr>
        <w:t xml:space="preserve">. Contributing factors include lower employment rates, reduced earnings, higher living costs, and barriers to accessing services, which </w:t>
      </w:r>
      <w:r w:rsidR="006E441E">
        <w:rPr>
          <w:rFonts w:ascii="Arial" w:eastAsia="Arial" w:hAnsi="Arial" w:cs="Arial"/>
          <w:color w:val="000000"/>
          <w:sz w:val="22"/>
          <w:szCs w:val="22"/>
        </w:rPr>
        <w:t>worsen</w:t>
      </w:r>
      <w:r w:rsidR="007F4225">
        <w:rPr>
          <w:rFonts w:ascii="Arial" w:eastAsia="Arial" w:hAnsi="Arial" w:cs="Arial"/>
          <w:color w:val="000000"/>
          <w:sz w:val="22"/>
          <w:szCs w:val="22"/>
        </w:rPr>
        <w:t xml:space="preserve"> social exclusion and limit opportunities for education, work, and well-being. Addressing these inequalities requires policies that promote </w:t>
      </w:r>
      <w:r w:rsidR="006E441E">
        <w:rPr>
          <w:rFonts w:ascii="Arial" w:eastAsia="Arial" w:hAnsi="Arial" w:cs="Arial"/>
          <w:color w:val="000000"/>
          <w:sz w:val="22"/>
          <w:szCs w:val="22"/>
        </w:rPr>
        <w:t>fair</w:t>
      </w:r>
      <w:r w:rsidR="007F4225">
        <w:rPr>
          <w:rFonts w:ascii="Arial" w:eastAsia="Arial" w:hAnsi="Arial" w:cs="Arial"/>
          <w:color w:val="000000"/>
          <w:sz w:val="22"/>
          <w:szCs w:val="22"/>
        </w:rPr>
        <w:t xml:space="preserve"> access to employment, adequate social security support, affordable </w:t>
      </w:r>
      <w:r w:rsidR="007F4225">
        <w:rPr>
          <w:rFonts w:ascii="Arial" w:eastAsia="Arial" w:hAnsi="Arial" w:cs="Arial"/>
          <w:color w:val="000000"/>
          <w:sz w:val="22"/>
          <w:szCs w:val="22"/>
        </w:rPr>
        <w:lastRenderedPageBreak/>
        <w:t>disability-related resources, and inclusive community services that reduce financial and social disparities (Kirklees Council, 2018)</w:t>
      </w:r>
      <w:r>
        <w:rPr>
          <w:rFonts w:ascii="Arial" w:eastAsia="Arial" w:hAnsi="Arial" w:cs="Arial"/>
          <w:color w:val="000000"/>
          <w:sz w:val="22"/>
          <w:szCs w:val="22"/>
        </w:rPr>
        <w:t>.</w:t>
      </w:r>
    </w:p>
    <w:p w14:paraId="0EBF61FE" w14:textId="77777777" w:rsidR="00D14D12" w:rsidRDefault="00D14D12" w:rsidP="00D14D12">
      <w:pPr>
        <w:pBdr>
          <w:top w:val="nil"/>
          <w:left w:val="nil"/>
          <w:bottom w:val="nil"/>
          <w:right w:val="nil"/>
          <w:between w:val="nil"/>
        </w:pBdr>
        <w:spacing w:after="0" w:line="360" w:lineRule="auto"/>
        <w:jc w:val="both"/>
        <w:rPr>
          <w:rFonts w:ascii="Arial" w:eastAsia="Arial" w:hAnsi="Arial" w:cs="Arial"/>
          <w:color w:val="000000"/>
          <w:sz w:val="22"/>
          <w:szCs w:val="22"/>
        </w:rPr>
      </w:pPr>
    </w:p>
    <w:p w14:paraId="32D36F61" w14:textId="77C48B66" w:rsidR="00DC792C" w:rsidRDefault="007F4225" w:rsidP="00D14D12">
      <w:pPr>
        <w:pBdr>
          <w:top w:val="nil"/>
          <w:left w:val="nil"/>
          <w:bottom w:val="nil"/>
          <w:right w:val="nil"/>
          <w:between w:val="nil"/>
        </w:pBdr>
        <w:spacing w:after="0"/>
        <w:rPr>
          <w:color w:val="000000"/>
        </w:rPr>
      </w:pPr>
      <w:r>
        <w:rPr>
          <w:b/>
          <w:bCs/>
          <w:color w:val="000000"/>
        </w:rPr>
        <w:t xml:space="preserve">Housing issues among </w:t>
      </w:r>
      <w:r w:rsidR="00EA37D5">
        <w:rPr>
          <w:rFonts w:ascii="Arial" w:eastAsia="Arial" w:hAnsi="Arial" w:cs="Arial"/>
          <w:b/>
          <w:bCs/>
          <w:color w:val="000000"/>
          <w:sz w:val="22"/>
          <w:szCs w:val="22"/>
        </w:rPr>
        <w:t>a</w:t>
      </w:r>
      <w:r>
        <w:rPr>
          <w:rFonts w:ascii="Arial" w:eastAsia="Arial" w:hAnsi="Arial" w:cs="Arial"/>
          <w:b/>
          <w:bCs/>
          <w:color w:val="000000"/>
          <w:sz w:val="22"/>
          <w:szCs w:val="22"/>
        </w:rPr>
        <w:t xml:space="preserve">dults with </w:t>
      </w:r>
      <w:r w:rsidR="00EA37D5">
        <w:rPr>
          <w:rFonts w:ascii="Arial" w:eastAsia="Arial" w:hAnsi="Arial" w:cs="Arial"/>
          <w:b/>
          <w:bCs/>
          <w:color w:val="000000"/>
          <w:sz w:val="22"/>
          <w:szCs w:val="22"/>
        </w:rPr>
        <w:t>d</w:t>
      </w:r>
      <w:r>
        <w:rPr>
          <w:rFonts w:ascii="Arial" w:eastAsia="Arial" w:hAnsi="Arial" w:cs="Arial"/>
          <w:b/>
          <w:bCs/>
          <w:color w:val="000000"/>
          <w:sz w:val="22"/>
          <w:szCs w:val="22"/>
        </w:rPr>
        <w:t>isabilities in the U</w:t>
      </w:r>
      <w:r w:rsidR="00EA37D5">
        <w:rPr>
          <w:rFonts w:ascii="Arial" w:eastAsia="Arial" w:hAnsi="Arial" w:cs="Arial"/>
          <w:b/>
          <w:bCs/>
          <w:color w:val="000000"/>
          <w:sz w:val="22"/>
          <w:szCs w:val="22"/>
        </w:rPr>
        <w:t>K</w:t>
      </w:r>
      <w:r w:rsidR="00D14D12">
        <w:rPr>
          <w:rFonts w:ascii="Arial" w:eastAsia="Arial" w:hAnsi="Arial" w:cs="Arial"/>
          <w:b/>
          <w:bCs/>
          <w:color w:val="000000"/>
          <w:sz w:val="22"/>
          <w:szCs w:val="22"/>
        </w:rPr>
        <w:t>.</w:t>
      </w:r>
    </w:p>
    <w:p w14:paraId="7464AB36" w14:textId="14DF3F4D" w:rsidR="00DC792C" w:rsidRDefault="00EA37D5" w:rsidP="00D14D12">
      <w:pPr>
        <w:pBdr>
          <w:top w:val="nil"/>
          <w:left w:val="nil"/>
          <w:bottom w:val="nil"/>
          <w:right w:val="nil"/>
          <w:between w:val="nil"/>
        </w:pBdr>
        <w:spacing w:after="0"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      </w:t>
      </w:r>
      <w:r w:rsidR="007F4225">
        <w:rPr>
          <w:rFonts w:ascii="Arial" w:eastAsia="Arial" w:hAnsi="Arial" w:cs="Arial"/>
          <w:color w:val="000000"/>
          <w:sz w:val="22"/>
          <w:szCs w:val="22"/>
        </w:rPr>
        <w:t xml:space="preserve">People with disabilities in the UK face significant barriers to accessing adequate and accessible housing, increasing the risk of </w:t>
      </w:r>
      <w:r>
        <w:rPr>
          <w:rFonts w:ascii="Arial" w:eastAsia="Arial" w:hAnsi="Arial" w:cs="Arial"/>
          <w:color w:val="000000"/>
          <w:sz w:val="22"/>
          <w:szCs w:val="22"/>
        </w:rPr>
        <w:t>homelessness (</w:t>
      </w:r>
      <w:r>
        <w:rPr>
          <w:rFonts w:ascii="Arial" w:eastAsia="Arial" w:hAnsi="Arial" w:cs="Arial"/>
          <w:color w:val="000000"/>
          <w:sz w:val="22"/>
          <w:szCs w:val="22"/>
        </w:rPr>
        <w:t>Scottish Housing News, 2025</w:t>
      </w:r>
      <w:r>
        <w:rPr>
          <w:rFonts w:ascii="Arial" w:eastAsia="Arial" w:hAnsi="Arial" w:cs="Arial"/>
          <w:color w:val="000000"/>
          <w:sz w:val="22"/>
          <w:szCs w:val="22"/>
        </w:rPr>
        <w:t>)</w:t>
      </w:r>
      <w:r w:rsidR="007F4225">
        <w:rPr>
          <w:rFonts w:ascii="Arial" w:eastAsia="Arial" w:hAnsi="Arial" w:cs="Arial"/>
          <w:color w:val="000000"/>
          <w:sz w:val="22"/>
          <w:szCs w:val="22"/>
        </w:rPr>
        <w:t xml:space="preserve">. In 2023/24, 19% of households experiencing homelessness had physical health or disability needs, up from 13% in 2018/19 (Scottish Housing News, 2025). Contributing factors include the shortage of adapted housing, </w:t>
      </w:r>
      <w:r w:rsidR="006E441E">
        <w:rPr>
          <w:rFonts w:ascii="Arial" w:eastAsia="Arial" w:hAnsi="Arial" w:cs="Arial"/>
          <w:color w:val="000000"/>
          <w:sz w:val="22"/>
          <w:szCs w:val="22"/>
        </w:rPr>
        <w:t>excessive costs</w:t>
      </w:r>
      <w:r w:rsidR="007F4225">
        <w:rPr>
          <w:rFonts w:ascii="Arial" w:eastAsia="Arial" w:hAnsi="Arial" w:cs="Arial"/>
          <w:color w:val="000000"/>
          <w:sz w:val="22"/>
          <w:szCs w:val="22"/>
        </w:rPr>
        <w:t xml:space="preserve"> for rent and adaptations, and low prioritisation of disability needs in housing policy. Structural issues, such as the sale or demolition of social housing faster than new accessible units are built, </w:t>
      </w:r>
      <w:r w:rsidR="006E441E">
        <w:rPr>
          <w:rFonts w:ascii="Arial" w:eastAsia="Arial" w:hAnsi="Arial" w:cs="Arial"/>
          <w:color w:val="000000"/>
          <w:sz w:val="22"/>
          <w:szCs w:val="22"/>
        </w:rPr>
        <w:t>worsen</w:t>
      </w:r>
      <w:r w:rsidR="007F4225">
        <w:rPr>
          <w:rFonts w:ascii="Arial" w:eastAsia="Arial" w:hAnsi="Arial" w:cs="Arial"/>
          <w:color w:val="000000"/>
          <w:sz w:val="22"/>
          <w:szCs w:val="22"/>
        </w:rPr>
        <w:t xml:space="preserve"> the problem. To reduce these inequalities, it is essential to increase the construction of accessible and adaptable housing</w:t>
      </w:r>
      <w:r>
        <w:rPr>
          <w:rFonts w:ascii="Arial" w:eastAsia="Arial" w:hAnsi="Arial" w:cs="Arial"/>
          <w:color w:val="000000"/>
          <w:sz w:val="22"/>
          <w:szCs w:val="22"/>
        </w:rPr>
        <w:t xml:space="preserve">, </w:t>
      </w:r>
      <w:r w:rsidR="007F4225">
        <w:rPr>
          <w:rFonts w:ascii="Arial" w:eastAsia="Arial" w:hAnsi="Arial" w:cs="Arial"/>
          <w:color w:val="000000"/>
          <w:sz w:val="22"/>
          <w:szCs w:val="22"/>
        </w:rPr>
        <w:t>implement adaptation programmes for existing homes (ramps, wide doors, accessible bathrooms)</w:t>
      </w:r>
      <w:r>
        <w:rPr>
          <w:rFonts w:ascii="Arial" w:eastAsia="Arial" w:hAnsi="Arial" w:cs="Arial"/>
          <w:color w:val="000000"/>
          <w:sz w:val="22"/>
          <w:szCs w:val="22"/>
        </w:rPr>
        <w:t xml:space="preserve">, </w:t>
      </w:r>
      <w:r w:rsidR="007F4225">
        <w:rPr>
          <w:rFonts w:ascii="Arial" w:eastAsia="Arial" w:hAnsi="Arial" w:cs="Arial"/>
          <w:color w:val="000000"/>
          <w:sz w:val="22"/>
          <w:szCs w:val="22"/>
        </w:rPr>
        <w:t xml:space="preserve">prioritise allocation of social housing to people with disabilities and </w:t>
      </w:r>
      <w:r w:rsidR="006E441E">
        <w:rPr>
          <w:rFonts w:ascii="Arial" w:eastAsia="Arial" w:hAnsi="Arial" w:cs="Arial"/>
          <w:color w:val="000000"/>
          <w:sz w:val="22"/>
          <w:szCs w:val="22"/>
        </w:rPr>
        <w:t>supply</w:t>
      </w:r>
      <w:r w:rsidR="007F4225">
        <w:rPr>
          <w:rFonts w:ascii="Arial" w:eastAsia="Arial" w:hAnsi="Arial" w:cs="Arial"/>
          <w:color w:val="000000"/>
          <w:sz w:val="22"/>
          <w:szCs w:val="22"/>
        </w:rPr>
        <w:t xml:space="preserve"> financial support for adaptations and transport to ensure independence. These measures are key to reducing homelessness risk and promoting </w:t>
      </w:r>
      <w:r w:rsidR="006E441E">
        <w:rPr>
          <w:rFonts w:ascii="Arial" w:eastAsia="Arial" w:hAnsi="Arial" w:cs="Arial"/>
          <w:color w:val="000000"/>
          <w:sz w:val="22"/>
          <w:szCs w:val="22"/>
        </w:rPr>
        <w:t>fair</w:t>
      </w:r>
      <w:r w:rsidR="007F4225">
        <w:rPr>
          <w:rFonts w:ascii="Arial" w:eastAsia="Arial" w:hAnsi="Arial" w:cs="Arial"/>
          <w:color w:val="000000"/>
          <w:sz w:val="22"/>
          <w:szCs w:val="22"/>
        </w:rPr>
        <w:t xml:space="preserve"> access to safe, inclusive housing (Scottish Housing News, 2025).</w:t>
      </w:r>
    </w:p>
    <w:p w14:paraId="550921B0" w14:textId="77777777" w:rsidR="00DC792C" w:rsidRDefault="00DC792C">
      <w:pPr>
        <w:pBdr>
          <w:top w:val="nil"/>
          <w:left w:val="nil"/>
          <w:bottom w:val="nil"/>
          <w:right w:val="nil"/>
          <w:between w:val="nil"/>
        </w:pBdr>
        <w:rPr>
          <w:color w:val="000000"/>
        </w:rPr>
      </w:pPr>
    </w:p>
    <w:p w14:paraId="5A5E4C81" w14:textId="2C5CC3FE" w:rsidR="00DC792C" w:rsidRDefault="007F4225">
      <w:pPr>
        <w:pBdr>
          <w:top w:val="nil"/>
          <w:left w:val="nil"/>
          <w:bottom w:val="nil"/>
          <w:right w:val="nil"/>
          <w:between w:val="nil"/>
        </w:pBdr>
        <w:rPr>
          <w:rFonts w:ascii="Arial" w:eastAsia="Arial" w:hAnsi="Arial" w:cs="Arial"/>
          <w:b/>
          <w:bCs/>
          <w:color w:val="000000"/>
          <w:sz w:val="22"/>
          <w:szCs w:val="22"/>
        </w:rPr>
      </w:pPr>
      <w:r>
        <w:rPr>
          <w:rFonts w:ascii="Arial" w:eastAsia="Arial" w:hAnsi="Arial" w:cs="Arial"/>
          <w:b/>
          <w:bCs/>
          <w:color w:val="000000"/>
          <w:sz w:val="22"/>
          <w:szCs w:val="22"/>
        </w:rPr>
        <w:t xml:space="preserve">National </w:t>
      </w:r>
      <w:r w:rsidR="007770CB">
        <w:rPr>
          <w:rFonts w:ascii="Arial" w:eastAsia="Arial" w:hAnsi="Arial" w:cs="Arial"/>
          <w:b/>
          <w:bCs/>
          <w:color w:val="000000"/>
          <w:sz w:val="22"/>
          <w:szCs w:val="22"/>
        </w:rPr>
        <w:t>r</w:t>
      </w:r>
      <w:r>
        <w:rPr>
          <w:rFonts w:ascii="Arial" w:eastAsia="Arial" w:hAnsi="Arial" w:cs="Arial"/>
          <w:b/>
          <w:bCs/>
          <w:color w:val="000000"/>
          <w:sz w:val="22"/>
          <w:szCs w:val="22"/>
        </w:rPr>
        <w:t xml:space="preserve">esponse to </w:t>
      </w:r>
      <w:r w:rsidR="007770CB">
        <w:rPr>
          <w:rFonts w:ascii="Arial" w:eastAsia="Arial" w:hAnsi="Arial" w:cs="Arial"/>
          <w:b/>
          <w:bCs/>
          <w:color w:val="000000"/>
          <w:sz w:val="22"/>
          <w:szCs w:val="22"/>
        </w:rPr>
        <w:t>r</w:t>
      </w:r>
      <w:r>
        <w:rPr>
          <w:rFonts w:ascii="Arial" w:eastAsia="Arial" w:hAnsi="Arial" w:cs="Arial"/>
          <w:b/>
          <w:bCs/>
          <w:color w:val="000000"/>
          <w:sz w:val="22"/>
          <w:szCs w:val="22"/>
        </w:rPr>
        <w:t xml:space="preserve">educe </w:t>
      </w:r>
      <w:r w:rsidR="007770CB">
        <w:rPr>
          <w:rFonts w:ascii="Arial" w:eastAsia="Arial" w:hAnsi="Arial" w:cs="Arial"/>
          <w:b/>
          <w:bCs/>
          <w:color w:val="000000"/>
          <w:sz w:val="22"/>
          <w:szCs w:val="22"/>
        </w:rPr>
        <w:t>h</w:t>
      </w:r>
      <w:r>
        <w:rPr>
          <w:rFonts w:ascii="Arial" w:eastAsia="Arial" w:hAnsi="Arial" w:cs="Arial"/>
          <w:b/>
          <w:bCs/>
          <w:color w:val="000000"/>
          <w:sz w:val="22"/>
          <w:szCs w:val="22"/>
        </w:rPr>
        <w:t xml:space="preserve">ealth </w:t>
      </w:r>
      <w:r w:rsidR="007770CB">
        <w:rPr>
          <w:rFonts w:ascii="Arial" w:eastAsia="Arial" w:hAnsi="Arial" w:cs="Arial"/>
          <w:b/>
          <w:bCs/>
          <w:color w:val="000000"/>
          <w:sz w:val="22"/>
          <w:szCs w:val="22"/>
        </w:rPr>
        <w:t>i</w:t>
      </w:r>
      <w:r>
        <w:rPr>
          <w:rFonts w:ascii="Arial" w:eastAsia="Arial" w:hAnsi="Arial" w:cs="Arial"/>
          <w:b/>
          <w:bCs/>
          <w:color w:val="000000"/>
          <w:sz w:val="22"/>
          <w:szCs w:val="22"/>
        </w:rPr>
        <w:t xml:space="preserve">nequalities in </w:t>
      </w:r>
      <w:r w:rsidR="007770CB">
        <w:rPr>
          <w:rFonts w:ascii="Arial" w:eastAsia="Arial" w:hAnsi="Arial" w:cs="Arial"/>
          <w:b/>
          <w:bCs/>
          <w:color w:val="000000"/>
          <w:sz w:val="22"/>
          <w:szCs w:val="22"/>
        </w:rPr>
        <w:t>a</w:t>
      </w:r>
      <w:r>
        <w:rPr>
          <w:rFonts w:ascii="Arial" w:eastAsia="Arial" w:hAnsi="Arial" w:cs="Arial"/>
          <w:b/>
          <w:bCs/>
          <w:color w:val="000000"/>
          <w:sz w:val="22"/>
          <w:szCs w:val="22"/>
        </w:rPr>
        <w:t xml:space="preserve">dults </w:t>
      </w:r>
      <w:r w:rsidR="00D976C4">
        <w:rPr>
          <w:rFonts w:ascii="Arial" w:eastAsia="Arial" w:hAnsi="Arial" w:cs="Arial"/>
          <w:b/>
          <w:bCs/>
          <w:color w:val="000000"/>
          <w:sz w:val="22"/>
          <w:szCs w:val="22"/>
        </w:rPr>
        <w:t>with disabilities</w:t>
      </w:r>
      <w:r>
        <w:rPr>
          <w:rFonts w:ascii="Arial" w:eastAsia="Arial" w:hAnsi="Arial" w:cs="Arial"/>
          <w:b/>
          <w:bCs/>
          <w:color w:val="000000"/>
          <w:sz w:val="22"/>
          <w:szCs w:val="22"/>
        </w:rPr>
        <w:t xml:space="preserve"> in the </w:t>
      </w:r>
      <w:r w:rsidR="00D14D12">
        <w:rPr>
          <w:rFonts w:ascii="Arial" w:eastAsia="Arial" w:hAnsi="Arial" w:cs="Arial"/>
          <w:b/>
          <w:bCs/>
          <w:color w:val="000000"/>
          <w:sz w:val="22"/>
          <w:szCs w:val="22"/>
        </w:rPr>
        <w:t>UK.</w:t>
      </w:r>
    </w:p>
    <w:p w14:paraId="15F569EF" w14:textId="3DD66D29" w:rsidR="00EA37D5" w:rsidRDefault="00EA37D5">
      <w:pPr>
        <w:pBdr>
          <w:top w:val="nil"/>
          <w:left w:val="nil"/>
          <w:bottom w:val="nil"/>
          <w:right w:val="nil"/>
          <w:between w:val="nil"/>
        </w:pBdr>
        <w:spacing w:after="0"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     </w:t>
      </w:r>
      <w:r w:rsidR="007F4225">
        <w:rPr>
          <w:rFonts w:ascii="Arial" w:eastAsia="Arial" w:hAnsi="Arial" w:cs="Arial"/>
          <w:color w:val="000000"/>
          <w:sz w:val="22"/>
          <w:szCs w:val="22"/>
        </w:rPr>
        <w:t>The UK has implemented a range of national measures to reduce health inequalities and address the significant social injustices experienced by adults with disabilities</w:t>
      </w:r>
      <w:r>
        <w:rPr>
          <w:rFonts w:ascii="Arial" w:eastAsia="Arial" w:hAnsi="Arial" w:cs="Arial"/>
          <w:color w:val="000000"/>
          <w:sz w:val="22"/>
          <w:szCs w:val="22"/>
        </w:rPr>
        <w:t xml:space="preserve"> </w:t>
      </w:r>
      <w:r>
        <w:rPr>
          <w:rFonts w:ascii="Arial" w:eastAsia="Arial" w:hAnsi="Arial" w:cs="Arial"/>
          <w:color w:val="000000"/>
          <w:sz w:val="22"/>
          <w:szCs w:val="22"/>
        </w:rPr>
        <w:t xml:space="preserve">(Banks </w:t>
      </w:r>
      <w:r>
        <w:rPr>
          <w:rFonts w:ascii="Arial" w:eastAsia="Arial" w:hAnsi="Arial" w:cs="Arial"/>
          <w:i/>
          <w:iCs/>
          <w:color w:val="000000"/>
          <w:sz w:val="22"/>
          <w:szCs w:val="22"/>
        </w:rPr>
        <w:t>et al.</w:t>
      </w:r>
      <w:r>
        <w:rPr>
          <w:rFonts w:ascii="Arial" w:eastAsia="Arial" w:hAnsi="Arial" w:cs="Arial"/>
          <w:color w:val="000000"/>
          <w:sz w:val="22"/>
          <w:szCs w:val="22"/>
        </w:rPr>
        <w:t>, 2022</w:t>
      </w:r>
      <w:r w:rsidR="00F40A78">
        <w:rPr>
          <w:rFonts w:ascii="Arial" w:eastAsia="Arial" w:hAnsi="Arial" w:cs="Arial"/>
          <w:color w:val="000000"/>
          <w:sz w:val="22"/>
          <w:szCs w:val="22"/>
        </w:rPr>
        <w:t>)</w:t>
      </w:r>
      <w:r w:rsidR="007F4225">
        <w:rPr>
          <w:rFonts w:ascii="Arial" w:eastAsia="Arial" w:hAnsi="Arial" w:cs="Arial"/>
          <w:color w:val="000000"/>
          <w:sz w:val="22"/>
          <w:szCs w:val="22"/>
        </w:rPr>
        <w:t>. These actions, which are shaped by the NHS Long Term Plan</w:t>
      </w:r>
      <w:r>
        <w:rPr>
          <w:rFonts w:ascii="Arial" w:eastAsia="Arial" w:hAnsi="Arial" w:cs="Arial"/>
          <w:color w:val="000000"/>
          <w:sz w:val="22"/>
          <w:szCs w:val="22"/>
        </w:rPr>
        <w:t xml:space="preserve"> (The 10 Year Health Plan)</w:t>
      </w:r>
      <w:r w:rsidR="007F4225">
        <w:rPr>
          <w:rFonts w:ascii="Arial" w:eastAsia="Arial" w:hAnsi="Arial" w:cs="Arial"/>
          <w:color w:val="000000"/>
          <w:sz w:val="22"/>
          <w:szCs w:val="22"/>
        </w:rPr>
        <w:t xml:space="preserve"> and supported by key legislation such as the Equality Act 2010, work together to improve access to healthcare, strengthen community-based provision, and promote equal treatment across services. The following examples illustrate how national policy is being used to reduce disparities in health </w:t>
      </w:r>
      <w:r>
        <w:rPr>
          <w:rFonts w:ascii="Arial" w:eastAsia="Arial" w:hAnsi="Arial" w:cs="Arial"/>
          <w:color w:val="000000"/>
          <w:sz w:val="22"/>
          <w:szCs w:val="22"/>
        </w:rPr>
        <w:t>outcomes (</w:t>
      </w:r>
      <w:r>
        <w:rPr>
          <w:rFonts w:ascii="Arial" w:eastAsia="Arial" w:hAnsi="Arial" w:cs="Arial"/>
          <w:color w:val="000000"/>
          <w:sz w:val="22"/>
          <w:szCs w:val="22"/>
        </w:rPr>
        <w:t xml:space="preserve">Banks </w:t>
      </w:r>
      <w:r>
        <w:rPr>
          <w:rFonts w:ascii="Arial" w:eastAsia="Arial" w:hAnsi="Arial" w:cs="Arial"/>
          <w:i/>
          <w:iCs/>
          <w:color w:val="000000"/>
          <w:sz w:val="22"/>
          <w:szCs w:val="22"/>
        </w:rPr>
        <w:t>et al.</w:t>
      </w:r>
      <w:r>
        <w:rPr>
          <w:rFonts w:ascii="Arial" w:eastAsia="Arial" w:hAnsi="Arial" w:cs="Arial"/>
          <w:color w:val="000000"/>
          <w:sz w:val="22"/>
          <w:szCs w:val="22"/>
        </w:rPr>
        <w:t>, 2022</w:t>
      </w:r>
      <w:r>
        <w:rPr>
          <w:rFonts w:ascii="Arial" w:eastAsia="Arial" w:hAnsi="Arial" w:cs="Arial"/>
          <w:color w:val="000000"/>
          <w:sz w:val="22"/>
          <w:szCs w:val="22"/>
        </w:rPr>
        <w:t>)</w:t>
      </w:r>
      <w:r w:rsidR="007F4225">
        <w:rPr>
          <w:rFonts w:ascii="Arial" w:eastAsia="Arial" w:hAnsi="Arial" w:cs="Arial"/>
          <w:color w:val="000000"/>
          <w:sz w:val="22"/>
          <w:szCs w:val="22"/>
        </w:rPr>
        <w:t>.</w:t>
      </w:r>
      <w:r>
        <w:rPr>
          <w:rFonts w:ascii="Arial" w:eastAsia="Arial" w:hAnsi="Arial" w:cs="Arial"/>
          <w:color w:val="000000"/>
          <w:sz w:val="22"/>
          <w:szCs w:val="22"/>
        </w:rPr>
        <w:t xml:space="preserve"> </w:t>
      </w:r>
    </w:p>
    <w:p w14:paraId="057B6E6B" w14:textId="100EF79E" w:rsidR="00DC792C" w:rsidRPr="00EA37D5" w:rsidRDefault="00EA37D5">
      <w:pPr>
        <w:pBdr>
          <w:top w:val="nil"/>
          <w:left w:val="nil"/>
          <w:bottom w:val="nil"/>
          <w:right w:val="nil"/>
          <w:between w:val="nil"/>
        </w:pBdr>
        <w:spacing w:after="0"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    </w:t>
      </w:r>
      <w:r w:rsidR="007F4225">
        <w:rPr>
          <w:rFonts w:ascii="Arial" w:eastAsia="Arial" w:hAnsi="Arial" w:cs="Arial"/>
          <w:color w:val="000000"/>
          <w:sz w:val="22"/>
          <w:szCs w:val="22"/>
        </w:rPr>
        <w:t>Firstly, the NHS has prioritised the delivery of annual health checks for adults with disabilities</w:t>
      </w:r>
      <w:r w:rsidR="00216E04">
        <w:rPr>
          <w:rFonts w:ascii="Arial" w:eastAsia="Arial" w:hAnsi="Arial" w:cs="Arial"/>
          <w:color w:val="000000"/>
          <w:sz w:val="22"/>
          <w:szCs w:val="22"/>
        </w:rPr>
        <w:t xml:space="preserve"> </w:t>
      </w:r>
      <w:r w:rsidR="00216E04">
        <w:rPr>
          <w:rFonts w:ascii="Arial" w:eastAsia="Arial" w:hAnsi="Arial" w:cs="Arial"/>
          <w:color w:val="000000"/>
          <w:sz w:val="22"/>
          <w:szCs w:val="22"/>
        </w:rPr>
        <w:t xml:space="preserve">(Banks </w:t>
      </w:r>
      <w:r w:rsidR="00216E04">
        <w:rPr>
          <w:rFonts w:ascii="Arial" w:eastAsia="Arial" w:hAnsi="Arial" w:cs="Arial"/>
          <w:i/>
          <w:iCs/>
          <w:color w:val="000000"/>
          <w:sz w:val="22"/>
          <w:szCs w:val="22"/>
        </w:rPr>
        <w:t>et al.</w:t>
      </w:r>
      <w:r w:rsidR="00216E04">
        <w:rPr>
          <w:rFonts w:ascii="Arial" w:eastAsia="Arial" w:hAnsi="Arial" w:cs="Arial"/>
          <w:color w:val="000000"/>
          <w:sz w:val="22"/>
          <w:szCs w:val="22"/>
        </w:rPr>
        <w:t>, 2022)</w:t>
      </w:r>
      <w:r w:rsidR="007F4225">
        <w:rPr>
          <w:rFonts w:ascii="Arial" w:eastAsia="Arial" w:hAnsi="Arial" w:cs="Arial"/>
          <w:color w:val="000000"/>
          <w:sz w:val="22"/>
          <w:szCs w:val="22"/>
        </w:rPr>
        <w:t xml:space="preserve">. These checks play a crucial role in </w:t>
      </w:r>
      <w:r w:rsidR="006E441E">
        <w:rPr>
          <w:rFonts w:ascii="Arial" w:eastAsia="Arial" w:hAnsi="Arial" w:cs="Arial"/>
          <w:color w:val="000000"/>
          <w:sz w:val="22"/>
          <w:szCs w:val="22"/>
        </w:rPr>
        <w:t>showing</w:t>
      </w:r>
      <w:r w:rsidR="007F4225">
        <w:rPr>
          <w:rFonts w:ascii="Arial" w:eastAsia="Arial" w:hAnsi="Arial" w:cs="Arial"/>
          <w:color w:val="000000"/>
          <w:sz w:val="22"/>
          <w:szCs w:val="22"/>
        </w:rPr>
        <w:t xml:space="preserve"> unmet health needs at an early stage, thereby preventing avoidable illness and premature mortality. The NHS aims for at least 75% of people aged over 14 on disability or learning disability registers to receive a yearly health check, and a pilot programme for autistic adults has also been introduced. By expanding access to preventative care, this initiative directly tackles long-standing inequalities in healthcare access and supports individuals in receiving </w:t>
      </w:r>
      <w:r w:rsidR="006E441E">
        <w:rPr>
          <w:rFonts w:ascii="Arial" w:eastAsia="Arial" w:hAnsi="Arial" w:cs="Arial"/>
          <w:color w:val="000000"/>
          <w:sz w:val="22"/>
          <w:szCs w:val="22"/>
        </w:rPr>
        <w:t>prompt</w:t>
      </w:r>
      <w:r w:rsidR="007F4225">
        <w:rPr>
          <w:rFonts w:ascii="Arial" w:eastAsia="Arial" w:hAnsi="Arial" w:cs="Arial"/>
          <w:color w:val="000000"/>
          <w:sz w:val="22"/>
          <w:szCs w:val="22"/>
        </w:rPr>
        <w:t xml:space="preserve"> and </w:t>
      </w:r>
      <w:r w:rsidR="006E441E">
        <w:rPr>
          <w:rFonts w:ascii="Arial" w:eastAsia="Arial" w:hAnsi="Arial" w:cs="Arial"/>
          <w:color w:val="000000"/>
          <w:sz w:val="22"/>
          <w:szCs w:val="22"/>
        </w:rPr>
        <w:t>proper intervention</w:t>
      </w:r>
      <w:r w:rsidR="007F4225">
        <w:rPr>
          <w:rFonts w:ascii="Times New Roman" w:eastAsia="Times New Roman" w:hAnsi="Times New Roman" w:cs="Times New Roman"/>
          <w:color w:val="000000"/>
        </w:rPr>
        <w:t xml:space="preserve"> </w:t>
      </w:r>
      <w:r w:rsidR="007F4225">
        <w:rPr>
          <w:rFonts w:ascii="Arial" w:eastAsia="Arial" w:hAnsi="Arial" w:cs="Arial"/>
          <w:color w:val="000000"/>
          <w:sz w:val="22"/>
          <w:szCs w:val="22"/>
        </w:rPr>
        <w:t xml:space="preserve">(Banks </w:t>
      </w:r>
      <w:r w:rsidR="007F4225">
        <w:rPr>
          <w:rFonts w:ascii="Arial" w:eastAsia="Arial" w:hAnsi="Arial" w:cs="Arial"/>
          <w:i/>
          <w:iCs/>
          <w:color w:val="000000"/>
          <w:sz w:val="22"/>
          <w:szCs w:val="22"/>
        </w:rPr>
        <w:t>et al.</w:t>
      </w:r>
      <w:r w:rsidR="007F4225">
        <w:rPr>
          <w:rFonts w:ascii="Arial" w:eastAsia="Arial" w:hAnsi="Arial" w:cs="Arial"/>
          <w:color w:val="000000"/>
          <w:sz w:val="22"/>
          <w:szCs w:val="22"/>
        </w:rPr>
        <w:t>, 2022).</w:t>
      </w:r>
    </w:p>
    <w:p w14:paraId="6B47A05D" w14:textId="29295889" w:rsidR="00DC792C" w:rsidRDefault="00EA37D5">
      <w:pPr>
        <w:pBdr>
          <w:top w:val="nil"/>
          <w:left w:val="nil"/>
          <w:bottom w:val="nil"/>
          <w:right w:val="nil"/>
          <w:between w:val="nil"/>
        </w:pBdr>
        <w:spacing w:after="0" w:line="360" w:lineRule="auto"/>
        <w:jc w:val="both"/>
        <w:rPr>
          <w:color w:val="000000"/>
        </w:rPr>
      </w:pPr>
      <w:r>
        <w:rPr>
          <w:rFonts w:ascii="Arial" w:eastAsia="Arial" w:hAnsi="Arial" w:cs="Arial"/>
          <w:color w:val="000000"/>
          <w:sz w:val="22"/>
          <w:szCs w:val="22"/>
        </w:rPr>
        <w:t xml:space="preserve">      </w:t>
      </w:r>
      <w:r w:rsidR="007F4225">
        <w:rPr>
          <w:rFonts w:ascii="Arial" w:eastAsia="Arial" w:hAnsi="Arial" w:cs="Arial"/>
          <w:color w:val="000000"/>
          <w:sz w:val="22"/>
          <w:szCs w:val="22"/>
        </w:rPr>
        <w:t xml:space="preserve">Secondly, the UK has invested heavily in improving community-based support to enhance quality of life for adults with </w:t>
      </w:r>
      <w:r w:rsidR="00216E04">
        <w:rPr>
          <w:rFonts w:ascii="Arial" w:eastAsia="Arial" w:hAnsi="Arial" w:cs="Arial"/>
          <w:color w:val="000000"/>
          <w:sz w:val="22"/>
          <w:szCs w:val="22"/>
        </w:rPr>
        <w:t>disabilities (</w:t>
      </w:r>
      <w:r w:rsidR="00216E04">
        <w:rPr>
          <w:rFonts w:ascii="Arial" w:eastAsia="Arial" w:hAnsi="Arial" w:cs="Arial"/>
          <w:color w:val="000000"/>
          <w:sz w:val="22"/>
          <w:szCs w:val="22"/>
        </w:rPr>
        <w:t xml:space="preserve">Banks </w:t>
      </w:r>
      <w:r w:rsidR="00216E04">
        <w:rPr>
          <w:rFonts w:ascii="Arial" w:eastAsia="Arial" w:hAnsi="Arial" w:cs="Arial"/>
          <w:i/>
          <w:iCs/>
          <w:color w:val="000000"/>
          <w:sz w:val="22"/>
          <w:szCs w:val="22"/>
        </w:rPr>
        <w:t>et al.</w:t>
      </w:r>
      <w:r w:rsidR="00216E04">
        <w:rPr>
          <w:rFonts w:ascii="Arial" w:eastAsia="Arial" w:hAnsi="Arial" w:cs="Arial"/>
          <w:color w:val="000000"/>
          <w:sz w:val="22"/>
          <w:szCs w:val="22"/>
        </w:rPr>
        <w:t>, 2022)</w:t>
      </w:r>
      <w:r w:rsidR="007F4225">
        <w:rPr>
          <w:rFonts w:ascii="Arial" w:eastAsia="Arial" w:hAnsi="Arial" w:cs="Arial"/>
          <w:color w:val="000000"/>
          <w:sz w:val="22"/>
          <w:szCs w:val="22"/>
        </w:rPr>
        <w:t xml:space="preserve">. Through initiatives such as Care, </w:t>
      </w:r>
      <w:r w:rsidR="007F4225">
        <w:rPr>
          <w:rFonts w:ascii="Arial" w:eastAsia="Arial" w:hAnsi="Arial" w:cs="Arial"/>
          <w:color w:val="000000"/>
          <w:sz w:val="22"/>
          <w:szCs w:val="22"/>
        </w:rPr>
        <w:lastRenderedPageBreak/>
        <w:t xml:space="preserve">Education and Treatment Reviews (CETRs), personalised keyworker roles, specialist crisis teams, and national Improvement Standards, the NHS </w:t>
      </w:r>
      <w:r w:rsidR="006E441E">
        <w:rPr>
          <w:rFonts w:ascii="Arial" w:eastAsia="Arial" w:hAnsi="Arial" w:cs="Arial"/>
          <w:color w:val="000000"/>
          <w:sz w:val="22"/>
          <w:szCs w:val="22"/>
        </w:rPr>
        <w:t>looks</w:t>
      </w:r>
      <w:r w:rsidR="007F4225">
        <w:rPr>
          <w:rFonts w:ascii="Arial" w:eastAsia="Arial" w:hAnsi="Arial" w:cs="Arial"/>
          <w:color w:val="000000"/>
          <w:sz w:val="22"/>
          <w:szCs w:val="22"/>
        </w:rPr>
        <w:t xml:space="preserve"> to reduce unnecessary hospital admissions and ensure that people can receive coordinated, person-centred support closer to home. These measures not only promote continuity of care but also address social inequalities by supporting independence, reducing isolation, and improving access to essential services</w:t>
      </w:r>
      <w:r w:rsidR="007F4225">
        <w:rPr>
          <w:rFonts w:ascii="Times New Roman" w:eastAsia="Times New Roman" w:hAnsi="Times New Roman" w:cs="Times New Roman"/>
          <w:color w:val="000000"/>
        </w:rPr>
        <w:t xml:space="preserve"> </w:t>
      </w:r>
      <w:r w:rsidR="007F4225">
        <w:rPr>
          <w:rFonts w:ascii="Arial" w:eastAsia="Arial" w:hAnsi="Arial" w:cs="Arial"/>
          <w:color w:val="000000"/>
          <w:sz w:val="22"/>
          <w:szCs w:val="22"/>
        </w:rPr>
        <w:t xml:space="preserve">(Banks </w:t>
      </w:r>
      <w:r w:rsidR="007F4225">
        <w:rPr>
          <w:rFonts w:ascii="Arial" w:eastAsia="Arial" w:hAnsi="Arial" w:cs="Arial"/>
          <w:i/>
          <w:iCs/>
          <w:color w:val="000000"/>
          <w:sz w:val="22"/>
          <w:szCs w:val="22"/>
        </w:rPr>
        <w:t>et al.</w:t>
      </w:r>
      <w:r w:rsidR="007F4225">
        <w:rPr>
          <w:rFonts w:ascii="Arial" w:eastAsia="Arial" w:hAnsi="Arial" w:cs="Arial"/>
          <w:color w:val="000000"/>
          <w:sz w:val="22"/>
          <w:szCs w:val="22"/>
        </w:rPr>
        <w:t>, 2022).</w:t>
      </w:r>
    </w:p>
    <w:p w14:paraId="35DFF10B" w14:textId="4EBA724E" w:rsidR="00DC792C" w:rsidRDefault="00EA37D5">
      <w:pPr>
        <w:pBdr>
          <w:top w:val="nil"/>
          <w:left w:val="nil"/>
          <w:bottom w:val="nil"/>
          <w:right w:val="nil"/>
          <w:between w:val="nil"/>
        </w:pBdr>
        <w:spacing w:after="0"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       </w:t>
      </w:r>
      <w:r w:rsidR="007F4225">
        <w:rPr>
          <w:rFonts w:ascii="Arial" w:eastAsia="Arial" w:hAnsi="Arial" w:cs="Arial"/>
          <w:color w:val="000000"/>
          <w:sz w:val="22"/>
          <w:szCs w:val="22"/>
        </w:rPr>
        <w:t xml:space="preserve">Finally, the Equality Act 2010 </w:t>
      </w:r>
      <w:r w:rsidR="006E441E">
        <w:rPr>
          <w:rFonts w:ascii="Arial" w:eastAsia="Arial" w:hAnsi="Arial" w:cs="Arial"/>
          <w:color w:val="000000"/>
          <w:sz w:val="22"/>
          <w:szCs w:val="22"/>
        </w:rPr>
        <w:t>supplies</w:t>
      </w:r>
      <w:r w:rsidR="007F4225">
        <w:rPr>
          <w:rFonts w:ascii="Arial" w:eastAsia="Arial" w:hAnsi="Arial" w:cs="Arial"/>
          <w:color w:val="000000"/>
          <w:sz w:val="22"/>
          <w:szCs w:val="22"/>
        </w:rPr>
        <w:t xml:space="preserve"> a strong legal foundation for reducing discrimination and promoting equal opportunities for disabled adults across the UK</w:t>
      </w:r>
      <w:r>
        <w:rPr>
          <w:rFonts w:ascii="Arial" w:eastAsia="Arial" w:hAnsi="Arial" w:cs="Arial"/>
          <w:color w:val="000000"/>
          <w:sz w:val="22"/>
          <w:szCs w:val="22"/>
        </w:rPr>
        <w:t xml:space="preserve"> </w:t>
      </w:r>
      <w:r>
        <w:rPr>
          <w:rFonts w:ascii="Arial" w:eastAsia="Arial" w:hAnsi="Arial" w:cs="Arial"/>
          <w:color w:val="000000"/>
          <w:sz w:val="22"/>
          <w:szCs w:val="22"/>
        </w:rPr>
        <w:t>(Disability Rights UK, 2025)</w:t>
      </w:r>
      <w:r w:rsidR="007F4225">
        <w:rPr>
          <w:rFonts w:ascii="Arial" w:eastAsia="Arial" w:hAnsi="Arial" w:cs="Arial"/>
          <w:color w:val="000000"/>
          <w:sz w:val="22"/>
          <w:szCs w:val="22"/>
        </w:rPr>
        <w:t xml:space="preserve">. Under this legislation, employers, public bodies, educational institutions, and service providers </w:t>
      </w:r>
      <w:r w:rsidR="006E441E">
        <w:rPr>
          <w:rFonts w:ascii="Arial" w:eastAsia="Arial" w:hAnsi="Arial" w:cs="Arial"/>
          <w:color w:val="000000"/>
          <w:sz w:val="22"/>
          <w:szCs w:val="22"/>
        </w:rPr>
        <w:t>must</w:t>
      </w:r>
      <w:r w:rsidR="007F4225">
        <w:rPr>
          <w:rFonts w:ascii="Arial" w:eastAsia="Arial" w:hAnsi="Arial" w:cs="Arial"/>
          <w:color w:val="000000"/>
          <w:sz w:val="22"/>
          <w:szCs w:val="22"/>
        </w:rPr>
        <w:t xml:space="preserve"> make reasonable adjustments such as accessible buildings, adapted facilities, flexible working arrangements, or accessible communication formats to ensure full participation. In addition, the Act protects individuals from direct and indirect discrimination, harassment, and victimisation. As a result, the Equality Act plays a fundamental role in creating fairer conditions, reducing barriers to participation, and ultimately improving the social and health outcomes of adults with disabilities (Disability Rights UK, 2025). Together, these national responses </w:t>
      </w:r>
      <w:r w:rsidR="006E441E">
        <w:rPr>
          <w:rFonts w:ascii="Arial" w:eastAsia="Arial" w:hAnsi="Arial" w:cs="Arial"/>
          <w:color w:val="000000"/>
          <w:sz w:val="22"/>
          <w:szCs w:val="22"/>
        </w:rPr>
        <w:t>prove</w:t>
      </w:r>
      <w:r w:rsidR="007F4225">
        <w:rPr>
          <w:rFonts w:ascii="Arial" w:eastAsia="Arial" w:hAnsi="Arial" w:cs="Arial"/>
          <w:color w:val="000000"/>
          <w:sz w:val="22"/>
          <w:szCs w:val="22"/>
        </w:rPr>
        <w:t xml:space="preserve"> the UK’s commitment to addressing health inequalities, promoting accessibility, and ensuring that disabled adults receive </w:t>
      </w:r>
      <w:r w:rsidR="006E441E">
        <w:rPr>
          <w:rFonts w:ascii="Arial" w:eastAsia="Arial" w:hAnsi="Arial" w:cs="Arial"/>
          <w:color w:val="000000"/>
          <w:sz w:val="22"/>
          <w:szCs w:val="22"/>
        </w:rPr>
        <w:t>fair</w:t>
      </w:r>
      <w:r w:rsidR="007F4225">
        <w:rPr>
          <w:rFonts w:ascii="Arial" w:eastAsia="Arial" w:hAnsi="Arial" w:cs="Arial"/>
          <w:color w:val="000000"/>
          <w:sz w:val="22"/>
          <w:szCs w:val="22"/>
        </w:rPr>
        <w:t xml:space="preserve"> support across healthcare, community services, and wider society.</w:t>
      </w:r>
    </w:p>
    <w:p w14:paraId="05BECE6B" w14:textId="49E2E10A" w:rsidR="00DC792C" w:rsidRPr="00D14D12" w:rsidRDefault="007F4225">
      <w:pPr>
        <w:pBdr>
          <w:top w:val="nil"/>
          <w:left w:val="nil"/>
          <w:bottom w:val="nil"/>
          <w:right w:val="nil"/>
          <w:between w:val="nil"/>
        </w:pBdr>
        <w:rPr>
          <w:rFonts w:ascii="Arial" w:eastAsia="Arial" w:hAnsi="Arial" w:cs="Arial"/>
          <w:b/>
          <w:bCs/>
          <w:color w:val="000000"/>
          <w:sz w:val="22"/>
          <w:szCs w:val="22"/>
        </w:rPr>
      </w:pPr>
      <w:r>
        <w:br w:type="page"/>
      </w:r>
    </w:p>
    <w:p w14:paraId="0401A3BC" w14:textId="77777777" w:rsidR="00DC792C" w:rsidRDefault="007F4225">
      <w:pPr>
        <w:pBdr>
          <w:top w:val="nil"/>
          <w:left w:val="nil"/>
          <w:bottom w:val="nil"/>
          <w:right w:val="nil"/>
          <w:between w:val="nil"/>
        </w:pBdr>
        <w:rPr>
          <w:rFonts w:ascii="Arial" w:eastAsia="Arial" w:hAnsi="Arial" w:cs="Arial"/>
          <w:b/>
          <w:bCs/>
          <w:color w:val="000000"/>
          <w:sz w:val="22"/>
          <w:szCs w:val="22"/>
        </w:rPr>
      </w:pPr>
      <w:r>
        <w:rPr>
          <w:rFonts w:ascii="Arial" w:eastAsia="Arial" w:hAnsi="Arial" w:cs="Arial"/>
          <w:b/>
          <w:bCs/>
          <w:color w:val="000000"/>
          <w:sz w:val="22"/>
          <w:szCs w:val="22"/>
        </w:rPr>
        <w:lastRenderedPageBreak/>
        <w:t>Organisations that support the adults with disabilities in the UK</w:t>
      </w:r>
    </w:p>
    <w:p w14:paraId="4DF31400" w14:textId="41F68B40" w:rsidR="00DC792C" w:rsidRDefault="00EA37D5">
      <w:pPr>
        <w:pBdr>
          <w:top w:val="nil"/>
          <w:left w:val="nil"/>
          <w:bottom w:val="nil"/>
          <w:right w:val="nil"/>
          <w:between w:val="nil"/>
        </w:pBdr>
        <w:spacing w:after="0"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      </w:t>
      </w:r>
      <w:r w:rsidR="007F4225">
        <w:rPr>
          <w:rFonts w:ascii="Arial" w:eastAsia="Arial" w:hAnsi="Arial" w:cs="Arial"/>
          <w:color w:val="000000"/>
          <w:sz w:val="22"/>
          <w:szCs w:val="22"/>
        </w:rPr>
        <w:t xml:space="preserve">Several national organisations play </w:t>
      </w:r>
      <w:r w:rsidR="006E441E">
        <w:rPr>
          <w:rFonts w:ascii="Arial" w:eastAsia="Arial" w:hAnsi="Arial" w:cs="Arial"/>
          <w:color w:val="000000"/>
          <w:sz w:val="22"/>
          <w:szCs w:val="22"/>
        </w:rPr>
        <w:t>a vital role</w:t>
      </w:r>
      <w:r w:rsidR="007F4225">
        <w:rPr>
          <w:rFonts w:ascii="Arial" w:eastAsia="Arial" w:hAnsi="Arial" w:cs="Arial"/>
          <w:color w:val="000000"/>
          <w:sz w:val="22"/>
          <w:szCs w:val="22"/>
        </w:rPr>
        <w:t xml:space="preserve"> in addressing the social injustices and health inequalities experienced by adults with disabilities in the </w:t>
      </w:r>
      <w:r w:rsidR="007770CB">
        <w:rPr>
          <w:rFonts w:ascii="Arial" w:eastAsia="Arial" w:hAnsi="Arial" w:cs="Arial"/>
          <w:color w:val="000000"/>
          <w:sz w:val="22"/>
          <w:szCs w:val="22"/>
        </w:rPr>
        <w:t>UK (</w:t>
      </w:r>
      <w:r w:rsidR="007770CB">
        <w:rPr>
          <w:rFonts w:ascii="Arial" w:eastAsia="Arial" w:hAnsi="Arial" w:cs="Arial"/>
          <w:color w:val="000000"/>
          <w:sz w:val="22"/>
          <w:szCs w:val="22"/>
        </w:rPr>
        <w:t>Ability Net, 2025</w:t>
      </w:r>
      <w:r w:rsidR="007F4225">
        <w:rPr>
          <w:rFonts w:ascii="Arial" w:eastAsia="Arial" w:hAnsi="Arial" w:cs="Arial"/>
          <w:color w:val="000000"/>
          <w:sz w:val="22"/>
          <w:szCs w:val="22"/>
        </w:rPr>
        <w:t xml:space="preserve">. Among these, AbilityNet and the Equality Advisory and Support Service (EASS) </w:t>
      </w:r>
      <w:r w:rsidR="006E441E">
        <w:rPr>
          <w:rFonts w:ascii="Arial" w:eastAsia="Arial" w:hAnsi="Arial" w:cs="Arial"/>
          <w:color w:val="000000"/>
          <w:sz w:val="22"/>
          <w:szCs w:val="22"/>
        </w:rPr>
        <w:t>supply</w:t>
      </w:r>
      <w:r w:rsidR="007F4225">
        <w:rPr>
          <w:rFonts w:ascii="Arial" w:eastAsia="Arial" w:hAnsi="Arial" w:cs="Arial"/>
          <w:color w:val="000000"/>
          <w:sz w:val="22"/>
          <w:szCs w:val="22"/>
        </w:rPr>
        <w:t xml:space="preserve"> essential support that promotes inclusion, protects rights, and improves overall </w:t>
      </w:r>
      <w:r w:rsidR="007770CB">
        <w:rPr>
          <w:rFonts w:ascii="Arial" w:eastAsia="Arial" w:hAnsi="Arial" w:cs="Arial"/>
          <w:color w:val="000000"/>
          <w:sz w:val="22"/>
          <w:szCs w:val="22"/>
        </w:rPr>
        <w:t>wellbeing (</w:t>
      </w:r>
      <w:r w:rsidR="007770CB">
        <w:rPr>
          <w:rFonts w:ascii="Arial" w:eastAsia="Arial" w:hAnsi="Arial" w:cs="Arial"/>
          <w:color w:val="000000"/>
          <w:sz w:val="22"/>
          <w:szCs w:val="22"/>
        </w:rPr>
        <w:t>Ability Net, 2025</w:t>
      </w:r>
      <w:r w:rsidR="007F4225">
        <w:rPr>
          <w:rFonts w:ascii="Arial" w:eastAsia="Arial" w:hAnsi="Arial" w:cs="Arial"/>
          <w:color w:val="000000"/>
          <w:sz w:val="22"/>
          <w:szCs w:val="22"/>
        </w:rPr>
        <w:t>.</w:t>
      </w:r>
    </w:p>
    <w:p w14:paraId="01532064" w14:textId="27FE81D6" w:rsidR="00DC792C" w:rsidRDefault="007770CB">
      <w:pPr>
        <w:pBdr>
          <w:top w:val="nil"/>
          <w:left w:val="nil"/>
          <w:bottom w:val="nil"/>
          <w:right w:val="nil"/>
          <w:between w:val="nil"/>
        </w:pBdr>
        <w:spacing w:after="0"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     </w:t>
      </w:r>
      <w:r w:rsidR="007F4225">
        <w:rPr>
          <w:rFonts w:ascii="Arial" w:eastAsia="Arial" w:hAnsi="Arial" w:cs="Arial"/>
          <w:color w:val="000000"/>
          <w:sz w:val="22"/>
          <w:szCs w:val="22"/>
        </w:rPr>
        <w:t>AbilityNet raises awareness of digital exclusion, a major contributor to social isolation and reduced independence among disabled adults</w:t>
      </w:r>
      <w:r w:rsidR="00F40A78">
        <w:rPr>
          <w:rFonts w:ascii="Arial" w:eastAsia="Arial" w:hAnsi="Arial" w:cs="Arial"/>
          <w:color w:val="000000"/>
          <w:sz w:val="22"/>
          <w:szCs w:val="22"/>
        </w:rPr>
        <w:t xml:space="preserve"> </w:t>
      </w:r>
      <w:r w:rsidR="00F40A78">
        <w:rPr>
          <w:rFonts w:ascii="Arial" w:eastAsia="Arial" w:hAnsi="Arial" w:cs="Arial"/>
          <w:color w:val="000000"/>
          <w:sz w:val="22"/>
          <w:szCs w:val="22"/>
        </w:rPr>
        <w:t>(Ability Net, 2025)</w:t>
      </w:r>
      <w:r w:rsidR="007F4225">
        <w:rPr>
          <w:rFonts w:ascii="Arial" w:eastAsia="Arial" w:hAnsi="Arial" w:cs="Arial"/>
          <w:color w:val="000000"/>
          <w:sz w:val="22"/>
          <w:szCs w:val="22"/>
        </w:rPr>
        <w:t xml:space="preserve">. The organisation offers free IT support, home visits from trained volunteers, and a wide range of accessible resources such as the “My Computer My Way” guide. These initiatives highlight the barriers disabled people face when accessing technology, education, employment and online services. By </w:t>
      </w:r>
      <w:r w:rsidR="006E441E">
        <w:rPr>
          <w:rFonts w:ascii="Arial" w:eastAsia="Arial" w:hAnsi="Arial" w:cs="Arial"/>
          <w:color w:val="000000"/>
          <w:sz w:val="22"/>
          <w:szCs w:val="22"/>
        </w:rPr>
        <w:t>supplying</w:t>
      </w:r>
      <w:r w:rsidR="007F4225">
        <w:rPr>
          <w:rFonts w:ascii="Arial" w:eastAsia="Arial" w:hAnsi="Arial" w:cs="Arial"/>
          <w:color w:val="000000"/>
          <w:sz w:val="22"/>
          <w:szCs w:val="22"/>
        </w:rPr>
        <w:t xml:space="preserve"> personalised workplace assessments and </w:t>
      </w:r>
      <w:r w:rsidR="006E441E">
        <w:rPr>
          <w:rFonts w:ascii="Arial" w:eastAsia="Arial" w:hAnsi="Arial" w:cs="Arial"/>
          <w:color w:val="000000"/>
          <w:sz w:val="22"/>
          <w:szCs w:val="22"/>
        </w:rPr>
        <w:t>recommending</w:t>
      </w:r>
      <w:r w:rsidR="007F4225">
        <w:rPr>
          <w:rFonts w:ascii="Arial" w:eastAsia="Arial" w:hAnsi="Arial" w:cs="Arial"/>
          <w:color w:val="000000"/>
          <w:sz w:val="22"/>
          <w:szCs w:val="22"/>
        </w:rPr>
        <w:t xml:space="preserve"> organisations on digital accessibility, AbilityNet not only supports individuals but also encourages businesses and public services to adopt more inclusive practices. This work helps prevent inequalities linked to restricted access to communication, information, and essential online platforms (Ability Net, 2025).</w:t>
      </w:r>
    </w:p>
    <w:p w14:paraId="6D0E4E61" w14:textId="51D7228F" w:rsidR="00DC792C" w:rsidRDefault="00EA37D5">
      <w:pPr>
        <w:pBdr>
          <w:top w:val="nil"/>
          <w:left w:val="nil"/>
          <w:bottom w:val="nil"/>
          <w:right w:val="nil"/>
          <w:between w:val="nil"/>
        </w:pBdr>
        <w:spacing w:after="0" w:line="360" w:lineRule="auto"/>
        <w:jc w:val="both"/>
        <w:rPr>
          <w:color w:val="000000"/>
        </w:rPr>
      </w:pPr>
      <w:r>
        <w:rPr>
          <w:rFonts w:ascii="Arial" w:eastAsia="Arial" w:hAnsi="Arial" w:cs="Arial"/>
          <w:color w:val="000000"/>
          <w:sz w:val="22"/>
          <w:szCs w:val="22"/>
        </w:rPr>
        <w:t xml:space="preserve">       </w:t>
      </w:r>
      <w:r w:rsidR="007F4225">
        <w:rPr>
          <w:rFonts w:ascii="Arial" w:eastAsia="Arial" w:hAnsi="Arial" w:cs="Arial"/>
          <w:color w:val="000000"/>
          <w:sz w:val="22"/>
          <w:szCs w:val="22"/>
        </w:rPr>
        <w:t xml:space="preserve">The Equality Advisory and Support Service (EASS) plays a complementary national role by </w:t>
      </w:r>
      <w:r w:rsidR="006E441E">
        <w:rPr>
          <w:rFonts w:ascii="Arial" w:eastAsia="Arial" w:hAnsi="Arial" w:cs="Arial"/>
          <w:color w:val="000000"/>
          <w:sz w:val="22"/>
          <w:szCs w:val="22"/>
        </w:rPr>
        <w:t>helping</w:t>
      </w:r>
      <w:r w:rsidR="007F4225">
        <w:rPr>
          <w:rFonts w:ascii="Arial" w:eastAsia="Arial" w:hAnsi="Arial" w:cs="Arial"/>
          <w:color w:val="000000"/>
          <w:sz w:val="22"/>
          <w:szCs w:val="22"/>
        </w:rPr>
        <w:t xml:space="preserve"> individuals who experience discrimination in everyday life, including employment, education, banking, or access to </w:t>
      </w:r>
      <w:r w:rsidR="007770CB">
        <w:rPr>
          <w:rFonts w:ascii="Arial" w:eastAsia="Arial" w:hAnsi="Arial" w:cs="Arial"/>
          <w:color w:val="000000"/>
          <w:sz w:val="22"/>
          <w:szCs w:val="22"/>
        </w:rPr>
        <w:t>services (</w:t>
      </w:r>
      <w:r w:rsidR="007770CB">
        <w:rPr>
          <w:rFonts w:ascii="Arial" w:eastAsia="Arial" w:hAnsi="Arial" w:cs="Arial"/>
          <w:color w:val="000000"/>
          <w:sz w:val="22"/>
          <w:szCs w:val="22"/>
        </w:rPr>
        <w:t>EASS, n.d.).</w:t>
      </w:r>
      <w:r w:rsidR="007F4225">
        <w:rPr>
          <w:rFonts w:ascii="Arial" w:eastAsia="Arial" w:hAnsi="Arial" w:cs="Arial"/>
          <w:color w:val="000000"/>
          <w:sz w:val="22"/>
          <w:szCs w:val="22"/>
        </w:rPr>
        <w:t xml:space="preserve"> Through its helpline, EASS offers guidance on rights under equality legislation and supports users in resolving disputes, sometimes contacting service providers directly to help achieve a fair outcome. The service is inclusive, offering communication support and lay advocates for people with learning disabilities. By challenging discriminatory practices and promoting understanding of legal protections, EASS raises awareness of the systemic barriers disabled adults face and empowers individuals to defend their rights (EASS, n.d.). Together, AbilityNet and EASS contribute to reducing health inequalities by promoting accessibility, protecting rights, and supporting full participation in society for adults with disabilities across the UK</w:t>
      </w:r>
      <w:r w:rsidR="007F4225">
        <w:rPr>
          <w:rFonts w:ascii="Arial" w:eastAsia="Arial" w:hAnsi="Arial" w:cs="Arial"/>
          <w:b/>
          <w:bCs/>
          <w:color w:val="000000"/>
          <w:sz w:val="22"/>
          <w:szCs w:val="22"/>
        </w:rPr>
        <w:t>.</w:t>
      </w:r>
    </w:p>
    <w:p w14:paraId="58E1C5F7" w14:textId="77777777" w:rsidR="00DC792C" w:rsidRDefault="00DC792C">
      <w:pPr>
        <w:pBdr>
          <w:top w:val="nil"/>
          <w:left w:val="nil"/>
          <w:bottom w:val="nil"/>
          <w:right w:val="nil"/>
          <w:between w:val="nil"/>
        </w:pBdr>
        <w:rPr>
          <w:rFonts w:ascii="Arial" w:eastAsia="Arial" w:hAnsi="Arial" w:cs="Arial"/>
          <w:b/>
          <w:bCs/>
          <w:color w:val="000000"/>
          <w:sz w:val="22"/>
          <w:szCs w:val="22"/>
        </w:rPr>
      </w:pPr>
    </w:p>
    <w:p w14:paraId="68747B4E" w14:textId="77777777" w:rsidR="00DC792C" w:rsidRDefault="00DC792C">
      <w:pPr>
        <w:pBdr>
          <w:top w:val="nil"/>
          <w:left w:val="nil"/>
          <w:bottom w:val="nil"/>
          <w:right w:val="nil"/>
          <w:between w:val="nil"/>
        </w:pBdr>
        <w:rPr>
          <w:color w:val="000000"/>
        </w:rPr>
      </w:pPr>
    </w:p>
    <w:p w14:paraId="57AB52B9" w14:textId="77777777" w:rsidR="00DC792C" w:rsidRDefault="00DC792C">
      <w:pPr>
        <w:pBdr>
          <w:top w:val="nil"/>
          <w:left w:val="nil"/>
          <w:bottom w:val="nil"/>
          <w:right w:val="nil"/>
          <w:between w:val="nil"/>
        </w:pBdr>
        <w:rPr>
          <w:color w:val="000000"/>
        </w:rPr>
      </w:pPr>
    </w:p>
    <w:p w14:paraId="629178EB" w14:textId="77777777" w:rsidR="00DC792C" w:rsidRDefault="00DC792C">
      <w:pPr>
        <w:pBdr>
          <w:top w:val="nil"/>
          <w:left w:val="nil"/>
          <w:bottom w:val="nil"/>
          <w:right w:val="nil"/>
          <w:between w:val="nil"/>
        </w:pBdr>
        <w:rPr>
          <w:color w:val="000000"/>
        </w:rPr>
      </w:pPr>
    </w:p>
    <w:p w14:paraId="01D8B6ED" w14:textId="77777777" w:rsidR="00DC792C" w:rsidRDefault="00DC792C">
      <w:pPr>
        <w:pBdr>
          <w:top w:val="nil"/>
          <w:left w:val="nil"/>
          <w:bottom w:val="nil"/>
          <w:right w:val="nil"/>
          <w:between w:val="nil"/>
        </w:pBdr>
        <w:rPr>
          <w:color w:val="000000"/>
        </w:rPr>
      </w:pPr>
    </w:p>
    <w:p w14:paraId="71EE569F" w14:textId="77777777" w:rsidR="00DC792C" w:rsidRDefault="00DC792C">
      <w:pPr>
        <w:pBdr>
          <w:top w:val="nil"/>
          <w:left w:val="nil"/>
          <w:bottom w:val="nil"/>
          <w:right w:val="nil"/>
          <w:between w:val="nil"/>
        </w:pBdr>
        <w:rPr>
          <w:color w:val="000000"/>
        </w:rPr>
      </w:pPr>
    </w:p>
    <w:p w14:paraId="5F7DF844" w14:textId="77777777" w:rsidR="00DC792C" w:rsidRDefault="00DC792C">
      <w:pPr>
        <w:pBdr>
          <w:top w:val="nil"/>
          <w:left w:val="nil"/>
          <w:bottom w:val="nil"/>
          <w:right w:val="nil"/>
          <w:between w:val="nil"/>
        </w:pBdr>
        <w:rPr>
          <w:color w:val="000000"/>
        </w:rPr>
      </w:pPr>
    </w:p>
    <w:p w14:paraId="7EAA25D6" w14:textId="77777777" w:rsidR="00DC792C" w:rsidRDefault="00DC792C">
      <w:pPr>
        <w:pBdr>
          <w:top w:val="nil"/>
          <w:left w:val="nil"/>
          <w:bottom w:val="nil"/>
          <w:right w:val="nil"/>
          <w:between w:val="nil"/>
        </w:pBdr>
        <w:rPr>
          <w:color w:val="000000"/>
        </w:rPr>
      </w:pPr>
    </w:p>
    <w:p w14:paraId="607A7A7A" w14:textId="77777777" w:rsidR="00DC792C" w:rsidRPr="00D14D12" w:rsidRDefault="007F4225">
      <w:pPr>
        <w:pBdr>
          <w:top w:val="nil"/>
          <w:left w:val="nil"/>
          <w:bottom w:val="nil"/>
          <w:right w:val="nil"/>
          <w:between w:val="nil"/>
        </w:pBdr>
        <w:rPr>
          <w:rFonts w:ascii="Arial" w:hAnsi="Arial" w:cs="Arial"/>
          <w:b/>
          <w:bCs/>
          <w:color w:val="000000"/>
        </w:rPr>
      </w:pPr>
      <w:r w:rsidRPr="00D14D12">
        <w:rPr>
          <w:rFonts w:ascii="Arial" w:hAnsi="Arial" w:cs="Arial"/>
          <w:b/>
          <w:bCs/>
          <w:color w:val="000000"/>
        </w:rPr>
        <w:t>Conclusion</w:t>
      </w:r>
    </w:p>
    <w:p w14:paraId="483108FA" w14:textId="1F499C52" w:rsidR="00DC792C" w:rsidRDefault="007770CB">
      <w:pPr>
        <w:pBdr>
          <w:top w:val="nil"/>
          <w:left w:val="nil"/>
          <w:bottom w:val="nil"/>
          <w:right w:val="nil"/>
          <w:between w:val="nil"/>
        </w:pBdr>
        <w:spacing w:after="0"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       </w:t>
      </w:r>
      <w:r w:rsidR="007F4225">
        <w:rPr>
          <w:rFonts w:ascii="Arial" w:eastAsia="Arial" w:hAnsi="Arial" w:cs="Arial"/>
          <w:color w:val="000000"/>
          <w:sz w:val="22"/>
          <w:szCs w:val="22"/>
        </w:rPr>
        <w:t xml:space="preserve">Adults with disabilities in the UK continue to face entrenched health inequalities that reflect broader structural, social, and economic disadvantages. Elevated rates of mental ill-health, barriers to accessing healthcare, heightened risks of poverty, insecure or inaccessible housing, and increased social isolation all contribute to poorer overall outcomes. These inequities were further </w:t>
      </w:r>
      <w:r w:rsidR="006E441E">
        <w:rPr>
          <w:rFonts w:ascii="Arial" w:eastAsia="Arial" w:hAnsi="Arial" w:cs="Arial"/>
          <w:color w:val="000000"/>
          <w:sz w:val="22"/>
          <w:szCs w:val="22"/>
        </w:rPr>
        <w:t>worsened</w:t>
      </w:r>
      <w:r w:rsidR="007F4225">
        <w:rPr>
          <w:rFonts w:ascii="Arial" w:eastAsia="Arial" w:hAnsi="Arial" w:cs="Arial"/>
          <w:color w:val="000000"/>
          <w:sz w:val="22"/>
          <w:szCs w:val="22"/>
        </w:rPr>
        <w:t xml:space="preserve"> during the COVID-19 pandemic, which disrupted essential services, intensified loneliness, and exposed weaknesses in existing support systems. While national initiatives such as annual health checks, strengthened community-based provision, and the legal protections embedded in the Equality Act 2010 </w:t>
      </w:r>
      <w:r w:rsidR="006E441E">
        <w:rPr>
          <w:rFonts w:ascii="Arial" w:eastAsia="Arial" w:hAnsi="Arial" w:cs="Arial"/>
          <w:color w:val="000000"/>
          <w:sz w:val="22"/>
          <w:szCs w:val="22"/>
        </w:rPr>
        <w:t>stand for</w:t>
      </w:r>
      <w:r w:rsidR="007F4225">
        <w:rPr>
          <w:rFonts w:ascii="Arial" w:eastAsia="Arial" w:hAnsi="Arial" w:cs="Arial"/>
          <w:color w:val="000000"/>
          <w:sz w:val="22"/>
          <w:szCs w:val="22"/>
        </w:rPr>
        <w:t xml:space="preserve"> meaningful progress, they have not fully mitigated longstanding disparities, particularly in relation to preventative care, mental health access, and accessible housing.</w:t>
      </w:r>
      <w:r>
        <w:rPr>
          <w:rFonts w:ascii="Arial" w:eastAsia="Arial" w:hAnsi="Arial" w:cs="Arial"/>
          <w:color w:val="000000"/>
          <w:sz w:val="22"/>
          <w:szCs w:val="22"/>
        </w:rPr>
        <w:t xml:space="preserve"> </w:t>
      </w:r>
      <w:r w:rsidR="007F4225">
        <w:rPr>
          <w:rFonts w:ascii="Arial" w:eastAsia="Arial" w:hAnsi="Arial" w:cs="Arial"/>
          <w:color w:val="000000"/>
          <w:sz w:val="22"/>
          <w:szCs w:val="22"/>
        </w:rPr>
        <w:t xml:space="preserve">In parallel, organisations such as AbilityNet and the Equality Advisory and Support Service (EASS) play a critical role in addressing inequities by promoting digital inclusion, challenging discriminatory practices, and supporting individuals to understand and exercise their rights. Their contributions highlight the need for coordinated, rights-based, and person-centred approaches. Ultimately, reducing health inequalities for disabled adults requires sustained policy commitment, targeted investment, and cross-sector collaboration to ensure </w:t>
      </w:r>
      <w:r w:rsidR="006E441E">
        <w:rPr>
          <w:rFonts w:ascii="Arial" w:eastAsia="Arial" w:hAnsi="Arial" w:cs="Arial"/>
          <w:color w:val="000000"/>
          <w:sz w:val="22"/>
          <w:szCs w:val="22"/>
        </w:rPr>
        <w:t>fair</w:t>
      </w:r>
      <w:r w:rsidR="007F4225">
        <w:rPr>
          <w:rFonts w:ascii="Arial" w:eastAsia="Arial" w:hAnsi="Arial" w:cs="Arial"/>
          <w:color w:val="000000"/>
          <w:sz w:val="22"/>
          <w:szCs w:val="22"/>
        </w:rPr>
        <w:t xml:space="preserve"> access to services and full participation in society.</w:t>
      </w:r>
    </w:p>
    <w:p w14:paraId="1C324733" w14:textId="77777777" w:rsidR="00DC792C" w:rsidRDefault="007F4225">
      <w:pPr>
        <w:pBdr>
          <w:top w:val="nil"/>
          <w:left w:val="nil"/>
          <w:bottom w:val="nil"/>
          <w:right w:val="nil"/>
          <w:between w:val="nil"/>
        </w:pBdr>
        <w:rPr>
          <w:b/>
          <w:bCs/>
          <w:color w:val="000000"/>
        </w:rPr>
      </w:pPr>
      <w:r>
        <w:br w:type="page"/>
      </w:r>
    </w:p>
    <w:p w14:paraId="4FE223FA" w14:textId="77777777" w:rsidR="00DC792C" w:rsidRPr="00780787" w:rsidRDefault="00DC792C">
      <w:pPr>
        <w:pBdr>
          <w:top w:val="nil"/>
          <w:left w:val="nil"/>
          <w:bottom w:val="nil"/>
          <w:right w:val="nil"/>
          <w:between w:val="nil"/>
        </w:pBdr>
        <w:rPr>
          <w:color w:val="000000"/>
          <w:sz w:val="22"/>
          <w:szCs w:val="22"/>
        </w:rPr>
      </w:pPr>
    </w:p>
    <w:p w14:paraId="318B0D5B" w14:textId="77777777" w:rsidR="00DC792C" w:rsidRPr="00780787" w:rsidRDefault="007F4225">
      <w:pPr>
        <w:pBdr>
          <w:top w:val="nil"/>
          <w:left w:val="nil"/>
          <w:bottom w:val="nil"/>
          <w:right w:val="nil"/>
          <w:between w:val="nil"/>
        </w:pBdr>
        <w:rPr>
          <w:rFonts w:ascii="Arial" w:hAnsi="Arial" w:cs="Arial"/>
          <w:b/>
          <w:bCs/>
          <w:color w:val="000000"/>
          <w:sz w:val="22"/>
          <w:szCs w:val="22"/>
        </w:rPr>
      </w:pPr>
      <w:r w:rsidRPr="00780787">
        <w:rPr>
          <w:rFonts w:ascii="Arial" w:hAnsi="Arial" w:cs="Arial"/>
          <w:b/>
          <w:bCs/>
          <w:color w:val="000000"/>
          <w:sz w:val="22"/>
          <w:szCs w:val="22"/>
        </w:rPr>
        <w:t>Task 2: Epidemiological Analysis</w:t>
      </w:r>
    </w:p>
    <w:p w14:paraId="3E8C263D" w14:textId="77777777" w:rsidR="00DC792C" w:rsidRPr="00780787" w:rsidRDefault="007F4225">
      <w:pPr>
        <w:pBdr>
          <w:top w:val="nil"/>
          <w:left w:val="nil"/>
          <w:bottom w:val="nil"/>
          <w:right w:val="nil"/>
          <w:between w:val="nil"/>
        </w:pBdr>
        <w:rPr>
          <w:rFonts w:ascii="Arial" w:hAnsi="Arial" w:cs="Arial"/>
          <w:b/>
          <w:bCs/>
          <w:color w:val="000000"/>
          <w:sz w:val="22"/>
          <w:szCs w:val="22"/>
        </w:rPr>
      </w:pPr>
      <w:r w:rsidRPr="00780787">
        <w:rPr>
          <w:rFonts w:ascii="Arial" w:hAnsi="Arial" w:cs="Arial"/>
          <w:b/>
          <w:bCs/>
          <w:color w:val="000000"/>
          <w:sz w:val="22"/>
          <w:szCs w:val="22"/>
        </w:rPr>
        <w:t>Introduction</w:t>
      </w:r>
    </w:p>
    <w:p w14:paraId="21A3C542" w14:textId="78036A9E" w:rsidR="00DC792C" w:rsidRDefault="007770CB" w:rsidP="000454D9">
      <w:pPr>
        <w:pBdr>
          <w:top w:val="nil"/>
          <w:left w:val="nil"/>
          <w:bottom w:val="nil"/>
          <w:right w:val="nil"/>
          <w:between w:val="nil"/>
        </w:pBdr>
        <w:spacing w:after="0" w:line="360" w:lineRule="auto"/>
        <w:jc w:val="both"/>
        <w:rPr>
          <w:color w:val="000000"/>
        </w:rPr>
      </w:pPr>
      <w:r>
        <w:rPr>
          <w:rFonts w:ascii="Arial" w:eastAsia="Arial" w:hAnsi="Arial" w:cs="Arial"/>
          <w:color w:val="000000"/>
          <w:sz w:val="22"/>
          <w:szCs w:val="22"/>
        </w:rPr>
        <w:t xml:space="preserve">    </w:t>
      </w:r>
      <w:r w:rsidR="007F4225">
        <w:rPr>
          <w:rFonts w:ascii="Arial" w:eastAsia="Arial" w:hAnsi="Arial" w:cs="Arial"/>
          <w:color w:val="000000"/>
          <w:sz w:val="22"/>
          <w:szCs w:val="22"/>
        </w:rPr>
        <w:t xml:space="preserve">Type 2 diabetes occurs when the body does not produce enough insulin or the insulin does not work properly, leading to high blood sugar. It can cause heart, kidney, eye, and foot </w:t>
      </w:r>
      <w:r>
        <w:rPr>
          <w:rFonts w:ascii="Arial" w:eastAsia="Arial" w:hAnsi="Arial" w:cs="Arial"/>
          <w:color w:val="000000"/>
          <w:sz w:val="22"/>
          <w:szCs w:val="22"/>
        </w:rPr>
        <w:t>problems (</w:t>
      </w:r>
      <w:r>
        <w:rPr>
          <w:rFonts w:ascii="Arial" w:eastAsia="Arial" w:hAnsi="Arial" w:cs="Arial"/>
          <w:color w:val="000000"/>
          <w:sz w:val="22"/>
          <w:szCs w:val="22"/>
        </w:rPr>
        <w:t>Diabetes UK, 2023a</w:t>
      </w:r>
      <w:r>
        <w:rPr>
          <w:rFonts w:ascii="Arial" w:eastAsia="Arial" w:hAnsi="Arial" w:cs="Arial"/>
          <w:color w:val="000000"/>
          <w:sz w:val="22"/>
          <w:szCs w:val="22"/>
        </w:rPr>
        <w:t>)</w:t>
      </w:r>
      <w:r w:rsidR="007F4225">
        <w:rPr>
          <w:rFonts w:ascii="Arial" w:eastAsia="Arial" w:hAnsi="Arial" w:cs="Arial"/>
          <w:color w:val="000000"/>
          <w:sz w:val="22"/>
          <w:szCs w:val="22"/>
        </w:rPr>
        <w:t>. Treatment includes medical check-ups, healthy eating, exercise, weight management, medication, and blood sugar monitoring. It can go undiagnosed for years and affects people of all body types, though overweight, age, and ethnicity increase risk. There is no cure, but some people can achieve remission</w:t>
      </w:r>
      <w:r w:rsidR="00D976C4">
        <w:rPr>
          <w:rFonts w:ascii="Arial" w:eastAsia="Arial" w:hAnsi="Arial" w:cs="Arial"/>
          <w:color w:val="000000"/>
          <w:sz w:val="22"/>
          <w:szCs w:val="22"/>
        </w:rPr>
        <w:t xml:space="preserve"> (Diabetes UK, 2023</w:t>
      </w:r>
      <w:r w:rsidR="00672C54">
        <w:rPr>
          <w:rFonts w:ascii="Arial" w:eastAsia="Arial" w:hAnsi="Arial" w:cs="Arial"/>
          <w:color w:val="000000"/>
          <w:sz w:val="22"/>
          <w:szCs w:val="22"/>
        </w:rPr>
        <w:t>a</w:t>
      </w:r>
      <w:r w:rsidR="00D976C4">
        <w:rPr>
          <w:rFonts w:ascii="Arial" w:eastAsia="Arial" w:hAnsi="Arial" w:cs="Arial"/>
          <w:color w:val="000000"/>
          <w:sz w:val="22"/>
          <w:szCs w:val="22"/>
        </w:rPr>
        <w:t>)</w:t>
      </w:r>
      <w:r w:rsidR="007F4225">
        <w:rPr>
          <w:rFonts w:ascii="Arial" w:eastAsia="Arial" w:hAnsi="Arial" w:cs="Arial"/>
          <w:color w:val="000000"/>
          <w:sz w:val="22"/>
          <w:szCs w:val="22"/>
        </w:rPr>
        <w:t>.</w:t>
      </w:r>
      <w:r w:rsidR="007F4225">
        <w:rPr>
          <w:color w:val="000000"/>
        </w:rPr>
        <w:t xml:space="preserve"> </w:t>
      </w:r>
    </w:p>
    <w:p w14:paraId="22D33950" w14:textId="770C37B9" w:rsidR="00DC792C" w:rsidRDefault="007770CB" w:rsidP="000454D9">
      <w:pPr>
        <w:pBdr>
          <w:top w:val="nil"/>
          <w:left w:val="nil"/>
          <w:bottom w:val="nil"/>
          <w:right w:val="nil"/>
          <w:between w:val="nil"/>
        </w:pBdr>
        <w:spacing w:after="0"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   </w:t>
      </w:r>
      <w:r w:rsidR="007F4225">
        <w:rPr>
          <w:rFonts w:ascii="Arial" w:eastAsia="Arial" w:hAnsi="Arial" w:cs="Arial"/>
          <w:color w:val="000000"/>
          <w:sz w:val="22"/>
          <w:szCs w:val="22"/>
        </w:rPr>
        <w:t>Type 2 diabetes disproportionately affects people from lower socioeconomic and certain cultural backgrounds</w:t>
      </w:r>
      <w:r>
        <w:rPr>
          <w:rFonts w:ascii="Arial" w:eastAsia="Arial" w:hAnsi="Arial" w:cs="Arial"/>
          <w:color w:val="000000"/>
          <w:sz w:val="22"/>
          <w:szCs w:val="22"/>
        </w:rPr>
        <w:t xml:space="preserve"> </w:t>
      </w:r>
      <w:r>
        <w:rPr>
          <w:rFonts w:ascii="Arial" w:eastAsia="Arial" w:hAnsi="Arial" w:cs="Arial"/>
          <w:color w:val="000000"/>
          <w:sz w:val="22"/>
          <w:szCs w:val="22"/>
        </w:rPr>
        <w:t>(Barnard-Kelly and Cherñavvsky, 2020)</w:t>
      </w:r>
      <w:r w:rsidR="007F4225">
        <w:rPr>
          <w:rFonts w:ascii="Arial" w:eastAsia="Arial" w:hAnsi="Arial" w:cs="Arial"/>
          <w:color w:val="000000"/>
          <w:sz w:val="22"/>
          <w:szCs w:val="22"/>
        </w:rPr>
        <w:t>. Those living in deprived areas often face limited access to healthcare, diabetes education, and modern technologies, making it harder to manage blood sugar and prevent complications. Cultural factors</w:t>
      </w:r>
      <w:r w:rsidR="00411AA1">
        <w:rPr>
          <w:rFonts w:ascii="Arial" w:eastAsia="Arial" w:hAnsi="Arial" w:cs="Arial"/>
          <w:color w:val="000000"/>
          <w:sz w:val="22"/>
          <w:szCs w:val="22"/>
        </w:rPr>
        <w:t xml:space="preserve"> </w:t>
      </w:r>
      <w:r w:rsidR="007F4225">
        <w:rPr>
          <w:rFonts w:ascii="Arial" w:eastAsia="Arial" w:hAnsi="Arial" w:cs="Arial"/>
          <w:color w:val="000000"/>
          <w:sz w:val="22"/>
          <w:szCs w:val="22"/>
        </w:rPr>
        <w:t>such as diet, health beliefs, language, and engagement with medical services</w:t>
      </w:r>
      <w:r w:rsidR="00411AA1">
        <w:rPr>
          <w:rFonts w:ascii="Arial" w:eastAsia="Arial" w:hAnsi="Arial" w:cs="Arial"/>
          <w:color w:val="000000"/>
          <w:sz w:val="22"/>
          <w:szCs w:val="22"/>
        </w:rPr>
        <w:t xml:space="preserve"> </w:t>
      </w:r>
      <w:r w:rsidR="007F4225">
        <w:rPr>
          <w:rFonts w:ascii="Arial" w:eastAsia="Arial" w:hAnsi="Arial" w:cs="Arial"/>
          <w:color w:val="000000"/>
          <w:sz w:val="22"/>
          <w:szCs w:val="22"/>
        </w:rPr>
        <w:t xml:space="preserve">also influence how individuals manage their condition. These social and cultural barriers contribute to poorer diabetes outcomes, earlier disease onset, and higher risk of complications. Addressing these disparities requires improving access to healthcare, offering culturally sensitive education, and ensuring </w:t>
      </w:r>
      <w:r w:rsidR="006E441E">
        <w:rPr>
          <w:rFonts w:ascii="Arial" w:eastAsia="Arial" w:hAnsi="Arial" w:cs="Arial"/>
          <w:color w:val="000000"/>
          <w:sz w:val="22"/>
          <w:szCs w:val="22"/>
        </w:rPr>
        <w:t>fair</w:t>
      </w:r>
      <w:r w:rsidR="007F4225">
        <w:rPr>
          <w:rFonts w:ascii="Arial" w:eastAsia="Arial" w:hAnsi="Arial" w:cs="Arial"/>
          <w:color w:val="000000"/>
          <w:sz w:val="22"/>
          <w:szCs w:val="22"/>
        </w:rPr>
        <w:t xml:space="preserve"> availability of diabetes technologies. Tailored interventions that consider both social and cultural contexts are essential to promote better health outcomes and reduce inequality (Barnard-Kelly and Cherñavvsky, 2020). </w:t>
      </w:r>
    </w:p>
    <w:p w14:paraId="23AF02DD" w14:textId="4DDD7253" w:rsidR="00682761" w:rsidRDefault="007770CB" w:rsidP="000454D9">
      <w:pPr>
        <w:pBdr>
          <w:top w:val="nil"/>
          <w:left w:val="nil"/>
          <w:bottom w:val="nil"/>
          <w:right w:val="nil"/>
          <w:between w:val="nil"/>
        </w:pBdr>
        <w:spacing w:after="0"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    </w:t>
      </w:r>
      <w:r w:rsidR="007F4225">
        <w:rPr>
          <w:rFonts w:ascii="Arial" w:eastAsia="Arial" w:hAnsi="Arial" w:cs="Arial"/>
          <w:color w:val="000000"/>
          <w:sz w:val="22"/>
          <w:szCs w:val="22"/>
        </w:rPr>
        <w:t xml:space="preserve">Type 2 diabetes affects around 7.8% of adults in England, including diagnosed and undiagnosed </w:t>
      </w:r>
      <w:r>
        <w:rPr>
          <w:rFonts w:ascii="Arial" w:eastAsia="Arial" w:hAnsi="Arial" w:cs="Arial"/>
          <w:color w:val="000000"/>
          <w:sz w:val="22"/>
          <w:szCs w:val="22"/>
        </w:rPr>
        <w:t>cases (</w:t>
      </w:r>
      <w:r>
        <w:rPr>
          <w:rFonts w:ascii="Arial" w:eastAsia="Arial" w:hAnsi="Arial" w:cs="Arial"/>
          <w:color w:val="000000"/>
          <w:sz w:val="22"/>
          <w:szCs w:val="22"/>
        </w:rPr>
        <w:t>GOV, 2025b).</w:t>
      </w:r>
      <w:r>
        <w:rPr>
          <w:rFonts w:ascii="Arial" w:eastAsia="Arial" w:hAnsi="Arial" w:cs="Arial"/>
          <w:color w:val="000000"/>
          <w:sz w:val="22"/>
          <w:szCs w:val="22"/>
        </w:rPr>
        <w:t xml:space="preserve"> The </w:t>
      </w:r>
      <w:r w:rsidR="007F4225">
        <w:rPr>
          <w:rFonts w:ascii="Arial" w:eastAsia="Arial" w:hAnsi="Arial" w:cs="Arial"/>
          <w:color w:val="000000"/>
          <w:sz w:val="22"/>
          <w:szCs w:val="22"/>
        </w:rPr>
        <w:t xml:space="preserve">GP-recorded prevalence was 7.0% in March 2024. Rates vary regionally, with the West Midlands highest (8.6%) and the </w:t>
      </w:r>
      <w:r w:rsidR="00DB272A">
        <w:rPr>
          <w:rFonts w:ascii="Arial" w:eastAsia="Arial" w:hAnsi="Arial" w:cs="Arial"/>
          <w:color w:val="000000"/>
          <w:sz w:val="22"/>
          <w:szCs w:val="22"/>
        </w:rPr>
        <w:t>Southeast</w:t>
      </w:r>
      <w:r w:rsidR="007F4225">
        <w:rPr>
          <w:rFonts w:ascii="Arial" w:eastAsia="Arial" w:hAnsi="Arial" w:cs="Arial"/>
          <w:color w:val="000000"/>
          <w:sz w:val="22"/>
          <w:szCs w:val="22"/>
        </w:rPr>
        <w:t xml:space="preserve"> lowest (7.0%), while Leicester had the highest local prevalence (11.1%) and Wokingham the lowest (5.7%)</w:t>
      </w:r>
      <w:r w:rsidR="00411AA1">
        <w:rPr>
          <w:rFonts w:ascii="Arial" w:eastAsia="Arial" w:hAnsi="Arial" w:cs="Arial"/>
          <w:color w:val="000000"/>
          <w:sz w:val="22"/>
          <w:szCs w:val="22"/>
        </w:rPr>
        <w:t xml:space="preserve"> (GOV, 2025b)</w:t>
      </w:r>
      <w:r w:rsidR="006E441E">
        <w:rPr>
          <w:rFonts w:ascii="Arial" w:eastAsia="Arial" w:hAnsi="Arial" w:cs="Arial"/>
          <w:color w:val="000000"/>
          <w:sz w:val="22"/>
          <w:szCs w:val="22"/>
        </w:rPr>
        <w:t xml:space="preserve">. </w:t>
      </w:r>
      <w:r w:rsidR="007F4225">
        <w:rPr>
          <w:rFonts w:ascii="Arial" w:eastAsia="Arial" w:hAnsi="Arial" w:cs="Arial"/>
          <w:color w:val="000000"/>
          <w:sz w:val="22"/>
          <w:szCs w:val="22"/>
        </w:rPr>
        <w:t>In 2024, around 589 million adults (20–79 years) are living with diabetes, with over 80% in low- and middle-income countries. The International Diabetes Federation projects this will rise to 853 million by 2050. Globally, 11.1% of adults have diabetes, and more than 4 in 10 are unaware they have the condition. Over 90% of cases are type 2 diabetes, driven by factors such as urbanisation, ageing, reduced physical activity, and increasing obesity</w:t>
      </w:r>
      <w:r w:rsidR="005251F1">
        <w:rPr>
          <w:rFonts w:ascii="Arial" w:eastAsia="Arial" w:hAnsi="Arial" w:cs="Arial"/>
          <w:color w:val="000000"/>
          <w:sz w:val="22"/>
          <w:szCs w:val="22"/>
        </w:rPr>
        <w:t xml:space="preserve"> (IDF, 2025) (GOV, 2025b)</w:t>
      </w:r>
      <w:r w:rsidR="006E441E">
        <w:rPr>
          <w:rFonts w:ascii="Arial" w:eastAsia="Arial" w:hAnsi="Arial" w:cs="Arial"/>
          <w:color w:val="000000"/>
          <w:sz w:val="22"/>
          <w:szCs w:val="22"/>
        </w:rPr>
        <w:t xml:space="preserve">. </w:t>
      </w:r>
      <w:r w:rsidR="007F4225" w:rsidRPr="00DB272A">
        <w:rPr>
          <w:rFonts w:ascii="Arial" w:eastAsia="Arial" w:hAnsi="Arial" w:cs="Arial"/>
          <w:color w:val="000000"/>
          <w:sz w:val="22"/>
          <w:szCs w:val="22"/>
        </w:rPr>
        <w:t xml:space="preserve">Type 2 diabetes affects approximately 149,153 adults in Tower Hamlets who are registered with local GPs, with an estimated 1,800 people </w:t>
      </w:r>
      <w:r w:rsidR="006E441E" w:rsidRPr="00DB272A">
        <w:rPr>
          <w:rFonts w:ascii="Arial" w:eastAsia="Arial" w:hAnsi="Arial" w:cs="Arial"/>
          <w:color w:val="000000"/>
          <w:sz w:val="22"/>
          <w:szCs w:val="22"/>
        </w:rPr>
        <w:t>staying</w:t>
      </w:r>
      <w:r w:rsidR="007F4225" w:rsidRPr="00DB272A">
        <w:rPr>
          <w:rFonts w:ascii="Arial" w:eastAsia="Arial" w:hAnsi="Arial" w:cs="Arial"/>
          <w:color w:val="000000"/>
          <w:sz w:val="22"/>
          <w:szCs w:val="22"/>
        </w:rPr>
        <w:t xml:space="preserve"> undiagnosed.</w:t>
      </w:r>
      <w:r>
        <w:rPr>
          <w:rFonts w:ascii="Arial" w:eastAsia="Arial" w:hAnsi="Arial" w:cs="Arial"/>
          <w:color w:val="000000"/>
          <w:sz w:val="22"/>
          <w:szCs w:val="22"/>
        </w:rPr>
        <w:t xml:space="preserve"> </w:t>
      </w:r>
      <w:r w:rsidR="007F4225" w:rsidRPr="00DB272A">
        <w:rPr>
          <w:rFonts w:ascii="Arial" w:eastAsia="Arial" w:hAnsi="Arial" w:cs="Arial"/>
          <w:color w:val="000000"/>
          <w:sz w:val="22"/>
          <w:szCs w:val="22"/>
        </w:rPr>
        <w:t xml:space="preserve">The condition is particularly prevalent in the Bangladeshi community and is increasingly seen in younger age groups within this </w:t>
      </w:r>
      <w:r w:rsidR="00682761" w:rsidRPr="00DB272A">
        <w:rPr>
          <w:rFonts w:ascii="Arial" w:eastAsia="Arial" w:hAnsi="Arial" w:cs="Arial"/>
          <w:color w:val="000000"/>
          <w:sz w:val="22"/>
          <w:szCs w:val="22"/>
        </w:rPr>
        <w:t>population</w:t>
      </w:r>
      <w:r w:rsidR="00682761">
        <w:rPr>
          <w:rFonts w:ascii="Arial" w:eastAsia="Arial" w:hAnsi="Arial" w:cs="Arial"/>
          <w:color w:val="000000"/>
          <w:sz w:val="22"/>
          <w:szCs w:val="22"/>
        </w:rPr>
        <w:t xml:space="preserve"> (Tower Hamlets, 2015).</w:t>
      </w:r>
    </w:p>
    <w:p w14:paraId="7FDC4B7F" w14:textId="57993460" w:rsidR="00DC792C" w:rsidRDefault="007F4225">
      <w:pPr>
        <w:pBdr>
          <w:top w:val="nil"/>
          <w:left w:val="nil"/>
          <w:bottom w:val="nil"/>
          <w:right w:val="nil"/>
          <w:between w:val="nil"/>
        </w:pBdr>
        <w:spacing w:line="360" w:lineRule="auto"/>
        <w:jc w:val="both"/>
        <w:rPr>
          <w:color w:val="000000"/>
        </w:rPr>
      </w:pPr>
      <w:r w:rsidRPr="00682761">
        <w:rPr>
          <w:color w:val="000000" w:themeColor="text1"/>
        </w:rPr>
        <w:br w:type="page"/>
      </w:r>
    </w:p>
    <w:p w14:paraId="41494637" w14:textId="77777777" w:rsidR="00DC792C" w:rsidRPr="00780787" w:rsidRDefault="00DC792C">
      <w:pPr>
        <w:pBdr>
          <w:top w:val="nil"/>
          <w:left w:val="nil"/>
          <w:bottom w:val="nil"/>
          <w:right w:val="nil"/>
          <w:between w:val="nil"/>
        </w:pBdr>
        <w:rPr>
          <w:color w:val="000000"/>
        </w:rPr>
      </w:pPr>
    </w:p>
    <w:p w14:paraId="33178838" w14:textId="74E13FC2" w:rsidR="00DC792C" w:rsidRPr="00780787" w:rsidRDefault="00DC792C" w:rsidP="000454D9">
      <w:pPr>
        <w:pBdr>
          <w:top w:val="nil"/>
          <w:left w:val="nil"/>
          <w:bottom w:val="nil"/>
          <w:right w:val="nil"/>
          <w:between w:val="nil"/>
        </w:pBdr>
        <w:spacing w:after="0" w:line="360" w:lineRule="auto"/>
        <w:jc w:val="both"/>
        <w:rPr>
          <w:rFonts w:ascii="Arial" w:hAnsi="Arial" w:cs="Arial"/>
          <w:b/>
          <w:bCs/>
          <w:color w:val="000000"/>
          <w:sz w:val="22"/>
          <w:szCs w:val="22"/>
        </w:rPr>
      </w:pPr>
    </w:p>
    <w:p w14:paraId="28D196D3" w14:textId="20ECF6FF" w:rsidR="00DC792C" w:rsidRDefault="007770CB" w:rsidP="000454D9">
      <w:pPr>
        <w:spacing w:after="0" w:line="360" w:lineRule="auto"/>
        <w:jc w:val="both"/>
        <w:rPr>
          <w:rFonts w:ascii="Arial" w:hAnsi="Arial" w:cs="Arial"/>
          <w:sz w:val="22"/>
          <w:szCs w:val="22"/>
        </w:rPr>
      </w:pPr>
      <w:r>
        <w:rPr>
          <w:rFonts w:ascii="Arial" w:hAnsi="Arial" w:cs="Arial"/>
          <w:sz w:val="22"/>
          <w:szCs w:val="22"/>
        </w:rPr>
        <w:t xml:space="preserve">      </w:t>
      </w:r>
      <w:r w:rsidR="00DB272A" w:rsidRPr="000454D9">
        <w:rPr>
          <w:rFonts w:ascii="Arial" w:hAnsi="Arial" w:cs="Arial"/>
          <w:sz w:val="22"/>
          <w:szCs w:val="22"/>
        </w:rPr>
        <w:t>Diabetes, particularly Type 2 Diabetes M, is one of the major public health challenges in Tower Hamlets, a London borough marked by high ethnic diversity, socioeconomic inequality, and significant levels of deprivation</w:t>
      </w:r>
      <w:r>
        <w:rPr>
          <w:rFonts w:ascii="Arial" w:hAnsi="Arial" w:cs="Arial"/>
          <w:sz w:val="22"/>
          <w:szCs w:val="22"/>
        </w:rPr>
        <w:t xml:space="preserve"> </w:t>
      </w:r>
      <w:r w:rsidRPr="000454D9">
        <w:rPr>
          <w:rFonts w:ascii="Arial" w:hAnsi="Arial" w:cs="Arial"/>
          <w:sz w:val="22"/>
          <w:szCs w:val="22"/>
        </w:rPr>
        <w:t>(The Health Foundation, n.d.)</w:t>
      </w:r>
      <w:r w:rsidR="00DB272A" w:rsidRPr="000454D9">
        <w:rPr>
          <w:rFonts w:ascii="Arial" w:hAnsi="Arial" w:cs="Arial"/>
          <w:sz w:val="22"/>
          <w:szCs w:val="22"/>
        </w:rPr>
        <w:t>. Diabetes rates in this area are among the highest in the United Kingdom, making it necessary to implement targeted public health measures to contain, manage, treat, and reduce the impact of the disease on the local population, based on the three Ps of public health: prevention, protection, and promotion</w:t>
      </w:r>
      <w:r w:rsidR="007F4225" w:rsidRPr="000454D9">
        <w:rPr>
          <w:rFonts w:ascii="Arial" w:hAnsi="Arial" w:cs="Arial"/>
          <w:sz w:val="22"/>
          <w:szCs w:val="22"/>
        </w:rPr>
        <w:t xml:space="preserve"> (The Health </w:t>
      </w:r>
      <w:r w:rsidR="00DB272A" w:rsidRPr="000454D9">
        <w:rPr>
          <w:rFonts w:ascii="Arial" w:hAnsi="Arial" w:cs="Arial"/>
          <w:sz w:val="22"/>
          <w:szCs w:val="22"/>
        </w:rPr>
        <w:t>Foundation, n.d.</w:t>
      </w:r>
      <w:r w:rsidR="007F4225" w:rsidRPr="000454D9">
        <w:rPr>
          <w:rFonts w:ascii="Arial" w:hAnsi="Arial" w:cs="Arial"/>
          <w:sz w:val="22"/>
          <w:szCs w:val="22"/>
        </w:rPr>
        <w:t>)</w:t>
      </w:r>
      <w:r>
        <w:rPr>
          <w:rFonts w:ascii="Arial" w:hAnsi="Arial" w:cs="Arial"/>
          <w:sz w:val="22"/>
          <w:szCs w:val="22"/>
        </w:rPr>
        <w:t>.</w:t>
      </w:r>
    </w:p>
    <w:p w14:paraId="29278C17" w14:textId="77777777" w:rsidR="000454D9" w:rsidRPr="000454D9" w:rsidRDefault="000454D9" w:rsidP="000454D9">
      <w:pPr>
        <w:spacing w:after="0" w:line="360" w:lineRule="auto"/>
        <w:jc w:val="both"/>
        <w:rPr>
          <w:rFonts w:ascii="Arial" w:hAnsi="Arial" w:cs="Arial"/>
          <w:sz w:val="22"/>
          <w:szCs w:val="22"/>
        </w:rPr>
      </w:pPr>
    </w:p>
    <w:p w14:paraId="0B93E543" w14:textId="239B869A" w:rsidR="00DC792C" w:rsidRPr="000454D9" w:rsidRDefault="007F4225" w:rsidP="000454D9">
      <w:pPr>
        <w:pBdr>
          <w:top w:val="nil"/>
          <w:left w:val="nil"/>
          <w:bottom w:val="nil"/>
          <w:right w:val="nil"/>
          <w:between w:val="nil"/>
        </w:pBdr>
        <w:spacing w:after="0" w:line="360" w:lineRule="auto"/>
        <w:jc w:val="both"/>
        <w:rPr>
          <w:rFonts w:ascii="Arial" w:hAnsi="Arial" w:cs="Arial"/>
          <w:b/>
          <w:bCs/>
          <w:color w:val="000000"/>
          <w:sz w:val="22"/>
          <w:szCs w:val="22"/>
        </w:rPr>
      </w:pPr>
      <w:r w:rsidRPr="000454D9">
        <w:rPr>
          <w:rFonts w:ascii="Arial" w:hAnsi="Arial" w:cs="Arial"/>
          <w:b/>
          <w:bCs/>
          <w:color w:val="000000"/>
          <w:sz w:val="22"/>
          <w:szCs w:val="22"/>
        </w:rPr>
        <w:t xml:space="preserve">Health </w:t>
      </w:r>
      <w:r w:rsidR="00F40A78">
        <w:rPr>
          <w:rFonts w:ascii="Arial" w:hAnsi="Arial" w:cs="Arial"/>
          <w:b/>
          <w:bCs/>
          <w:color w:val="000000"/>
          <w:sz w:val="22"/>
          <w:szCs w:val="22"/>
        </w:rPr>
        <w:t>p</w:t>
      </w:r>
      <w:r w:rsidRPr="000454D9">
        <w:rPr>
          <w:rFonts w:ascii="Arial" w:hAnsi="Arial" w:cs="Arial"/>
          <w:b/>
          <w:bCs/>
          <w:color w:val="000000"/>
          <w:sz w:val="22"/>
          <w:szCs w:val="22"/>
        </w:rPr>
        <w:t>romotion in Tower Hamlets</w:t>
      </w:r>
    </w:p>
    <w:p w14:paraId="74BAF8F3" w14:textId="33870C6B" w:rsidR="00DC792C" w:rsidRDefault="00864F2F" w:rsidP="000454D9">
      <w:pPr>
        <w:spacing w:after="0" w:line="360" w:lineRule="auto"/>
        <w:jc w:val="both"/>
        <w:rPr>
          <w:rFonts w:ascii="Arial" w:hAnsi="Arial" w:cs="Arial"/>
          <w:sz w:val="22"/>
          <w:szCs w:val="22"/>
        </w:rPr>
      </w:pPr>
      <w:r>
        <w:rPr>
          <w:rFonts w:ascii="Arial" w:hAnsi="Arial" w:cs="Arial"/>
          <w:sz w:val="22"/>
          <w:szCs w:val="22"/>
        </w:rPr>
        <w:t xml:space="preserve">      </w:t>
      </w:r>
      <w:r w:rsidR="00DB272A" w:rsidRPr="000454D9">
        <w:rPr>
          <w:rFonts w:ascii="Arial" w:hAnsi="Arial" w:cs="Arial"/>
          <w:sz w:val="22"/>
          <w:szCs w:val="22"/>
        </w:rPr>
        <w:t xml:space="preserve">The </w:t>
      </w:r>
      <w:r w:rsidR="00DB272A" w:rsidRPr="000454D9">
        <w:rPr>
          <w:rStyle w:val="Emphasis"/>
          <w:rFonts w:ascii="Arial" w:hAnsi="Arial" w:cs="Arial"/>
          <w:i w:val="0"/>
          <w:iCs w:val="0"/>
          <w:sz w:val="22"/>
          <w:szCs w:val="22"/>
        </w:rPr>
        <w:t>Communities Keeping Well</w:t>
      </w:r>
      <w:r w:rsidR="00DB272A" w:rsidRPr="000454D9">
        <w:rPr>
          <w:rFonts w:ascii="Arial" w:hAnsi="Arial" w:cs="Arial"/>
          <w:sz w:val="22"/>
          <w:szCs w:val="22"/>
        </w:rPr>
        <w:t xml:space="preserve"> (CKW) programme in Tower Hamlets uses community engagement to improve health and wellbeing in the borough’s most disadvantaged areas</w:t>
      </w:r>
      <w:r>
        <w:rPr>
          <w:rFonts w:ascii="Arial" w:hAnsi="Arial" w:cs="Arial"/>
          <w:sz w:val="22"/>
          <w:szCs w:val="22"/>
        </w:rPr>
        <w:t xml:space="preserve"> </w:t>
      </w:r>
      <w:r w:rsidRPr="000454D9">
        <w:rPr>
          <w:rFonts w:ascii="Arial" w:hAnsi="Arial" w:cs="Arial"/>
          <w:sz w:val="22"/>
          <w:szCs w:val="22"/>
        </w:rPr>
        <w:t>(Local Government Association, 2025)</w:t>
      </w:r>
      <w:r w:rsidR="00DB272A" w:rsidRPr="000454D9">
        <w:rPr>
          <w:rFonts w:ascii="Arial" w:hAnsi="Arial" w:cs="Arial"/>
          <w:sz w:val="22"/>
          <w:szCs w:val="22"/>
        </w:rPr>
        <w:t xml:space="preserve">. This programme empowers residents to take an active role in their own health by </w:t>
      </w:r>
      <w:r w:rsidR="006E441E" w:rsidRPr="000454D9">
        <w:rPr>
          <w:rFonts w:ascii="Arial" w:hAnsi="Arial" w:cs="Arial"/>
          <w:sz w:val="22"/>
          <w:szCs w:val="22"/>
        </w:rPr>
        <w:t>finding</w:t>
      </w:r>
      <w:r w:rsidR="00DB272A" w:rsidRPr="000454D9">
        <w:rPr>
          <w:rFonts w:ascii="Arial" w:hAnsi="Arial" w:cs="Arial"/>
          <w:sz w:val="22"/>
          <w:szCs w:val="22"/>
        </w:rPr>
        <w:t xml:space="preserve"> local priorities, recruiting volunteers, and improving access to community resources.</w:t>
      </w:r>
      <w:r w:rsidR="00F40A78">
        <w:rPr>
          <w:rFonts w:ascii="Arial" w:hAnsi="Arial" w:cs="Arial"/>
          <w:sz w:val="22"/>
          <w:szCs w:val="22"/>
        </w:rPr>
        <w:t xml:space="preserve"> </w:t>
      </w:r>
      <w:r w:rsidR="00DB272A" w:rsidRPr="000454D9">
        <w:rPr>
          <w:rFonts w:ascii="Arial" w:hAnsi="Arial" w:cs="Arial"/>
          <w:sz w:val="22"/>
          <w:szCs w:val="22"/>
        </w:rPr>
        <w:t>Activities include walking and physical activity groups, healthy cooking sessions, community gardening, social events, and support for children and young people. These initiatives promote healthier lifestyles, strengthen social connections, and increase community participation, helping to reduce the impact of long-term chronic conditions such as diabetes and cardiovascular diseases. In this way, health promotion directly addresses modifiable behaviours and the social determinants of health in Tower Hamlets</w:t>
      </w:r>
      <w:r w:rsidR="007F4225" w:rsidRPr="000454D9">
        <w:rPr>
          <w:rFonts w:ascii="Arial" w:hAnsi="Arial" w:cs="Arial"/>
          <w:sz w:val="22"/>
          <w:szCs w:val="22"/>
        </w:rPr>
        <w:t xml:space="preserve"> (Local Government Association, 2025).</w:t>
      </w:r>
    </w:p>
    <w:p w14:paraId="3D3F7C2B" w14:textId="77777777" w:rsidR="000454D9" w:rsidRPr="000454D9" w:rsidRDefault="000454D9" w:rsidP="000454D9">
      <w:pPr>
        <w:spacing w:after="0" w:line="360" w:lineRule="auto"/>
        <w:jc w:val="both"/>
        <w:rPr>
          <w:rFonts w:ascii="Arial" w:hAnsi="Arial" w:cs="Arial"/>
          <w:color w:val="000000"/>
          <w:sz w:val="22"/>
          <w:szCs w:val="22"/>
        </w:rPr>
      </w:pPr>
    </w:p>
    <w:p w14:paraId="43ED6D6D" w14:textId="13567B2A" w:rsidR="00DC792C" w:rsidRPr="000454D9" w:rsidRDefault="007F4225" w:rsidP="000454D9">
      <w:pPr>
        <w:pBdr>
          <w:top w:val="nil"/>
          <w:left w:val="nil"/>
          <w:bottom w:val="nil"/>
          <w:right w:val="nil"/>
          <w:between w:val="nil"/>
        </w:pBdr>
        <w:spacing w:after="0" w:line="360" w:lineRule="auto"/>
        <w:jc w:val="both"/>
        <w:rPr>
          <w:rFonts w:ascii="Arial" w:hAnsi="Arial" w:cs="Arial"/>
          <w:b/>
          <w:bCs/>
          <w:color w:val="000000"/>
          <w:sz w:val="22"/>
          <w:szCs w:val="22"/>
        </w:rPr>
      </w:pPr>
      <w:r w:rsidRPr="000454D9">
        <w:rPr>
          <w:rFonts w:ascii="Arial" w:hAnsi="Arial" w:cs="Arial"/>
          <w:b/>
          <w:bCs/>
          <w:color w:val="000000"/>
          <w:sz w:val="22"/>
          <w:szCs w:val="22"/>
        </w:rPr>
        <w:t xml:space="preserve">Health </w:t>
      </w:r>
      <w:r w:rsidR="00864F2F">
        <w:rPr>
          <w:rFonts w:ascii="Arial" w:hAnsi="Arial" w:cs="Arial"/>
          <w:b/>
          <w:bCs/>
          <w:color w:val="000000"/>
          <w:sz w:val="22"/>
          <w:szCs w:val="22"/>
        </w:rPr>
        <w:t>p</w:t>
      </w:r>
      <w:r w:rsidRPr="000454D9">
        <w:rPr>
          <w:rFonts w:ascii="Arial" w:hAnsi="Arial" w:cs="Arial"/>
          <w:b/>
          <w:bCs/>
          <w:color w:val="000000"/>
          <w:sz w:val="22"/>
          <w:szCs w:val="22"/>
        </w:rPr>
        <w:t>revention in Tower Hamlets</w:t>
      </w:r>
    </w:p>
    <w:p w14:paraId="3A2552EA" w14:textId="6B8D5850" w:rsidR="00DC792C" w:rsidRPr="000454D9" w:rsidRDefault="00864F2F" w:rsidP="000454D9">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      </w:t>
      </w:r>
      <w:r w:rsidR="00DB272A" w:rsidRPr="000454D9">
        <w:rPr>
          <w:rFonts w:ascii="Arial" w:hAnsi="Arial" w:cs="Arial"/>
          <w:sz w:val="22"/>
          <w:szCs w:val="22"/>
        </w:rPr>
        <w:t>Tower Hamlets implements several public health measures focused on the prevention and management of Type 2 diabetes through community-based interventions and structured programmes</w:t>
      </w:r>
      <w:r>
        <w:rPr>
          <w:rFonts w:ascii="Arial" w:hAnsi="Arial" w:cs="Arial"/>
          <w:sz w:val="22"/>
          <w:szCs w:val="22"/>
        </w:rPr>
        <w:t xml:space="preserve"> </w:t>
      </w:r>
      <w:r w:rsidRPr="000454D9">
        <w:rPr>
          <w:rFonts w:ascii="Arial" w:eastAsia="Arial" w:hAnsi="Arial" w:cs="Arial"/>
          <w:color w:val="000000"/>
          <w:sz w:val="22"/>
          <w:szCs w:val="22"/>
        </w:rPr>
        <w:t>(Lovitt and Khan, 2019)</w:t>
      </w:r>
      <w:r w:rsidR="00DB272A" w:rsidRPr="000454D9">
        <w:rPr>
          <w:rFonts w:ascii="Arial" w:hAnsi="Arial" w:cs="Arial"/>
          <w:sz w:val="22"/>
          <w:szCs w:val="22"/>
        </w:rPr>
        <w:t xml:space="preserve">. Among the most significant are the NHS Diabetes Prevention Programme (NDPP) and Level 2 to 4 weight-management services, which address key risk factors such as poor diet, physical inactivity, and obesity. These programmes </w:t>
      </w:r>
      <w:r w:rsidR="006E441E" w:rsidRPr="000454D9">
        <w:rPr>
          <w:rFonts w:ascii="Arial" w:hAnsi="Arial" w:cs="Arial"/>
          <w:sz w:val="22"/>
          <w:szCs w:val="22"/>
        </w:rPr>
        <w:t>supply</w:t>
      </w:r>
      <w:r w:rsidR="00DB272A" w:rsidRPr="000454D9">
        <w:rPr>
          <w:rFonts w:ascii="Arial" w:hAnsi="Arial" w:cs="Arial"/>
          <w:sz w:val="22"/>
          <w:szCs w:val="22"/>
        </w:rPr>
        <w:t xml:space="preserve"> health education, personalised support, and guidance to encourage regular physical activity.</w:t>
      </w:r>
      <w:r w:rsidR="000454D9" w:rsidRPr="000454D9">
        <w:rPr>
          <w:rFonts w:ascii="Arial" w:hAnsi="Arial" w:cs="Arial"/>
          <w:sz w:val="22"/>
          <w:szCs w:val="22"/>
        </w:rPr>
        <w:t xml:space="preserve"> </w:t>
      </w:r>
      <w:r w:rsidR="00DB272A" w:rsidRPr="000454D9">
        <w:rPr>
          <w:rFonts w:ascii="Arial" w:hAnsi="Arial" w:cs="Arial"/>
          <w:sz w:val="22"/>
          <w:szCs w:val="22"/>
        </w:rPr>
        <w:t xml:space="preserve">Early detection is promoted through NHS Health Checks and risk stratification in primary care, enabling the identification of individuals at </w:t>
      </w:r>
      <w:r w:rsidR="006E441E" w:rsidRPr="000454D9">
        <w:rPr>
          <w:rFonts w:ascii="Arial" w:hAnsi="Arial" w:cs="Arial"/>
          <w:sz w:val="22"/>
          <w:szCs w:val="22"/>
        </w:rPr>
        <w:t>substantial risk</w:t>
      </w:r>
      <w:r w:rsidR="00DB272A" w:rsidRPr="000454D9">
        <w:rPr>
          <w:rFonts w:ascii="Arial" w:hAnsi="Arial" w:cs="Arial"/>
          <w:sz w:val="22"/>
          <w:szCs w:val="22"/>
        </w:rPr>
        <w:t xml:space="preserve"> before the onset of the disease. In parallel, health communication campaigns raise awareness of diabetes, healthy lifestyle habits, and available services, using social media, local events, and culturally tailored activities designed for the borough’s diverse communities. These strategies aim to reduce the incidence of the disease and improve health outcomes across the population</w:t>
      </w:r>
      <w:r w:rsidR="00DB272A" w:rsidRPr="000454D9">
        <w:rPr>
          <w:rFonts w:ascii="Arial" w:eastAsia="Arial" w:hAnsi="Arial" w:cs="Arial"/>
          <w:sz w:val="22"/>
          <w:szCs w:val="22"/>
        </w:rPr>
        <w:t xml:space="preserve"> </w:t>
      </w:r>
      <w:r w:rsidR="007F4225" w:rsidRPr="000454D9">
        <w:rPr>
          <w:rFonts w:ascii="Arial" w:eastAsia="Arial" w:hAnsi="Arial" w:cs="Arial"/>
          <w:color w:val="000000"/>
          <w:sz w:val="22"/>
          <w:szCs w:val="22"/>
        </w:rPr>
        <w:t>(Lovitt and Khan, 2019).</w:t>
      </w:r>
      <w:r w:rsidR="007F4225" w:rsidRPr="000454D9">
        <w:rPr>
          <w:rFonts w:ascii="Arial" w:hAnsi="Arial" w:cs="Arial"/>
          <w:color w:val="000000"/>
          <w:sz w:val="22"/>
          <w:szCs w:val="22"/>
        </w:rPr>
        <w:t xml:space="preserve"> </w:t>
      </w:r>
    </w:p>
    <w:p w14:paraId="02C1D0B6" w14:textId="77777777" w:rsidR="000454D9" w:rsidRDefault="000454D9">
      <w:pPr>
        <w:pBdr>
          <w:top w:val="nil"/>
          <w:left w:val="nil"/>
          <w:bottom w:val="nil"/>
          <w:right w:val="nil"/>
          <w:between w:val="nil"/>
        </w:pBdr>
        <w:rPr>
          <w:color w:val="000000"/>
        </w:rPr>
      </w:pPr>
    </w:p>
    <w:p w14:paraId="44EAAACE" w14:textId="55C6BB34" w:rsidR="00DC792C" w:rsidRPr="000454D9" w:rsidRDefault="007F4225" w:rsidP="000454D9">
      <w:pPr>
        <w:pBdr>
          <w:top w:val="nil"/>
          <w:left w:val="nil"/>
          <w:bottom w:val="nil"/>
          <w:right w:val="nil"/>
          <w:between w:val="nil"/>
        </w:pBdr>
        <w:spacing w:after="0" w:line="360" w:lineRule="auto"/>
        <w:jc w:val="both"/>
        <w:rPr>
          <w:rFonts w:ascii="Arial" w:hAnsi="Arial" w:cs="Arial"/>
          <w:b/>
          <w:bCs/>
          <w:color w:val="000000"/>
          <w:sz w:val="22"/>
          <w:szCs w:val="22"/>
        </w:rPr>
      </w:pPr>
      <w:r w:rsidRPr="000454D9">
        <w:rPr>
          <w:rFonts w:ascii="Arial" w:hAnsi="Arial" w:cs="Arial"/>
          <w:b/>
          <w:bCs/>
          <w:color w:val="000000"/>
          <w:sz w:val="22"/>
          <w:szCs w:val="22"/>
        </w:rPr>
        <w:t xml:space="preserve">Health </w:t>
      </w:r>
      <w:r w:rsidR="00864F2F">
        <w:rPr>
          <w:rFonts w:ascii="Arial" w:hAnsi="Arial" w:cs="Arial"/>
          <w:b/>
          <w:bCs/>
          <w:color w:val="000000"/>
          <w:sz w:val="22"/>
          <w:szCs w:val="22"/>
        </w:rPr>
        <w:t>p</w:t>
      </w:r>
      <w:r w:rsidRPr="000454D9">
        <w:rPr>
          <w:rFonts w:ascii="Arial" w:hAnsi="Arial" w:cs="Arial"/>
          <w:b/>
          <w:bCs/>
          <w:color w:val="000000"/>
          <w:sz w:val="22"/>
          <w:szCs w:val="22"/>
        </w:rPr>
        <w:t>rotection in Tower Hamlets</w:t>
      </w:r>
    </w:p>
    <w:p w14:paraId="2BAC52E8" w14:textId="5F95CC65" w:rsidR="00DC792C" w:rsidRDefault="00864F2F" w:rsidP="000454D9">
      <w:pPr>
        <w:pStyle w:val="NormalWeb"/>
        <w:spacing w:before="0" w:beforeAutospacing="0" w:after="0" w:afterAutospacing="0" w:line="360" w:lineRule="auto"/>
        <w:jc w:val="both"/>
        <w:rPr>
          <w:rFonts w:ascii="Arial" w:hAnsi="Arial" w:cs="Arial"/>
          <w:color w:val="000000"/>
          <w:sz w:val="22"/>
          <w:szCs w:val="22"/>
        </w:rPr>
      </w:pPr>
      <w:r>
        <w:rPr>
          <w:rFonts w:ascii="Arial" w:hAnsi="Arial" w:cs="Arial"/>
          <w:sz w:val="22"/>
          <w:szCs w:val="22"/>
        </w:rPr>
        <w:t xml:space="preserve">      </w:t>
      </w:r>
      <w:r w:rsidR="00DB272A" w:rsidRPr="000454D9">
        <w:rPr>
          <w:rFonts w:ascii="Arial" w:hAnsi="Arial" w:cs="Arial"/>
          <w:sz w:val="22"/>
          <w:szCs w:val="22"/>
        </w:rPr>
        <w:t>Health protection measures in Tower Hamlets aim to reduce the risk of complications associated with diabetes and to safeguard the most vulnerable individuals</w:t>
      </w:r>
      <w:r>
        <w:rPr>
          <w:rFonts w:ascii="Arial" w:hAnsi="Arial" w:cs="Arial"/>
          <w:sz w:val="22"/>
          <w:szCs w:val="22"/>
        </w:rPr>
        <w:t xml:space="preserve"> </w:t>
      </w:r>
      <w:r w:rsidRPr="000454D9">
        <w:rPr>
          <w:rFonts w:ascii="Arial" w:eastAsia="Arial" w:hAnsi="Arial" w:cs="Arial"/>
          <w:color w:val="000000"/>
          <w:sz w:val="22"/>
          <w:szCs w:val="22"/>
        </w:rPr>
        <w:t>(Lovitt and Khan, 2019)</w:t>
      </w:r>
      <w:r w:rsidR="00DB272A" w:rsidRPr="000454D9">
        <w:rPr>
          <w:rFonts w:ascii="Arial" w:hAnsi="Arial" w:cs="Arial"/>
          <w:sz w:val="22"/>
          <w:szCs w:val="22"/>
        </w:rPr>
        <w:t>. These include screening and monitoring programmes such as retinal examinations, regular foot assessments, and blood pressure and cholesterol checks, with the goal of preventing serious complications, including cardiovascular disease, blindness, and amputations.</w:t>
      </w:r>
      <w:r w:rsidR="000454D9">
        <w:rPr>
          <w:rFonts w:ascii="Arial" w:hAnsi="Arial" w:cs="Arial"/>
          <w:sz w:val="22"/>
          <w:szCs w:val="22"/>
        </w:rPr>
        <w:t xml:space="preserve"> </w:t>
      </w:r>
      <w:r w:rsidR="00DB272A" w:rsidRPr="000454D9">
        <w:rPr>
          <w:rFonts w:ascii="Arial" w:hAnsi="Arial" w:cs="Arial"/>
          <w:sz w:val="22"/>
          <w:szCs w:val="22"/>
        </w:rPr>
        <w:t>In addition, there is specialised mental health support and therapeutic education for people living with diabetes, recognising the psychological impact of the condition. Health services work in an integrated manner across primary care, hospitals, and community organisations, ensuring continuity of care, early detection of problems, and effective protection of the affected population</w:t>
      </w:r>
      <w:r w:rsidR="007F4225" w:rsidRPr="000454D9">
        <w:rPr>
          <w:rFonts w:ascii="Arial" w:eastAsia="Arial" w:hAnsi="Arial" w:cs="Arial"/>
          <w:sz w:val="22"/>
          <w:szCs w:val="22"/>
        </w:rPr>
        <w:t xml:space="preserve"> </w:t>
      </w:r>
      <w:r w:rsidR="007F4225" w:rsidRPr="000454D9">
        <w:rPr>
          <w:rFonts w:ascii="Arial" w:eastAsia="Arial" w:hAnsi="Arial" w:cs="Arial"/>
          <w:color w:val="000000"/>
          <w:sz w:val="22"/>
          <w:szCs w:val="22"/>
        </w:rPr>
        <w:t>(Lovitt and Khan, 2019).</w:t>
      </w:r>
      <w:r w:rsidR="007F4225" w:rsidRPr="000454D9">
        <w:rPr>
          <w:rFonts w:ascii="Arial" w:hAnsi="Arial" w:cs="Arial"/>
          <w:color w:val="000000"/>
          <w:sz w:val="22"/>
          <w:szCs w:val="22"/>
        </w:rPr>
        <w:t xml:space="preserve"> </w:t>
      </w:r>
    </w:p>
    <w:p w14:paraId="1E9F5F4E" w14:textId="77777777" w:rsidR="000454D9" w:rsidRPr="000454D9" w:rsidRDefault="000454D9" w:rsidP="000454D9">
      <w:pPr>
        <w:pStyle w:val="NormalWeb"/>
        <w:spacing w:before="0" w:beforeAutospacing="0" w:after="0" w:afterAutospacing="0" w:line="360" w:lineRule="auto"/>
        <w:jc w:val="both"/>
        <w:rPr>
          <w:rFonts w:ascii="Arial" w:hAnsi="Arial" w:cs="Arial"/>
          <w:sz w:val="22"/>
          <w:szCs w:val="22"/>
        </w:rPr>
      </w:pPr>
    </w:p>
    <w:p w14:paraId="0CF550BF" w14:textId="3A74457C" w:rsidR="00DC792C" w:rsidRPr="000454D9" w:rsidRDefault="007F4225" w:rsidP="000454D9">
      <w:pPr>
        <w:pBdr>
          <w:top w:val="nil"/>
          <w:left w:val="nil"/>
          <w:bottom w:val="nil"/>
          <w:right w:val="nil"/>
          <w:between w:val="nil"/>
        </w:pBdr>
        <w:spacing w:after="0" w:line="360" w:lineRule="auto"/>
        <w:jc w:val="both"/>
        <w:rPr>
          <w:rFonts w:ascii="Arial" w:hAnsi="Arial" w:cs="Arial"/>
          <w:color w:val="000000"/>
          <w:sz w:val="22"/>
          <w:szCs w:val="22"/>
        </w:rPr>
      </w:pPr>
      <w:r w:rsidRPr="000454D9">
        <w:rPr>
          <w:rFonts w:ascii="Arial" w:hAnsi="Arial" w:cs="Arial"/>
          <w:b/>
          <w:bCs/>
          <w:color w:val="000000"/>
          <w:sz w:val="22"/>
          <w:szCs w:val="22"/>
        </w:rPr>
        <w:t xml:space="preserve">Determinants/Risk </w:t>
      </w:r>
      <w:r w:rsidR="00864F2F">
        <w:rPr>
          <w:rFonts w:ascii="Arial" w:hAnsi="Arial" w:cs="Arial"/>
          <w:b/>
          <w:bCs/>
          <w:color w:val="000000"/>
          <w:sz w:val="22"/>
          <w:szCs w:val="22"/>
        </w:rPr>
        <w:t>f</w:t>
      </w:r>
      <w:r w:rsidRPr="000454D9">
        <w:rPr>
          <w:rFonts w:ascii="Arial" w:hAnsi="Arial" w:cs="Arial"/>
          <w:b/>
          <w:bCs/>
          <w:color w:val="000000"/>
          <w:sz w:val="22"/>
          <w:szCs w:val="22"/>
        </w:rPr>
        <w:t xml:space="preserve">actors for </w:t>
      </w:r>
      <w:r w:rsidR="00864F2F">
        <w:rPr>
          <w:rFonts w:ascii="Arial" w:hAnsi="Arial" w:cs="Arial"/>
          <w:b/>
          <w:bCs/>
          <w:color w:val="000000"/>
          <w:sz w:val="22"/>
          <w:szCs w:val="22"/>
        </w:rPr>
        <w:t>t</w:t>
      </w:r>
      <w:r w:rsidRPr="000454D9">
        <w:rPr>
          <w:rFonts w:ascii="Arial" w:hAnsi="Arial" w:cs="Arial"/>
          <w:b/>
          <w:bCs/>
          <w:color w:val="000000"/>
          <w:sz w:val="22"/>
          <w:szCs w:val="22"/>
        </w:rPr>
        <w:t xml:space="preserve">ype 2 </w:t>
      </w:r>
      <w:r w:rsidR="00864F2F">
        <w:rPr>
          <w:rFonts w:ascii="Arial" w:hAnsi="Arial" w:cs="Arial"/>
          <w:b/>
          <w:bCs/>
          <w:color w:val="000000"/>
          <w:sz w:val="22"/>
          <w:szCs w:val="22"/>
        </w:rPr>
        <w:t>d</w:t>
      </w:r>
      <w:r w:rsidRPr="000454D9">
        <w:rPr>
          <w:rFonts w:ascii="Arial" w:hAnsi="Arial" w:cs="Arial"/>
          <w:b/>
          <w:bCs/>
          <w:color w:val="000000"/>
          <w:sz w:val="22"/>
          <w:szCs w:val="22"/>
        </w:rPr>
        <w:t>iabetes</w:t>
      </w:r>
    </w:p>
    <w:p w14:paraId="14B22254" w14:textId="2FE474EC" w:rsidR="00DC792C" w:rsidRDefault="00864F2F" w:rsidP="000454D9">
      <w:pPr>
        <w:pStyle w:val="NormalWeb"/>
        <w:spacing w:before="0" w:beforeAutospacing="0" w:after="0" w:afterAutospacing="0" w:line="360" w:lineRule="auto"/>
        <w:jc w:val="both"/>
        <w:rPr>
          <w:rFonts w:ascii="Arial" w:eastAsia="Arial" w:hAnsi="Arial" w:cs="Arial"/>
          <w:sz w:val="22"/>
          <w:szCs w:val="22"/>
        </w:rPr>
      </w:pPr>
      <w:r>
        <w:rPr>
          <w:rFonts w:ascii="Arial" w:hAnsi="Arial" w:cs="Arial"/>
          <w:sz w:val="22"/>
          <w:szCs w:val="22"/>
        </w:rPr>
        <w:t xml:space="preserve">      </w:t>
      </w:r>
      <w:r w:rsidR="00DB272A" w:rsidRPr="000454D9">
        <w:rPr>
          <w:rFonts w:ascii="Arial" w:hAnsi="Arial" w:cs="Arial"/>
          <w:sz w:val="22"/>
          <w:szCs w:val="22"/>
        </w:rPr>
        <w:t>Type 2 diabetes results from a combination of lifestyle, genetic, and clinical factors. Excess weight and physical inactivity are the main risk factors, as they contribute to increased insulin resistance</w:t>
      </w:r>
      <w:r>
        <w:rPr>
          <w:rFonts w:ascii="Arial" w:hAnsi="Arial" w:cs="Arial"/>
          <w:sz w:val="22"/>
          <w:szCs w:val="22"/>
        </w:rPr>
        <w:t xml:space="preserve"> </w:t>
      </w:r>
      <w:r w:rsidRPr="000454D9">
        <w:rPr>
          <w:rFonts w:ascii="Arial" w:eastAsia="Arial" w:hAnsi="Arial" w:cs="Arial"/>
          <w:sz w:val="22"/>
          <w:szCs w:val="22"/>
        </w:rPr>
        <w:t>(NICE, 2025</w:t>
      </w:r>
      <w:r>
        <w:rPr>
          <w:rFonts w:ascii="Arial" w:eastAsia="Arial" w:hAnsi="Arial" w:cs="Arial"/>
          <w:sz w:val="22"/>
          <w:szCs w:val="22"/>
        </w:rPr>
        <w:t>)</w:t>
      </w:r>
      <w:r w:rsidR="00DB272A" w:rsidRPr="000454D9">
        <w:rPr>
          <w:rFonts w:ascii="Arial" w:hAnsi="Arial" w:cs="Arial"/>
          <w:sz w:val="22"/>
          <w:szCs w:val="22"/>
        </w:rPr>
        <w:t>. Family history is also relevant, with the risk being higher when one or both parents have diabetes.</w:t>
      </w:r>
      <w:r w:rsidR="000454D9">
        <w:rPr>
          <w:rFonts w:ascii="Arial" w:hAnsi="Arial" w:cs="Arial"/>
          <w:sz w:val="22"/>
          <w:szCs w:val="22"/>
        </w:rPr>
        <w:t xml:space="preserve"> </w:t>
      </w:r>
      <w:r w:rsidR="00DB272A" w:rsidRPr="000454D9">
        <w:rPr>
          <w:rFonts w:ascii="Arial" w:hAnsi="Arial" w:cs="Arial"/>
          <w:sz w:val="22"/>
          <w:szCs w:val="22"/>
        </w:rPr>
        <w:t>Certain ethnic groups, including people of South Asian, African, and Afro-Caribbean origin, are more likely to develop Type 2 diabetes compared with white populations. Other risk factors include a history of gestational diabetes, diets high in sugars and refined carbohydrates, metabolic syndrome, polycystic ovary syndrome, certain medications, and early-life factors such as low birth weight or premature birth</w:t>
      </w:r>
      <w:r w:rsidR="007F4225" w:rsidRPr="000454D9">
        <w:rPr>
          <w:rFonts w:ascii="Arial" w:eastAsia="Arial" w:hAnsi="Arial" w:cs="Arial"/>
          <w:sz w:val="22"/>
          <w:szCs w:val="22"/>
        </w:rPr>
        <w:t xml:space="preserve"> (NICE, 2025).</w:t>
      </w:r>
    </w:p>
    <w:p w14:paraId="584FFD0B" w14:textId="77777777" w:rsidR="000454D9" w:rsidRPr="000454D9" w:rsidRDefault="000454D9" w:rsidP="000454D9">
      <w:pPr>
        <w:pStyle w:val="NormalWeb"/>
        <w:spacing w:before="0" w:beforeAutospacing="0" w:after="0" w:afterAutospacing="0" w:line="360" w:lineRule="auto"/>
        <w:jc w:val="both"/>
        <w:rPr>
          <w:rFonts w:ascii="Arial" w:hAnsi="Arial" w:cs="Arial"/>
          <w:sz w:val="22"/>
          <w:szCs w:val="22"/>
        </w:rPr>
      </w:pPr>
    </w:p>
    <w:p w14:paraId="66CD36DE" w14:textId="4FA8495F" w:rsidR="00DC792C" w:rsidRPr="00780787" w:rsidRDefault="00780787" w:rsidP="000454D9">
      <w:pPr>
        <w:pBdr>
          <w:top w:val="nil"/>
          <w:left w:val="nil"/>
          <w:bottom w:val="nil"/>
          <w:right w:val="nil"/>
          <w:between w:val="nil"/>
        </w:pBdr>
        <w:spacing w:after="0" w:line="360" w:lineRule="auto"/>
        <w:jc w:val="both"/>
        <w:rPr>
          <w:rFonts w:ascii="Arial" w:hAnsi="Arial" w:cs="Arial"/>
          <w:b/>
          <w:bCs/>
          <w:color w:val="000000"/>
          <w:sz w:val="22"/>
          <w:szCs w:val="22"/>
        </w:rPr>
      </w:pPr>
      <w:r w:rsidRPr="00780787">
        <w:rPr>
          <w:b/>
          <w:bCs/>
        </w:rPr>
        <w:t xml:space="preserve">Understanding the </w:t>
      </w:r>
      <w:r>
        <w:rPr>
          <w:b/>
          <w:bCs/>
        </w:rPr>
        <w:t>h</w:t>
      </w:r>
      <w:r w:rsidRPr="00780787">
        <w:rPr>
          <w:b/>
          <w:bCs/>
        </w:rPr>
        <w:t xml:space="preserve">igh </w:t>
      </w:r>
      <w:r>
        <w:rPr>
          <w:b/>
          <w:bCs/>
        </w:rPr>
        <w:t>b</w:t>
      </w:r>
      <w:r w:rsidRPr="00780787">
        <w:rPr>
          <w:b/>
          <w:bCs/>
        </w:rPr>
        <w:t xml:space="preserve">urden of </w:t>
      </w:r>
      <w:r>
        <w:rPr>
          <w:b/>
          <w:bCs/>
        </w:rPr>
        <w:t>d</w:t>
      </w:r>
      <w:r w:rsidRPr="00780787">
        <w:rPr>
          <w:b/>
          <w:bCs/>
        </w:rPr>
        <w:t xml:space="preserve">iabetes in Tower Hamlets: </w:t>
      </w:r>
      <w:r>
        <w:rPr>
          <w:b/>
          <w:bCs/>
        </w:rPr>
        <w:t>k</w:t>
      </w:r>
      <w:r w:rsidRPr="00780787">
        <w:rPr>
          <w:b/>
          <w:bCs/>
        </w:rPr>
        <w:t xml:space="preserve">ey </w:t>
      </w:r>
      <w:r>
        <w:rPr>
          <w:b/>
          <w:bCs/>
        </w:rPr>
        <w:t>r</w:t>
      </w:r>
      <w:r w:rsidRPr="00780787">
        <w:rPr>
          <w:b/>
          <w:bCs/>
        </w:rPr>
        <w:t xml:space="preserve">isk </w:t>
      </w:r>
      <w:r>
        <w:rPr>
          <w:b/>
          <w:bCs/>
        </w:rPr>
        <w:t>f</w:t>
      </w:r>
      <w:r w:rsidRPr="00780787">
        <w:rPr>
          <w:b/>
          <w:bCs/>
        </w:rPr>
        <w:t>actor</w:t>
      </w:r>
      <w:r w:rsidRPr="00780787">
        <w:rPr>
          <w:b/>
          <w:bCs/>
        </w:rPr>
        <w:t>s</w:t>
      </w:r>
    </w:p>
    <w:p w14:paraId="540734A2" w14:textId="2DDEE4E1" w:rsidR="00DC792C" w:rsidRDefault="00864F2F" w:rsidP="000454D9">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       </w:t>
      </w:r>
      <w:r w:rsidR="00DB272A" w:rsidRPr="000454D9">
        <w:rPr>
          <w:rFonts w:ascii="Arial" w:hAnsi="Arial" w:cs="Arial"/>
          <w:sz w:val="22"/>
          <w:szCs w:val="22"/>
        </w:rPr>
        <w:t>In Tower Hamlets, the high prevalence and rapid growth of diabetes, particularly Type 2 diabetes, are strongly associated with a set of adverse social, economic, demographic, and behavioural determinants</w:t>
      </w:r>
      <w:r>
        <w:rPr>
          <w:rFonts w:ascii="Arial" w:hAnsi="Arial" w:cs="Arial"/>
          <w:sz w:val="22"/>
          <w:szCs w:val="22"/>
        </w:rPr>
        <w:t xml:space="preserve"> </w:t>
      </w:r>
      <w:r w:rsidRPr="000454D9">
        <w:rPr>
          <w:rFonts w:ascii="Arial" w:hAnsi="Arial" w:cs="Arial"/>
          <w:sz w:val="22"/>
          <w:szCs w:val="22"/>
        </w:rPr>
        <w:t>(Chowdhury and Huda, n.d.)</w:t>
      </w:r>
      <w:r w:rsidR="00DB272A" w:rsidRPr="000454D9">
        <w:rPr>
          <w:rFonts w:ascii="Arial" w:hAnsi="Arial" w:cs="Arial"/>
          <w:sz w:val="22"/>
          <w:szCs w:val="22"/>
        </w:rPr>
        <w:t xml:space="preserve">. The borough is the third most deprived in the United Kingdom, with </w:t>
      </w:r>
      <w:r w:rsidR="006E441E" w:rsidRPr="000454D9">
        <w:rPr>
          <w:rFonts w:ascii="Arial" w:hAnsi="Arial" w:cs="Arial"/>
          <w:sz w:val="22"/>
          <w:szCs w:val="22"/>
        </w:rPr>
        <w:t>elevated levels</w:t>
      </w:r>
      <w:r w:rsidR="00DB272A" w:rsidRPr="000454D9">
        <w:rPr>
          <w:rFonts w:ascii="Arial" w:hAnsi="Arial" w:cs="Arial"/>
          <w:sz w:val="22"/>
          <w:szCs w:val="22"/>
        </w:rPr>
        <w:t xml:space="preserve"> of social deprivation that directly influence the risk of chronic disease.</w:t>
      </w:r>
      <w:r w:rsidR="000454D9" w:rsidRPr="000454D9">
        <w:rPr>
          <w:rFonts w:ascii="Arial" w:hAnsi="Arial" w:cs="Arial"/>
          <w:sz w:val="22"/>
          <w:szCs w:val="22"/>
        </w:rPr>
        <w:t xml:space="preserve"> </w:t>
      </w:r>
      <w:r w:rsidR="00DB272A" w:rsidRPr="000454D9">
        <w:rPr>
          <w:rFonts w:ascii="Arial" w:hAnsi="Arial" w:cs="Arial"/>
          <w:sz w:val="22"/>
          <w:szCs w:val="22"/>
        </w:rPr>
        <w:t>Demographically, more than 30% of the population is of South Asian origin and around 10% is Afro-Caribbean, ethnic groups known to have a higher risk of developing Type 2 diabetes. The population is relatively young, but with high birth rates and a large proportion of children living in households dependent on social support, reflecting persistent economic vulnerability throughout the life course.</w:t>
      </w:r>
      <w:r w:rsidR="000454D9" w:rsidRPr="000454D9">
        <w:rPr>
          <w:rFonts w:ascii="Arial" w:hAnsi="Arial" w:cs="Arial"/>
          <w:sz w:val="22"/>
          <w:szCs w:val="22"/>
        </w:rPr>
        <w:t xml:space="preserve"> </w:t>
      </w:r>
      <w:r w:rsidR="00DB272A" w:rsidRPr="000454D9">
        <w:rPr>
          <w:rFonts w:ascii="Arial" w:hAnsi="Arial" w:cs="Arial"/>
          <w:sz w:val="22"/>
          <w:szCs w:val="22"/>
        </w:rPr>
        <w:t xml:space="preserve">Socioeconomic conditions contribute significantly to diabetes risk. </w:t>
      </w:r>
      <w:r w:rsidR="006E441E" w:rsidRPr="000454D9">
        <w:rPr>
          <w:rFonts w:ascii="Arial" w:hAnsi="Arial" w:cs="Arial"/>
          <w:sz w:val="22"/>
          <w:szCs w:val="22"/>
        </w:rPr>
        <w:t>A substantial proportion</w:t>
      </w:r>
      <w:r w:rsidR="00DB272A" w:rsidRPr="000454D9">
        <w:rPr>
          <w:rFonts w:ascii="Arial" w:hAnsi="Arial" w:cs="Arial"/>
          <w:sz w:val="22"/>
          <w:szCs w:val="22"/>
        </w:rPr>
        <w:t xml:space="preserve"> of the population lives in social housing or in private accommodation considered “non-decent”, and almost one-quarter of the working-age population has no formal qualifications. Crime rates are substantially higher than the </w:t>
      </w:r>
      <w:r w:rsidR="00DB272A" w:rsidRPr="000454D9">
        <w:rPr>
          <w:rFonts w:ascii="Arial" w:hAnsi="Arial" w:cs="Arial"/>
          <w:sz w:val="22"/>
          <w:szCs w:val="22"/>
        </w:rPr>
        <w:lastRenderedPageBreak/>
        <w:t>London average, creating an environment that may hinder healthy lifestyles, including regular physical activity.</w:t>
      </w:r>
      <w:r>
        <w:rPr>
          <w:rFonts w:ascii="Arial" w:hAnsi="Arial" w:cs="Arial"/>
          <w:sz w:val="22"/>
          <w:szCs w:val="22"/>
        </w:rPr>
        <w:t xml:space="preserve"> </w:t>
      </w:r>
      <w:r w:rsidR="00DB272A" w:rsidRPr="000454D9">
        <w:rPr>
          <w:rFonts w:ascii="Arial" w:hAnsi="Arial" w:cs="Arial"/>
          <w:sz w:val="22"/>
          <w:szCs w:val="22"/>
        </w:rPr>
        <w:t xml:space="preserve">Health-related behaviours are a central risk factor. Smoking rates are high (27%), and particularly elevated among Bangladeshi men (40%), contributing to increased cardiovascular mortality. Diet is generally inadequate, with 90% of the population consuming fewer than five portions of fruit and vegetables per day. Levels of physical activity are low, especially among Bangladeshi women. In addition, </w:t>
      </w:r>
      <w:r w:rsidR="006E441E" w:rsidRPr="000454D9">
        <w:rPr>
          <w:rFonts w:ascii="Arial" w:hAnsi="Arial" w:cs="Arial"/>
          <w:sz w:val="22"/>
          <w:szCs w:val="22"/>
        </w:rPr>
        <w:t>a considerable proportion</w:t>
      </w:r>
      <w:r w:rsidR="00DB272A" w:rsidRPr="000454D9">
        <w:rPr>
          <w:rFonts w:ascii="Arial" w:hAnsi="Arial" w:cs="Arial"/>
          <w:sz w:val="22"/>
          <w:szCs w:val="22"/>
        </w:rPr>
        <w:t xml:space="preserve"> of the white population </w:t>
      </w:r>
      <w:r w:rsidR="006E441E" w:rsidRPr="000454D9">
        <w:rPr>
          <w:rFonts w:ascii="Arial" w:hAnsi="Arial" w:cs="Arial"/>
          <w:sz w:val="22"/>
          <w:szCs w:val="22"/>
        </w:rPr>
        <w:t>shows</w:t>
      </w:r>
      <w:r w:rsidR="00DB272A" w:rsidRPr="000454D9">
        <w:rPr>
          <w:rFonts w:ascii="Arial" w:hAnsi="Arial" w:cs="Arial"/>
          <w:sz w:val="22"/>
          <w:szCs w:val="22"/>
        </w:rPr>
        <w:t xml:space="preserve"> problematic alcohol consumption.</w:t>
      </w:r>
      <w:r w:rsidR="0010205B">
        <w:rPr>
          <w:rFonts w:ascii="Arial" w:hAnsi="Arial" w:cs="Arial"/>
          <w:sz w:val="22"/>
          <w:szCs w:val="22"/>
        </w:rPr>
        <w:t xml:space="preserve"> </w:t>
      </w:r>
      <w:r w:rsidR="00DB272A" w:rsidRPr="000454D9">
        <w:rPr>
          <w:rFonts w:ascii="Arial" w:hAnsi="Arial" w:cs="Arial"/>
          <w:sz w:val="22"/>
          <w:szCs w:val="22"/>
        </w:rPr>
        <w:t xml:space="preserve">These risk behaviours </w:t>
      </w:r>
      <w:r w:rsidR="006E441E" w:rsidRPr="000454D9">
        <w:rPr>
          <w:rFonts w:ascii="Arial" w:hAnsi="Arial" w:cs="Arial"/>
          <w:sz w:val="22"/>
          <w:szCs w:val="22"/>
        </w:rPr>
        <w:t>often</w:t>
      </w:r>
      <w:r w:rsidR="00DB272A" w:rsidRPr="000454D9">
        <w:rPr>
          <w:rFonts w:ascii="Arial" w:hAnsi="Arial" w:cs="Arial"/>
          <w:sz w:val="22"/>
          <w:szCs w:val="22"/>
        </w:rPr>
        <w:t xml:space="preserve"> coexist, with four in ten residents adopting only one healthy behaviour, usually abstaining from alcohol</w:t>
      </w:r>
      <w:r>
        <w:rPr>
          <w:rFonts w:ascii="Arial" w:hAnsi="Arial" w:cs="Arial"/>
          <w:sz w:val="22"/>
          <w:szCs w:val="22"/>
        </w:rPr>
        <w:t xml:space="preserve"> </w:t>
      </w:r>
      <w:r w:rsidR="00DB272A" w:rsidRPr="000454D9">
        <w:rPr>
          <w:rFonts w:ascii="Arial" w:hAnsi="Arial" w:cs="Arial"/>
          <w:sz w:val="22"/>
          <w:szCs w:val="22"/>
        </w:rPr>
        <w:t xml:space="preserve">highlighting an overall pattern of unhealthy lifestyles. Consequently, Tower Hamlets has </w:t>
      </w:r>
      <w:r w:rsidR="006E441E" w:rsidRPr="000454D9">
        <w:rPr>
          <w:rFonts w:ascii="Arial" w:hAnsi="Arial" w:cs="Arial"/>
          <w:sz w:val="22"/>
          <w:szCs w:val="22"/>
        </w:rPr>
        <w:t>an extremely high</w:t>
      </w:r>
      <w:r w:rsidR="00DB272A" w:rsidRPr="000454D9">
        <w:rPr>
          <w:rFonts w:ascii="Arial" w:hAnsi="Arial" w:cs="Arial"/>
          <w:sz w:val="22"/>
          <w:szCs w:val="22"/>
        </w:rPr>
        <w:t xml:space="preserve"> age-standardised cardiovascular mortality ratio, which is </w:t>
      </w:r>
      <w:r w:rsidR="006E441E" w:rsidRPr="000454D9">
        <w:rPr>
          <w:rFonts w:ascii="Arial" w:hAnsi="Arial" w:cs="Arial"/>
          <w:sz w:val="22"/>
          <w:szCs w:val="22"/>
        </w:rPr>
        <w:t>linked</w:t>
      </w:r>
      <w:r w:rsidR="00DB272A" w:rsidRPr="000454D9">
        <w:rPr>
          <w:rFonts w:ascii="Arial" w:hAnsi="Arial" w:cs="Arial"/>
          <w:sz w:val="22"/>
          <w:szCs w:val="22"/>
        </w:rPr>
        <w:t xml:space="preserve"> to the prevalence of diabetes.</w:t>
      </w:r>
      <w:r w:rsidR="0010205B">
        <w:rPr>
          <w:rFonts w:ascii="Arial" w:hAnsi="Arial" w:cs="Arial"/>
          <w:sz w:val="22"/>
          <w:szCs w:val="22"/>
        </w:rPr>
        <w:t xml:space="preserve"> </w:t>
      </w:r>
      <w:r w:rsidR="00DB272A" w:rsidRPr="000454D9">
        <w:rPr>
          <w:rFonts w:ascii="Arial" w:hAnsi="Arial" w:cs="Arial"/>
          <w:sz w:val="22"/>
          <w:szCs w:val="22"/>
        </w:rPr>
        <w:t>Thus, the high burden of diabetes in Tower Hamlets results from the interaction between ethnic factors, poverty, low levels of education, inadequate housing conditions, and unhealthy health behaviours. These structural determinants create a context in which the risk of developing Type 2 diabetes is particularly high and continue to drive the increasing incidence of the disease in the area</w:t>
      </w:r>
      <w:r w:rsidR="007F4225" w:rsidRPr="000454D9">
        <w:rPr>
          <w:rFonts w:ascii="Arial" w:hAnsi="Arial" w:cs="Arial"/>
          <w:sz w:val="22"/>
          <w:szCs w:val="22"/>
        </w:rPr>
        <w:t xml:space="preserve"> (Chowdhury and Huda, n.d.)</w:t>
      </w:r>
      <w:r>
        <w:rPr>
          <w:rFonts w:ascii="Arial" w:hAnsi="Arial" w:cs="Arial"/>
          <w:sz w:val="22"/>
          <w:szCs w:val="22"/>
        </w:rPr>
        <w:t>.</w:t>
      </w:r>
    </w:p>
    <w:p w14:paraId="2C5C817F" w14:textId="77777777" w:rsidR="0010205B" w:rsidRPr="000454D9" w:rsidRDefault="0010205B" w:rsidP="000454D9">
      <w:pPr>
        <w:pStyle w:val="NormalWeb"/>
        <w:spacing w:before="0" w:beforeAutospacing="0" w:after="0" w:afterAutospacing="0" w:line="360" w:lineRule="auto"/>
        <w:jc w:val="both"/>
        <w:rPr>
          <w:rFonts w:ascii="Arial" w:hAnsi="Arial" w:cs="Arial"/>
          <w:sz w:val="22"/>
          <w:szCs w:val="22"/>
        </w:rPr>
      </w:pPr>
    </w:p>
    <w:p w14:paraId="337B1B05" w14:textId="35B560C0" w:rsidR="00DC792C" w:rsidRPr="0010205B" w:rsidRDefault="007F4225" w:rsidP="0010205B">
      <w:pPr>
        <w:spacing w:after="0" w:line="360" w:lineRule="auto"/>
        <w:jc w:val="both"/>
        <w:rPr>
          <w:rFonts w:ascii="Arial" w:hAnsi="Arial" w:cs="Arial"/>
          <w:b/>
          <w:bCs/>
          <w:sz w:val="22"/>
          <w:szCs w:val="22"/>
        </w:rPr>
      </w:pPr>
      <w:r w:rsidRPr="0010205B">
        <w:rPr>
          <w:rFonts w:ascii="Arial" w:hAnsi="Arial" w:cs="Arial"/>
          <w:b/>
          <w:bCs/>
          <w:sz w:val="22"/>
          <w:szCs w:val="22"/>
        </w:rPr>
        <w:t xml:space="preserve">Epidemiology </w:t>
      </w:r>
      <w:r w:rsidR="00780787">
        <w:rPr>
          <w:rFonts w:ascii="Arial" w:hAnsi="Arial" w:cs="Arial"/>
          <w:b/>
          <w:bCs/>
          <w:sz w:val="22"/>
          <w:szCs w:val="22"/>
        </w:rPr>
        <w:t>of type 2 diabetes in Tower Hamlets</w:t>
      </w:r>
    </w:p>
    <w:p w14:paraId="73F6F77B" w14:textId="644EF147" w:rsidR="00DC792C" w:rsidRPr="0010205B" w:rsidRDefault="00864F2F" w:rsidP="0010205B">
      <w:pPr>
        <w:spacing w:after="0" w:line="360" w:lineRule="auto"/>
        <w:jc w:val="both"/>
        <w:rPr>
          <w:rFonts w:ascii="Arial" w:hAnsi="Arial" w:cs="Arial"/>
          <w:sz w:val="22"/>
          <w:szCs w:val="22"/>
        </w:rPr>
      </w:pPr>
      <w:r>
        <w:rPr>
          <w:rFonts w:ascii="Arial" w:hAnsi="Arial" w:cs="Arial"/>
          <w:sz w:val="22"/>
          <w:szCs w:val="22"/>
        </w:rPr>
        <w:t xml:space="preserve">      </w:t>
      </w:r>
      <w:r w:rsidR="00DB272A" w:rsidRPr="0010205B">
        <w:rPr>
          <w:rFonts w:ascii="Arial" w:hAnsi="Arial" w:cs="Arial"/>
          <w:sz w:val="22"/>
          <w:szCs w:val="22"/>
        </w:rPr>
        <w:t xml:space="preserve">Based on epidemiological studies and a health needs assessment conducted using data from primary care and the National Diabetes Audit, </w:t>
      </w:r>
      <w:r w:rsidR="006E441E" w:rsidRPr="0010205B">
        <w:rPr>
          <w:rFonts w:ascii="Arial" w:hAnsi="Arial" w:cs="Arial"/>
          <w:sz w:val="22"/>
          <w:szCs w:val="22"/>
        </w:rPr>
        <w:t>Type</w:t>
      </w:r>
      <w:r w:rsidR="00DB272A" w:rsidRPr="0010205B">
        <w:rPr>
          <w:rFonts w:ascii="Arial" w:hAnsi="Arial" w:cs="Arial"/>
          <w:sz w:val="22"/>
          <w:szCs w:val="22"/>
        </w:rPr>
        <w:t xml:space="preserve"> 2 diabetes disproportionately affects certain population groups in Tower Hamlets (Heald et al., 2018). For example, the Tower Hamlets Public Health Report (2022) and the Pharmaceutical Needs Assessment (2023) show that the prevalence of diabetes is particularly high among Bangladeshi adults, who constitute the most affected group in the borough.</w:t>
      </w:r>
      <w:r w:rsidR="007F4225" w:rsidRPr="0010205B">
        <w:rPr>
          <w:rFonts w:ascii="Arial" w:hAnsi="Arial" w:cs="Arial"/>
          <w:sz w:val="22"/>
          <w:szCs w:val="22"/>
        </w:rPr>
        <w:t xml:space="preserve"> (Banerjee, </w:t>
      </w:r>
      <w:r w:rsidR="00DB272A" w:rsidRPr="0010205B">
        <w:rPr>
          <w:rFonts w:ascii="Arial" w:hAnsi="Arial" w:cs="Arial"/>
          <w:sz w:val="22"/>
          <w:szCs w:val="22"/>
        </w:rPr>
        <w:t>2022) (</w:t>
      </w:r>
      <w:r w:rsidR="007F4225" w:rsidRPr="0010205B">
        <w:rPr>
          <w:rFonts w:ascii="Arial" w:hAnsi="Arial" w:cs="Arial"/>
          <w:sz w:val="22"/>
          <w:szCs w:val="22"/>
        </w:rPr>
        <w:t>Khan and Pyper, 2023)</w:t>
      </w:r>
      <w:r w:rsidR="006E441E" w:rsidRPr="0010205B">
        <w:rPr>
          <w:rFonts w:ascii="Arial" w:hAnsi="Arial" w:cs="Arial"/>
          <w:sz w:val="22"/>
          <w:szCs w:val="22"/>
        </w:rPr>
        <w:t xml:space="preserve">. </w:t>
      </w:r>
      <w:r w:rsidR="00DB272A" w:rsidRPr="0010205B">
        <w:rPr>
          <w:rFonts w:ascii="Arial" w:hAnsi="Arial" w:cs="Arial"/>
          <w:sz w:val="22"/>
          <w:szCs w:val="22"/>
        </w:rPr>
        <w:t>In these individuals, diabetes tends to develop at younger ages and carries a higher risk of complications when compared with other ethnic groups</w:t>
      </w:r>
      <w:r w:rsidR="00DB272A" w:rsidRPr="0010205B">
        <w:rPr>
          <w:rFonts w:ascii="Arial" w:hAnsi="Arial" w:cs="Arial"/>
          <w:sz w:val="22"/>
          <w:szCs w:val="22"/>
        </w:rPr>
        <w:t xml:space="preserve"> (</w:t>
      </w:r>
      <w:r w:rsidR="007F4225" w:rsidRPr="0010205B">
        <w:rPr>
          <w:rFonts w:ascii="Arial" w:hAnsi="Arial" w:cs="Arial"/>
          <w:sz w:val="22"/>
          <w:szCs w:val="22"/>
        </w:rPr>
        <w:t>Choudhury, Furbish and Chowdhury, 2016).</w:t>
      </w:r>
      <w:r>
        <w:rPr>
          <w:rFonts w:ascii="Arial" w:hAnsi="Arial" w:cs="Arial"/>
          <w:sz w:val="22"/>
          <w:szCs w:val="22"/>
        </w:rPr>
        <w:t xml:space="preserve"> </w:t>
      </w:r>
      <w:r w:rsidR="00F473A0" w:rsidRPr="0010205B">
        <w:rPr>
          <w:rFonts w:ascii="Arial" w:hAnsi="Arial" w:cs="Arial"/>
          <w:sz w:val="22"/>
          <w:szCs w:val="22"/>
        </w:rPr>
        <w:t>The analysis of the distribution of diabetes by age, ethnicity, and area of residence shows that Tower Hamlets has particularly high health needs. The greater concentration of the condition in specific population groups and in more socially deprived areas highlights significant health inequalities within the borough. This evidence suggests that a universal approach may not be sufficient to address the issue effectively. It becomes necessary to prioritise interventions targeted at the most affected groups, as well as to adapt services to the cultural and social characteristics of the local population. Targeted and culturally sensitive strategies are essential to meeting the real needs of the community and reducing the health inequalities associated with diabetes</w:t>
      </w:r>
      <w:r w:rsidR="00F473A0" w:rsidRPr="0010205B">
        <w:rPr>
          <w:rFonts w:ascii="Arial" w:hAnsi="Arial" w:cs="Arial"/>
          <w:sz w:val="22"/>
          <w:szCs w:val="22"/>
        </w:rPr>
        <w:t xml:space="preserve"> (</w:t>
      </w:r>
      <w:r w:rsidR="007F4225" w:rsidRPr="0010205B">
        <w:rPr>
          <w:rFonts w:ascii="Arial" w:hAnsi="Arial" w:cs="Arial"/>
          <w:sz w:val="22"/>
          <w:szCs w:val="22"/>
        </w:rPr>
        <w:t>Choudhury, Furbish and Chowdhury, 2016).</w:t>
      </w:r>
    </w:p>
    <w:p w14:paraId="0A4EA087" w14:textId="77777777" w:rsidR="0010205B" w:rsidRDefault="0010205B" w:rsidP="0010205B">
      <w:pPr>
        <w:pStyle w:val="NormalWeb"/>
        <w:spacing w:before="0" w:beforeAutospacing="0" w:after="0" w:afterAutospacing="0" w:line="360" w:lineRule="auto"/>
        <w:jc w:val="both"/>
        <w:rPr>
          <w:rStyle w:val="Strong"/>
          <w:rFonts w:ascii="Arial" w:hAnsi="Arial" w:cs="Arial"/>
          <w:sz w:val="22"/>
          <w:szCs w:val="22"/>
        </w:rPr>
      </w:pPr>
    </w:p>
    <w:p w14:paraId="16CCFA37" w14:textId="77777777" w:rsidR="00672C54" w:rsidRDefault="00672C54" w:rsidP="0010205B">
      <w:pPr>
        <w:pStyle w:val="NormalWeb"/>
        <w:spacing w:before="0" w:beforeAutospacing="0" w:after="0" w:afterAutospacing="0" w:line="360" w:lineRule="auto"/>
        <w:jc w:val="both"/>
        <w:rPr>
          <w:rStyle w:val="Strong"/>
          <w:rFonts w:ascii="Arial" w:hAnsi="Arial" w:cs="Arial"/>
          <w:sz w:val="22"/>
          <w:szCs w:val="22"/>
        </w:rPr>
      </w:pPr>
    </w:p>
    <w:p w14:paraId="4E4A3974" w14:textId="77777777" w:rsidR="00672C54" w:rsidRDefault="00672C54" w:rsidP="0010205B">
      <w:pPr>
        <w:pStyle w:val="NormalWeb"/>
        <w:spacing w:before="0" w:beforeAutospacing="0" w:after="0" w:afterAutospacing="0" w:line="360" w:lineRule="auto"/>
        <w:jc w:val="both"/>
        <w:rPr>
          <w:rStyle w:val="Strong"/>
          <w:rFonts w:ascii="Arial" w:hAnsi="Arial" w:cs="Arial"/>
          <w:sz w:val="22"/>
          <w:szCs w:val="22"/>
        </w:rPr>
      </w:pPr>
    </w:p>
    <w:p w14:paraId="592D1FC5" w14:textId="7E84EF5C" w:rsidR="002A49D0" w:rsidRPr="00864F2F" w:rsidRDefault="002A49D0" w:rsidP="0010205B">
      <w:pPr>
        <w:pStyle w:val="NormalWeb"/>
        <w:spacing w:before="0" w:beforeAutospacing="0" w:after="0" w:afterAutospacing="0" w:line="360" w:lineRule="auto"/>
        <w:jc w:val="both"/>
        <w:rPr>
          <w:rStyle w:val="Strong"/>
          <w:rFonts w:ascii="Arial" w:hAnsi="Arial" w:cs="Arial"/>
          <w:b w:val="0"/>
          <w:bCs w:val="0"/>
          <w:sz w:val="22"/>
          <w:szCs w:val="22"/>
        </w:rPr>
      </w:pPr>
      <w:r w:rsidRPr="00864F2F">
        <w:rPr>
          <w:rFonts w:ascii="Arial" w:hAnsi="Arial" w:cs="Arial"/>
          <w:b/>
          <w:bCs/>
          <w:sz w:val="22"/>
          <w:szCs w:val="22"/>
        </w:rPr>
        <w:lastRenderedPageBreak/>
        <w:t xml:space="preserve">Population </w:t>
      </w:r>
      <w:r w:rsidR="006E441E" w:rsidRPr="00864F2F">
        <w:rPr>
          <w:rFonts w:ascii="Arial" w:hAnsi="Arial" w:cs="Arial"/>
          <w:b/>
          <w:bCs/>
          <w:sz w:val="22"/>
          <w:szCs w:val="22"/>
        </w:rPr>
        <w:t>checking</w:t>
      </w:r>
      <w:r w:rsidRPr="00864F2F">
        <w:rPr>
          <w:rFonts w:ascii="Arial" w:hAnsi="Arial" w:cs="Arial"/>
          <w:b/>
          <w:bCs/>
          <w:sz w:val="22"/>
          <w:szCs w:val="22"/>
        </w:rPr>
        <w:t xml:space="preserve"> and </w:t>
      </w:r>
      <w:r w:rsidRPr="00864F2F">
        <w:rPr>
          <w:rFonts w:ascii="Arial" w:hAnsi="Arial" w:cs="Arial"/>
          <w:b/>
          <w:bCs/>
          <w:sz w:val="22"/>
          <w:szCs w:val="22"/>
        </w:rPr>
        <w:t>r</w:t>
      </w:r>
      <w:r w:rsidRPr="00864F2F">
        <w:rPr>
          <w:rFonts w:ascii="Arial" w:hAnsi="Arial" w:cs="Arial"/>
          <w:b/>
          <w:bCs/>
          <w:sz w:val="22"/>
          <w:szCs w:val="22"/>
        </w:rPr>
        <w:t xml:space="preserve">isk </w:t>
      </w:r>
      <w:r w:rsidRPr="00864F2F">
        <w:rPr>
          <w:rFonts w:ascii="Arial" w:hAnsi="Arial" w:cs="Arial"/>
          <w:b/>
          <w:bCs/>
          <w:sz w:val="22"/>
          <w:szCs w:val="22"/>
        </w:rPr>
        <w:t>a</w:t>
      </w:r>
      <w:r w:rsidRPr="00864F2F">
        <w:rPr>
          <w:rFonts w:ascii="Arial" w:hAnsi="Arial" w:cs="Arial"/>
          <w:b/>
          <w:bCs/>
          <w:sz w:val="22"/>
          <w:szCs w:val="22"/>
        </w:rPr>
        <w:t xml:space="preserve">ssessment of </w:t>
      </w:r>
      <w:r w:rsidRPr="00864F2F">
        <w:rPr>
          <w:rFonts w:ascii="Arial" w:hAnsi="Arial" w:cs="Arial"/>
          <w:b/>
          <w:bCs/>
          <w:sz w:val="22"/>
          <w:szCs w:val="22"/>
        </w:rPr>
        <w:t>d</w:t>
      </w:r>
      <w:r w:rsidRPr="00864F2F">
        <w:rPr>
          <w:rFonts w:ascii="Arial" w:hAnsi="Arial" w:cs="Arial"/>
          <w:b/>
          <w:bCs/>
          <w:sz w:val="22"/>
          <w:szCs w:val="22"/>
        </w:rPr>
        <w:t>iabetes in Tower Hamlets</w:t>
      </w:r>
    </w:p>
    <w:p w14:paraId="28437B9B" w14:textId="36D696E9" w:rsidR="00F473A0" w:rsidRPr="0010205B" w:rsidRDefault="00864F2F" w:rsidP="0010205B">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      </w:t>
      </w:r>
      <w:r w:rsidR="00F473A0" w:rsidRPr="0010205B">
        <w:rPr>
          <w:rFonts w:ascii="Arial" w:hAnsi="Arial" w:cs="Arial"/>
          <w:sz w:val="22"/>
          <w:szCs w:val="22"/>
        </w:rPr>
        <w:t xml:space="preserve">Diabetes surveillance and </w:t>
      </w:r>
      <w:r w:rsidR="006E441E" w:rsidRPr="0010205B">
        <w:rPr>
          <w:rFonts w:ascii="Arial" w:hAnsi="Arial" w:cs="Arial"/>
          <w:sz w:val="22"/>
          <w:szCs w:val="22"/>
        </w:rPr>
        <w:t>checking</w:t>
      </w:r>
      <w:r w:rsidR="00F473A0" w:rsidRPr="0010205B">
        <w:rPr>
          <w:rFonts w:ascii="Arial" w:hAnsi="Arial" w:cs="Arial"/>
          <w:sz w:val="22"/>
          <w:szCs w:val="22"/>
        </w:rPr>
        <w:t xml:space="preserve"> in Tower Hamlets are based on the use of different health data collection </w:t>
      </w:r>
      <w:r w:rsidR="000A3A4D" w:rsidRPr="0010205B">
        <w:rPr>
          <w:rFonts w:ascii="Arial" w:hAnsi="Arial" w:cs="Arial"/>
          <w:sz w:val="22"/>
          <w:szCs w:val="22"/>
        </w:rPr>
        <w:t>systems (</w:t>
      </w:r>
      <w:r w:rsidR="00090628" w:rsidRPr="0010205B">
        <w:rPr>
          <w:rFonts w:ascii="Arial" w:hAnsi="Arial" w:cs="Arial"/>
          <w:sz w:val="22"/>
          <w:szCs w:val="22"/>
        </w:rPr>
        <w:t>Noble, 2012</w:t>
      </w:r>
      <w:r w:rsidR="00090628">
        <w:rPr>
          <w:rFonts w:ascii="Arial" w:hAnsi="Arial" w:cs="Arial"/>
          <w:sz w:val="22"/>
          <w:szCs w:val="22"/>
        </w:rPr>
        <w:t>a</w:t>
      </w:r>
      <w:r w:rsidR="00090628" w:rsidRPr="0010205B">
        <w:rPr>
          <w:rFonts w:ascii="Arial" w:hAnsi="Arial" w:cs="Arial"/>
          <w:sz w:val="22"/>
          <w:szCs w:val="22"/>
        </w:rPr>
        <w:t>)</w:t>
      </w:r>
      <w:r w:rsidR="00F473A0" w:rsidRPr="0010205B">
        <w:rPr>
          <w:rFonts w:ascii="Arial" w:hAnsi="Arial" w:cs="Arial"/>
          <w:sz w:val="22"/>
          <w:szCs w:val="22"/>
        </w:rPr>
        <w:t>. Passive surveillance occurs through the recording of diabetes cases in primary care, particularly within general practice (GP) records and national databases. These data make it possible to track the frequency of diabetes in the population and its trends over time</w:t>
      </w:r>
      <w:r>
        <w:rPr>
          <w:rFonts w:ascii="Arial" w:hAnsi="Arial" w:cs="Arial"/>
          <w:sz w:val="22"/>
          <w:szCs w:val="22"/>
        </w:rPr>
        <w:t xml:space="preserve"> </w:t>
      </w:r>
      <w:r w:rsidRPr="0010205B">
        <w:rPr>
          <w:rFonts w:ascii="Arial" w:hAnsi="Arial" w:cs="Arial"/>
          <w:sz w:val="22"/>
          <w:szCs w:val="22"/>
        </w:rPr>
        <w:t>actions (Noble, 2012</w:t>
      </w:r>
      <w:r w:rsidR="003807C6">
        <w:rPr>
          <w:rFonts w:ascii="Arial" w:hAnsi="Arial" w:cs="Arial"/>
          <w:sz w:val="22"/>
          <w:szCs w:val="22"/>
        </w:rPr>
        <w:t>a</w:t>
      </w:r>
      <w:r w:rsidRPr="0010205B">
        <w:rPr>
          <w:rFonts w:ascii="Arial" w:hAnsi="Arial" w:cs="Arial"/>
          <w:sz w:val="22"/>
          <w:szCs w:val="22"/>
        </w:rPr>
        <w:t>)</w:t>
      </w:r>
      <w:r w:rsidR="00F473A0" w:rsidRPr="0010205B">
        <w:rPr>
          <w:rFonts w:ascii="Arial" w:hAnsi="Arial" w:cs="Arial"/>
          <w:sz w:val="22"/>
          <w:szCs w:val="22"/>
        </w:rPr>
        <w:t>.</w:t>
      </w:r>
    </w:p>
    <w:p w14:paraId="588006AF" w14:textId="12FCCF89" w:rsidR="00F473A0" w:rsidRDefault="00216E04" w:rsidP="0010205B">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      </w:t>
      </w:r>
      <w:r w:rsidR="00F473A0" w:rsidRPr="0010205B">
        <w:rPr>
          <w:rFonts w:ascii="Arial" w:hAnsi="Arial" w:cs="Arial"/>
          <w:sz w:val="22"/>
          <w:szCs w:val="22"/>
        </w:rPr>
        <w:t xml:space="preserve">According to Noble (2012), electronic primary care records are </w:t>
      </w:r>
      <w:r w:rsidR="006E441E" w:rsidRPr="0010205B">
        <w:rPr>
          <w:rFonts w:ascii="Arial" w:hAnsi="Arial" w:cs="Arial"/>
          <w:sz w:val="22"/>
          <w:szCs w:val="22"/>
        </w:rPr>
        <w:t>a valuable tool</w:t>
      </w:r>
      <w:r w:rsidR="00F473A0" w:rsidRPr="0010205B">
        <w:rPr>
          <w:rFonts w:ascii="Arial" w:hAnsi="Arial" w:cs="Arial"/>
          <w:sz w:val="22"/>
          <w:szCs w:val="22"/>
        </w:rPr>
        <w:t xml:space="preserve"> for </w:t>
      </w:r>
      <w:r w:rsidR="006E441E" w:rsidRPr="0010205B">
        <w:rPr>
          <w:rFonts w:ascii="Arial" w:hAnsi="Arial" w:cs="Arial"/>
          <w:sz w:val="22"/>
          <w:szCs w:val="22"/>
        </w:rPr>
        <w:t>finding</w:t>
      </w:r>
      <w:r w:rsidR="00F473A0" w:rsidRPr="0010205B">
        <w:rPr>
          <w:rFonts w:ascii="Arial" w:hAnsi="Arial" w:cs="Arial"/>
          <w:sz w:val="22"/>
          <w:szCs w:val="22"/>
        </w:rPr>
        <w:t xml:space="preserve"> individuals at higher risk of developing Type 2 diabetes (Noble, 2012</w:t>
      </w:r>
      <w:r w:rsidR="003807C6">
        <w:rPr>
          <w:rFonts w:ascii="Arial" w:hAnsi="Arial" w:cs="Arial"/>
          <w:sz w:val="22"/>
          <w:szCs w:val="22"/>
        </w:rPr>
        <w:t>b</w:t>
      </w:r>
      <w:r w:rsidR="00F473A0" w:rsidRPr="0010205B">
        <w:rPr>
          <w:rFonts w:ascii="Arial" w:hAnsi="Arial" w:cs="Arial"/>
          <w:sz w:val="22"/>
          <w:szCs w:val="22"/>
        </w:rPr>
        <w:t>). Through risk prediction models such as QDScore, it is possible to estimate the likelihood of a person developing the condition within the next ten years using information already available within health services (Noble, 2012</w:t>
      </w:r>
      <w:r w:rsidR="003807C6">
        <w:rPr>
          <w:rFonts w:ascii="Arial" w:hAnsi="Arial" w:cs="Arial"/>
          <w:sz w:val="22"/>
          <w:szCs w:val="22"/>
        </w:rPr>
        <w:t>a</w:t>
      </w:r>
      <w:r w:rsidR="00F473A0" w:rsidRPr="0010205B">
        <w:rPr>
          <w:rFonts w:ascii="Arial" w:hAnsi="Arial" w:cs="Arial"/>
          <w:sz w:val="22"/>
          <w:szCs w:val="22"/>
        </w:rPr>
        <w:t>).</w:t>
      </w:r>
      <w:r w:rsidR="0010205B" w:rsidRPr="0010205B">
        <w:rPr>
          <w:rFonts w:ascii="Arial" w:hAnsi="Arial" w:cs="Arial"/>
          <w:sz w:val="22"/>
          <w:szCs w:val="22"/>
        </w:rPr>
        <w:t xml:space="preserve"> </w:t>
      </w:r>
      <w:r w:rsidR="00F473A0" w:rsidRPr="0010205B">
        <w:rPr>
          <w:rFonts w:ascii="Arial" w:hAnsi="Arial" w:cs="Arial"/>
          <w:sz w:val="22"/>
          <w:szCs w:val="22"/>
        </w:rPr>
        <w:t xml:space="preserve">Active surveillance complements this process through local studies and screening programmes, in which health professionals </w:t>
      </w:r>
      <w:r w:rsidR="006E441E" w:rsidRPr="0010205B">
        <w:rPr>
          <w:rFonts w:ascii="Arial" w:hAnsi="Arial" w:cs="Arial"/>
          <w:sz w:val="22"/>
          <w:szCs w:val="22"/>
        </w:rPr>
        <w:t>look</w:t>
      </w:r>
      <w:r w:rsidR="00F473A0" w:rsidRPr="0010205B">
        <w:rPr>
          <w:rFonts w:ascii="Arial" w:hAnsi="Arial" w:cs="Arial"/>
          <w:sz w:val="22"/>
          <w:szCs w:val="22"/>
        </w:rPr>
        <w:t xml:space="preserve"> to </w:t>
      </w:r>
      <w:r w:rsidR="006E441E" w:rsidRPr="0010205B">
        <w:rPr>
          <w:rFonts w:ascii="Arial" w:hAnsi="Arial" w:cs="Arial"/>
          <w:sz w:val="22"/>
          <w:szCs w:val="22"/>
        </w:rPr>
        <w:t>find</w:t>
      </w:r>
      <w:r w:rsidR="00F473A0" w:rsidRPr="0010205B">
        <w:rPr>
          <w:rFonts w:ascii="Arial" w:hAnsi="Arial" w:cs="Arial"/>
          <w:sz w:val="22"/>
          <w:szCs w:val="22"/>
        </w:rPr>
        <w:t xml:space="preserve"> individuals at risk at an early </w:t>
      </w:r>
      <w:r w:rsidR="006E441E" w:rsidRPr="0010205B">
        <w:rPr>
          <w:rFonts w:ascii="Arial" w:hAnsi="Arial" w:cs="Arial"/>
          <w:sz w:val="22"/>
          <w:szCs w:val="22"/>
        </w:rPr>
        <w:t>stage before</w:t>
      </w:r>
      <w:r w:rsidR="00F473A0" w:rsidRPr="0010205B">
        <w:rPr>
          <w:rFonts w:ascii="Arial" w:hAnsi="Arial" w:cs="Arial"/>
          <w:sz w:val="22"/>
          <w:szCs w:val="22"/>
        </w:rPr>
        <w:t xml:space="preserve"> the onset of the disease. This approach supports more effective planning of preventive actions (Noble, 2012</w:t>
      </w:r>
      <w:r w:rsidR="003807C6">
        <w:rPr>
          <w:rFonts w:ascii="Arial" w:hAnsi="Arial" w:cs="Arial"/>
          <w:sz w:val="22"/>
          <w:szCs w:val="22"/>
        </w:rPr>
        <w:t>a</w:t>
      </w:r>
      <w:r w:rsidR="00F473A0" w:rsidRPr="0010205B">
        <w:rPr>
          <w:rFonts w:ascii="Arial" w:hAnsi="Arial" w:cs="Arial"/>
          <w:sz w:val="22"/>
          <w:szCs w:val="22"/>
        </w:rPr>
        <w:t>).</w:t>
      </w:r>
      <w:r w:rsidR="0010205B" w:rsidRPr="0010205B">
        <w:rPr>
          <w:rFonts w:ascii="Arial" w:hAnsi="Arial" w:cs="Arial"/>
          <w:sz w:val="22"/>
          <w:szCs w:val="22"/>
        </w:rPr>
        <w:t xml:space="preserve"> </w:t>
      </w:r>
      <w:r w:rsidR="00F473A0" w:rsidRPr="0010205B">
        <w:rPr>
          <w:rFonts w:ascii="Arial" w:hAnsi="Arial" w:cs="Arial"/>
          <w:sz w:val="22"/>
          <w:szCs w:val="22"/>
        </w:rPr>
        <w:t xml:space="preserve">In addition, the analysis of factors such as ethnicity and socioeconomic conditions helps to </w:t>
      </w:r>
      <w:r w:rsidR="006E441E" w:rsidRPr="0010205B">
        <w:rPr>
          <w:rFonts w:ascii="Arial" w:hAnsi="Arial" w:cs="Arial"/>
          <w:sz w:val="22"/>
          <w:szCs w:val="22"/>
        </w:rPr>
        <w:t>find</w:t>
      </w:r>
      <w:r w:rsidR="00F473A0" w:rsidRPr="0010205B">
        <w:rPr>
          <w:rFonts w:ascii="Arial" w:hAnsi="Arial" w:cs="Arial"/>
          <w:sz w:val="22"/>
          <w:szCs w:val="22"/>
        </w:rPr>
        <w:t xml:space="preserve"> health inequalities, which are particularly relevant in urban areas with diverse populations, such as Tower Hamlets. The use of mapping and other population data </w:t>
      </w:r>
      <w:r w:rsidR="006E441E" w:rsidRPr="0010205B">
        <w:rPr>
          <w:rFonts w:ascii="Arial" w:hAnsi="Arial" w:cs="Arial"/>
          <w:sz w:val="22"/>
          <w:szCs w:val="22"/>
        </w:rPr>
        <w:t>helps</w:t>
      </w:r>
      <w:r w:rsidR="00F473A0" w:rsidRPr="0010205B">
        <w:rPr>
          <w:rFonts w:ascii="Arial" w:hAnsi="Arial" w:cs="Arial"/>
          <w:sz w:val="22"/>
          <w:szCs w:val="22"/>
        </w:rPr>
        <w:t xml:space="preserve"> understanding of risk distribution and supports the planning of public health interventions</w:t>
      </w:r>
      <w:r w:rsidR="00F473A0" w:rsidRPr="0010205B">
        <w:rPr>
          <w:rFonts w:ascii="Arial" w:hAnsi="Arial" w:cs="Arial"/>
          <w:sz w:val="22"/>
          <w:szCs w:val="22"/>
        </w:rPr>
        <w:t xml:space="preserve"> </w:t>
      </w:r>
      <w:r w:rsidR="00F473A0" w:rsidRPr="0010205B">
        <w:rPr>
          <w:rFonts w:ascii="Arial" w:hAnsi="Arial" w:cs="Arial"/>
          <w:sz w:val="22"/>
          <w:szCs w:val="22"/>
        </w:rPr>
        <w:t>(Noble, 2012</w:t>
      </w:r>
      <w:r w:rsidR="003807C6">
        <w:rPr>
          <w:rFonts w:ascii="Arial" w:hAnsi="Arial" w:cs="Arial"/>
          <w:sz w:val="22"/>
          <w:szCs w:val="22"/>
        </w:rPr>
        <w:t>a</w:t>
      </w:r>
      <w:r w:rsidR="00F473A0" w:rsidRPr="0010205B">
        <w:rPr>
          <w:rFonts w:ascii="Arial" w:hAnsi="Arial" w:cs="Arial"/>
          <w:sz w:val="22"/>
          <w:szCs w:val="22"/>
        </w:rPr>
        <w:t>).</w:t>
      </w:r>
      <w:bookmarkStart w:id="0" w:name="_7meoaqfp41ge" w:colFirst="0" w:colLast="0"/>
      <w:bookmarkStart w:id="1" w:name="_2nkcnetoiysf" w:colFirst="0" w:colLast="0"/>
      <w:bookmarkStart w:id="2" w:name="_8h6iw0wfnlvd" w:colFirst="0" w:colLast="0"/>
      <w:bookmarkEnd w:id="0"/>
      <w:bookmarkEnd w:id="1"/>
      <w:bookmarkEnd w:id="2"/>
    </w:p>
    <w:p w14:paraId="4B010188" w14:textId="77777777" w:rsidR="0010205B" w:rsidRPr="002A49D0" w:rsidRDefault="0010205B" w:rsidP="0010205B">
      <w:pPr>
        <w:pStyle w:val="NormalWeb"/>
        <w:spacing w:before="0" w:beforeAutospacing="0" w:after="0" w:afterAutospacing="0" w:line="360" w:lineRule="auto"/>
        <w:jc w:val="both"/>
        <w:rPr>
          <w:rFonts w:ascii="Arial" w:hAnsi="Arial" w:cs="Arial"/>
          <w:b/>
          <w:bCs/>
          <w:sz w:val="22"/>
          <w:szCs w:val="22"/>
        </w:rPr>
      </w:pPr>
    </w:p>
    <w:p w14:paraId="60A97125" w14:textId="0F0D0BDD" w:rsidR="00F473A0" w:rsidRPr="002A49D0" w:rsidRDefault="002A49D0" w:rsidP="0010205B">
      <w:pPr>
        <w:pStyle w:val="NormalWeb"/>
        <w:spacing w:before="0" w:beforeAutospacing="0" w:after="0" w:afterAutospacing="0" w:line="360" w:lineRule="auto"/>
        <w:jc w:val="both"/>
        <w:rPr>
          <w:rFonts w:ascii="Arial" w:hAnsi="Arial" w:cs="Arial"/>
          <w:b/>
          <w:bCs/>
          <w:sz w:val="22"/>
          <w:szCs w:val="22"/>
        </w:rPr>
      </w:pPr>
      <w:r w:rsidRPr="002A49D0">
        <w:rPr>
          <w:b/>
          <w:bCs/>
        </w:rPr>
        <w:t xml:space="preserve">Epidemiological </w:t>
      </w:r>
      <w:r w:rsidR="00216E04">
        <w:rPr>
          <w:b/>
          <w:bCs/>
        </w:rPr>
        <w:t>a</w:t>
      </w:r>
      <w:r w:rsidRPr="002A49D0">
        <w:rPr>
          <w:b/>
          <w:bCs/>
        </w:rPr>
        <w:t xml:space="preserve">ssessment of </w:t>
      </w:r>
      <w:r w:rsidR="00216E04">
        <w:rPr>
          <w:b/>
          <w:bCs/>
        </w:rPr>
        <w:t>d</w:t>
      </w:r>
      <w:r w:rsidRPr="002A49D0">
        <w:rPr>
          <w:b/>
          <w:bCs/>
        </w:rPr>
        <w:t xml:space="preserve">iabetes </w:t>
      </w:r>
      <w:r w:rsidR="00216E04">
        <w:rPr>
          <w:b/>
          <w:bCs/>
        </w:rPr>
        <w:t>i</w:t>
      </w:r>
      <w:r w:rsidRPr="002A49D0">
        <w:rPr>
          <w:b/>
          <w:bCs/>
        </w:rPr>
        <w:t>mpact in Tower Hamlets</w:t>
      </w:r>
    </w:p>
    <w:p w14:paraId="3FC8948B" w14:textId="4E04D3A2" w:rsidR="00F473A0" w:rsidRDefault="00216E04" w:rsidP="00216E04">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      </w:t>
      </w:r>
      <w:r w:rsidR="00F473A0" w:rsidRPr="0010205B">
        <w:rPr>
          <w:rFonts w:ascii="Arial" w:hAnsi="Arial" w:cs="Arial"/>
          <w:sz w:val="22"/>
          <w:szCs w:val="22"/>
        </w:rPr>
        <w:t>Epidemiology is essential for understanding the short</w:t>
      </w:r>
      <w:r w:rsidR="00F473A0" w:rsidRPr="0010205B">
        <w:rPr>
          <w:rFonts w:ascii="Arial" w:hAnsi="Arial" w:cs="Arial"/>
          <w:sz w:val="22"/>
          <w:szCs w:val="22"/>
        </w:rPr>
        <w:t xml:space="preserve"> </w:t>
      </w:r>
      <w:r w:rsidR="00F473A0" w:rsidRPr="0010205B">
        <w:rPr>
          <w:rFonts w:ascii="Arial" w:hAnsi="Arial" w:cs="Arial"/>
          <w:sz w:val="22"/>
          <w:szCs w:val="22"/>
        </w:rPr>
        <w:t>and long-term impact of diabetes in Tower Hamlets</w:t>
      </w:r>
      <w:r w:rsidRPr="00216E04">
        <w:rPr>
          <w:rFonts w:ascii="Arial" w:hAnsi="Arial" w:cs="Arial"/>
          <w:sz w:val="22"/>
          <w:szCs w:val="22"/>
        </w:rPr>
        <w:t xml:space="preserve"> </w:t>
      </w:r>
      <w:r>
        <w:rPr>
          <w:rFonts w:ascii="Arial" w:hAnsi="Arial" w:cs="Arial"/>
          <w:sz w:val="22"/>
          <w:szCs w:val="22"/>
        </w:rPr>
        <w:t>(</w:t>
      </w:r>
      <w:r w:rsidRPr="0010205B">
        <w:rPr>
          <w:rFonts w:ascii="Arial" w:hAnsi="Arial" w:cs="Arial"/>
          <w:sz w:val="22"/>
          <w:szCs w:val="22"/>
        </w:rPr>
        <w:t>Brachman, 1996).</w:t>
      </w:r>
      <w:r w:rsidR="00F473A0" w:rsidRPr="0010205B">
        <w:rPr>
          <w:rFonts w:ascii="Arial" w:hAnsi="Arial" w:cs="Arial"/>
          <w:sz w:val="22"/>
          <w:szCs w:val="22"/>
        </w:rPr>
        <w:t xml:space="preserve"> In the short term, the condition is associated with increased use of health services, work absenteeism, and reduced quality of life. In the long term, it contributes to serious complications such as cardiovascular disease, renal failure, amputations, and blindness, leading to increased premature mortality.</w:t>
      </w:r>
      <w:r>
        <w:rPr>
          <w:rFonts w:ascii="Arial" w:hAnsi="Arial" w:cs="Arial"/>
          <w:sz w:val="22"/>
          <w:szCs w:val="22"/>
        </w:rPr>
        <w:t xml:space="preserve"> </w:t>
      </w:r>
      <w:r w:rsidR="00F473A0" w:rsidRPr="0010205B">
        <w:rPr>
          <w:rFonts w:ascii="Arial" w:hAnsi="Arial" w:cs="Arial"/>
          <w:sz w:val="22"/>
          <w:szCs w:val="22"/>
        </w:rPr>
        <w:t>Epidemiological planning allows for the estimation of economic costs, disease burden (DALYs), and future projections, supporting strategic decision-making and the efficient allocation of public health resources</w:t>
      </w:r>
      <w:r w:rsidR="00F473A0" w:rsidRPr="0010205B">
        <w:rPr>
          <w:rFonts w:ascii="Arial" w:hAnsi="Arial" w:cs="Arial"/>
          <w:sz w:val="22"/>
          <w:szCs w:val="22"/>
        </w:rPr>
        <w:t xml:space="preserve"> </w:t>
      </w:r>
      <w:r w:rsidR="00F473A0" w:rsidRPr="0010205B">
        <w:rPr>
          <w:rFonts w:ascii="Arial" w:hAnsi="Arial" w:cs="Arial"/>
          <w:sz w:val="22"/>
          <w:szCs w:val="22"/>
        </w:rPr>
        <w:t>(Brachman, 1996).</w:t>
      </w:r>
    </w:p>
    <w:p w14:paraId="136BF4D0" w14:textId="77777777" w:rsidR="002A49D0" w:rsidRPr="002A49D0" w:rsidRDefault="002A49D0" w:rsidP="0010205B">
      <w:pPr>
        <w:spacing w:after="0" w:line="360" w:lineRule="auto"/>
        <w:jc w:val="both"/>
        <w:rPr>
          <w:rFonts w:ascii="Arial" w:hAnsi="Arial" w:cs="Arial"/>
          <w:b/>
          <w:bCs/>
          <w:sz w:val="22"/>
          <w:szCs w:val="22"/>
        </w:rPr>
      </w:pPr>
    </w:p>
    <w:p w14:paraId="465EADF5" w14:textId="44CE8117" w:rsidR="002A49D0" w:rsidRPr="002A49D0" w:rsidRDefault="002A49D0" w:rsidP="0010205B">
      <w:pPr>
        <w:pStyle w:val="NormalWeb"/>
        <w:spacing w:before="0" w:beforeAutospacing="0" w:after="0" w:afterAutospacing="0" w:line="360" w:lineRule="auto"/>
        <w:jc w:val="both"/>
        <w:rPr>
          <w:b/>
          <w:bCs/>
        </w:rPr>
      </w:pPr>
      <w:r w:rsidRPr="002A49D0">
        <w:rPr>
          <w:b/>
          <w:bCs/>
        </w:rPr>
        <w:t>Community-</w:t>
      </w:r>
      <w:r>
        <w:rPr>
          <w:b/>
          <w:bCs/>
        </w:rPr>
        <w:t>b</w:t>
      </w:r>
      <w:r w:rsidRPr="002A49D0">
        <w:rPr>
          <w:b/>
          <w:bCs/>
        </w:rPr>
        <w:t xml:space="preserve">ased </w:t>
      </w:r>
      <w:r>
        <w:rPr>
          <w:b/>
          <w:bCs/>
        </w:rPr>
        <w:t>i</w:t>
      </w:r>
      <w:r w:rsidRPr="002A49D0">
        <w:rPr>
          <w:b/>
          <w:bCs/>
        </w:rPr>
        <w:t xml:space="preserve">nterventions and </w:t>
      </w:r>
      <w:r>
        <w:rPr>
          <w:b/>
          <w:bCs/>
        </w:rPr>
        <w:t>i</w:t>
      </w:r>
      <w:r w:rsidRPr="002A49D0">
        <w:rPr>
          <w:b/>
          <w:bCs/>
        </w:rPr>
        <w:t xml:space="preserve">mpact </w:t>
      </w:r>
      <w:r>
        <w:rPr>
          <w:b/>
          <w:bCs/>
        </w:rPr>
        <w:t>a</w:t>
      </w:r>
      <w:r w:rsidRPr="002A49D0">
        <w:rPr>
          <w:b/>
          <w:bCs/>
        </w:rPr>
        <w:t xml:space="preserve">ssessment for </w:t>
      </w:r>
      <w:r>
        <w:rPr>
          <w:b/>
          <w:bCs/>
        </w:rPr>
        <w:t>d</w:t>
      </w:r>
      <w:r w:rsidRPr="002A49D0">
        <w:rPr>
          <w:b/>
          <w:bCs/>
        </w:rPr>
        <w:t>iabetes</w:t>
      </w:r>
      <w:r>
        <w:rPr>
          <w:b/>
          <w:bCs/>
        </w:rPr>
        <w:t xml:space="preserve"> in Tower Hamlets</w:t>
      </w:r>
    </w:p>
    <w:p w14:paraId="3D3FAB56" w14:textId="65C580B4" w:rsidR="00C22FDB" w:rsidRDefault="00216E04" w:rsidP="0010205B">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        </w:t>
      </w:r>
      <w:r w:rsidR="006E441E" w:rsidRPr="0010205B">
        <w:rPr>
          <w:rFonts w:ascii="Arial" w:hAnsi="Arial" w:cs="Arial"/>
          <w:sz w:val="22"/>
          <w:szCs w:val="22"/>
        </w:rPr>
        <w:t>A suitable public</w:t>
      </w:r>
      <w:r w:rsidR="00C22FDB" w:rsidRPr="0010205B">
        <w:rPr>
          <w:rFonts w:ascii="Arial" w:hAnsi="Arial" w:cs="Arial"/>
          <w:sz w:val="22"/>
          <w:szCs w:val="22"/>
        </w:rPr>
        <w:t xml:space="preserve"> health intervention for Tower Hamlets would be an integrated community-based programme for the prevention and management of diabetes, such as the NHS </w:t>
      </w:r>
      <w:r w:rsidR="00C22FDB" w:rsidRPr="00216E04">
        <w:rPr>
          <w:rStyle w:val="Emphasis"/>
          <w:rFonts w:ascii="Arial" w:hAnsi="Arial" w:cs="Arial"/>
          <w:i w:val="0"/>
          <w:iCs w:val="0"/>
          <w:sz w:val="22"/>
          <w:szCs w:val="22"/>
        </w:rPr>
        <w:t>Healthier You</w:t>
      </w:r>
      <w:r w:rsidR="00C22FDB" w:rsidRPr="00216E04">
        <w:rPr>
          <w:rFonts w:ascii="Arial" w:hAnsi="Arial" w:cs="Arial"/>
          <w:i/>
          <w:iCs/>
          <w:sz w:val="22"/>
          <w:szCs w:val="22"/>
        </w:rPr>
        <w:t xml:space="preserve"> Diabetes</w:t>
      </w:r>
      <w:r w:rsidR="00C22FDB" w:rsidRPr="0010205B">
        <w:rPr>
          <w:rFonts w:ascii="Arial" w:hAnsi="Arial" w:cs="Arial"/>
          <w:sz w:val="22"/>
          <w:szCs w:val="22"/>
        </w:rPr>
        <w:t xml:space="preserve"> Prevention Programme, which </w:t>
      </w:r>
      <w:r w:rsidR="006E441E" w:rsidRPr="0010205B">
        <w:rPr>
          <w:rFonts w:ascii="Arial" w:hAnsi="Arial" w:cs="Arial"/>
          <w:sz w:val="22"/>
          <w:szCs w:val="22"/>
        </w:rPr>
        <w:t>supplies</w:t>
      </w:r>
      <w:r w:rsidR="00C22FDB" w:rsidRPr="0010205B">
        <w:rPr>
          <w:rFonts w:ascii="Arial" w:hAnsi="Arial" w:cs="Arial"/>
          <w:sz w:val="22"/>
          <w:szCs w:val="22"/>
        </w:rPr>
        <w:t xml:space="preserve"> personalised support to help individuals make lifestyle changes</w:t>
      </w:r>
      <w:r w:rsidR="00090628">
        <w:rPr>
          <w:rFonts w:ascii="Arial" w:hAnsi="Arial" w:cs="Arial"/>
          <w:sz w:val="22"/>
          <w:szCs w:val="22"/>
        </w:rPr>
        <w:t xml:space="preserve"> </w:t>
      </w:r>
      <w:r w:rsidR="00090628" w:rsidRPr="0010205B">
        <w:rPr>
          <w:rFonts w:ascii="Arial" w:hAnsi="Arial" w:cs="Arial"/>
          <w:sz w:val="22"/>
          <w:szCs w:val="22"/>
        </w:rPr>
        <w:t>(Diabetes UK, 2023b).</w:t>
      </w:r>
      <w:r w:rsidR="00090628">
        <w:rPr>
          <w:rFonts w:ascii="Arial" w:hAnsi="Arial" w:cs="Arial"/>
          <w:sz w:val="22"/>
          <w:szCs w:val="22"/>
        </w:rPr>
        <w:t xml:space="preserve"> </w:t>
      </w:r>
      <w:r w:rsidR="00C22FDB" w:rsidRPr="0010205B">
        <w:rPr>
          <w:rFonts w:ascii="Arial" w:hAnsi="Arial" w:cs="Arial"/>
          <w:sz w:val="22"/>
          <w:szCs w:val="22"/>
        </w:rPr>
        <w:t>This could be complemented by culturally sensitive health education, accessible nutritional support, promotion of local physical activity, and ongoing follow-up within primary care (Diabetes UK, 2023b).</w:t>
      </w:r>
      <w:r>
        <w:rPr>
          <w:rFonts w:ascii="Arial" w:hAnsi="Arial" w:cs="Arial"/>
          <w:sz w:val="22"/>
          <w:szCs w:val="22"/>
        </w:rPr>
        <w:t xml:space="preserve"> </w:t>
      </w:r>
      <w:r w:rsidR="00C22FDB" w:rsidRPr="0010205B">
        <w:rPr>
          <w:rFonts w:ascii="Arial" w:hAnsi="Arial" w:cs="Arial"/>
          <w:sz w:val="22"/>
          <w:szCs w:val="22"/>
        </w:rPr>
        <w:t xml:space="preserve">The impact </w:t>
      </w:r>
      <w:r w:rsidR="00C22FDB" w:rsidRPr="0010205B">
        <w:rPr>
          <w:rFonts w:ascii="Arial" w:hAnsi="Arial" w:cs="Arial"/>
          <w:sz w:val="22"/>
          <w:szCs w:val="22"/>
        </w:rPr>
        <w:lastRenderedPageBreak/>
        <w:t>of the intervention could be evaluated by comparing key indicators before and after implementation, including reductions in the incidence of new cases, improvements in glycaemic control (HbA1c), decreases in complications, and increased health literacy among the target population (Gruss et al., 2019).</w:t>
      </w:r>
    </w:p>
    <w:p w14:paraId="0BE531EE" w14:textId="77777777" w:rsidR="0010205B" w:rsidRPr="0010205B" w:rsidRDefault="0010205B" w:rsidP="0010205B">
      <w:pPr>
        <w:pStyle w:val="NormalWeb"/>
        <w:spacing w:before="0" w:beforeAutospacing="0" w:after="0" w:afterAutospacing="0" w:line="360" w:lineRule="auto"/>
        <w:jc w:val="both"/>
        <w:rPr>
          <w:rFonts w:ascii="Arial" w:hAnsi="Arial" w:cs="Arial"/>
          <w:sz w:val="22"/>
          <w:szCs w:val="22"/>
        </w:rPr>
      </w:pPr>
    </w:p>
    <w:p w14:paraId="5E854969" w14:textId="77777777" w:rsidR="00C22FDB" w:rsidRPr="0010205B" w:rsidRDefault="00C22FDB" w:rsidP="0010205B">
      <w:pPr>
        <w:pStyle w:val="NormalWeb"/>
        <w:spacing w:before="0" w:beforeAutospacing="0" w:after="0" w:afterAutospacing="0" w:line="360" w:lineRule="auto"/>
        <w:jc w:val="both"/>
        <w:rPr>
          <w:rFonts w:ascii="Arial" w:hAnsi="Arial" w:cs="Arial"/>
          <w:sz w:val="22"/>
          <w:szCs w:val="22"/>
        </w:rPr>
      </w:pPr>
      <w:r w:rsidRPr="0010205B">
        <w:rPr>
          <w:rStyle w:val="Strong"/>
          <w:rFonts w:ascii="Arial" w:hAnsi="Arial" w:cs="Arial"/>
          <w:sz w:val="22"/>
          <w:szCs w:val="22"/>
        </w:rPr>
        <w:t>Strengths and limitations of the epidemiological approach</w:t>
      </w:r>
    </w:p>
    <w:p w14:paraId="026DECD1" w14:textId="53151285" w:rsidR="00C22FDB" w:rsidRPr="00216E04" w:rsidRDefault="00C22FDB" w:rsidP="00216E04">
      <w:pPr>
        <w:spacing w:after="0" w:line="360" w:lineRule="auto"/>
        <w:jc w:val="both"/>
        <w:rPr>
          <w:rFonts w:ascii="Arial" w:eastAsia="Times New Roman" w:hAnsi="Arial" w:cs="Arial"/>
          <w:sz w:val="22"/>
          <w:szCs w:val="22"/>
          <w:lang w:eastAsia="zh-CN"/>
        </w:rPr>
      </w:pPr>
      <w:r w:rsidRPr="0010205B">
        <w:rPr>
          <w:rFonts w:ascii="Arial" w:hAnsi="Arial" w:cs="Arial"/>
          <w:sz w:val="22"/>
          <w:szCs w:val="22"/>
        </w:rPr>
        <w:t>Among the strengths of the epidemiological approach are the use of robust population</w:t>
      </w:r>
      <w:r w:rsidR="000A3A4D">
        <w:rPr>
          <w:rFonts w:ascii="Arial" w:hAnsi="Arial" w:cs="Arial"/>
          <w:sz w:val="22"/>
          <w:szCs w:val="22"/>
        </w:rPr>
        <w:t xml:space="preserve"> </w:t>
      </w:r>
      <w:r w:rsidRPr="0010205B">
        <w:rPr>
          <w:rFonts w:ascii="Arial" w:hAnsi="Arial" w:cs="Arial"/>
          <w:sz w:val="22"/>
          <w:szCs w:val="22"/>
        </w:rPr>
        <w:t xml:space="preserve">level data, the clear identification of </w:t>
      </w:r>
      <w:r w:rsidR="006E441E" w:rsidRPr="0010205B">
        <w:rPr>
          <w:rFonts w:ascii="Arial" w:hAnsi="Arial" w:cs="Arial"/>
          <w:sz w:val="22"/>
          <w:szCs w:val="22"/>
        </w:rPr>
        <w:t>at</w:t>
      </w:r>
      <w:r w:rsidR="006E441E">
        <w:rPr>
          <w:rFonts w:ascii="Arial" w:hAnsi="Arial" w:cs="Arial"/>
          <w:sz w:val="22"/>
          <w:szCs w:val="22"/>
        </w:rPr>
        <w:t>-risk</w:t>
      </w:r>
      <w:r w:rsidRPr="0010205B">
        <w:rPr>
          <w:rFonts w:ascii="Arial" w:hAnsi="Arial" w:cs="Arial"/>
          <w:sz w:val="22"/>
          <w:szCs w:val="22"/>
        </w:rPr>
        <w:t xml:space="preserve"> groups, and the ability to </w:t>
      </w:r>
      <w:r w:rsidR="006E441E" w:rsidRPr="0010205B">
        <w:rPr>
          <w:rFonts w:ascii="Arial" w:hAnsi="Arial" w:cs="Arial"/>
          <w:sz w:val="22"/>
          <w:szCs w:val="22"/>
        </w:rPr>
        <w:t>check</w:t>
      </w:r>
      <w:r w:rsidRPr="0010205B">
        <w:rPr>
          <w:rFonts w:ascii="Arial" w:hAnsi="Arial" w:cs="Arial"/>
          <w:sz w:val="22"/>
          <w:szCs w:val="22"/>
        </w:rPr>
        <w:t xml:space="preserve"> trends over time, enabling </w:t>
      </w:r>
      <w:r w:rsidR="000A3A4D" w:rsidRPr="0010205B">
        <w:rPr>
          <w:rFonts w:ascii="Arial" w:hAnsi="Arial" w:cs="Arial"/>
          <w:sz w:val="22"/>
          <w:szCs w:val="22"/>
        </w:rPr>
        <w:t>evidence</w:t>
      </w:r>
      <w:r w:rsidR="000A3A4D">
        <w:rPr>
          <w:rFonts w:ascii="Arial" w:hAnsi="Arial" w:cs="Arial"/>
          <w:sz w:val="22"/>
          <w:szCs w:val="22"/>
        </w:rPr>
        <w:t>-based</w:t>
      </w:r>
      <w:r w:rsidRPr="0010205B">
        <w:rPr>
          <w:rFonts w:ascii="Arial" w:hAnsi="Arial" w:cs="Arial"/>
          <w:sz w:val="22"/>
          <w:szCs w:val="22"/>
        </w:rPr>
        <w:t xml:space="preserve"> </w:t>
      </w:r>
      <w:r w:rsidR="00216E04" w:rsidRPr="0010205B">
        <w:rPr>
          <w:rFonts w:ascii="Arial" w:hAnsi="Arial" w:cs="Arial"/>
          <w:sz w:val="22"/>
          <w:szCs w:val="22"/>
        </w:rPr>
        <w:t>interventions</w:t>
      </w:r>
      <w:r w:rsidR="00216E04" w:rsidRPr="0010205B">
        <w:rPr>
          <w:rFonts w:ascii="Arial" w:eastAsia="Times New Roman" w:hAnsi="Arial" w:cs="Arial"/>
          <w:sz w:val="22"/>
          <w:szCs w:val="22"/>
          <w:lang w:eastAsia="zh-CN"/>
        </w:rPr>
        <w:t xml:space="preserve"> (</w:t>
      </w:r>
      <w:r w:rsidR="00216E04" w:rsidRPr="0010205B">
        <w:rPr>
          <w:rFonts w:ascii="Arial" w:eastAsia="Times New Roman" w:hAnsi="Arial" w:cs="Arial"/>
          <w:sz w:val="22"/>
          <w:szCs w:val="22"/>
          <w:lang w:eastAsia="zh-CN"/>
        </w:rPr>
        <w:t xml:space="preserve">Tennis </w:t>
      </w:r>
      <w:r w:rsidR="00216E04" w:rsidRPr="0010205B">
        <w:rPr>
          <w:rFonts w:ascii="Arial" w:eastAsia="Times New Roman" w:hAnsi="Arial" w:cs="Arial"/>
          <w:i/>
          <w:iCs/>
          <w:sz w:val="22"/>
          <w:szCs w:val="22"/>
          <w:lang w:eastAsia="zh-CN"/>
        </w:rPr>
        <w:t>et al.</w:t>
      </w:r>
      <w:r w:rsidR="00216E04" w:rsidRPr="0010205B">
        <w:rPr>
          <w:rFonts w:ascii="Arial" w:eastAsia="Times New Roman" w:hAnsi="Arial" w:cs="Arial"/>
          <w:sz w:val="22"/>
          <w:szCs w:val="22"/>
          <w:lang w:eastAsia="zh-CN"/>
        </w:rPr>
        <w:t>, n</w:t>
      </w:r>
      <w:r w:rsidR="00064413">
        <w:rPr>
          <w:rFonts w:ascii="Arial" w:eastAsia="Times New Roman" w:hAnsi="Arial" w:cs="Arial"/>
          <w:sz w:val="22"/>
          <w:szCs w:val="22"/>
          <w:lang w:eastAsia="zh-CN"/>
        </w:rPr>
        <w:t>.d.</w:t>
      </w:r>
      <w:r w:rsidR="00216E04" w:rsidRPr="0010205B">
        <w:rPr>
          <w:rFonts w:ascii="Arial" w:eastAsia="Times New Roman" w:hAnsi="Arial" w:cs="Arial"/>
          <w:sz w:val="22"/>
          <w:szCs w:val="22"/>
          <w:lang w:eastAsia="zh-CN"/>
        </w:rPr>
        <w:t>)</w:t>
      </w:r>
      <w:r w:rsidRPr="0010205B">
        <w:rPr>
          <w:rFonts w:ascii="Arial" w:hAnsi="Arial" w:cs="Arial"/>
          <w:sz w:val="22"/>
          <w:szCs w:val="22"/>
        </w:rPr>
        <w:t>.</w:t>
      </w:r>
      <w:r w:rsidRPr="0010205B">
        <w:rPr>
          <w:rFonts w:ascii="Arial" w:hAnsi="Arial" w:cs="Arial"/>
          <w:sz w:val="22"/>
          <w:szCs w:val="22"/>
        </w:rPr>
        <w:t xml:space="preserve"> </w:t>
      </w:r>
      <w:r w:rsidRPr="0010205B">
        <w:rPr>
          <w:rFonts w:ascii="Arial" w:hAnsi="Arial" w:cs="Arial"/>
          <w:sz w:val="22"/>
          <w:szCs w:val="22"/>
        </w:rPr>
        <w:t>However, there are limitations, such as underreporting of cases, difficulties in capturing complex social determinants, and reliance on secondary data, which may not fully reflect the lived experiences of communities. Furthermore, epidemiology alone cannot address structural inequalities, making it necessary to integrate it with broader social policies</w:t>
      </w:r>
      <w:r w:rsidRPr="0010205B">
        <w:rPr>
          <w:rFonts w:ascii="Arial" w:hAnsi="Arial" w:cs="Arial"/>
          <w:sz w:val="22"/>
          <w:szCs w:val="22"/>
        </w:rPr>
        <w:t xml:space="preserve"> </w:t>
      </w:r>
      <w:r w:rsidRPr="0010205B">
        <w:rPr>
          <w:rFonts w:ascii="Arial" w:eastAsia="Times New Roman" w:hAnsi="Arial" w:cs="Arial"/>
          <w:sz w:val="22"/>
          <w:szCs w:val="22"/>
          <w:lang w:eastAsia="zh-CN"/>
        </w:rPr>
        <w:t xml:space="preserve">(Tennis </w:t>
      </w:r>
      <w:r w:rsidRPr="0010205B">
        <w:rPr>
          <w:rFonts w:ascii="Arial" w:eastAsia="Times New Roman" w:hAnsi="Arial" w:cs="Arial"/>
          <w:i/>
          <w:iCs/>
          <w:sz w:val="22"/>
          <w:szCs w:val="22"/>
          <w:lang w:eastAsia="zh-CN"/>
        </w:rPr>
        <w:t>et al.</w:t>
      </w:r>
      <w:r w:rsidRPr="0010205B">
        <w:rPr>
          <w:rFonts w:ascii="Arial" w:eastAsia="Times New Roman" w:hAnsi="Arial" w:cs="Arial"/>
          <w:sz w:val="22"/>
          <w:szCs w:val="22"/>
          <w:lang w:eastAsia="zh-CN"/>
        </w:rPr>
        <w:t>, n</w:t>
      </w:r>
      <w:r w:rsidR="000A3A4D">
        <w:rPr>
          <w:rFonts w:ascii="Arial" w:eastAsia="Times New Roman" w:hAnsi="Arial" w:cs="Arial"/>
          <w:sz w:val="22"/>
          <w:szCs w:val="22"/>
          <w:lang w:eastAsia="zh-CN"/>
        </w:rPr>
        <w:t>.d.</w:t>
      </w:r>
      <w:r w:rsidRPr="0010205B">
        <w:rPr>
          <w:rFonts w:ascii="Arial" w:eastAsia="Times New Roman" w:hAnsi="Arial" w:cs="Arial"/>
          <w:sz w:val="22"/>
          <w:szCs w:val="22"/>
          <w:lang w:eastAsia="zh-CN"/>
        </w:rPr>
        <w:t>)</w:t>
      </w:r>
      <w:r w:rsidRPr="0010205B">
        <w:rPr>
          <w:rFonts w:ascii="Arial" w:hAnsi="Arial" w:cs="Arial"/>
          <w:sz w:val="22"/>
          <w:szCs w:val="22"/>
        </w:rPr>
        <w:t>.</w:t>
      </w:r>
      <w:r w:rsidR="00216E04">
        <w:rPr>
          <w:rFonts w:ascii="Arial" w:hAnsi="Arial" w:cs="Arial"/>
          <w:sz w:val="22"/>
          <w:szCs w:val="22"/>
        </w:rPr>
        <w:t xml:space="preserve"> </w:t>
      </w:r>
      <w:r w:rsidRPr="0010205B">
        <w:rPr>
          <w:rFonts w:ascii="Arial" w:hAnsi="Arial" w:cs="Arial"/>
          <w:sz w:val="22"/>
          <w:szCs w:val="22"/>
        </w:rPr>
        <w:t xml:space="preserve">In conclusion, diabetes in Tower Hamlets </w:t>
      </w:r>
      <w:r w:rsidR="006E441E" w:rsidRPr="0010205B">
        <w:rPr>
          <w:rFonts w:ascii="Arial" w:hAnsi="Arial" w:cs="Arial"/>
          <w:sz w:val="22"/>
          <w:szCs w:val="22"/>
        </w:rPr>
        <w:t>is</w:t>
      </w:r>
      <w:r w:rsidRPr="0010205B">
        <w:rPr>
          <w:rFonts w:ascii="Arial" w:hAnsi="Arial" w:cs="Arial"/>
          <w:sz w:val="22"/>
          <w:szCs w:val="22"/>
        </w:rPr>
        <w:t xml:space="preserve"> a significant public health challenge that requires an integrated response, underpinned by epidemiology, effective surveillance, and interventions tailored to the specific needs of the local population.</w:t>
      </w:r>
    </w:p>
    <w:p w14:paraId="40542FFD" w14:textId="6555574D" w:rsidR="00DC792C" w:rsidRDefault="00DC792C">
      <w:pPr>
        <w:pStyle w:val="Heading3"/>
        <w:keepNext w:val="0"/>
        <w:keepLines w:val="0"/>
        <w:spacing w:before="280"/>
        <w:rPr>
          <w:b/>
          <w:bCs/>
          <w:color w:val="000000"/>
          <w:sz w:val="26"/>
          <w:szCs w:val="26"/>
        </w:rPr>
      </w:pPr>
    </w:p>
    <w:p w14:paraId="39750710" w14:textId="77777777" w:rsidR="00DC792C" w:rsidRDefault="00DC792C">
      <w:pPr>
        <w:spacing w:before="240" w:after="240"/>
      </w:pPr>
      <w:bookmarkStart w:id="3" w:name="_oozh89a5sshx" w:colFirst="0" w:colLast="0"/>
      <w:bookmarkEnd w:id="3"/>
    </w:p>
    <w:p w14:paraId="599CB97E" w14:textId="77777777" w:rsidR="00DC792C" w:rsidRDefault="00DC792C">
      <w:pPr>
        <w:spacing w:before="240" w:after="240"/>
        <w:rPr>
          <w:b/>
          <w:bCs/>
        </w:rPr>
      </w:pPr>
    </w:p>
    <w:p w14:paraId="6C84F7F4" w14:textId="77777777" w:rsidR="00DC792C" w:rsidRDefault="00DC792C">
      <w:pPr>
        <w:pBdr>
          <w:top w:val="nil"/>
          <w:left w:val="nil"/>
          <w:bottom w:val="nil"/>
          <w:right w:val="nil"/>
          <w:between w:val="nil"/>
        </w:pBdr>
      </w:pPr>
    </w:p>
    <w:p w14:paraId="44293C08" w14:textId="77777777" w:rsidR="00DC792C" w:rsidRDefault="007F4225">
      <w:pPr>
        <w:pBdr>
          <w:top w:val="nil"/>
          <w:left w:val="nil"/>
          <w:bottom w:val="nil"/>
          <w:right w:val="nil"/>
          <w:between w:val="nil"/>
        </w:pBdr>
        <w:rPr>
          <w:color w:val="000000"/>
        </w:rPr>
      </w:pPr>
      <w:r>
        <w:br w:type="page"/>
      </w:r>
    </w:p>
    <w:p w14:paraId="209CC98C" w14:textId="4E0562BF" w:rsidR="000A3A4D" w:rsidRPr="000A3A4D" w:rsidRDefault="007F4225" w:rsidP="000A3A4D">
      <w:pPr>
        <w:pBdr>
          <w:top w:val="nil"/>
          <w:left w:val="nil"/>
          <w:bottom w:val="nil"/>
          <w:right w:val="nil"/>
          <w:between w:val="nil"/>
        </w:pBdr>
        <w:spacing w:line="360" w:lineRule="auto"/>
        <w:jc w:val="both"/>
        <w:rPr>
          <w:rFonts w:ascii="Arial" w:hAnsi="Arial" w:cs="Arial"/>
          <w:b/>
          <w:bCs/>
          <w:color w:val="000000"/>
          <w:sz w:val="22"/>
          <w:szCs w:val="22"/>
        </w:rPr>
      </w:pPr>
      <w:r w:rsidRPr="0010205B">
        <w:rPr>
          <w:rFonts w:ascii="Arial" w:hAnsi="Arial" w:cs="Arial"/>
          <w:b/>
          <w:bCs/>
          <w:color w:val="000000"/>
          <w:sz w:val="22"/>
          <w:szCs w:val="22"/>
        </w:rPr>
        <w:lastRenderedPageBreak/>
        <w:t xml:space="preserve">References </w:t>
      </w:r>
    </w:p>
    <w:p w14:paraId="1A78E909" w14:textId="2C8A3364" w:rsidR="000A3A4D" w:rsidRPr="000A3A4D" w:rsidRDefault="000A3A4D" w:rsidP="003A5C49">
      <w:pPr>
        <w:pStyle w:val="NormalWeb"/>
        <w:numPr>
          <w:ilvl w:val="0"/>
          <w:numId w:val="6"/>
        </w:numPr>
        <w:spacing w:line="360" w:lineRule="auto"/>
        <w:rPr>
          <w:rFonts w:ascii="Arial" w:hAnsi="Arial" w:cs="Arial"/>
          <w:sz w:val="22"/>
          <w:szCs w:val="22"/>
        </w:rPr>
      </w:pPr>
      <w:r w:rsidRPr="000A3A4D">
        <w:rPr>
          <w:rFonts w:ascii="Arial" w:hAnsi="Arial" w:cs="Arial"/>
          <w:sz w:val="22"/>
          <w:szCs w:val="22"/>
        </w:rPr>
        <w:t xml:space="preserve">AbilityNet (2025) </w:t>
      </w:r>
      <w:r w:rsidRPr="000A3A4D">
        <w:rPr>
          <w:rStyle w:val="Emphasis"/>
          <w:rFonts w:ascii="Arial" w:hAnsi="Arial" w:cs="Arial"/>
          <w:sz w:val="22"/>
          <w:szCs w:val="22"/>
        </w:rPr>
        <w:t>Our services</w:t>
      </w:r>
      <w:r w:rsidRPr="000A3A4D">
        <w:rPr>
          <w:rFonts w:ascii="Arial" w:hAnsi="Arial" w:cs="Arial"/>
          <w:sz w:val="22"/>
          <w:szCs w:val="22"/>
        </w:rPr>
        <w:t xml:space="preserve">. Available at: </w:t>
      </w:r>
      <w:hyperlink r:id="rId9" w:history="1">
        <w:r w:rsidR="003A5C49" w:rsidRPr="006F13EF">
          <w:rPr>
            <w:rStyle w:val="Hyperlink"/>
            <w:rFonts w:ascii="Arial" w:hAnsi="Arial" w:cs="Arial"/>
            <w:sz w:val="22"/>
            <w:szCs w:val="22"/>
          </w:rPr>
          <w:t>https://abilitynet.org.uk/workplace/supporting-disabled-individuals-workplace</w:t>
        </w:r>
      </w:hyperlink>
      <w:r w:rsidR="003A5C49">
        <w:rPr>
          <w:rFonts w:ascii="Arial" w:hAnsi="Arial" w:cs="Arial"/>
          <w:sz w:val="22"/>
          <w:szCs w:val="22"/>
        </w:rPr>
        <w:t xml:space="preserve"> </w:t>
      </w:r>
      <w:r w:rsidR="003A5C49" w:rsidRPr="003A5C49">
        <w:rPr>
          <w:rFonts w:ascii="Arial" w:hAnsi="Arial" w:cs="Arial"/>
          <w:sz w:val="22"/>
          <w:szCs w:val="22"/>
        </w:rPr>
        <w:t xml:space="preserve"> </w:t>
      </w:r>
      <w:r w:rsidR="003A5C49">
        <w:rPr>
          <w:rFonts w:ascii="Arial" w:hAnsi="Arial" w:cs="Arial"/>
          <w:sz w:val="22"/>
          <w:szCs w:val="22"/>
        </w:rPr>
        <w:t xml:space="preserve">   (</w:t>
      </w:r>
      <w:r w:rsidRPr="000A3A4D">
        <w:rPr>
          <w:rFonts w:ascii="Arial" w:hAnsi="Arial" w:cs="Arial"/>
          <w:sz w:val="22"/>
          <w:szCs w:val="22"/>
        </w:rPr>
        <w:t>Accessed: 17 November 2025)</w:t>
      </w:r>
    </w:p>
    <w:p w14:paraId="2B90AC80" w14:textId="72F93DDB" w:rsidR="000A3A4D" w:rsidRPr="000A3A4D" w:rsidRDefault="000A3A4D" w:rsidP="003A5C49">
      <w:pPr>
        <w:pStyle w:val="NormalWeb"/>
        <w:numPr>
          <w:ilvl w:val="0"/>
          <w:numId w:val="6"/>
        </w:numPr>
        <w:spacing w:line="360" w:lineRule="auto"/>
        <w:rPr>
          <w:rFonts w:ascii="Arial" w:hAnsi="Arial" w:cs="Arial"/>
          <w:sz w:val="22"/>
          <w:szCs w:val="22"/>
        </w:rPr>
      </w:pPr>
      <w:r w:rsidRPr="000A3A4D">
        <w:rPr>
          <w:rFonts w:ascii="Arial" w:hAnsi="Arial" w:cs="Arial"/>
          <w:sz w:val="22"/>
          <w:szCs w:val="22"/>
        </w:rPr>
        <w:t xml:space="preserve">Barnard-Kelly, K.D. &amp; Cherñavvsky, D. (2020) 'Social inequality and diabetes: A commentary', </w:t>
      </w:r>
      <w:r w:rsidRPr="000A3A4D">
        <w:rPr>
          <w:rStyle w:val="Emphasis"/>
          <w:rFonts w:ascii="Arial" w:hAnsi="Arial" w:cs="Arial"/>
          <w:sz w:val="22"/>
          <w:szCs w:val="22"/>
        </w:rPr>
        <w:t>Diabetes Therapy</w:t>
      </w:r>
      <w:r w:rsidRPr="000A3A4D">
        <w:rPr>
          <w:rFonts w:ascii="Arial" w:hAnsi="Arial" w:cs="Arial"/>
          <w:sz w:val="22"/>
          <w:szCs w:val="22"/>
        </w:rPr>
        <w:t xml:space="preserve">, 11(4), pp. 803–811. </w:t>
      </w:r>
      <w:hyperlink r:id="rId10" w:tgtFrame="_new" w:history="1">
        <w:r w:rsidRPr="000A3A4D">
          <w:rPr>
            <w:rStyle w:val="Hyperlink"/>
            <w:rFonts w:ascii="Arial" w:hAnsi="Arial" w:cs="Arial"/>
            <w:sz w:val="22"/>
            <w:szCs w:val="22"/>
          </w:rPr>
          <w:t>https://doi.org/10.1007/s13300-020-00791-4</w:t>
        </w:r>
      </w:hyperlink>
    </w:p>
    <w:p w14:paraId="6836871C" w14:textId="5EC6DDC3" w:rsidR="000A3A4D" w:rsidRPr="000A3A4D" w:rsidRDefault="000A3A4D" w:rsidP="003A5C49">
      <w:pPr>
        <w:pStyle w:val="NormalWeb"/>
        <w:numPr>
          <w:ilvl w:val="0"/>
          <w:numId w:val="6"/>
        </w:numPr>
        <w:spacing w:line="360" w:lineRule="auto"/>
        <w:rPr>
          <w:rFonts w:ascii="Arial" w:hAnsi="Arial" w:cs="Arial"/>
          <w:sz w:val="22"/>
          <w:szCs w:val="22"/>
        </w:rPr>
      </w:pPr>
      <w:r w:rsidRPr="000A3A4D">
        <w:rPr>
          <w:rFonts w:ascii="Arial" w:hAnsi="Arial" w:cs="Arial"/>
          <w:sz w:val="22"/>
          <w:szCs w:val="22"/>
        </w:rPr>
        <w:t xml:space="preserve">Brachman, P. (1996) </w:t>
      </w:r>
      <w:r w:rsidRPr="000A3A4D">
        <w:rPr>
          <w:rStyle w:val="Emphasis"/>
          <w:rFonts w:ascii="Arial" w:hAnsi="Arial" w:cs="Arial"/>
          <w:sz w:val="22"/>
          <w:szCs w:val="22"/>
        </w:rPr>
        <w:t>Epidemiology</w:t>
      </w:r>
      <w:r w:rsidRPr="000A3A4D">
        <w:rPr>
          <w:rFonts w:ascii="Arial" w:hAnsi="Arial" w:cs="Arial"/>
          <w:sz w:val="22"/>
          <w:szCs w:val="22"/>
        </w:rPr>
        <w:t xml:space="preserve">. Available at: </w:t>
      </w:r>
      <w:hyperlink r:id="rId11" w:history="1">
        <w:r w:rsidRPr="000A3A4D">
          <w:rPr>
            <w:rStyle w:val="Hyperlink"/>
            <w:rFonts w:ascii="Arial" w:hAnsi="Arial" w:cs="Arial"/>
            <w:sz w:val="22"/>
            <w:szCs w:val="22"/>
          </w:rPr>
          <w:t>https://www.ncbi.nlm.nih.gov/books/NBK7993/</w:t>
        </w:r>
      </w:hyperlink>
      <w:r w:rsidRPr="000A3A4D">
        <w:rPr>
          <w:rFonts w:ascii="Arial" w:hAnsi="Arial" w:cs="Arial"/>
          <w:sz w:val="22"/>
          <w:szCs w:val="22"/>
        </w:rPr>
        <w:t xml:space="preserve"> (Accessed: 17 November 2025)</w:t>
      </w:r>
    </w:p>
    <w:p w14:paraId="0EEA2A7F" w14:textId="0E366E90" w:rsidR="000A3A4D" w:rsidRPr="000A3A4D" w:rsidRDefault="000A3A4D" w:rsidP="003A5C49">
      <w:pPr>
        <w:pStyle w:val="NormalWeb"/>
        <w:numPr>
          <w:ilvl w:val="0"/>
          <w:numId w:val="6"/>
        </w:numPr>
        <w:spacing w:line="360" w:lineRule="auto"/>
        <w:rPr>
          <w:rFonts w:ascii="Arial" w:hAnsi="Arial" w:cs="Arial"/>
          <w:sz w:val="22"/>
          <w:szCs w:val="22"/>
        </w:rPr>
      </w:pPr>
      <w:r w:rsidRPr="000A3A4D">
        <w:rPr>
          <w:rFonts w:ascii="Arial" w:hAnsi="Arial" w:cs="Arial"/>
          <w:sz w:val="22"/>
          <w:szCs w:val="22"/>
        </w:rPr>
        <w:t xml:space="preserve">Banerjee, S. (2022) </w:t>
      </w:r>
      <w:r w:rsidRPr="000A3A4D">
        <w:rPr>
          <w:rStyle w:val="Emphasis"/>
          <w:rFonts w:ascii="Arial" w:hAnsi="Arial" w:cs="Arial"/>
          <w:sz w:val="22"/>
          <w:szCs w:val="22"/>
        </w:rPr>
        <w:t>Tower Hamlets annual public health report 2022</w:t>
      </w:r>
      <w:r w:rsidRPr="000A3A4D">
        <w:rPr>
          <w:rFonts w:ascii="Arial" w:hAnsi="Arial" w:cs="Arial"/>
          <w:sz w:val="22"/>
          <w:szCs w:val="22"/>
        </w:rPr>
        <w:t xml:space="preserve">. Available at: </w:t>
      </w:r>
      <w:hyperlink r:id="rId12" w:tgtFrame="_new" w:history="1">
        <w:r w:rsidRPr="000A3A4D">
          <w:rPr>
            <w:rStyle w:val="Hyperlink"/>
            <w:rFonts w:ascii="Arial" w:hAnsi="Arial" w:cs="Arial"/>
            <w:sz w:val="22"/>
            <w:szCs w:val="22"/>
          </w:rPr>
          <w:t>https://www.towerhamlets.gov.uk/Documents/PublicHealth/TowerHamletsPublicHealthReport2022.pdf</w:t>
        </w:r>
      </w:hyperlink>
      <w:r w:rsidRPr="000A3A4D">
        <w:rPr>
          <w:rFonts w:ascii="Arial" w:hAnsi="Arial" w:cs="Arial"/>
          <w:sz w:val="22"/>
          <w:szCs w:val="22"/>
        </w:rPr>
        <w:t xml:space="preserve"> (Accessed: 17 November 2025)</w:t>
      </w:r>
    </w:p>
    <w:p w14:paraId="486CFE23" w14:textId="593C534B" w:rsidR="000A3A4D" w:rsidRPr="000A3A4D" w:rsidRDefault="000A3A4D" w:rsidP="003A5C49">
      <w:pPr>
        <w:pStyle w:val="NormalWeb"/>
        <w:numPr>
          <w:ilvl w:val="0"/>
          <w:numId w:val="6"/>
        </w:numPr>
        <w:spacing w:line="360" w:lineRule="auto"/>
        <w:rPr>
          <w:rFonts w:ascii="Arial" w:hAnsi="Arial" w:cs="Arial"/>
          <w:sz w:val="22"/>
          <w:szCs w:val="22"/>
        </w:rPr>
      </w:pPr>
      <w:r w:rsidRPr="000A3A4D">
        <w:rPr>
          <w:rFonts w:ascii="Arial" w:hAnsi="Arial" w:cs="Arial"/>
          <w:sz w:val="22"/>
          <w:szCs w:val="22"/>
        </w:rPr>
        <w:t xml:space="preserve">Banks, R. et al. (2022) </w:t>
      </w:r>
      <w:r w:rsidRPr="000A3A4D">
        <w:rPr>
          <w:rStyle w:val="Emphasis"/>
          <w:rFonts w:ascii="Arial" w:hAnsi="Arial" w:cs="Arial"/>
          <w:sz w:val="22"/>
          <w:szCs w:val="22"/>
        </w:rPr>
        <w:t>Research demand signalling, National Learning Disability and Autism Programme</w:t>
      </w:r>
      <w:r w:rsidRPr="000A3A4D">
        <w:rPr>
          <w:rFonts w:ascii="Arial" w:hAnsi="Arial" w:cs="Arial"/>
          <w:sz w:val="22"/>
          <w:szCs w:val="22"/>
        </w:rPr>
        <w:t xml:space="preserve">. Report. Available at: </w:t>
      </w:r>
      <w:hyperlink r:id="rId13" w:tgtFrame="_new" w:history="1">
        <w:r w:rsidRPr="000A3A4D">
          <w:rPr>
            <w:rStyle w:val="Hyperlink"/>
            <w:rFonts w:ascii="Arial" w:hAnsi="Arial" w:cs="Arial"/>
            <w:sz w:val="22"/>
            <w:szCs w:val="22"/>
          </w:rPr>
          <w:t>https://www.england.nhs.uk/aac/wp-content/uploads/sites/50/2022/09/B1481_Research-demand-signalling-national-learning-disability-and-autism-programme-september-2022.pdf</w:t>
        </w:r>
      </w:hyperlink>
      <w:r w:rsidRPr="000A3A4D">
        <w:rPr>
          <w:rFonts w:ascii="Arial" w:hAnsi="Arial" w:cs="Arial"/>
          <w:sz w:val="22"/>
          <w:szCs w:val="22"/>
        </w:rPr>
        <w:t xml:space="preserve"> (Accessed: 17 November 2025)</w:t>
      </w:r>
    </w:p>
    <w:p w14:paraId="185E60CE" w14:textId="7A543AEF" w:rsidR="000A3A4D" w:rsidRPr="000A3A4D" w:rsidRDefault="000A3A4D" w:rsidP="003A5C49">
      <w:pPr>
        <w:pStyle w:val="NormalWeb"/>
        <w:numPr>
          <w:ilvl w:val="0"/>
          <w:numId w:val="6"/>
        </w:numPr>
        <w:spacing w:line="360" w:lineRule="auto"/>
        <w:rPr>
          <w:rFonts w:ascii="Arial" w:hAnsi="Arial" w:cs="Arial"/>
          <w:sz w:val="22"/>
          <w:szCs w:val="22"/>
        </w:rPr>
      </w:pPr>
      <w:r w:rsidRPr="000A3A4D">
        <w:rPr>
          <w:rFonts w:ascii="Arial" w:hAnsi="Arial" w:cs="Arial"/>
          <w:sz w:val="22"/>
          <w:szCs w:val="22"/>
        </w:rPr>
        <w:t xml:space="preserve">Chowdhury, T. &amp; Huda, B. (n.d.) 'A decade of change in diabetes services in a deprived multiethnic inner-city area: diabetes in Tower Hamlets', </w:t>
      </w:r>
      <w:r w:rsidRPr="000A3A4D">
        <w:rPr>
          <w:rStyle w:val="Emphasis"/>
          <w:rFonts w:ascii="Arial" w:hAnsi="Arial" w:cs="Arial"/>
          <w:sz w:val="22"/>
          <w:szCs w:val="22"/>
        </w:rPr>
        <w:t>British Journal of Diabetes</w:t>
      </w:r>
      <w:r w:rsidRPr="000A3A4D">
        <w:rPr>
          <w:rFonts w:ascii="Arial" w:hAnsi="Arial" w:cs="Arial"/>
          <w:sz w:val="22"/>
          <w:szCs w:val="22"/>
        </w:rPr>
        <w:t xml:space="preserve">. Available at: </w:t>
      </w:r>
      <w:hyperlink r:id="rId14" w:tgtFrame="_new" w:history="1">
        <w:r w:rsidRPr="000A3A4D">
          <w:rPr>
            <w:rStyle w:val="Hyperlink"/>
            <w:rFonts w:ascii="Arial" w:hAnsi="Arial" w:cs="Arial"/>
            <w:sz w:val="22"/>
            <w:szCs w:val="22"/>
          </w:rPr>
          <w:t>https://www.bjd-abcd.com/index.php/bjd/article/view/204/345</w:t>
        </w:r>
      </w:hyperlink>
      <w:r w:rsidRPr="000A3A4D">
        <w:rPr>
          <w:rFonts w:ascii="Arial" w:hAnsi="Arial" w:cs="Arial"/>
          <w:sz w:val="22"/>
          <w:szCs w:val="22"/>
        </w:rPr>
        <w:t xml:space="preserve"> (Accessed: 08 November 2025)</w:t>
      </w:r>
    </w:p>
    <w:p w14:paraId="77B47B60" w14:textId="0C65E919" w:rsidR="000A3A4D" w:rsidRPr="000A3A4D" w:rsidRDefault="000A3A4D" w:rsidP="003A5C49">
      <w:pPr>
        <w:pStyle w:val="NormalWeb"/>
        <w:numPr>
          <w:ilvl w:val="0"/>
          <w:numId w:val="6"/>
        </w:numPr>
        <w:spacing w:line="360" w:lineRule="auto"/>
        <w:rPr>
          <w:rFonts w:ascii="Arial" w:hAnsi="Arial" w:cs="Arial"/>
          <w:sz w:val="22"/>
          <w:szCs w:val="22"/>
        </w:rPr>
      </w:pPr>
      <w:r w:rsidRPr="000A3A4D">
        <w:rPr>
          <w:rFonts w:ascii="Arial" w:hAnsi="Arial" w:cs="Arial"/>
          <w:sz w:val="22"/>
          <w:szCs w:val="22"/>
        </w:rPr>
        <w:t xml:space="preserve">Choudhury, S.R., Furbish, A. &amp; Chowdhury, T.A. (2016) 'Prevention of diabetes in Bangladeshis in East London: experiences and views of young people', </w:t>
      </w:r>
      <w:r w:rsidRPr="000A3A4D">
        <w:rPr>
          <w:rStyle w:val="Emphasis"/>
          <w:rFonts w:ascii="Arial" w:hAnsi="Arial" w:cs="Arial"/>
          <w:sz w:val="22"/>
          <w:szCs w:val="22"/>
        </w:rPr>
        <w:t>Journal of Translational Internal Medicine</w:t>
      </w:r>
      <w:r w:rsidRPr="000A3A4D">
        <w:rPr>
          <w:rFonts w:ascii="Arial" w:hAnsi="Arial" w:cs="Arial"/>
          <w:sz w:val="22"/>
          <w:szCs w:val="22"/>
        </w:rPr>
        <w:t xml:space="preserve">, 4(2), pp. 88–93. </w:t>
      </w:r>
      <w:hyperlink r:id="rId15" w:tgtFrame="_new" w:history="1">
        <w:r w:rsidRPr="000A3A4D">
          <w:rPr>
            <w:rStyle w:val="Hyperlink"/>
            <w:rFonts w:ascii="Arial" w:hAnsi="Arial" w:cs="Arial"/>
            <w:sz w:val="22"/>
            <w:szCs w:val="22"/>
          </w:rPr>
          <w:t>https://doi.org/10.1515/jtim-2016-0021</w:t>
        </w:r>
      </w:hyperlink>
    </w:p>
    <w:p w14:paraId="61EE0916" w14:textId="3CAC2ABD" w:rsidR="000A3A4D" w:rsidRPr="000A3A4D" w:rsidRDefault="000A3A4D" w:rsidP="003A5C49">
      <w:pPr>
        <w:pStyle w:val="NormalWeb"/>
        <w:numPr>
          <w:ilvl w:val="0"/>
          <w:numId w:val="6"/>
        </w:numPr>
        <w:spacing w:line="360" w:lineRule="auto"/>
        <w:rPr>
          <w:rFonts w:ascii="Arial" w:hAnsi="Arial" w:cs="Arial"/>
          <w:sz w:val="22"/>
          <w:szCs w:val="22"/>
        </w:rPr>
      </w:pPr>
      <w:r w:rsidRPr="000A3A4D">
        <w:rPr>
          <w:rFonts w:ascii="Arial" w:hAnsi="Arial" w:cs="Arial"/>
          <w:sz w:val="22"/>
          <w:szCs w:val="22"/>
        </w:rPr>
        <w:t xml:space="preserve">Diabetes UK (2023a) </w:t>
      </w:r>
      <w:r w:rsidRPr="000A3A4D">
        <w:rPr>
          <w:rStyle w:val="Emphasis"/>
          <w:rFonts w:ascii="Arial" w:hAnsi="Arial" w:cs="Arial"/>
          <w:sz w:val="22"/>
          <w:szCs w:val="22"/>
        </w:rPr>
        <w:t>Type 2 diabetes</w:t>
      </w:r>
      <w:r w:rsidRPr="000A3A4D">
        <w:rPr>
          <w:rFonts w:ascii="Arial" w:hAnsi="Arial" w:cs="Arial"/>
          <w:sz w:val="22"/>
          <w:szCs w:val="22"/>
        </w:rPr>
        <w:t xml:space="preserve">. Available at: </w:t>
      </w:r>
      <w:hyperlink r:id="rId16" w:tgtFrame="_new" w:history="1">
        <w:r w:rsidRPr="000A3A4D">
          <w:rPr>
            <w:rStyle w:val="Hyperlink"/>
            <w:rFonts w:ascii="Arial" w:hAnsi="Arial" w:cs="Arial"/>
            <w:sz w:val="22"/>
            <w:szCs w:val="22"/>
          </w:rPr>
          <w:t>https://www.diabetes.org.uk/about-diabetes/type-2-diabetes</w:t>
        </w:r>
      </w:hyperlink>
      <w:r w:rsidRPr="000A3A4D">
        <w:rPr>
          <w:rFonts w:ascii="Arial" w:hAnsi="Arial" w:cs="Arial"/>
          <w:sz w:val="22"/>
          <w:szCs w:val="22"/>
        </w:rPr>
        <w:t xml:space="preserve"> (Accessed: 09 November 2025)</w:t>
      </w:r>
    </w:p>
    <w:p w14:paraId="03DF6A89" w14:textId="33F07984" w:rsidR="000A3A4D" w:rsidRPr="000A3A4D" w:rsidRDefault="000A3A4D" w:rsidP="003A5C49">
      <w:pPr>
        <w:pStyle w:val="NormalWeb"/>
        <w:numPr>
          <w:ilvl w:val="0"/>
          <w:numId w:val="6"/>
        </w:numPr>
        <w:spacing w:line="360" w:lineRule="auto"/>
        <w:rPr>
          <w:rFonts w:ascii="Arial" w:hAnsi="Arial" w:cs="Arial"/>
          <w:sz w:val="22"/>
          <w:szCs w:val="22"/>
        </w:rPr>
      </w:pPr>
      <w:r w:rsidRPr="000A3A4D">
        <w:rPr>
          <w:rFonts w:ascii="Arial" w:hAnsi="Arial" w:cs="Arial"/>
          <w:sz w:val="22"/>
          <w:szCs w:val="22"/>
        </w:rPr>
        <w:t xml:space="preserve">Diabetes UK (2023b) </w:t>
      </w:r>
      <w:r w:rsidRPr="000A3A4D">
        <w:rPr>
          <w:rStyle w:val="Emphasis"/>
          <w:rFonts w:ascii="Arial" w:hAnsi="Arial" w:cs="Arial"/>
          <w:sz w:val="22"/>
          <w:szCs w:val="22"/>
        </w:rPr>
        <w:t>NHS Diabetes prevention programme linked to lower numbers of people developing type 2 diabetes</w:t>
      </w:r>
      <w:r w:rsidRPr="000A3A4D">
        <w:rPr>
          <w:rFonts w:ascii="Arial" w:hAnsi="Arial" w:cs="Arial"/>
          <w:sz w:val="22"/>
          <w:szCs w:val="22"/>
        </w:rPr>
        <w:t xml:space="preserve">. Available at: </w:t>
      </w:r>
      <w:hyperlink r:id="rId17" w:tgtFrame="_new" w:history="1">
        <w:r w:rsidRPr="000A3A4D">
          <w:rPr>
            <w:rStyle w:val="Hyperlink"/>
            <w:rFonts w:ascii="Arial" w:hAnsi="Arial" w:cs="Arial"/>
            <w:sz w:val="22"/>
            <w:szCs w:val="22"/>
          </w:rPr>
          <w:t>https://www.diabetes.org.uk/about-us/news-and-views/reduced-risk-type-2-diabetes-diabetes-prevention-</w:t>
        </w:r>
      </w:hyperlink>
      <w:r w:rsidRPr="000A3A4D">
        <w:rPr>
          <w:rFonts w:ascii="Arial" w:hAnsi="Arial" w:cs="Arial"/>
          <w:sz w:val="22"/>
          <w:szCs w:val="22"/>
        </w:rPr>
        <w:t xml:space="preserve"> (Accessed: 08 December 2025)</w:t>
      </w:r>
    </w:p>
    <w:p w14:paraId="2D06BF92" w14:textId="395A3F81" w:rsidR="000A3A4D" w:rsidRPr="000A3A4D" w:rsidRDefault="000A3A4D" w:rsidP="003A5C49">
      <w:pPr>
        <w:pStyle w:val="NormalWeb"/>
        <w:numPr>
          <w:ilvl w:val="0"/>
          <w:numId w:val="6"/>
        </w:numPr>
        <w:spacing w:line="360" w:lineRule="auto"/>
        <w:rPr>
          <w:rFonts w:ascii="Arial" w:hAnsi="Arial" w:cs="Arial"/>
          <w:sz w:val="22"/>
          <w:szCs w:val="22"/>
        </w:rPr>
      </w:pPr>
      <w:r w:rsidRPr="000A3A4D">
        <w:rPr>
          <w:rFonts w:ascii="Arial" w:hAnsi="Arial" w:cs="Arial"/>
          <w:sz w:val="22"/>
          <w:szCs w:val="22"/>
        </w:rPr>
        <w:t xml:space="preserve">Equality Advisory &amp; Support Services [EASS] (n.d.) </w:t>
      </w:r>
      <w:r w:rsidRPr="000A3A4D">
        <w:rPr>
          <w:rStyle w:val="Emphasis"/>
          <w:rFonts w:ascii="Arial" w:hAnsi="Arial" w:cs="Arial"/>
          <w:sz w:val="22"/>
          <w:szCs w:val="22"/>
        </w:rPr>
        <w:t>About us</w:t>
      </w:r>
      <w:r w:rsidRPr="000A3A4D">
        <w:rPr>
          <w:rFonts w:ascii="Arial" w:hAnsi="Arial" w:cs="Arial"/>
          <w:sz w:val="22"/>
          <w:szCs w:val="22"/>
        </w:rPr>
        <w:t xml:space="preserve">. Available at: </w:t>
      </w:r>
      <w:hyperlink r:id="rId18" w:history="1">
        <w:r w:rsidR="003A5C49" w:rsidRPr="006F13EF">
          <w:rPr>
            <w:rStyle w:val="Hyperlink"/>
            <w:rFonts w:ascii="Arial" w:hAnsi="Arial" w:cs="Arial"/>
            <w:sz w:val="22"/>
            <w:szCs w:val="22"/>
          </w:rPr>
          <w:t>https://www.equalityadvisoryservice.com/about-us</w:t>
        </w:r>
      </w:hyperlink>
      <w:r w:rsidR="003A5C49">
        <w:rPr>
          <w:rFonts w:ascii="Arial" w:hAnsi="Arial" w:cs="Arial"/>
          <w:sz w:val="22"/>
          <w:szCs w:val="22"/>
        </w:rPr>
        <w:t xml:space="preserve"> </w:t>
      </w:r>
      <w:r w:rsidRPr="000A3A4D">
        <w:rPr>
          <w:rFonts w:ascii="Arial" w:hAnsi="Arial" w:cs="Arial"/>
          <w:sz w:val="22"/>
          <w:szCs w:val="22"/>
        </w:rPr>
        <w:t xml:space="preserve"> (Accessed: 17 November 2025)</w:t>
      </w:r>
    </w:p>
    <w:p w14:paraId="76F0078C" w14:textId="631E9D4D" w:rsidR="000A3A4D" w:rsidRPr="000A3A4D" w:rsidRDefault="000A3A4D" w:rsidP="003A5C49">
      <w:pPr>
        <w:pStyle w:val="NormalWeb"/>
        <w:numPr>
          <w:ilvl w:val="0"/>
          <w:numId w:val="6"/>
        </w:numPr>
        <w:spacing w:line="360" w:lineRule="auto"/>
        <w:rPr>
          <w:rFonts w:ascii="Arial" w:hAnsi="Arial" w:cs="Arial"/>
          <w:sz w:val="22"/>
          <w:szCs w:val="22"/>
        </w:rPr>
      </w:pPr>
      <w:r w:rsidRPr="000A3A4D">
        <w:rPr>
          <w:rFonts w:ascii="Arial" w:hAnsi="Arial" w:cs="Arial"/>
          <w:sz w:val="22"/>
          <w:szCs w:val="22"/>
        </w:rPr>
        <w:lastRenderedPageBreak/>
        <w:t xml:space="preserve">Emerson, E. et al. (2021) 'Disability, loneliness and health in the UK: cross-sectional survey', </w:t>
      </w:r>
      <w:r w:rsidRPr="000A3A4D">
        <w:rPr>
          <w:rStyle w:val="Emphasis"/>
          <w:rFonts w:ascii="Arial" w:hAnsi="Arial" w:cs="Arial"/>
          <w:sz w:val="22"/>
          <w:szCs w:val="22"/>
        </w:rPr>
        <w:t>European Journal of Public Health</w:t>
      </w:r>
      <w:r w:rsidRPr="000A3A4D">
        <w:rPr>
          <w:rFonts w:ascii="Arial" w:hAnsi="Arial" w:cs="Arial"/>
          <w:sz w:val="22"/>
          <w:szCs w:val="22"/>
        </w:rPr>
        <w:t xml:space="preserve">, 31(3), pp. 533–538. </w:t>
      </w:r>
      <w:hyperlink r:id="rId19" w:tgtFrame="_new" w:history="1">
        <w:r w:rsidRPr="000A3A4D">
          <w:rPr>
            <w:rStyle w:val="Hyperlink"/>
            <w:rFonts w:ascii="Arial" w:hAnsi="Arial" w:cs="Arial"/>
            <w:sz w:val="22"/>
            <w:szCs w:val="22"/>
          </w:rPr>
          <w:t>https://doi.org/10.1093/eurpub/ckab018</w:t>
        </w:r>
      </w:hyperlink>
    </w:p>
    <w:p w14:paraId="715E78F2" w14:textId="3A98351B" w:rsidR="000A3A4D" w:rsidRPr="000A3A4D" w:rsidRDefault="000A3A4D" w:rsidP="003A5C49">
      <w:pPr>
        <w:pStyle w:val="NormalWeb"/>
        <w:numPr>
          <w:ilvl w:val="0"/>
          <w:numId w:val="6"/>
        </w:numPr>
        <w:spacing w:line="360" w:lineRule="auto"/>
        <w:rPr>
          <w:rFonts w:ascii="Arial" w:hAnsi="Arial" w:cs="Arial"/>
          <w:sz w:val="22"/>
          <w:szCs w:val="22"/>
        </w:rPr>
      </w:pPr>
      <w:r w:rsidRPr="000A3A4D">
        <w:rPr>
          <w:rFonts w:ascii="Arial" w:hAnsi="Arial" w:cs="Arial"/>
          <w:sz w:val="22"/>
          <w:szCs w:val="22"/>
        </w:rPr>
        <w:t xml:space="preserve">Cahill, T. (2025) </w:t>
      </w:r>
      <w:r w:rsidRPr="000A3A4D">
        <w:rPr>
          <w:rStyle w:val="Emphasis"/>
          <w:rFonts w:ascii="Arial" w:hAnsi="Arial" w:cs="Arial"/>
          <w:sz w:val="22"/>
          <w:szCs w:val="22"/>
        </w:rPr>
        <w:t>Update on Learning Disability and Autism Programme</w:t>
      </w:r>
      <w:r w:rsidRPr="000A3A4D">
        <w:rPr>
          <w:rFonts w:ascii="Arial" w:hAnsi="Arial" w:cs="Arial"/>
          <w:sz w:val="22"/>
          <w:szCs w:val="22"/>
        </w:rPr>
        <w:t xml:space="preserve">. Available at: </w:t>
      </w:r>
      <w:hyperlink r:id="rId20" w:history="1">
        <w:r w:rsidR="003A5C49" w:rsidRPr="006F13EF">
          <w:rPr>
            <w:rStyle w:val="Hyperlink"/>
            <w:rFonts w:ascii="Arial" w:hAnsi="Arial" w:cs="Arial"/>
            <w:sz w:val="22"/>
            <w:szCs w:val="22"/>
          </w:rPr>
          <w:t>https://www.england.nhs.uk/update-on-learning-disability-and-autism-programme</w:t>
        </w:r>
      </w:hyperlink>
      <w:r w:rsidR="003A5C49">
        <w:rPr>
          <w:rFonts w:ascii="Arial" w:hAnsi="Arial" w:cs="Arial"/>
          <w:sz w:val="22"/>
          <w:szCs w:val="22"/>
        </w:rPr>
        <w:t xml:space="preserve"> </w:t>
      </w:r>
      <w:r w:rsidRPr="000A3A4D">
        <w:rPr>
          <w:rFonts w:ascii="Arial" w:hAnsi="Arial" w:cs="Arial"/>
          <w:sz w:val="22"/>
          <w:szCs w:val="22"/>
        </w:rPr>
        <w:t xml:space="preserve"> (Accessed: 15 November 2025)</w:t>
      </w:r>
    </w:p>
    <w:p w14:paraId="5052DC1E" w14:textId="226FB071" w:rsidR="000A3A4D" w:rsidRPr="000A3A4D" w:rsidRDefault="000A3A4D" w:rsidP="003A5C49">
      <w:pPr>
        <w:pStyle w:val="NormalWeb"/>
        <w:numPr>
          <w:ilvl w:val="0"/>
          <w:numId w:val="6"/>
        </w:numPr>
        <w:spacing w:line="360" w:lineRule="auto"/>
        <w:rPr>
          <w:rFonts w:ascii="Arial" w:hAnsi="Arial" w:cs="Arial"/>
          <w:sz w:val="22"/>
          <w:szCs w:val="22"/>
        </w:rPr>
      </w:pPr>
      <w:r w:rsidRPr="000A3A4D">
        <w:rPr>
          <w:rFonts w:ascii="Arial" w:hAnsi="Arial" w:cs="Arial"/>
          <w:sz w:val="22"/>
          <w:szCs w:val="22"/>
        </w:rPr>
        <w:t xml:space="preserve">Foubert, J. et al. (2022) 'Disabled people’s access to products and services, Great Britain: February to March 2022', </w:t>
      </w:r>
      <w:r w:rsidRPr="000A3A4D">
        <w:rPr>
          <w:rStyle w:val="Emphasis"/>
          <w:rFonts w:ascii="Arial" w:hAnsi="Arial" w:cs="Arial"/>
          <w:sz w:val="22"/>
          <w:szCs w:val="22"/>
        </w:rPr>
        <w:t>Office for National Statistics</w:t>
      </w:r>
      <w:r w:rsidRPr="000A3A4D">
        <w:rPr>
          <w:rFonts w:ascii="Arial" w:hAnsi="Arial" w:cs="Arial"/>
          <w:sz w:val="22"/>
          <w:szCs w:val="22"/>
        </w:rPr>
        <w:t>.</w:t>
      </w:r>
    </w:p>
    <w:p w14:paraId="15D33CA6" w14:textId="31D0ACC1" w:rsidR="000A3A4D" w:rsidRPr="000A3A4D" w:rsidRDefault="000A3A4D" w:rsidP="003A5C49">
      <w:pPr>
        <w:pStyle w:val="NormalWeb"/>
        <w:numPr>
          <w:ilvl w:val="0"/>
          <w:numId w:val="6"/>
        </w:numPr>
        <w:spacing w:line="360" w:lineRule="auto"/>
        <w:rPr>
          <w:rFonts w:ascii="Arial" w:hAnsi="Arial" w:cs="Arial"/>
          <w:sz w:val="22"/>
          <w:szCs w:val="22"/>
        </w:rPr>
      </w:pPr>
      <w:r w:rsidRPr="000A3A4D">
        <w:rPr>
          <w:rFonts w:ascii="Arial" w:hAnsi="Arial" w:cs="Arial"/>
          <w:sz w:val="22"/>
          <w:szCs w:val="22"/>
        </w:rPr>
        <w:t xml:space="preserve">Flynn, S. &amp; Hatton, C. (2021) 'Health and social care access for adults with learning disabilities across the UK during the COVID-19 pandemic in 2020', </w:t>
      </w:r>
      <w:r w:rsidRPr="000A3A4D">
        <w:rPr>
          <w:rStyle w:val="Emphasis"/>
          <w:rFonts w:ascii="Arial" w:hAnsi="Arial" w:cs="Arial"/>
          <w:sz w:val="22"/>
          <w:szCs w:val="22"/>
        </w:rPr>
        <w:t>Tizard Learning Disability Review</w:t>
      </w:r>
      <w:r w:rsidRPr="000A3A4D">
        <w:rPr>
          <w:rFonts w:ascii="Arial" w:hAnsi="Arial" w:cs="Arial"/>
          <w:sz w:val="22"/>
          <w:szCs w:val="22"/>
        </w:rPr>
        <w:t xml:space="preserve">, 26(3), pp. 174–179. </w:t>
      </w:r>
      <w:hyperlink r:id="rId21" w:tgtFrame="_new" w:history="1">
        <w:r w:rsidRPr="000A3A4D">
          <w:rPr>
            <w:rStyle w:val="Hyperlink"/>
            <w:rFonts w:ascii="Arial" w:hAnsi="Arial" w:cs="Arial"/>
            <w:sz w:val="22"/>
            <w:szCs w:val="22"/>
          </w:rPr>
          <w:t>https://doi.org/10.1108/tldr-06-2021-0014</w:t>
        </w:r>
      </w:hyperlink>
    </w:p>
    <w:p w14:paraId="63CA664C" w14:textId="2D802974" w:rsidR="000A3A4D" w:rsidRPr="000A3A4D" w:rsidRDefault="000A3A4D" w:rsidP="003A5C49">
      <w:pPr>
        <w:pStyle w:val="NormalWeb"/>
        <w:numPr>
          <w:ilvl w:val="0"/>
          <w:numId w:val="6"/>
        </w:numPr>
        <w:spacing w:line="360" w:lineRule="auto"/>
        <w:rPr>
          <w:rFonts w:ascii="Arial" w:hAnsi="Arial" w:cs="Arial"/>
          <w:sz w:val="22"/>
          <w:szCs w:val="22"/>
        </w:rPr>
      </w:pPr>
      <w:r w:rsidRPr="000A3A4D">
        <w:rPr>
          <w:rFonts w:ascii="Arial" w:hAnsi="Arial" w:cs="Arial"/>
          <w:sz w:val="22"/>
          <w:szCs w:val="22"/>
        </w:rPr>
        <w:t>Gillooly, A. et al. (2025) 'The mental health and well</w:t>
      </w:r>
      <w:r w:rsidRPr="000A3A4D">
        <w:rPr>
          <w:rFonts w:ascii="Cambria Math" w:hAnsi="Cambria Math" w:cs="Cambria Math"/>
          <w:sz w:val="22"/>
          <w:szCs w:val="22"/>
        </w:rPr>
        <w:t>‐</w:t>
      </w:r>
      <w:r w:rsidRPr="000A3A4D">
        <w:rPr>
          <w:rFonts w:ascii="Arial" w:hAnsi="Arial" w:cs="Arial"/>
          <w:sz w:val="22"/>
          <w:szCs w:val="22"/>
        </w:rPr>
        <w:t>being of adults with intellectual disabilities during the COVID</w:t>
      </w:r>
      <w:r w:rsidRPr="000A3A4D">
        <w:rPr>
          <w:rFonts w:ascii="Cambria Math" w:hAnsi="Cambria Math" w:cs="Cambria Math"/>
          <w:sz w:val="22"/>
          <w:szCs w:val="22"/>
        </w:rPr>
        <w:t>‐</w:t>
      </w:r>
      <w:r w:rsidRPr="000A3A4D">
        <w:rPr>
          <w:rFonts w:ascii="Arial" w:hAnsi="Arial" w:cs="Arial"/>
          <w:sz w:val="22"/>
          <w:szCs w:val="22"/>
        </w:rPr>
        <w:t>19 pandemic across the UK: a four</w:t>
      </w:r>
      <w:r w:rsidRPr="000A3A4D">
        <w:rPr>
          <w:rFonts w:ascii="Cambria Math" w:hAnsi="Cambria Math" w:cs="Cambria Math"/>
          <w:sz w:val="22"/>
          <w:szCs w:val="22"/>
        </w:rPr>
        <w:t>‐</w:t>
      </w:r>
      <w:r w:rsidRPr="000A3A4D">
        <w:rPr>
          <w:rFonts w:ascii="Arial" w:hAnsi="Arial" w:cs="Arial"/>
          <w:sz w:val="22"/>
          <w:szCs w:val="22"/>
        </w:rPr>
        <w:t xml:space="preserve">wave longitudinal analysis', </w:t>
      </w:r>
      <w:r w:rsidRPr="000A3A4D">
        <w:rPr>
          <w:rStyle w:val="Emphasis"/>
          <w:rFonts w:ascii="Arial" w:hAnsi="Arial" w:cs="Arial"/>
          <w:sz w:val="22"/>
          <w:szCs w:val="22"/>
        </w:rPr>
        <w:t>Journal of Intellectual Disability Research</w:t>
      </w:r>
      <w:r w:rsidRPr="000A3A4D">
        <w:rPr>
          <w:rFonts w:ascii="Arial" w:hAnsi="Arial" w:cs="Arial"/>
          <w:sz w:val="22"/>
          <w:szCs w:val="22"/>
        </w:rPr>
        <w:t xml:space="preserve">, 69(10), pp. 1132–1142. </w:t>
      </w:r>
      <w:hyperlink r:id="rId22" w:tgtFrame="_new" w:history="1">
        <w:r w:rsidRPr="000A3A4D">
          <w:rPr>
            <w:rStyle w:val="Hyperlink"/>
            <w:rFonts w:ascii="Arial" w:hAnsi="Arial" w:cs="Arial"/>
            <w:sz w:val="22"/>
            <w:szCs w:val="22"/>
          </w:rPr>
          <w:t>https://doi.org/10.1111/jir.70006</w:t>
        </w:r>
      </w:hyperlink>
    </w:p>
    <w:p w14:paraId="66C36213" w14:textId="28C3099B" w:rsidR="000A3A4D" w:rsidRPr="000A3A4D" w:rsidRDefault="000A3A4D" w:rsidP="003A5C49">
      <w:pPr>
        <w:pStyle w:val="NormalWeb"/>
        <w:numPr>
          <w:ilvl w:val="0"/>
          <w:numId w:val="6"/>
        </w:numPr>
        <w:spacing w:line="360" w:lineRule="auto"/>
        <w:rPr>
          <w:rFonts w:ascii="Arial" w:hAnsi="Arial" w:cs="Arial"/>
          <w:sz w:val="22"/>
          <w:szCs w:val="22"/>
        </w:rPr>
      </w:pPr>
      <w:r w:rsidRPr="000A3A4D">
        <w:rPr>
          <w:rFonts w:ascii="Arial" w:hAnsi="Arial" w:cs="Arial"/>
          <w:sz w:val="22"/>
          <w:szCs w:val="22"/>
        </w:rPr>
        <w:t xml:space="preserve">Gruss, S.M. et al. (2019) 'Public health approaches to type 2 diabetes prevention: the US National Diabetes Prevention Program and beyond', </w:t>
      </w:r>
      <w:r w:rsidRPr="000A3A4D">
        <w:rPr>
          <w:rStyle w:val="Emphasis"/>
          <w:rFonts w:ascii="Arial" w:hAnsi="Arial" w:cs="Arial"/>
          <w:sz w:val="22"/>
          <w:szCs w:val="22"/>
        </w:rPr>
        <w:t>Current Diabetes Reports</w:t>
      </w:r>
      <w:r w:rsidRPr="000A3A4D">
        <w:rPr>
          <w:rFonts w:ascii="Arial" w:hAnsi="Arial" w:cs="Arial"/>
          <w:sz w:val="22"/>
          <w:szCs w:val="22"/>
        </w:rPr>
        <w:t xml:space="preserve">, 19(9), p. 78. </w:t>
      </w:r>
      <w:hyperlink r:id="rId23" w:tgtFrame="_new" w:history="1">
        <w:r w:rsidRPr="000A3A4D">
          <w:rPr>
            <w:rStyle w:val="Hyperlink"/>
            <w:rFonts w:ascii="Arial" w:hAnsi="Arial" w:cs="Arial"/>
            <w:sz w:val="22"/>
            <w:szCs w:val="22"/>
          </w:rPr>
          <w:t>https://doi.org/10.1007/s11892-019-1200-z</w:t>
        </w:r>
      </w:hyperlink>
    </w:p>
    <w:p w14:paraId="70966564" w14:textId="5D543734" w:rsidR="000A3A4D" w:rsidRPr="000A3A4D" w:rsidRDefault="000A3A4D" w:rsidP="003A5C49">
      <w:pPr>
        <w:pStyle w:val="NormalWeb"/>
        <w:numPr>
          <w:ilvl w:val="0"/>
          <w:numId w:val="6"/>
        </w:numPr>
        <w:spacing w:line="360" w:lineRule="auto"/>
        <w:rPr>
          <w:rFonts w:ascii="Arial" w:hAnsi="Arial" w:cs="Arial"/>
          <w:sz w:val="22"/>
          <w:szCs w:val="22"/>
        </w:rPr>
      </w:pPr>
      <w:r w:rsidRPr="000A3A4D">
        <w:rPr>
          <w:rFonts w:ascii="Arial" w:hAnsi="Arial" w:cs="Arial"/>
          <w:sz w:val="22"/>
          <w:szCs w:val="22"/>
        </w:rPr>
        <w:t xml:space="preserve">Government [GOV] (2025) </w:t>
      </w:r>
      <w:r w:rsidRPr="000A3A4D">
        <w:rPr>
          <w:rStyle w:val="Emphasis"/>
          <w:rFonts w:ascii="Arial" w:hAnsi="Arial" w:cs="Arial"/>
          <w:sz w:val="22"/>
          <w:szCs w:val="22"/>
        </w:rPr>
        <w:t>The employment of disabled people 2025</w:t>
      </w:r>
      <w:r w:rsidRPr="000A3A4D">
        <w:rPr>
          <w:rFonts w:ascii="Arial" w:hAnsi="Arial" w:cs="Arial"/>
          <w:sz w:val="22"/>
          <w:szCs w:val="22"/>
        </w:rPr>
        <w:t xml:space="preserve">. Available at: </w:t>
      </w:r>
      <w:hyperlink r:id="rId24" w:tgtFrame="_new" w:history="1">
        <w:r w:rsidRPr="000A3A4D">
          <w:rPr>
            <w:rStyle w:val="Hyperlink"/>
            <w:rFonts w:ascii="Arial" w:hAnsi="Arial" w:cs="Arial"/>
            <w:sz w:val="22"/>
            <w:szCs w:val="22"/>
          </w:rPr>
          <w:t>https://www.gov.uk/government/statistics/the-employment-of-disabled-people-2025/the-employment-of-disabled-people-2025</w:t>
        </w:r>
      </w:hyperlink>
      <w:r w:rsidRPr="000A3A4D">
        <w:rPr>
          <w:rFonts w:ascii="Arial" w:hAnsi="Arial" w:cs="Arial"/>
          <w:sz w:val="22"/>
          <w:szCs w:val="22"/>
        </w:rPr>
        <w:t xml:space="preserve"> (Accessed: 08 November 2025)</w:t>
      </w:r>
    </w:p>
    <w:p w14:paraId="54BC9C25" w14:textId="02D6B311" w:rsidR="000A3A4D" w:rsidRPr="000A3A4D" w:rsidRDefault="000A3A4D" w:rsidP="003A5C49">
      <w:pPr>
        <w:pStyle w:val="NormalWeb"/>
        <w:numPr>
          <w:ilvl w:val="0"/>
          <w:numId w:val="6"/>
        </w:numPr>
        <w:spacing w:line="360" w:lineRule="auto"/>
        <w:rPr>
          <w:rFonts w:ascii="Arial" w:hAnsi="Arial" w:cs="Arial"/>
          <w:sz w:val="22"/>
          <w:szCs w:val="22"/>
        </w:rPr>
      </w:pPr>
      <w:r w:rsidRPr="000A3A4D">
        <w:rPr>
          <w:rFonts w:ascii="Arial" w:hAnsi="Arial" w:cs="Arial"/>
          <w:sz w:val="22"/>
          <w:szCs w:val="22"/>
        </w:rPr>
        <w:t xml:space="preserve">Government [GOV] (2025) </w:t>
      </w:r>
      <w:r w:rsidRPr="000A3A4D">
        <w:rPr>
          <w:rStyle w:val="Emphasis"/>
          <w:rFonts w:ascii="Arial" w:hAnsi="Arial" w:cs="Arial"/>
          <w:sz w:val="22"/>
          <w:szCs w:val="22"/>
        </w:rPr>
        <w:t>Diabetes profile: statistical commentary, March 2025</w:t>
      </w:r>
      <w:r w:rsidRPr="000A3A4D">
        <w:rPr>
          <w:rFonts w:ascii="Arial" w:hAnsi="Arial" w:cs="Arial"/>
          <w:sz w:val="22"/>
          <w:szCs w:val="22"/>
        </w:rPr>
        <w:t xml:space="preserve">. Available at: </w:t>
      </w:r>
      <w:hyperlink r:id="rId25" w:tgtFrame="_new" w:history="1">
        <w:r w:rsidRPr="000A3A4D">
          <w:rPr>
            <w:rStyle w:val="Hyperlink"/>
            <w:rFonts w:ascii="Arial" w:hAnsi="Arial" w:cs="Arial"/>
            <w:sz w:val="22"/>
            <w:szCs w:val="22"/>
          </w:rPr>
          <w:t>https://www.gov.uk/government/statistics/diabetes-profile-update-march-2025/diabetes-profile-statistical-commentary-march-2025?utm_source=chatgpt.com</w:t>
        </w:r>
      </w:hyperlink>
      <w:r w:rsidRPr="000A3A4D">
        <w:rPr>
          <w:rFonts w:ascii="Arial" w:hAnsi="Arial" w:cs="Arial"/>
          <w:sz w:val="22"/>
          <w:szCs w:val="22"/>
        </w:rPr>
        <w:t xml:space="preserve"> (Accessed: 09 November 2025)</w:t>
      </w:r>
    </w:p>
    <w:p w14:paraId="62BF2A28" w14:textId="75C8EA7B" w:rsidR="000A3A4D" w:rsidRPr="000A3A4D" w:rsidRDefault="000A3A4D" w:rsidP="003A5C49">
      <w:pPr>
        <w:pStyle w:val="NormalWeb"/>
        <w:numPr>
          <w:ilvl w:val="0"/>
          <w:numId w:val="6"/>
        </w:numPr>
        <w:spacing w:line="360" w:lineRule="auto"/>
        <w:rPr>
          <w:rFonts w:ascii="Arial" w:hAnsi="Arial" w:cs="Arial"/>
          <w:sz w:val="22"/>
          <w:szCs w:val="22"/>
        </w:rPr>
      </w:pPr>
      <w:r w:rsidRPr="000A3A4D">
        <w:rPr>
          <w:rFonts w:ascii="Arial" w:hAnsi="Arial" w:cs="Arial"/>
          <w:sz w:val="22"/>
          <w:szCs w:val="22"/>
        </w:rPr>
        <w:t>Heald, A. et al. (2018)</w:t>
      </w:r>
      <w:r w:rsidR="006E441E" w:rsidRPr="006E441E">
        <w:t xml:space="preserve"> </w:t>
      </w:r>
      <w:r w:rsidR="006E441E">
        <w:t>Long-Term Conditions and the National Diabetes Audit</w:t>
      </w:r>
      <w:r w:rsidRPr="000A3A4D">
        <w:rPr>
          <w:rFonts w:ascii="Arial" w:hAnsi="Arial" w:cs="Arial"/>
          <w:sz w:val="22"/>
          <w:szCs w:val="22"/>
        </w:rPr>
        <w:t xml:space="preserve">, </w:t>
      </w:r>
      <w:r w:rsidRPr="000A3A4D">
        <w:rPr>
          <w:rStyle w:val="Emphasis"/>
          <w:rFonts w:ascii="Arial" w:hAnsi="Arial" w:cs="Arial"/>
          <w:sz w:val="22"/>
          <w:szCs w:val="22"/>
        </w:rPr>
        <w:t>British Journal of General Practice</w:t>
      </w:r>
      <w:r w:rsidRPr="000A3A4D">
        <w:rPr>
          <w:rFonts w:ascii="Arial" w:hAnsi="Arial" w:cs="Arial"/>
          <w:sz w:val="22"/>
          <w:szCs w:val="22"/>
        </w:rPr>
        <w:t xml:space="preserve">, 68(672), pp. 320.2–320. </w:t>
      </w:r>
      <w:hyperlink r:id="rId26" w:tgtFrame="_new" w:history="1">
        <w:r w:rsidRPr="000A3A4D">
          <w:rPr>
            <w:rStyle w:val="Hyperlink"/>
            <w:rFonts w:ascii="Arial" w:hAnsi="Arial" w:cs="Arial"/>
            <w:sz w:val="22"/>
            <w:szCs w:val="22"/>
          </w:rPr>
          <w:t>https://doi.org/10.3399/bjgp18x697637</w:t>
        </w:r>
      </w:hyperlink>
    </w:p>
    <w:p w14:paraId="5AC11DE4" w14:textId="7AC0BD7D" w:rsidR="000A3A4D" w:rsidRPr="000A3A4D" w:rsidRDefault="000A3A4D" w:rsidP="003A5C49">
      <w:pPr>
        <w:pStyle w:val="NormalWeb"/>
        <w:numPr>
          <w:ilvl w:val="0"/>
          <w:numId w:val="6"/>
        </w:numPr>
        <w:spacing w:line="360" w:lineRule="auto"/>
        <w:rPr>
          <w:rFonts w:ascii="Arial" w:hAnsi="Arial" w:cs="Arial"/>
          <w:sz w:val="22"/>
          <w:szCs w:val="22"/>
        </w:rPr>
      </w:pPr>
      <w:r w:rsidRPr="000A3A4D">
        <w:rPr>
          <w:rFonts w:ascii="Arial" w:hAnsi="Arial" w:cs="Arial"/>
          <w:sz w:val="22"/>
          <w:szCs w:val="22"/>
        </w:rPr>
        <w:t xml:space="preserve">International Diabetes Federation [IDF] (2025) </w:t>
      </w:r>
      <w:r w:rsidRPr="000A3A4D">
        <w:rPr>
          <w:rStyle w:val="Emphasis"/>
          <w:rFonts w:ascii="Arial" w:hAnsi="Arial" w:cs="Arial"/>
          <w:sz w:val="22"/>
          <w:szCs w:val="22"/>
        </w:rPr>
        <w:t>Facts &amp; figures</w:t>
      </w:r>
      <w:r w:rsidRPr="000A3A4D">
        <w:rPr>
          <w:rFonts w:ascii="Arial" w:hAnsi="Arial" w:cs="Arial"/>
          <w:sz w:val="22"/>
          <w:szCs w:val="22"/>
        </w:rPr>
        <w:t xml:space="preserve">. Available at: </w:t>
      </w:r>
      <w:hyperlink r:id="rId27" w:tgtFrame="_new" w:history="1">
        <w:r w:rsidRPr="000A3A4D">
          <w:rPr>
            <w:rStyle w:val="Hyperlink"/>
            <w:rFonts w:ascii="Arial" w:hAnsi="Arial" w:cs="Arial"/>
            <w:sz w:val="22"/>
            <w:szCs w:val="22"/>
          </w:rPr>
          <w:t>https://idf.org/about-diabetes/diabetes-facts-figures/</w:t>
        </w:r>
      </w:hyperlink>
      <w:r w:rsidRPr="000A3A4D">
        <w:rPr>
          <w:rFonts w:ascii="Arial" w:hAnsi="Arial" w:cs="Arial"/>
          <w:sz w:val="22"/>
          <w:szCs w:val="22"/>
        </w:rPr>
        <w:t xml:space="preserve"> (Accessed: 09 November 2025)</w:t>
      </w:r>
    </w:p>
    <w:p w14:paraId="3DA49A1B" w14:textId="3CD540AF" w:rsidR="000A3A4D" w:rsidRPr="000A3A4D" w:rsidRDefault="000A3A4D" w:rsidP="003A5C49">
      <w:pPr>
        <w:pStyle w:val="NormalWeb"/>
        <w:numPr>
          <w:ilvl w:val="0"/>
          <w:numId w:val="6"/>
        </w:numPr>
        <w:spacing w:line="360" w:lineRule="auto"/>
        <w:rPr>
          <w:rFonts w:ascii="Arial" w:hAnsi="Arial" w:cs="Arial"/>
          <w:sz w:val="22"/>
          <w:szCs w:val="22"/>
        </w:rPr>
      </w:pPr>
      <w:r w:rsidRPr="000A3A4D">
        <w:rPr>
          <w:rFonts w:ascii="Arial" w:hAnsi="Arial" w:cs="Arial"/>
          <w:sz w:val="22"/>
          <w:szCs w:val="22"/>
        </w:rPr>
        <w:t xml:space="preserve">Scottish Housing News (2025) 'England: proportion of people facing homelessness with physical ill health and disabilities on the rise', </w:t>
      </w:r>
      <w:r w:rsidRPr="000A3A4D">
        <w:rPr>
          <w:rStyle w:val="Emphasis"/>
          <w:rFonts w:ascii="Arial" w:hAnsi="Arial" w:cs="Arial"/>
          <w:sz w:val="22"/>
          <w:szCs w:val="22"/>
        </w:rPr>
        <w:t>Scottish Housing News</w:t>
      </w:r>
      <w:r w:rsidRPr="000A3A4D">
        <w:rPr>
          <w:rFonts w:ascii="Arial" w:hAnsi="Arial" w:cs="Arial"/>
          <w:sz w:val="22"/>
          <w:szCs w:val="22"/>
        </w:rPr>
        <w:t xml:space="preserve">. Available at: </w:t>
      </w:r>
      <w:hyperlink r:id="rId28" w:history="1">
        <w:r w:rsidR="003A5C49" w:rsidRPr="006F13EF">
          <w:rPr>
            <w:rStyle w:val="Hyperlink"/>
            <w:rFonts w:ascii="Arial" w:hAnsi="Arial" w:cs="Arial"/>
            <w:sz w:val="22"/>
            <w:szCs w:val="22"/>
          </w:rPr>
          <w:t>https://www.scottishhousingnews.com/article/england-proportion-of-people-facing-homelessness-with-physical-ill-health-and-disabilities-on-the-rise</w:t>
        </w:r>
      </w:hyperlink>
      <w:r w:rsidR="003A5C49">
        <w:rPr>
          <w:rFonts w:ascii="Arial" w:hAnsi="Arial" w:cs="Arial"/>
          <w:sz w:val="22"/>
          <w:szCs w:val="22"/>
        </w:rPr>
        <w:t xml:space="preserve"> </w:t>
      </w:r>
      <w:r w:rsidRPr="000A3A4D">
        <w:rPr>
          <w:rFonts w:ascii="Arial" w:hAnsi="Arial" w:cs="Arial"/>
          <w:sz w:val="22"/>
          <w:szCs w:val="22"/>
        </w:rPr>
        <w:t xml:space="preserve"> (Accessed: 17 November 2025)</w:t>
      </w:r>
    </w:p>
    <w:p w14:paraId="6EB8D553" w14:textId="5A3C3F64" w:rsidR="000A3A4D" w:rsidRPr="000A3A4D" w:rsidRDefault="000A3A4D" w:rsidP="003A5C49">
      <w:pPr>
        <w:pStyle w:val="NormalWeb"/>
        <w:numPr>
          <w:ilvl w:val="0"/>
          <w:numId w:val="6"/>
        </w:numPr>
        <w:spacing w:line="360" w:lineRule="auto"/>
        <w:rPr>
          <w:rFonts w:ascii="Arial" w:hAnsi="Arial" w:cs="Arial"/>
          <w:sz w:val="22"/>
          <w:szCs w:val="22"/>
        </w:rPr>
      </w:pPr>
      <w:r w:rsidRPr="000A3A4D">
        <w:rPr>
          <w:rFonts w:ascii="Arial" w:hAnsi="Arial" w:cs="Arial"/>
          <w:sz w:val="22"/>
          <w:szCs w:val="22"/>
        </w:rPr>
        <w:lastRenderedPageBreak/>
        <w:t xml:space="preserve">Stiebahl, S., Danechi, S. &amp; Harker, R. (2025) </w:t>
      </w:r>
      <w:r w:rsidRPr="000A3A4D">
        <w:rPr>
          <w:rStyle w:val="Emphasis"/>
          <w:rFonts w:ascii="Arial" w:hAnsi="Arial" w:cs="Arial"/>
          <w:sz w:val="22"/>
          <w:szCs w:val="22"/>
        </w:rPr>
        <w:t>UK disability statistics: prevalence and life experiences</w:t>
      </w:r>
      <w:r w:rsidRPr="000A3A4D">
        <w:rPr>
          <w:rFonts w:ascii="Arial" w:hAnsi="Arial" w:cs="Arial"/>
          <w:sz w:val="22"/>
          <w:szCs w:val="22"/>
        </w:rPr>
        <w:t xml:space="preserve">. Available at: </w:t>
      </w:r>
      <w:hyperlink r:id="rId29" w:tgtFrame="_new" w:history="1">
        <w:r w:rsidRPr="000A3A4D">
          <w:rPr>
            <w:rStyle w:val="Hyperlink"/>
            <w:rFonts w:ascii="Arial" w:hAnsi="Arial" w:cs="Arial"/>
            <w:sz w:val="22"/>
            <w:szCs w:val="22"/>
          </w:rPr>
          <w:t>https://commonslibrary.parliament.uk/research-briefings/cbp-9602/</w:t>
        </w:r>
      </w:hyperlink>
      <w:r w:rsidRPr="000A3A4D">
        <w:rPr>
          <w:rFonts w:ascii="Arial" w:hAnsi="Arial" w:cs="Arial"/>
          <w:sz w:val="22"/>
          <w:szCs w:val="22"/>
        </w:rPr>
        <w:t xml:space="preserve"> (Accessed: 13 November 2025)</w:t>
      </w:r>
    </w:p>
    <w:p w14:paraId="43DCB0FC" w14:textId="692226FD" w:rsidR="000A3A4D" w:rsidRPr="000A3A4D" w:rsidRDefault="000A3A4D" w:rsidP="003A5C49">
      <w:pPr>
        <w:pStyle w:val="NormalWeb"/>
        <w:numPr>
          <w:ilvl w:val="0"/>
          <w:numId w:val="6"/>
        </w:numPr>
        <w:spacing w:line="360" w:lineRule="auto"/>
        <w:rPr>
          <w:rFonts w:ascii="Arial" w:hAnsi="Arial" w:cs="Arial"/>
          <w:sz w:val="22"/>
          <w:szCs w:val="22"/>
        </w:rPr>
      </w:pPr>
      <w:r w:rsidRPr="000A3A4D">
        <w:rPr>
          <w:rFonts w:ascii="Arial" w:hAnsi="Arial" w:cs="Arial"/>
          <w:sz w:val="22"/>
          <w:szCs w:val="22"/>
        </w:rPr>
        <w:t xml:space="preserve">Tower Hamlets (2015) </w:t>
      </w:r>
      <w:r w:rsidRPr="000A3A4D">
        <w:rPr>
          <w:rStyle w:val="Emphasis"/>
          <w:rFonts w:ascii="Arial" w:hAnsi="Arial" w:cs="Arial"/>
          <w:sz w:val="22"/>
          <w:szCs w:val="22"/>
        </w:rPr>
        <w:t>Type 2 diabetes</w:t>
      </w:r>
      <w:r w:rsidRPr="000A3A4D">
        <w:rPr>
          <w:rFonts w:ascii="Arial" w:hAnsi="Arial" w:cs="Arial"/>
          <w:sz w:val="22"/>
          <w:szCs w:val="22"/>
        </w:rPr>
        <w:t xml:space="preserve">. Available at: </w:t>
      </w:r>
      <w:hyperlink r:id="rId30" w:history="1">
        <w:r w:rsidR="003A5C49" w:rsidRPr="006F13EF">
          <w:rPr>
            <w:rStyle w:val="Hyperlink"/>
            <w:rFonts w:ascii="Arial" w:hAnsi="Arial" w:cs="Arial"/>
            <w:sz w:val="22"/>
            <w:szCs w:val="22"/>
          </w:rPr>
          <w:t>https://www.towerhamlets.gov.uk/Documents/PublicHealth/Type_2_diabetes.pdf</w:t>
        </w:r>
      </w:hyperlink>
      <w:r w:rsidR="003A5C49">
        <w:rPr>
          <w:rFonts w:ascii="Arial" w:hAnsi="Arial" w:cs="Arial"/>
          <w:sz w:val="22"/>
          <w:szCs w:val="22"/>
        </w:rPr>
        <w:t xml:space="preserve"> </w:t>
      </w:r>
      <w:r w:rsidRPr="000A3A4D">
        <w:rPr>
          <w:rFonts w:ascii="Arial" w:hAnsi="Arial" w:cs="Arial"/>
          <w:sz w:val="22"/>
          <w:szCs w:val="22"/>
        </w:rPr>
        <w:t xml:space="preserve"> (Accessed: 09 November 2025)</w:t>
      </w:r>
    </w:p>
    <w:p w14:paraId="047E99AE" w14:textId="6F2E2577" w:rsidR="000A3A4D" w:rsidRPr="000A3A4D" w:rsidRDefault="000A3A4D" w:rsidP="003A5C49">
      <w:pPr>
        <w:pStyle w:val="NormalWeb"/>
        <w:numPr>
          <w:ilvl w:val="0"/>
          <w:numId w:val="6"/>
        </w:numPr>
        <w:spacing w:line="360" w:lineRule="auto"/>
        <w:rPr>
          <w:rFonts w:ascii="Arial" w:hAnsi="Arial" w:cs="Arial"/>
          <w:sz w:val="22"/>
          <w:szCs w:val="22"/>
        </w:rPr>
      </w:pPr>
      <w:r w:rsidRPr="000A3A4D">
        <w:rPr>
          <w:rFonts w:ascii="Arial" w:hAnsi="Arial" w:cs="Arial"/>
          <w:sz w:val="22"/>
          <w:szCs w:val="22"/>
        </w:rPr>
        <w:t xml:space="preserve">National Health Service [NHS] (2020) </w:t>
      </w:r>
      <w:r w:rsidRPr="000A3A4D">
        <w:rPr>
          <w:rStyle w:val="Emphasis"/>
          <w:rFonts w:ascii="Arial" w:hAnsi="Arial" w:cs="Arial"/>
          <w:sz w:val="22"/>
          <w:szCs w:val="22"/>
        </w:rPr>
        <w:t>Health and care of people with learning disabilities, experimental statistics: 2018</w:t>
      </w:r>
      <w:r w:rsidRPr="000A3A4D">
        <w:rPr>
          <w:rFonts w:ascii="Arial" w:hAnsi="Arial" w:cs="Arial"/>
          <w:sz w:val="22"/>
          <w:szCs w:val="22"/>
        </w:rPr>
        <w:t xml:space="preserve">. Available at: </w:t>
      </w:r>
      <w:hyperlink r:id="rId31" w:tgtFrame="_new" w:history="1">
        <w:r w:rsidRPr="000A3A4D">
          <w:rPr>
            <w:rStyle w:val="Hyperlink"/>
            <w:rFonts w:ascii="Arial" w:hAnsi="Arial" w:cs="Arial"/>
            <w:sz w:val="22"/>
            <w:szCs w:val="22"/>
          </w:rPr>
          <w:t>https://digital.nhs.uk/data-and-information/publications/statistical/health-and-care-of-people-with-learning-disabilities</w:t>
        </w:r>
      </w:hyperlink>
      <w:r w:rsidRPr="000A3A4D">
        <w:rPr>
          <w:rFonts w:ascii="Arial" w:hAnsi="Arial" w:cs="Arial"/>
          <w:sz w:val="22"/>
          <w:szCs w:val="22"/>
        </w:rPr>
        <w:t xml:space="preserve"> (Accessed: 15 November 2025)</w:t>
      </w:r>
    </w:p>
    <w:p w14:paraId="07DA4B6E" w14:textId="58603DAA" w:rsidR="000A3A4D" w:rsidRPr="000A3A4D" w:rsidRDefault="000A3A4D" w:rsidP="003A5C49">
      <w:pPr>
        <w:pStyle w:val="NormalWeb"/>
        <w:numPr>
          <w:ilvl w:val="0"/>
          <w:numId w:val="6"/>
        </w:numPr>
        <w:spacing w:line="360" w:lineRule="auto"/>
        <w:rPr>
          <w:rFonts w:ascii="Arial" w:hAnsi="Arial" w:cs="Arial"/>
          <w:sz w:val="22"/>
          <w:szCs w:val="22"/>
        </w:rPr>
      </w:pPr>
      <w:r w:rsidRPr="000A3A4D">
        <w:rPr>
          <w:rFonts w:ascii="Arial" w:hAnsi="Arial" w:cs="Arial"/>
          <w:sz w:val="22"/>
          <w:szCs w:val="22"/>
        </w:rPr>
        <w:t xml:space="preserve">National Institute for Health and Care Excellence [NICE] (2025) </w:t>
      </w:r>
      <w:r w:rsidRPr="000A3A4D">
        <w:rPr>
          <w:rStyle w:val="Emphasis"/>
          <w:rFonts w:ascii="Arial" w:hAnsi="Arial" w:cs="Arial"/>
          <w:sz w:val="22"/>
          <w:szCs w:val="22"/>
        </w:rPr>
        <w:t>What are the risk factors?</w:t>
      </w:r>
      <w:r w:rsidRPr="000A3A4D">
        <w:rPr>
          <w:rFonts w:ascii="Arial" w:hAnsi="Arial" w:cs="Arial"/>
          <w:sz w:val="22"/>
          <w:szCs w:val="22"/>
        </w:rPr>
        <w:t xml:space="preserve"> Available at: </w:t>
      </w:r>
      <w:hyperlink r:id="rId32" w:tgtFrame="_new" w:history="1">
        <w:r w:rsidRPr="000A3A4D">
          <w:rPr>
            <w:rStyle w:val="Hyperlink"/>
            <w:rFonts w:ascii="Arial" w:hAnsi="Arial" w:cs="Arial"/>
            <w:sz w:val="22"/>
            <w:szCs w:val="22"/>
          </w:rPr>
          <w:t>https://cks.nice.org.uk/topics/diabetes-type-2/background-information/risk-factors/</w:t>
        </w:r>
      </w:hyperlink>
      <w:r w:rsidRPr="000A3A4D">
        <w:rPr>
          <w:rFonts w:ascii="Arial" w:hAnsi="Arial" w:cs="Arial"/>
          <w:sz w:val="22"/>
          <w:szCs w:val="22"/>
        </w:rPr>
        <w:t xml:space="preserve"> (Accessed: 20 November 2025)</w:t>
      </w:r>
    </w:p>
    <w:p w14:paraId="5C8C7CAC" w14:textId="7F2A9146" w:rsidR="000A3A4D" w:rsidRPr="000A3A4D" w:rsidRDefault="000A3A4D" w:rsidP="003A5C49">
      <w:pPr>
        <w:pStyle w:val="NormalWeb"/>
        <w:numPr>
          <w:ilvl w:val="0"/>
          <w:numId w:val="6"/>
        </w:numPr>
        <w:spacing w:line="360" w:lineRule="auto"/>
        <w:rPr>
          <w:rFonts w:ascii="Arial" w:hAnsi="Arial" w:cs="Arial"/>
          <w:sz w:val="22"/>
          <w:szCs w:val="22"/>
        </w:rPr>
      </w:pPr>
      <w:r w:rsidRPr="000A3A4D">
        <w:rPr>
          <w:rFonts w:ascii="Arial" w:hAnsi="Arial" w:cs="Arial"/>
          <w:sz w:val="22"/>
          <w:szCs w:val="22"/>
        </w:rPr>
        <w:t xml:space="preserve">Noble, D.J. (2012a) </w:t>
      </w:r>
      <w:r w:rsidRPr="000A3A4D">
        <w:rPr>
          <w:rStyle w:val="Emphasis"/>
          <w:rFonts w:ascii="Arial" w:hAnsi="Arial" w:cs="Arial"/>
          <w:sz w:val="22"/>
          <w:szCs w:val="22"/>
        </w:rPr>
        <w:t>Predicting the epidemic: a study of diabetes risk profiling in a multi-ethnic inner-city population</w:t>
      </w:r>
      <w:r w:rsidRPr="000A3A4D">
        <w:rPr>
          <w:rFonts w:ascii="Arial" w:hAnsi="Arial" w:cs="Arial"/>
          <w:sz w:val="22"/>
          <w:szCs w:val="22"/>
        </w:rPr>
        <w:t xml:space="preserve">. Available at: </w:t>
      </w:r>
      <w:hyperlink r:id="rId33" w:tgtFrame="_new" w:history="1">
        <w:r w:rsidRPr="000A3A4D">
          <w:rPr>
            <w:rStyle w:val="Hyperlink"/>
            <w:rFonts w:ascii="Arial" w:hAnsi="Arial" w:cs="Arial"/>
            <w:sz w:val="22"/>
            <w:szCs w:val="22"/>
          </w:rPr>
          <w:t>https://qmro.qmul.ac.uk/xmlui/handle/123456789/2960#</w:t>
        </w:r>
      </w:hyperlink>
      <w:r w:rsidRPr="000A3A4D">
        <w:rPr>
          <w:rFonts w:ascii="Arial" w:hAnsi="Arial" w:cs="Arial"/>
          <w:sz w:val="22"/>
          <w:szCs w:val="22"/>
        </w:rPr>
        <w:t xml:space="preserve"> (Accessed: 17 November 2025)</w:t>
      </w:r>
    </w:p>
    <w:p w14:paraId="1497B7CA" w14:textId="1F142790" w:rsidR="000A3A4D" w:rsidRPr="000A3A4D" w:rsidRDefault="000A3A4D" w:rsidP="003A5C49">
      <w:pPr>
        <w:pStyle w:val="NormalWeb"/>
        <w:numPr>
          <w:ilvl w:val="0"/>
          <w:numId w:val="6"/>
        </w:numPr>
        <w:spacing w:line="360" w:lineRule="auto"/>
        <w:rPr>
          <w:rFonts w:ascii="Arial" w:hAnsi="Arial" w:cs="Arial"/>
          <w:sz w:val="22"/>
          <w:szCs w:val="22"/>
        </w:rPr>
      </w:pPr>
      <w:r w:rsidRPr="000A3A4D">
        <w:rPr>
          <w:rFonts w:ascii="Arial" w:hAnsi="Arial" w:cs="Arial"/>
          <w:sz w:val="22"/>
          <w:szCs w:val="22"/>
        </w:rPr>
        <w:t xml:space="preserve">Noble, D.J. (2012b) </w:t>
      </w:r>
      <w:r w:rsidRPr="000A3A4D">
        <w:rPr>
          <w:rStyle w:val="Emphasis"/>
          <w:rFonts w:ascii="Arial" w:hAnsi="Arial" w:cs="Arial"/>
          <w:sz w:val="22"/>
          <w:szCs w:val="22"/>
        </w:rPr>
        <w:t>Predicting the epidemic: a study of diabetes risk profiling in a multi-ethnic inner-city population</w:t>
      </w:r>
      <w:r w:rsidRPr="000A3A4D">
        <w:rPr>
          <w:rFonts w:ascii="Arial" w:hAnsi="Arial" w:cs="Arial"/>
          <w:sz w:val="22"/>
          <w:szCs w:val="22"/>
        </w:rPr>
        <w:t xml:space="preserve">. Thesis submitted to Queen Mary, University of London, Centre for Primary Care and Public Health. Available at: </w:t>
      </w:r>
      <w:hyperlink r:id="rId34" w:tgtFrame="_new" w:history="1">
        <w:r w:rsidRPr="000A3A4D">
          <w:rPr>
            <w:rStyle w:val="Hyperlink"/>
            <w:rFonts w:ascii="Arial" w:hAnsi="Arial" w:cs="Arial"/>
            <w:sz w:val="22"/>
            <w:szCs w:val="22"/>
          </w:rPr>
          <w:t>https://qmro.qmul.ac.uk/xmlui/bitstream/handle/123456789/2960/NOBLEPredicting2012.pdf?sequence=1&amp;isAllowed=y</w:t>
        </w:r>
      </w:hyperlink>
      <w:r w:rsidRPr="000A3A4D">
        <w:rPr>
          <w:rFonts w:ascii="Arial" w:hAnsi="Arial" w:cs="Arial"/>
          <w:sz w:val="22"/>
          <w:szCs w:val="22"/>
        </w:rPr>
        <w:t xml:space="preserve"> (Accessed: 17 November 2025)</w:t>
      </w:r>
    </w:p>
    <w:p w14:paraId="1B728A0A" w14:textId="42494A5C" w:rsidR="000A3A4D" w:rsidRPr="000A3A4D" w:rsidRDefault="000A3A4D" w:rsidP="003A5C49">
      <w:pPr>
        <w:pStyle w:val="NormalWeb"/>
        <w:numPr>
          <w:ilvl w:val="0"/>
          <w:numId w:val="6"/>
        </w:numPr>
        <w:spacing w:line="360" w:lineRule="auto"/>
        <w:rPr>
          <w:rFonts w:ascii="Arial" w:hAnsi="Arial" w:cs="Arial"/>
          <w:sz w:val="22"/>
          <w:szCs w:val="22"/>
        </w:rPr>
      </w:pPr>
      <w:r w:rsidRPr="000A3A4D">
        <w:rPr>
          <w:rFonts w:ascii="Arial" w:hAnsi="Arial" w:cs="Arial"/>
          <w:sz w:val="22"/>
          <w:szCs w:val="22"/>
        </w:rPr>
        <w:t xml:space="preserve">Lovitt, C. &amp; Khan, I. (2019) </w:t>
      </w:r>
      <w:r w:rsidR="006E441E">
        <w:t>Update for the Health Scrutiny Sub-Committee: Type 2 Diabetes Care and Prevention in Tower Hamlets.</w:t>
      </w:r>
      <w:r w:rsidR="006E441E">
        <w:t xml:space="preserve"> </w:t>
      </w:r>
      <w:r w:rsidRPr="000A3A4D">
        <w:rPr>
          <w:rFonts w:ascii="Arial" w:hAnsi="Arial" w:cs="Arial"/>
          <w:sz w:val="22"/>
          <w:szCs w:val="22"/>
        </w:rPr>
        <w:t xml:space="preserve">Available at: </w:t>
      </w:r>
      <w:hyperlink r:id="rId35" w:tgtFrame="_new" w:history="1">
        <w:r w:rsidRPr="000A3A4D">
          <w:rPr>
            <w:rStyle w:val="Hyperlink"/>
            <w:rFonts w:ascii="Arial" w:hAnsi="Arial" w:cs="Arial"/>
            <w:sz w:val="22"/>
            <w:szCs w:val="22"/>
          </w:rPr>
          <w:t>https://towerhamlets.moderngov.co.uk/documen</w:t>
        </w:r>
        <w:r w:rsidRPr="000A3A4D">
          <w:rPr>
            <w:rStyle w:val="Hyperlink"/>
            <w:rFonts w:ascii="Arial" w:hAnsi="Arial" w:cs="Arial"/>
            <w:sz w:val="22"/>
            <w:szCs w:val="22"/>
          </w:rPr>
          <w:t>t</w:t>
        </w:r>
        <w:r w:rsidRPr="000A3A4D">
          <w:rPr>
            <w:rStyle w:val="Hyperlink"/>
            <w:rFonts w:ascii="Arial" w:hAnsi="Arial" w:cs="Arial"/>
            <w:sz w:val="22"/>
            <w:szCs w:val="22"/>
          </w:rPr>
          <w:t>s/s154121/Appendix%202%20Diabetes%20Care%20and%20Prevention%20in%20TH.pdf</w:t>
        </w:r>
      </w:hyperlink>
      <w:r w:rsidRPr="000A3A4D">
        <w:rPr>
          <w:rFonts w:ascii="Arial" w:hAnsi="Arial" w:cs="Arial"/>
          <w:sz w:val="22"/>
          <w:szCs w:val="22"/>
        </w:rPr>
        <w:t xml:space="preserve"> (Accessed: 17 November 2025)</w:t>
      </w:r>
    </w:p>
    <w:p w14:paraId="14266A51" w14:textId="6FC06A4A" w:rsidR="000A3A4D" w:rsidRPr="000A3A4D" w:rsidRDefault="000A3A4D" w:rsidP="003A5C49">
      <w:pPr>
        <w:pStyle w:val="NormalWeb"/>
        <w:numPr>
          <w:ilvl w:val="0"/>
          <w:numId w:val="6"/>
        </w:numPr>
        <w:spacing w:line="360" w:lineRule="auto"/>
        <w:rPr>
          <w:rFonts w:ascii="Arial" w:hAnsi="Arial" w:cs="Arial"/>
          <w:sz w:val="22"/>
          <w:szCs w:val="22"/>
        </w:rPr>
      </w:pPr>
      <w:r w:rsidRPr="000A3A4D">
        <w:rPr>
          <w:rFonts w:ascii="Arial" w:hAnsi="Arial" w:cs="Arial"/>
          <w:sz w:val="22"/>
          <w:szCs w:val="22"/>
        </w:rPr>
        <w:t xml:space="preserve">Local Government Association (2025) </w:t>
      </w:r>
      <w:r w:rsidRPr="000A3A4D">
        <w:rPr>
          <w:rStyle w:val="Emphasis"/>
          <w:rFonts w:ascii="Arial" w:hAnsi="Arial" w:cs="Arial"/>
          <w:sz w:val="22"/>
          <w:szCs w:val="22"/>
        </w:rPr>
        <w:t>London Borough of Tower Hamlets: community-led projects to improve health and reduce the incidence of long-term conditions</w:t>
      </w:r>
      <w:r w:rsidRPr="000A3A4D">
        <w:rPr>
          <w:rFonts w:ascii="Arial" w:hAnsi="Arial" w:cs="Arial"/>
          <w:sz w:val="22"/>
          <w:szCs w:val="22"/>
        </w:rPr>
        <w:t xml:space="preserve">. Available at: </w:t>
      </w:r>
      <w:hyperlink r:id="rId36" w:tgtFrame="_new" w:history="1">
        <w:r w:rsidRPr="000A3A4D">
          <w:rPr>
            <w:rStyle w:val="Hyperlink"/>
            <w:rFonts w:ascii="Arial" w:hAnsi="Arial" w:cs="Arial"/>
            <w:sz w:val="22"/>
            <w:szCs w:val="22"/>
          </w:rPr>
          <w:t>https://www.local.gov.uk/case-studies/london-borough-tower-hamlets-community-led-projects-improve-health-and-reduce</w:t>
        </w:r>
      </w:hyperlink>
      <w:r w:rsidRPr="000A3A4D">
        <w:rPr>
          <w:rFonts w:ascii="Arial" w:hAnsi="Arial" w:cs="Arial"/>
          <w:sz w:val="22"/>
          <w:szCs w:val="22"/>
        </w:rPr>
        <w:t xml:space="preserve"> (Accessed: 01 December 2025)</w:t>
      </w:r>
    </w:p>
    <w:p w14:paraId="20C9603F" w14:textId="43BA9C3B" w:rsidR="000A3A4D" w:rsidRPr="000A3A4D" w:rsidRDefault="000A3A4D" w:rsidP="003A5C49">
      <w:pPr>
        <w:pStyle w:val="NormalWeb"/>
        <w:numPr>
          <w:ilvl w:val="0"/>
          <w:numId w:val="6"/>
        </w:numPr>
        <w:spacing w:line="360" w:lineRule="auto"/>
        <w:rPr>
          <w:rFonts w:ascii="Arial" w:hAnsi="Arial" w:cs="Arial"/>
          <w:sz w:val="22"/>
          <w:szCs w:val="22"/>
        </w:rPr>
      </w:pPr>
      <w:r w:rsidRPr="000A3A4D">
        <w:rPr>
          <w:rFonts w:ascii="Arial" w:hAnsi="Arial" w:cs="Arial"/>
          <w:sz w:val="22"/>
          <w:szCs w:val="22"/>
        </w:rPr>
        <w:t xml:space="preserve">Khan, I. &amp; Pyper, C. (2023) </w:t>
      </w:r>
      <w:r w:rsidRPr="000A3A4D">
        <w:rPr>
          <w:rStyle w:val="Emphasis"/>
          <w:rFonts w:ascii="Arial" w:hAnsi="Arial" w:cs="Arial"/>
          <w:sz w:val="22"/>
          <w:szCs w:val="22"/>
        </w:rPr>
        <w:t>Tower Hamlets Pharmaceutical Needs Assessment (PNA) 2023</w:t>
      </w:r>
      <w:r w:rsidRPr="000A3A4D">
        <w:rPr>
          <w:rFonts w:ascii="Arial" w:hAnsi="Arial" w:cs="Arial"/>
          <w:sz w:val="22"/>
          <w:szCs w:val="22"/>
        </w:rPr>
        <w:t xml:space="preserve">. Available at: </w:t>
      </w:r>
      <w:hyperlink r:id="rId37" w:tgtFrame="_new" w:history="1">
        <w:r w:rsidRPr="000A3A4D">
          <w:rPr>
            <w:rStyle w:val="Hyperlink"/>
            <w:rFonts w:ascii="Arial" w:hAnsi="Arial" w:cs="Arial"/>
            <w:sz w:val="22"/>
            <w:szCs w:val="22"/>
          </w:rPr>
          <w:t>https://democracy.towerhamlets.gov.uk/documents/s242713/Tower%20Hamlets%20PNA%20Report%202023.pdf</w:t>
        </w:r>
      </w:hyperlink>
      <w:r w:rsidRPr="000A3A4D">
        <w:rPr>
          <w:rFonts w:ascii="Arial" w:hAnsi="Arial" w:cs="Arial"/>
          <w:sz w:val="22"/>
          <w:szCs w:val="22"/>
        </w:rPr>
        <w:t xml:space="preserve"> (Accessed: 22 November 2025)</w:t>
      </w:r>
    </w:p>
    <w:p w14:paraId="687E1AEA" w14:textId="69086D4E" w:rsidR="000A3A4D" w:rsidRPr="000A3A4D" w:rsidRDefault="000A3A4D" w:rsidP="003A5C49">
      <w:pPr>
        <w:pStyle w:val="NormalWeb"/>
        <w:numPr>
          <w:ilvl w:val="0"/>
          <w:numId w:val="6"/>
        </w:numPr>
        <w:spacing w:line="360" w:lineRule="auto"/>
        <w:rPr>
          <w:rFonts w:ascii="Arial" w:hAnsi="Arial" w:cs="Arial"/>
          <w:sz w:val="22"/>
          <w:szCs w:val="22"/>
        </w:rPr>
      </w:pPr>
      <w:r w:rsidRPr="000A3A4D">
        <w:rPr>
          <w:rFonts w:ascii="Arial" w:hAnsi="Arial" w:cs="Arial"/>
          <w:sz w:val="22"/>
          <w:szCs w:val="22"/>
        </w:rPr>
        <w:lastRenderedPageBreak/>
        <w:t xml:space="preserve">Kavanagh, A. et al. (2021) 'Health and healthcare for people with disabilities in the UK during the COVID-19 pandemic', </w:t>
      </w:r>
      <w:r w:rsidRPr="000A3A4D">
        <w:rPr>
          <w:rStyle w:val="Emphasis"/>
          <w:rFonts w:ascii="Arial" w:hAnsi="Arial" w:cs="Arial"/>
          <w:sz w:val="22"/>
          <w:szCs w:val="22"/>
        </w:rPr>
        <w:t>Disability and Health Journal</w:t>
      </w:r>
      <w:r w:rsidRPr="000A3A4D">
        <w:rPr>
          <w:rFonts w:ascii="Arial" w:hAnsi="Arial" w:cs="Arial"/>
          <w:sz w:val="22"/>
          <w:szCs w:val="22"/>
        </w:rPr>
        <w:t xml:space="preserve">, 15(1), p. 101171. </w:t>
      </w:r>
      <w:hyperlink r:id="rId38" w:tgtFrame="_new" w:history="1">
        <w:r w:rsidRPr="000A3A4D">
          <w:rPr>
            <w:rStyle w:val="Hyperlink"/>
            <w:rFonts w:ascii="Arial" w:hAnsi="Arial" w:cs="Arial"/>
            <w:sz w:val="22"/>
            <w:szCs w:val="22"/>
          </w:rPr>
          <w:t>https://doi.org/10.1016/j.dhjo.2021.101171</w:t>
        </w:r>
      </w:hyperlink>
    </w:p>
    <w:p w14:paraId="48DB6E88" w14:textId="4335DB0F" w:rsidR="000A3A4D" w:rsidRPr="000A3A4D" w:rsidRDefault="000A3A4D" w:rsidP="003A5C49">
      <w:pPr>
        <w:pStyle w:val="NormalWeb"/>
        <w:numPr>
          <w:ilvl w:val="0"/>
          <w:numId w:val="6"/>
        </w:numPr>
        <w:spacing w:line="360" w:lineRule="auto"/>
        <w:rPr>
          <w:rFonts w:ascii="Arial" w:hAnsi="Arial" w:cs="Arial"/>
          <w:sz w:val="22"/>
          <w:szCs w:val="22"/>
        </w:rPr>
      </w:pPr>
      <w:r w:rsidRPr="000A3A4D">
        <w:rPr>
          <w:rFonts w:ascii="Arial" w:hAnsi="Arial" w:cs="Arial"/>
          <w:sz w:val="22"/>
          <w:szCs w:val="22"/>
        </w:rPr>
        <w:t xml:space="preserve">Kirklees Council (2018) </w:t>
      </w:r>
      <w:r w:rsidRPr="000A3A4D">
        <w:rPr>
          <w:rStyle w:val="Emphasis"/>
          <w:rFonts w:ascii="Arial" w:hAnsi="Arial" w:cs="Arial"/>
          <w:sz w:val="22"/>
          <w:szCs w:val="22"/>
        </w:rPr>
        <w:t>Disabled adults</w:t>
      </w:r>
      <w:r w:rsidRPr="000A3A4D">
        <w:rPr>
          <w:rFonts w:ascii="Arial" w:hAnsi="Arial" w:cs="Arial"/>
          <w:sz w:val="22"/>
          <w:szCs w:val="22"/>
        </w:rPr>
        <w:t xml:space="preserve">. Available at: </w:t>
      </w:r>
      <w:hyperlink r:id="rId39" w:history="1">
        <w:r w:rsidR="003A5C49" w:rsidRPr="006F13EF">
          <w:rPr>
            <w:rStyle w:val="Hyperlink"/>
            <w:rFonts w:ascii="Arial" w:hAnsi="Arial" w:cs="Arial"/>
            <w:sz w:val="22"/>
            <w:szCs w:val="22"/>
          </w:rPr>
          <w:t>https://observatory.kirklees.gov.uk/people-life-events/disabled-adults</w:t>
        </w:r>
      </w:hyperlink>
      <w:r w:rsidR="003A5C49">
        <w:rPr>
          <w:rFonts w:ascii="Arial" w:hAnsi="Arial" w:cs="Arial"/>
          <w:sz w:val="22"/>
          <w:szCs w:val="22"/>
        </w:rPr>
        <w:t xml:space="preserve"> </w:t>
      </w:r>
      <w:r w:rsidRPr="000A3A4D">
        <w:rPr>
          <w:rFonts w:ascii="Arial" w:hAnsi="Arial" w:cs="Arial"/>
          <w:sz w:val="22"/>
          <w:szCs w:val="22"/>
        </w:rPr>
        <w:t xml:space="preserve"> (Accessed: 16 November 2025)</w:t>
      </w:r>
    </w:p>
    <w:p w14:paraId="252C23FC" w14:textId="1E58FB70" w:rsidR="000A3A4D" w:rsidRPr="000A3A4D" w:rsidRDefault="000A3A4D" w:rsidP="003A5C49">
      <w:pPr>
        <w:pStyle w:val="NormalWeb"/>
        <w:numPr>
          <w:ilvl w:val="0"/>
          <w:numId w:val="6"/>
        </w:numPr>
        <w:spacing w:line="360" w:lineRule="auto"/>
        <w:rPr>
          <w:rFonts w:ascii="Arial" w:hAnsi="Arial" w:cs="Arial"/>
          <w:sz w:val="22"/>
          <w:szCs w:val="22"/>
        </w:rPr>
      </w:pPr>
      <w:r w:rsidRPr="000A3A4D">
        <w:rPr>
          <w:rFonts w:ascii="Arial" w:hAnsi="Arial" w:cs="Arial"/>
          <w:sz w:val="22"/>
          <w:szCs w:val="22"/>
        </w:rPr>
        <w:t xml:space="preserve">The Health Foundation (n.d.) </w:t>
      </w:r>
      <w:r w:rsidRPr="000A3A4D">
        <w:rPr>
          <w:rStyle w:val="Emphasis"/>
          <w:rFonts w:ascii="Arial" w:hAnsi="Arial" w:cs="Arial"/>
          <w:sz w:val="22"/>
          <w:szCs w:val="22"/>
        </w:rPr>
        <w:t>Year of Care: Tower Hamlets Primary Care Trust</w:t>
      </w:r>
      <w:r w:rsidRPr="000A3A4D">
        <w:rPr>
          <w:rFonts w:ascii="Arial" w:hAnsi="Arial" w:cs="Arial"/>
          <w:sz w:val="22"/>
          <w:szCs w:val="22"/>
        </w:rPr>
        <w:t xml:space="preserve">. Available at: </w:t>
      </w:r>
      <w:hyperlink r:id="rId40" w:anchor=":~:text=The%20east%20London%20borough%20of%20Tower%20Hamlets,on%20primary%20care%20and%20excess%20hospital%20admissions" w:tgtFrame="_new" w:history="1">
        <w:r w:rsidRPr="000A3A4D">
          <w:rPr>
            <w:rStyle w:val="Hyperlink"/>
            <w:rFonts w:ascii="Arial" w:hAnsi="Arial" w:cs="Arial"/>
            <w:sz w:val="22"/>
            <w:szCs w:val="22"/>
          </w:rPr>
          <w:t>https://www.health.org.uk/funding-and-fellowships/projects/year-of-care-tower-hamlets-primary-care-trust#:~:text=The%20east%20London%20borough%20of%20Tower%20Hamlets,on%20primary%20care%20and%20excess%20hospital%20admissions</w:t>
        </w:r>
      </w:hyperlink>
      <w:r w:rsidRPr="000A3A4D">
        <w:rPr>
          <w:rFonts w:ascii="Arial" w:hAnsi="Arial" w:cs="Arial"/>
          <w:sz w:val="22"/>
          <w:szCs w:val="22"/>
        </w:rPr>
        <w:t xml:space="preserve"> (Accessed: 08 December 2025)</w:t>
      </w:r>
    </w:p>
    <w:p w14:paraId="296D4673" w14:textId="78BFF2F0" w:rsidR="000A3A4D" w:rsidRPr="000A3A4D" w:rsidRDefault="000A3A4D" w:rsidP="003A5C49">
      <w:pPr>
        <w:pStyle w:val="NormalWeb"/>
        <w:numPr>
          <w:ilvl w:val="0"/>
          <w:numId w:val="6"/>
        </w:numPr>
        <w:spacing w:line="360" w:lineRule="auto"/>
        <w:rPr>
          <w:rFonts w:ascii="Arial" w:hAnsi="Arial" w:cs="Arial"/>
          <w:sz w:val="22"/>
          <w:szCs w:val="22"/>
        </w:rPr>
      </w:pPr>
      <w:r w:rsidRPr="000A3A4D">
        <w:rPr>
          <w:rFonts w:ascii="Arial" w:hAnsi="Arial" w:cs="Arial"/>
          <w:sz w:val="22"/>
          <w:szCs w:val="22"/>
        </w:rPr>
        <w:t xml:space="preserve">Tennis, P. et al. (n.d.) 'Strengths and limitations of various epidemiologic study designs for signal evaluation', in </w:t>
      </w:r>
      <w:r w:rsidRPr="000A3A4D">
        <w:rPr>
          <w:rStyle w:val="Emphasis"/>
          <w:rFonts w:ascii="Arial" w:hAnsi="Arial" w:cs="Arial"/>
          <w:sz w:val="22"/>
          <w:szCs w:val="22"/>
        </w:rPr>
        <w:t>Use of Secondary Population-Based Databases to Evaluate the Safety of Medications</w:t>
      </w:r>
      <w:r w:rsidRPr="000A3A4D">
        <w:rPr>
          <w:rFonts w:ascii="Arial" w:hAnsi="Arial" w:cs="Arial"/>
          <w:sz w:val="22"/>
          <w:szCs w:val="22"/>
        </w:rPr>
        <w:t xml:space="preserve">. Available at: </w:t>
      </w:r>
      <w:hyperlink r:id="rId41" w:tgtFrame="_new" w:history="1">
        <w:r w:rsidRPr="000A3A4D">
          <w:rPr>
            <w:rStyle w:val="Hyperlink"/>
            <w:rFonts w:ascii="Arial" w:hAnsi="Arial" w:cs="Arial"/>
            <w:sz w:val="22"/>
            <w:szCs w:val="22"/>
          </w:rPr>
          <w:t>https://www.ncbi.nlm.nih.gov/books/NBK538893/table/ch3.t1/</w:t>
        </w:r>
      </w:hyperlink>
      <w:r w:rsidRPr="000A3A4D">
        <w:rPr>
          <w:rFonts w:ascii="Arial" w:hAnsi="Arial" w:cs="Arial"/>
          <w:sz w:val="22"/>
          <w:szCs w:val="22"/>
        </w:rPr>
        <w:t xml:space="preserve"> (Accessed: 17 November 2025)</w:t>
      </w:r>
    </w:p>
    <w:p w14:paraId="4CD8EBAD" w14:textId="77777777" w:rsidR="000A3A4D" w:rsidRPr="000A3A4D" w:rsidRDefault="000A3A4D" w:rsidP="003A5C49">
      <w:pPr>
        <w:pStyle w:val="NormalWeb"/>
        <w:spacing w:line="360" w:lineRule="auto"/>
        <w:rPr>
          <w:rFonts w:ascii="Arial" w:hAnsi="Arial" w:cs="Arial"/>
          <w:sz w:val="22"/>
          <w:szCs w:val="22"/>
        </w:rPr>
      </w:pPr>
    </w:p>
    <w:p w14:paraId="7A6D5781" w14:textId="77777777" w:rsidR="000A3A4D" w:rsidRPr="00672C54" w:rsidRDefault="000A3A4D" w:rsidP="003A5C49">
      <w:pPr>
        <w:pBdr>
          <w:top w:val="nil"/>
          <w:left w:val="nil"/>
          <w:bottom w:val="nil"/>
          <w:right w:val="nil"/>
          <w:between w:val="nil"/>
        </w:pBdr>
        <w:spacing w:line="360" w:lineRule="auto"/>
        <w:ind w:left="720"/>
        <w:rPr>
          <w:rFonts w:ascii="Arial" w:hAnsi="Arial" w:cs="Arial"/>
          <w:sz w:val="22"/>
          <w:szCs w:val="22"/>
        </w:rPr>
      </w:pPr>
    </w:p>
    <w:p w14:paraId="08906469" w14:textId="77777777" w:rsidR="00C22FDB" w:rsidRPr="00672C54" w:rsidRDefault="00C22FDB" w:rsidP="003A5C49">
      <w:pPr>
        <w:pBdr>
          <w:top w:val="nil"/>
          <w:left w:val="nil"/>
          <w:bottom w:val="nil"/>
          <w:right w:val="nil"/>
          <w:between w:val="nil"/>
        </w:pBdr>
        <w:spacing w:line="360" w:lineRule="auto"/>
        <w:ind w:left="720"/>
        <w:rPr>
          <w:rFonts w:ascii="Arial" w:hAnsi="Arial" w:cs="Arial"/>
          <w:sz w:val="22"/>
          <w:szCs w:val="22"/>
        </w:rPr>
      </w:pPr>
    </w:p>
    <w:p w14:paraId="19649EA9" w14:textId="77777777" w:rsidR="00C22FDB" w:rsidRPr="00672C54" w:rsidRDefault="00C22FDB" w:rsidP="003A5C49">
      <w:pPr>
        <w:pBdr>
          <w:top w:val="nil"/>
          <w:left w:val="nil"/>
          <w:bottom w:val="nil"/>
          <w:right w:val="nil"/>
          <w:between w:val="nil"/>
        </w:pBdr>
        <w:spacing w:line="360" w:lineRule="auto"/>
        <w:ind w:left="720"/>
        <w:rPr>
          <w:rFonts w:ascii="Arial" w:hAnsi="Arial" w:cs="Arial"/>
          <w:sz w:val="22"/>
          <w:szCs w:val="22"/>
        </w:rPr>
      </w:pPr>
    </w:p>
    <w:p w14:paraId="015BA0C3" w14:textId="77777777" w:rsidR="00DC792C" w:rsidRPr="00672C54" w:rsidRDefault="00DC792C" w:rsidP="003A5C49">
      <w:pPr>
        <w:pBdr>
          <w:top w:val="nil"/>
          <w:left w:val="nil"/>
          <w:bottom w:val="nil"/>
          <w:right w:val="nil"/>
          <w:between w:val="nil"/>
        </w:pBdr>
        <w:spacing w:line="360" w:lineRule="auto"/>
        <w:rPr>
          <w:rFonts w:ascii="Arial" w:hAnsi="Arial" w:cs="Arial"/>
          <w:color w:val="000000"/>
          <w:sz w:val="22"/>
          <w:szCs w:val="22"/>
        </w:rPr>
      </w:pPr>
    </w:p>
    <w:sectPr w:rsidR="00DC792C" w:rsidRPr="00672C54">
      <w:pgSz w:w="11906" w:h="16838"/>
      <w:pgMar w:top="1440" w:right="1440" w:bottom="1440" w:left="1440" w:header="0" w:footer="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embedRegular r:id="rId1" w:fontKey="{BA0179F5-20BB-4AD5-96F7-2FE31507A528}"/>
    <w:embedBold r:id="rId2" w:fontKey="{2EBA0C64-DB44-4659-AFFE-CDC4831443A5}"/>
    <w:embedItalic r:id="rId3" w:fontKey="{791C682B-4E8C-430D-8252-F790EDFE571A}"/>
  </w:font>
  <w:font w:name="Play">
    <w:charset w:val="00"/>
    <w:family w:val="auto"/>
    <w:pitch w:val="default"/>
    <w:embedRegular r:id="rId4" w:fontKey="{7AA33DFA-AA50-4A42-8311-A6BEE9641109}"/>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5" w:fontKey="{08044F0C-78B6-4771-8859-7686B17DF13D}"/>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6" w:fontKey="{78344C1A-C2B1-4B29-AFCF-4C6DA187E358}"/>
  </w:font>
  <w:font w:name="Cambria">
    <w:panose1 w:val="02040503050406030204"/>
    <w:charset w:val="00"/>
    <w:family w:val="roman"/>
    <w:pitch w:val="variable"/>
    <w:sig w:usb0="E00006FF" w:usb1="420024FF" w:usb2="02000000" w:usb3="00000000" w:csb0="0000019F" w:csb1="00000000"/>
    <w:embedRegular r:id="rId7" w:fontKey="{3F2057D3-D604-41EA-8E05-0873075F3AE7}"/>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FE2EC5"/>
    <w:multiLevelType w:val="multilevel"/>
    <w:tmpl w:val="C13A808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3DE633C"/>
    <w:multiLevelType w:val="hybridMultilevel"/>
    <w:tmpl w:val="B9BE1EDA"/>
    <w:lvl w:ilvl="0" w:tplc="B4A24F7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1604FC"/>
    <w:multiLevelType w:val="multilevel"/>
    <w:tmpl w:val="A830C2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75675BF"/>
    <w:multiLevelType w:val="multilevel"/>
    <w:tmpl w:val="C13A808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49A0EDA"/>
    <w:multiLevelType w:val="multilevel"/>
    <w:tmpl w:val="005ABC6E"/>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F4B3B21"/>
    <w:multiLevelType w:val="multilevel"/>
    <w:tmpl w:val="EE34DF34"/>
    <w:lvl w:ilvl="0">
      <w:numFmt w:val="bullet"/>
      <w:lvlText w:val="•"/>
      <w:lvlJc w:val="left"/>
      <w:pPr>
        <w:ind w:left="720" w:hanging="360"/>
      </w:pPr>
      <w:rPr>
        <w:rFonts w:ascii="Times New Roman" w:eastAsia="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70884145">
    <w:abstractNumId w:val="2"/>
  </w:num>
  <w:num w:numId="2" w16cid:durableId="2126845148">
    <w:abstractNumId w:val="0"/>
  </w:num>
  <w:num w:numId="3" w16cid:durableId="1909343216">
    <w:abstractNumId w:val="4"/>
  </w:num>
  <w:num w:numId="4" w16cid:durableId="1092318364">
    <w:abstractNumId w:val="3"/>
  </w:num>
  <w:num w:numId="5" w16cid:durableId="1524827855">
    <w:abstractNumId w:val="1"/>
  </w:num>
  <w:num w:numId="6" w16cid:durableId="3326065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embedTrueTypeFonts/>
  <w:activeWritingStyle w:appName="MSWord" w:lang="en-GB"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792C"/>
    <w:rsid w:val="000454D9"/>
    <w:rsid w:val="00064413"/>
    <w:rsid w:val="00090628"/>
    <w:rsid w:val="000A3A4D"/>
    <w:rsid w:val="0010205B"/>
    <w:rsid w:val="00102758"/>
    <w:rsid w:val="001364CF"/>
    <w:rsid w:val="00216E04"/>
    <w:rsid w:val="0029790B"/>
    <w:rsid w:val="002A49D0"/>
    <w:rsid w:val="003807C6"/>
    <w:rsid w:val="003A5C49"/>
    <w:rsid w:val="003F6324"/>
    <w:rsid w:val="00411AA1"/>
    <w:rsid w:val="005251F1"/>
    <w:rsid w:val="006521A0"/>
    <w:rsid w:val="00672C54"/>
    <w:rsid w:val="00682761"/>
    <w:rsid w:val="006E441E"/>
    <w:rsid w:val="007770CB"/>
    <w:rsid w:val="00780787"/>
    <w:rsid w:val="007F4225"/>
    <w:rsid w:val="00864F2F"/>
    <w:rsid w:val="009874DB"/>
    <w:rsid w:val="00C04E73"/>
    <w:rsid w:val="00C22FDB"/>
    <w:rsid w:val="00D14D12"/>
    <w:rsid w:val="00D32713"/>
    <w:rsid w:val="00D976C4"/>
    <w:rsid w:val="00DB272A"/>
    <w:rsid w:val="00DC5CF0"/>
    <w:rsid w:val="00DC792C"/>
    <w:rsid w:val="00EA37D5"/>
    <w:rsid w:val="00F40A78"/>
    <w:rsid w:val="00F473A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42F4D"/>
  <w15:docId w15:val="{763980D2-06F4-403F-936F-462F724A8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Aptos"/>
        <w:sz w:val="24"/>
        <w:szCs w:val="24"/>
        <w:lang w:val="en-GB" w:eastAsia="en-GB"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pBdr>
        <w:top w:val="nil"/>
        <w:left w:val="nil"/>
        <w:bottom w:val="nil"/>
        <w:right w:val="nil"/>
        <w:between w:val="nil"/>
      </w:pBdr>
      <w:spacing w:before="160" w:after="80"/>
      <w:outlineLvl w:val="1"/>
    </w:pPr>
    <w:rPr>
      <w:rFonts w:ascii="Play" w:eastAsia="Play" w:hAnsi="Play" w:cs="Play"/>
      <w:color w:val="0F4761"/>
      <w:sz w:val="32"/>
      <w:szCs w:val="32"/>
    </w:rPr>
  </w:style>
  <w:style w:type="paragraph" w:styleId="Heading3">
    <w:name w:val="heading 3"/>
    <w:basedOn w:val="Normal"/>
    <w:next w:val="Normal"/>
    <w:uiPriority w:val="9"/>
    <w:unhideWhenUsed/>
    <w:qFormat/>
    <w:pPr>
      <w:keepNext/>
      <w:keepLines/>
      <w:pBdr>
        <w:top w:val="nil"/>
        <w:left w:val="nil"/>
        <w:bottom w:val="nil"/>
        <w:right w:val="nil"/>
        <w:between w:val="nil"/>
      </w:pBdr>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80" w:after="40"/>
      <w:outlineLvl w:val="3"/>
    </w:pPr>
    <w:rPr>
      <w:i/>
      <w:iCs/>
      <w:color w:val="0F4761"/>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80" w:after="40"/>
      <w:outlineLvl w:val="4"/>
    </w:pPr>
    <w:rPr>
      <w:color w:val="0F4761"/>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spacing w:after="80" w:line="240" w:lineRule="auto"/>
    </w:pPr>
    <w:rPr>
      <w:rFonts w:ascii="Play" w:eastAsia="Play" w:hAnsi="Play" w:cs="Play"/>
      <w:color w:val="000000"/>
      <w:sz w:val="56"/>
      <w:szCs w:val="56"/>
    </w:rPr>
  </w:style>
  <w:style w:type="paragraph" w:styleId="Subtitle">
    <w:name w:val="Subtitle"/>
    <w:basedOn w:val="Normal"/>
    <w:next w:val="Normal"/>
    <w:uiPriority w:val="11"/>
    <w:qFormat/>
    <w:pPr>
      <w:pBdr>
        <w:top w:val="nil"/>
        <w:left w:val="nil"/>
        <w:bottom w:val="nil"/>
        <w:right w:val="nil"/>
        <w:between w:val="nil"/>
      </w:pBdr>
    </w:pPr>
    <w:rPr>
      <w:color w:val="595959"/>
      <w:sz w:val="28"/>
      <w:szCs w:val="28"/>
    </w:rPr>
  </w:style>
  <w:style w:type="character" w:styleId="Hyperlink">
    <w:name w:val="Hyperlink"/>
    <w:basedOn w:val="DefaultParagraphFont"/>
    <w:uiPriority w:val="99"/>
    <w:unhideWhenUsed/>
    <w:rsid w:val="001364CF"/>
    <w:rPr>
      <w:color w:val="0000FF" w:themeColor="hyperlink"/>
      <w:u w:val="single"/>
    </w:rPr>
  </w:style>
  <w:style w:type="character" w:styleId="UnresolvedMention">
    <w:name w:val="Unresolved Mention"/>
    <w:basedOn w:val="DefaultParagraphFont"/>
    <w:uiPriority w:val="99"/>
    <w:semiHidden/>
    <w:unhideWhenUsed/>
    <w:rsid w:val="001364CF"/>
    <w:rPr>
      <w:color w:val="605E5C"/>
      <w:shd w:val="clear" w:color="auto" w:fill="E1DFDD"/>
    </w:rPr>
  </w:style>
  <w:style w:type="paragraph" w:styleId="ListParagraph">
    <w:name w:val="List Paragraph"/>
    <w:basedOn w:val="Normal"/>
    <w:uiPriority w:val="34"/>
    <w:qFormat/>
    <w:rsid w:val="00D976C4"/>
    <w:pPr>
      <w:ind w:left="720"/>
      <w:contextualSpacing/>
    </w:pPr>
  </w:style>
  <w:style w:type="character" w:styleId="Emphasis">
    <w:name w:val="Emphasis"/>
    <w:basedOn w:val="DefaultParagraphFont"/>
    <w:uiPriority w:val="20"/>
    <w:qFormat/>
    <w:rsid w:val="00DB272A"/>
    <w:rPr>
      <w:i/>
      <w:iCs/>
    </w:rPr>
  </w:style>
  <w:style w:type="paragraph" w:styleId="NormalWeb">
    <w:name w:val="Normal (Web)"/>
    <w:basedOn w:val="Normal"/>
    <w:uiPriority w:val="99"/>
    <w:unhideWhenUsed/>
    <w:rsid w:val="00DB272A"/>
    <w:pPr>
      <w:spacing w:before="100" w:beforeAutospacing="1" w:after="100" w:afterAutospacing="1" w:line="240" w:lineRule="auto"/>
    </w:pPr>
    <w:rPr>
      <w:rFonts w:ascii="Times New Roman" w:eastAsia="Times New Roman" w:hAnsi="Times New Roman" w:cs="Times New Roman"/>
      <w:lang w:eastAsia="zh-CN"/>
    </w:rPr>
  </w:style>
  <w:style w:type="character" w:styleId="Strong">
    <w:name w:val="Strong"/>
    <w:basedOn w:val="DefaultParagraphFont"/>
    <w:uiPriority w:val="22"/>
    <w:qFormat/>
    <w:rsid w:val="00F473A0"/>
    <w:rPr>
      <w:b/>
      <w:bCs/>
    </w:rPr>
  </w:style>
  <w:style w:type="character" w:customStyle="1" w:styleId="url">
    <w:name w:val="url"/>
    <w:basedOn w:val="DefaultParagraphFont"/>
    <w:rsid w:val="006521A0"/>
  </w:style>
  <w:style w:type="character" w:styleId="FollowedHyperlink">
    <w:name w:val="FollowedHyperlink"/>
    <w:basedOn w:val="DefaultParagraphFont"/>
    <w:uiPriority w:val="99"/>
    <w:semiHidden/>
    <w:unhideWhenUsed/>
    <w:rsid w:val="003807C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288627">
      <w:bodyDiv w:val="1"/>
      <w:marLeft w:val="0"/>
      <w:marRight w:val="0"/>
      <w:marTop w:val="0"/>
      <w:marBottom w:val="0"/>
      <w:divBdr>
        <w:top w:val="none" w:sz="0" w:space="0" w:color="auto"/>
        <w:left w:val="none" w:sz="0" w:space="0" w:color="auto"/>
        <w:bottom w:val="none" w:sz="0" w:space="0" w:color="auto"/>
        <w:right w:val="none" w:sz="0" w:space="0" w:color="auto"/>
      </w:divBdr>
      <w:divsChild>
        <w:div w:id="1760786434">
          <w:marLeft w:val="0"/>
          <w:marRight w:val="0"/>
          <w:marTop w:val="0"/>
          <w:marBottom w:val="0"/>
          <w:divBdr>
            <w:top w:val="single" w:sz="2" w:space="0" w:color="ECEDEE"/>
            <w:left w:val="single" w:sz="2" w:space="0" w:color="ECEDEE"/>
            <w:bottom w:val="single" w:sz="2" w:space="0" w:color="ECEDEE"/>
            <w:right w:val="single" w:sz="2" w:space="0" w:color="ECEDEE"/>
          </w:divBdr>
          <w:divsChild>
            <w:div w:id="196436074">
              <w:marLeft w:val="0"/>
              <w:marRight w:val="0"/>
              <w:marTop w:val="0"/>
              <w:marBottom w:val="0"/>
              <w:divBdr>
                <w:top w:val="single" w:sz="2" w:space="0" w:color="ECEDEE"/>
                <w:left w:val="single" w:sz="2" w:space="0" w:color="ECEDEE"/>
                <w:bottom w:val="single" w:sz="2" w:space="0" w:color="ECEDEE"/>
                <w:right w:val="single" w:sz="2" w:space="0" w:color="ECEDEE"/>
              </w:divBdr>
            </w:div>
          </w:divsChild>
        </w:div>
      </w:divsChild>
    </w:div>
    <w:div w:id="148714318">
      <w:bodyDiv w:val="1"/>
      <w:marLeft w:val="0"/>
      <w:marRight w:val="0"/>
      <w:marTop w:val="0"/>
      <w:marBottom w:val="0"/>
      <w:divBdr>
        <w:top w:val="none" w:sz="0" w:space="0" w:color="auto"/>
        <w:left w:val="none" w:sz="0" w:space="0" w:color="auto"/>
        <w:bottom w:val="none" w:sz="0" w:space="0" w:color="auto"/>
        <w:right w:val="none" w:sz="0" w:space="0" w:color="auto"/>
      </w:divBdr>
    </w:div>
    <w:div w:id="152138295">
      <w:bodyDiv w:val="1"/>
      <w:marLeft w:val="0"/>
      <w:marRight w:val="0"/>
      <w:marTop w:val="0"/>
      <w:marBottom w:val="0"/>
      <w:divBdr>
        <w:top w:val="none" w:sz="0" w:space="0" w:color="auto"/>
        <w:left w:val="none" w:sz="0" w:space="0" w:color="auto"/>
        <w:bottom w:val="none" w:sz="0" w:space="0" w:color="auto"/>
        <w:right w:val="none" w:sz="0" w:space="0" w:color="auto"/>
      </w:divBdr>
      <w:divsChild>
        <w:div w:id="1231886952">
          <w:marLeft w:val="0"/>
          <w:marRight w:val="0"/>
          <w:marTop w:val="0"/>
          <w:marBottom w:val="0"/>
          <w:divBdr>
            <w:top w:val="single" w:sz="2" w:space="0" w:color="ECEDEE"/>
            <w:left w:val="single" w:sz="2" w:space="0" w:color="ECEDEE"/>
            <w:bottom w:val="single" w:sz="2" w:space="0" w:color="ECEDEE"/>
            <w:right w:val="single" w:sz="2" w:space="0" w:color="ECEDEE"/>
          </w:divBdr>
          <w:divsChild>
            <w:div w:id="1245148594">
              <w:marLeft w:val="0"/>
              <w:marRight w:val="0"/>
              <w:marTop w:val="0"/>
              <w:marBottom w:val="0"/>
              <w:divBdr>
                <w:top w:val="single" w:sz="2" w:space="0" w:color="ECEDEE"/>
                <w:left w:val="single" w:sz="2" w:space="0" w:color="ECEDEE"/>
                <w:bottom w:val="single" w:sz="2" w:space="0" w:color="ECEDEE"/>
                <w:right w:val="single" w:sz="2" w:space="0" w:color="ECEDEE"/>
              </w:divBdr>
            </w:div>
          </w:divsChild>
        </w:div>
      </w:divsChild>
    </w:div>
    <w:div w:id="210923275">
      <w:bodyDiv w:val="1"/>
      <w:marLeft w:val="0"/>
      <w:marRight w:val="0"/>
      <w:marTop w:val="0"/>
      <w:marBottom w:val="0"/>
      <w:divBdr>
        <w:top w:val="none" w:sz="0" w:space="0" w:color="auto"/>
        <w:left w:val="none" w:sz="0" w:space="0" w:color="auto"/>
        <w:bottom w:val="none" w:sz="0" w:space="0" w:color="auto"/>
        <w:right w:val="none" w:sz="0" w:space="0" w:color="auto"/>
      </w:divBdr>
    </w:div>
    <w:div w:id="223764426">
      <w:bodyDiv w:val="1"/>
      <w:marLeft w:val="0"/>
      <w:marRight w:val="0"/>
      <w:marTop w:val="0"/>
      <w:marBottom w:val="0"/>
      <w:divBdr>
        <w:top w:val="none" w:sz="0" w:space="0" w:color="auto"/>
        <w:left w:val="none" w:sz="0" w:space="0" w:color="auto"/>
        <w:bottom w:val="none" w:sz="0" w:space="0" w:color="auto"/>
        <w:right w:val="none" w:sz="0" w:space="0" w:color="auto"/>
      </w:divBdr>
      <w:divsChild>
        <w:div w:id="1693191886">
          <w:marLeft w:val="0"/>
          <w:marRight w:val="0"/>
          <w:marTop w:val="0"/>
          <w:marBottom w:val="0"/>
          <w:divBdr>
            <w:top w:val="single" w:sz="2" w:space="0" w:color="ECEDEE"/>
            <w:left w:val="single" w:sz="2" w:space="0" w:color="ECEDEE"/>
            <w:bottom w:val="single" w:sz="2" w:space="0" w:color="ECEDEE"/>
            <w:right w:val="single" w:sz="2" w:space="0" w:color="ECEDEE"/>
          </w:divBdr>
          <w:divsChild>
            <w:div w:id="252594534">
              <w:marLeft w:val="0"/>
              <w:marRight w:val="0"/>
              <w:marTop w:val="0"/>
              <w:marBottom w:val="0"/>
              <w:divBdr>
                <w:top w:val="single" w:sz="2" w:space="0" w:color="ECEDEE"/>
                <w:left w:val="single" w:sz="2" w:space="0" w:color="ECEDEE"/>
                <w:bottom w:val="single" w:sz="2" w:space="0" w:color="ECEDEE"/>
                <w:right w:val="single" w:sz="2" w:space="0" w:color="ECEDEE"/>
              </w:divBdr>
            </w:div>
          </w:divsChild>
        </w:div>
      </w:divsChild>
    </w:div>
    <w:div w:id="364797279">
      <w:bodyDiv w:val="1"/>
      <w:marLeft w:val="0"/>
      <w:marRight w:val="0"/>
      <w:marTop w:val="0"/>
      <w:marBottom w:val="0"/>
      <w:divBdr>
        <w:top w:val="none" w:sz="0" w:space="0" w:color="auto"/>
        <w:left w:val="none" w:sz="0" w:space="0" w:color="auto"/>
        <w:bottom w:val="none" w:sz="0" w:space="0" w:color="auto"/>
        <w:right w:val="none" w:sz="0" w:space="0" w:color="auto"/>
      </w:divBdr>
    </w:div>
    <w:div w:id="484668329">
      <w:bodyDiv w:val="1"/>
      <w:marLeft w:val="0"/>
      <w:marRight w:val="0"/>
      <w:marTop w:val="0"/>
      <w:marBottom w:val="0"/>
      <w:divBdr>
        <w:top w:val="none" w:sz="0" w:space="0" w:color="auto"/>
        <w:left w:val="none" w:sz="0" w:space="0" w:color="auto"/>
        <w:bottom w:val="none" w:sz="0" w:space="0" w:color="auto"/>
        <w:right w:val="none" w:sz="0" w:space="0" w:color="auto"/>
      </w:divBdr>
    </w:div>
    <w:div w:id="709378425">
      <w:bodyDiv w:val="1"/>
      <w:marLeft w:val="0"/>
      <w:marRight w:val="0"/>
      <w:marTop w:val="0"/>
      <w:marBottom w:val="0"/>
      <w:divBdr>
        <w:top w:val="none" w:sz="0" w:space="0" w:color="auto"/>
        <w:left w:val="none" w:sz="0" w:space="0" w:color="auto"/>
        <w:bottom w:val="none" w:sz="0" w:space="0" w:color="auto"/>
        <w:right w:val="none" w:sz="0" w:space="0" w:color="auto"/>
      </w:divBdr>
    </w:div>
    <w:div w:id="817721091">
      <w:bodyDiv w:val="1"/>
      <w:marLeft w:val="0"/>
      <w:marRight w:val="0"/>
      <w:marTop w:val="0"/>
      <w:marBottom w:val="0"/>
      <w:divBdr>
        <w:top w:val="none" w:sz="0" w:space="0" w:color="auto"/>
        <w:left w:val="none" w:sz="0" w:space="0" w:color="auto"/>
        <w:bottom w:val="none" w:sz="0" w:space="0" w:color="auto"/>
        <w:right w:val="none" w:sz="0" w:space="0" w:color="auto"/>
      </w:divBdr>
    </w:div>
    <w:div w:id="1011639008">
      <w:bodyDiv w:val="1"/>
      <w:marLeft w:val="0"/>
      <w:marRight w:val="0"/>
      <w:marTop w:val="0"/>
      <w:marBottom w:val="0"/>
      <w:divBdr>
        <w:top w:val="none" w:sz="0" w:space="0" w:color="auto"/>
        <w:left w:val="none" w:sz="0" w:space="0" w:color="auto"/>
        <w:bottom w:val="none" w:sz="0" w:space="0" w:color="auto"/>
        <w:right w:val="none" w:sz="0" w:space="0" w:color="auto"/>
      </w:divBdr>
    </w:div>
    <w:div w:id="1021279309">
      <w:bodyDiv w:val="1"/>
      <w:marLeft w:val="0"/>
      <w:marRight w:val="0"/>
      <w:marTop w:val="0"/>
      <w:marBottom w:val="0"/>
      <w:divBdr>
        <w:top w:val="none" w:sz="0" w:space="0" w:color="auto"/>
        <w:left w:val="none" w:sz="0" w:space="0" w:color="auto"/>
        <w:bottom w:val="none" w:sz="0" w:space="0" w:color="auto"/>
        <w:right w:val="none" w:sz="0" w:space="0" w:color="auto"/>
      </w:divBdr>
    </w:div>
    <w:div w:id="1072585337">
      <w:bodyDiv w:val="1"/>
      <w:marLeft w:val="0"/>
      <w:marRight w:val="0"/>
      <w:marTop w:val="0"/>
      <w:marBottom w:val="0"/>
      <w:divBdr>
        <w:top w:val="none" w:sz="0" w:space="0" w:color="auto"/>
        <w:left w:val="none" w:sz="0" w:space="0" w:color="auto"/>
        <w:bottom w:val="none" w:sz="0" w:space="0" w:color="auto"/>
        <w:right w:val="none" w:sz="0" w:space="0" w:color="auto"/>
      </w:divBdr>
      <w:divsChild>
        <w:div w:id="1834176422">
          <w:marLeft w:val="0"/>
          <w:marRight w:val="0"/>
          <w:marTop w:val="0"/>
          <w:marBottom w:val="0"/>
          <w:divBdr>
            <w:top w:val="single" w:sz="2" w:space="0" w:color="ECEDEE"/>
            <w:left w:val="single" w:sz="2" w:space="0" w:color="ECEDEE"/>
            <w:bottom w:val="single" w:sz="2" w:space="0" w:color="ECEDEE"/>
            <w:right w:val="single" w:sz="2" w:space="0" w:color="ECEDEE"/>
          </w:divBdr>
          <w:divsChild>
            <w:div w:id="734819366">
              <w:marLeft w:val="0"/>
              <w:marRight w:val="0"/>
              <w:marTop w:val="0"/>
              <w:marBottom w:val="0"/>
              <w:divBdr>
                <w:top w:val="single" w:sz="2" w:space="0" w:color="ECEDEE"/>
                <w:left w:val="single" w:sz="2" w:space="0" w:color="ECEDEE"/>
                <w:bottom w:val="single" w:sz="2" w:space="0" w:color="ECEDEE"/>
                <w:right w:val="single" w:sz="2" w:space="0" w:color="ECEDEE"/>
              </w:divBdr>
            </w:div>
          </w:divsChild>
        </w:div>
      </w:divsChild>
    </w:div>
    <w:div w:id="1431462568">
      <w:bodyDiv w:val="1"/>
      <w:marLeft w:val="0"/>
      <w:marRight w:val="0"/>
      <w:marTop w:val="0"/>
      <w:marBottom w:val="0"/>
      <w:divBdr>
        <w:top w:val="none" w:sz="0" w:space="0" w:color="auto"/>
        <w:left w:val="none" w:sz="0" w:space="0" w:color="auto"/>
        <w:bottom w:val="none" w:sz="0" w:space="0" w:color="auto"/>
        <w:right w:val="none" w:sz="0" w:space="0" w:color="auto"/>
      </w:divBdr>
    </w:div>
    <w:div w:id="1455632774">
      <w:bodyDiv w:val="1"/>
      <w:marLeft w:val="0"/>
      <w:marRight w:val="0"/>
      <w:marTop w:val="0"/>
      <w:marBottom w:val="0"/>
      <w:divBdr>
        <w:top w:val="none" w:sz="0" w:space="0" w:color="auto"/>
        <w:left w:val="none" w:sz="0" w:space="0" w:color="auto"/>
        <w:bottom w:val="none" w:sz="0" w:space="0" w:color="auto"/>
        <w:right w:val="none" w:sz="0" w:space="0" w:color="auto"/>
      </w:divBdr>
      <w:divsChild>
        <w:div w:id="1529954784">
          <w:marLeft w:val="0"/>
          <w:marRight w:val="0"/>
          <w:marTop w:val="0"/>
          <w:marBottom w:val="0"/>
          <w:divBdr>
            <w:top w:val="single" w:sz="2" w:space="0" w:color="ECEDEE"/>
            <w:left w:val="single" w:sz="2" w:space="0" w:color="ECEDEE"/>
            <w:bottom w:val="single" w:sz="2" w:space="0" w:color="ECEDEE"/>
            <w:right w:val="single" w:sz="2" w:space="0" w:color="ECEDEE"/>
          </w:divBdr>
          <w:divsChild>
            <w:div w:id="1101997491">
              <w:marLeft w:val="0"/>
              <w:marRight w:val="0"/>
              <w:marTop w:val="0"/>
              <w:marBottom w:val="0"/>
              <w:divBdr>
                <w:top w:val="single" w:sz="2" w:space="0" w:color="ECEDEE"/>
                <w:left w:val="single" w:sz="2" w:space="0" w:color="ECEDEE"/>
                <w:bottom w:val="single" w:sz="2" w:space="0" w:color="ECEDEE"/>
                <w:right w:val="single" w:sz="2" w:space="0" w:color="ECEDEE"/>
              </w:divBdr>
            </w:div>
          </w:divsChild>
        </w:div>
      </w:divsChild>
    </w:div>
    <w:div w:id="1485122821">
      <w:bodyDiv w:val="1"/>
      <w:marLeft w:val="0"/>
      <w:marRight w:val="0"/>
      <w:marTop w:val="0"/>
      <w:marBottom w:val="0"/>
      <w:divBdr>
        <w:top w:val="none" w:sz="0" w:space="0" w:color="auto"/>
        <w:left w:val="none" w:sz="0" w:space="0" w:color="auto"/>
        <w:bottom w:val="none" w:sz="0" w:space="0" w:color="auto"/>
        <w:right w:val="none" w:sz="0" w:space="0" w:color="auto"/>
      </w:divBdr>
    </w:div>
    <w:div w:id="1615792297">
      <w:bodyDiv w:val="1"/>
      <w:marLeft w:val="0"/>
      <w:marRight w:val="0"/>
      <w:marTop w:val="0"/>
      <w:marBottom w:val="0"/>
      <w:divBdr>
        <w:top w:val="none" w:sz="0" w:space="0" w:color="auto"/>
        <w:left w:val="none" w:sz="0" w:space="0" w:color="auto"/>
        <w:bottom w:val="none" w:sz="0" w:space="0" w:color="auto"/>
        <w:right w:val="none" w:sz="0" w:space="0" w:color="auto"/>
      </w:divBdr>
    </w:div>
    <w:div w:id="1637448094">
      <w:bodyDiv w:val="1"/>
      <w:marLeft w:val="0"/>
      <w:marRight w:val="0"/>
      <w:marTop w:val="0"/>
      <w:marBottom w:val="0"/>
      <w:divBdr>
        <w:top w:val="none" w:sz="0" w:space="0" w:color="auto"/>
        <w:left w:val="none" w:sz="0" w:space="0" w:color="auto"/>
        <w:bottom w:val="none" w:sz="0" w:space="0" w:color="auto"/>
        <w:right w:val="none" w:sz="0" w:space="0" w:color="auto"/>
      </w:divBdr>
    </w:div>
    <w:div w:id="1652829341">
      <w:bodyDiv w:val="1"/>
      <w:marLeft w:val="0"/>
      <w:marRight w:val="0"/>
      <w:marTop w:val="0"/>
      <w:marBottom w:val="0"/>
      <w:divBdr>
        <w:top w:val="none" w:sz="0" w:space="0" w:color="auto"/>
        <w:left w:val="none" w:sz="0" w:space="0" w:color="auto"/>
        <w:bottom w:val="none" w:sz="0" w:space="0" w:color="auto"/>
        <w:right w:val="none" w:sz="0" w:space="0" w:color="auto"/>
      </w:divBdr>
    </w:div>
    <w:div w:id="1763334024">
      <w:bodyDiv w:val="1"/>
      <w:marLeft w:val="0"/>
      <w:marRight w:val="0"/>
      <w:marTop w:val="0"/>
      <w:marBottom w:val="0"/>
      <w:divBdr>
        <w:top w:val="none" w:sz="0" w:space="0" w:color="auto"/>
        <w:left w:val="none" w:sz="0" w:space="0" w:color="auto"/>
        <w:bottom w:val="none" w:sz="0" w:space="0" w:color="auto"/>
        <w:right w:val="none" w:sz="0" w:space="0" w:color="auto"/>
      </w:divBdr>
    </w:div>
    <w:div w:id="1893809109">
      <w:bodyDiv w:val="1"/>
      <w:marLeft w:val="0"/>
      <w:marRight w:val="0"/>
      <w:marTop w:val="0"/>
      <w:marBottom w:val="0"/>
      <w:divBdr>
        <w:top w:val="none" w:sz="0" w:space="0" w:color="auto"/>
        <w:left w:val="none" w:sz="0" w:space="0" w:color="auto"/>
        <w:bottom w:val="none" w:sz="0" w:space="0" w:color="auto"/>
        <w:right w:val="none" w:sz="0" w:space="0" w:color="auto"/>
      </w:divBdr>
    </w:div>
    <w:div w:id="1959987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england.nhs.uk/aac/wp-content/uploads/sites/50/2022/09/B1481_Research-demand-signalling-national-learning-disability-and-autism-programme-september-2022.pdf" TargetMode="External"/><Relationship Id="rId18" Type="http://schemas.openxmlformats.org/officeDocument/2006/relationships/hyperlink" Target="https://www.equalityadvisoryservice.com/about-us" TargetMode="External"/><Relationship Id="rId26" Type="http://schemas.openxmlformats.org/officeDocument/2006/relationships/hyperlink" Target="https://doi.org/10.3399/bjgp18x697637" TargetMode="External"/><Relationship Id="rId39" Type="http://schemas.openxmlformats.org/officeDocument/2006/relationships/hyperlink" Target="https://observatory.kirklees.gov.uk/people-life-events/disabled-adults" TargetMode="External"/><Relationship Id="rId21" Type="http://schemas.openxmlformats.org/officeDocument/2006/relationships/hyperlink" Target="https://doi.org/10.1108/tldr-06-2021-0014" TargetMode="External"/><Relationship Id="rId34" Type="http://schemas.openxmlformats.org/officeDocument/2006/relationships/hyperlink" Target="https://qmro.qmul.ac.uk/xmlui/bitstream/handle/123456789/2960/NOBLEPredicting2012.pdf?sequence=1&amp;isAllowed=y" TargetMode="External"/><Relationship Id="rId42"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diabetes.org.uk/about-diabetes/type-2-diabetes" TargetMode="External"/><Relationship Id="rId20" Type="http://schemas.openxmlformats.org/officeDocument/2006/relationships/hyperlink" Target="https://www.england.nhs.uk/update-on-learning-disability-and-autism-programme" TargetMode="External"/><Relationship Id="rId29" Type="http://schemas.openxmlformats.org/officeDocument/2006/relationships/hyperlink" Target="https://commonslibrary.parliament.uk/research-briefings/cbp-9602/" TargetMode="External"/><Relationship Id="rId41" Type="http://schemas.openxmlformats.org/officeDocument/2006/relationships/hyperlink" Target="https://www.ncbi.nlm.nih.gov/books/NBK538893/table/ch3.t1/"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cbi.nlm.nih.gov/books/NBK7993/" TargetMode="External"/><Relationship Id="rId24" Type="http://schemas.openxmlformats.org/officeDocument/2006/relationships/hyperlink" Target="https://www.gov.uk/government/statistics/the-employment-of-disabled-people-2025/the-employment-of-disabled-people-2025" TargetMode="External"/><Relationship Id="rId32" Type="http://schemas.openxmlformats.org/officeDocument/2006/relationships/hyperlink" Target="https://cks.nice.org.uk/topics/diabetes-type-2/background-information/risk-factors/" TargetMode="External"/><Relationship Id="rId37" Type="http://schemas.openxmlformats.org/officeDocument/2006/relationships/hyperlink" Target="https://democracy.towerhamlets.gov.uk/documents/s242713/Tower%20Hamlets%20PNA%20Report%202023.pdf" TargetMode="External"/><Relationship Id="rId40" Type="http://schemas.openxmlformats.org/officeDocument/2006/relationships/hyperlink" Target="https://www.health.org.uk/funding-and-fellowships/projects/year-of-care-tower-hamlets-primary-care-trust" TargetMode="External"/><Relationship Id="rId5" Type="http://schemas.openxmlformats.org/officeDocument/2006/relationships/styles" Target="styles.xml"/><Relationship Id="rId15" Type="http://schemas.openxmlformats.org/officeDocument/2006/relationships/hyperlink" Target="https://doi.org/10.1515/jtim-2016-0021" TargetMode="External"/><Relationship Id="rId23" Type="http://schemas.openxmlformats.org/officeDocument/2006/relationships/hyperlink" Target="https://doi.org/10.1007/s11892-019-1200-z" TargetMode="External"/><Relationship Id="rId28" Type="http://schemas.openxmlformats.org/officeDocument/2006/relationships/hyperlink" Target="https://www.scottishhousingnews.com/article/england-proportion-of-people-facing-homelessness-with-physical-ill-health-and-disabilities-on-the-rise" TargetMode="External"/><Relationship Id="rId36" Type="http://schemas.openxmlformats.org/officeDocument/2006/relationships/hyperlink" Target="https://www.local.gov.uk/case-studies/london-borough-tower-hamlets-community-led-projects-improve-health-and-reduce" TargetMode="External"/><Relationship Id="rId10" Type="http://schemas.openxmlformats.org/officeDocument/2006/relationships/hyperlink" Target="https://doi.org/10.1007/s13300-020-00791-4" TargetMode="External"/><Relationship Id="rId19" Type="http://schemas.openxmlformats.org/officeDocument/2006/relationships/hyperlink" Target="https://doi.org/10.1093/eurpub/ckab018" TargetMode="External"/><Relationship Id="rId31" Type="http://schemas.openxmlformats.org/officeDocument/2006/relationships/hyperlink" Target="https://digital.nhs.uk/data-and-information/publications/statistical/health-and-care-of-people-with-learning-disabilities" TargetMode="External"/><Relationship Id="rId4" Type="http://schemas.openxmlformats.org/officeDocument/2006/relationships/numbering" Target="numbering.xml"/><Relationship Id="rId9" Type="http://schemas.openxmlformats.org/officeDocument/2006/relationships/hyperlink" Target="https://abilitynet.org.uk/workplace/supporting-disabled-individuals-workplace" TargetMode="External"/><Relationship Id="rId14" Type="http://schemas.openxmlformats.org/officeDocument/2006/relationships/hyperlink" Target="https://www.bjd-abcd.com/index.php/bjd/article/view/204/345" TargetMode="External"/><Relationship Id="rId22" Type="http://schemas.openxmlformats.org/officeDocument/2006/relationships/hyperlink" Target="https://doi.org/10.1111/jir.70006" TargetMode="External"/><Relationship Id="rId27" Type="http://schemas.openxmlformats.org/officeDocument/2006/relationships/hyperlink" Target="https://idf.org/about-diabetes/diabetes-facts-figures/" TargetMode="External"/><Relationship Id="rId30" Type="http://schemas.openxmlformats.org/officeDocument/2006/relationships/hyperlink" Target="https://www.towerhamlets.gov.uk/Documents/PublicHealth/Type_2_diabetes.pdf" TargetMode="External"/><Relationship Id="rId35" Type="http://schemas.openxmlformats.org/officeDocument/2006/relationships/hyperlink" Target="https://towerhamlets.moderngov.co.uk/documents/s154121/Appendix%202%20Diabetes%20Care%20and%20Prevention%20in%20TH.pdf"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customXml" Target="../customXml/item3.xml"/><Relationship Id="rId12" Type="http://schemas.openxmlformats.org/officeDocument/2006/relationships/hyperlink" Target="https://www.towerhamlets.gov.uk/Documents/PublicHealth/TowerHamletsPublicHealthReport2022.pdf" TargetMode="External"/><Relationship Id="rId17" Type="http://schemas.openxmlformats.org/officeDocument/2006/relationships/hyperlink" Target="https://www.diabetes.org.uk/about-us/news-and-views/reduced-risk-type-2-diabetes-diabetes-prevention-" TargetMode="External"/><Relationship Id="rId25" Type="http://schemas.openxmlformats.org/officeDocument/2006/relationships/hyperlink" Target="https://www.gov.uk/government/statistics/diabetes-profile-update-march-2025/diabetes-profile-statistical-commentary-march-2025?utm_source=chatgpt.com" TargetMode="External"/><Relationship Id="rId33" Type="http://schemas.openxmlformats.org/officeDocument/2006/relationships/hyperlink" Target="https://qmro.qmul.ac.uk/xmlui/handle/123456789/2960" TargetMode="External"/><Relationship Id="rId38" Type="http://schemas.openxmlformats.org/officeDocument/2006/relationships/hyperlink" Target="https://doi.org/10.1016/j.dhjo.2021.101171"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4" ma:contentTypeDescription="Create a new document." ma:contentTypeScope="" ma:versionID="a572c88c7135a4f9287fc943a6276e11">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3a59aba3dd707360fa48a2503c2b4670"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59922E-E15A-4174-A0E3-4B84EF624613}">
  <ds:schemaRefs>
    <ds:schemaRef ds:uri="http://schemas.microsoft.com/office/2006/metadata/properties"/>
    <ds:schemaRef ds:uri="http://schemas.microsoft.com/office/infopath/2007/PartnerControls"/>
    <ds:schemaRef ds:uri="da3f2772-8f1e-4acb-bd98-3a0ee892f48a"/>
  </ds:schemaRefs>
</ds:datastoreItem>
</file>

<file path=customXml/itemProps2.xml><?xml version="1.0" encoding="utf-8"?>
<ds:datastoreItem xmlns:ds="http://schemas.openxmlformats.org/officeDocument/2006/customXml" ds:itemID="{001D7CCE-62DB-4226-AD28-479B6F6698FA}">
  <ds:schemaRefs>
    <ds:schemaRef ds:uri="http://schemas.microsoft.com/sharepoint/v3/contenttype/forms"/>
  </ds:schemaRefs>
</ds:datastoreItem>
</file>

<file path=customXml/itemProps3.xml><?xml version="1.0" encoding="utf-8"?>
<ds:datastoreItem xmlns:ds="http://schemas.openxmlformats.org/officeDocument/2006/customXml" ds:itemID="{FDCC468B-C85B-40B1-AB3F-D260540ED8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6459</Words>
  <Characters>36818</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UWTSD</dc:creator>
  <cp:lastModifiedBy>Katia Ferreira Amado (2211924)</cp:lastModifiedBy>
  <cp:revision>2</cp:revision>
  <dcterms:created xsi:type="dcterms:W3CDTF">2025-12-10T13:43:00Z</dcterms:created>
  <dcterms:modified xsi:type="dcterms:W3CDTF">2025-12-10T13:43:00Z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