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C2F1FC" w14:textId="77777777" w:rsidR="00AC2132" w:rsidRDefault="00AC2132" w:rsidP="00AC2132">
      <w:r>
        <w:rPr>
          <w:noProof/>
          <w:lang w:eastAsia="en-GB"/>
        </w:rPr>
        <w:drawing>
          <wp:inline distT="0" distB="0" distL="0" distR="0" wp14:anchorId="54B90E24" wp14:editId="5A605FC8">
            <wp:extent cx="3252324" cy="1346200"/>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57331" cy="1348272"/>
                    </a:xfrm>
                    <a:prstGeom prst="rect">
                      <a:avLst/>
                    </a:prstGeom>
                  </pic:spPr>
                </pic:pic>
              </a:graphicData>
            </a:graphic>
          </wp:inline>
        </w:drawing>
      </w:r>
    </w:p>
    <w:p w14:paraId="41202E17" w14:textId="77777777" w:rsidR="00AC2132" w:rsidRPr="008E508B" w:rsidRDefault="00AC2132" w:rsidP="00AC2132">
      <w:pPr>
        <w:rPr>
          <w:lang w:val="bg-BG"/>
        </w:rPr>
      </w:pPr>
    </w:p>
    <w:p w14:paraId="0A94F3E3" w14:textId="77777777" w:rsidR="00AC2132" w:rsidRPr="00252BC6" w:rsidRDefault="00AC2132" w:rsidP="00252BC6">
      <w:pPr>
        <w:jc w:val="center"/>
        <w:rPr>
          <w:b/>
        </w:rPr>
      </w:pPr>
      <w:r w:rsidRPr="00252BC6">
        <w:rPr>
          <w:b/>
        </w:rPr>
        <w:t>BA International Hotel Management</w:t>
      </w:r>
    </w:p>
    <w:p w14:paraId="0F5D028A" w14:textId="77777777" w:rsidR="00AC2132" w:rsidRPr="00252BC6" w:rsidRDefault="00AC2132" w:rsidP="00252BC6">
      <w:pPr>
        <w:jc w:val="center"/>
        <w:rPr>
          <w:b/>
        </w:rPr>
      </w:pPr>
      <w:r w:rsidRPr="00252BC6">
        <w:rPr>
          <w:b/>
        </w:rPr>
        <w:t>BMIH5007</w:t>
      </w:r>
    </w:p>
    <w:p w14:paraId="7E372F03" w14:textId="77777777" w:rsidR="007A2DAD" w:rsidRPr="00252BC6" w:rsidRDefault="00AC2132" w:rsidP="00252BC6">
      <w:pPr>
        <w:jc w:val="center"/>
        <w:rPr>
          <w:b/>
        </w:rPr>
      </w:pPr>
      <w:r w:rsidRPr="00252BC6">
        <w:rPr>
          <w:b/>
        </w:rPr>
        <w:t>Financial Management for the Hotel Industry</w:t>
      </w:r>
    </w:p>
    <w:p w14:paraId="26137FDA" w14:textId="77777777" w:rsidR="00E11247" w:rsidRDefault="00E11247" w:rsidP="00252BC6">
      <w:pPr>
        <w:jc w:val="center"/>
        <w:rPr>
          <w:b/>
          <w:lang w:val="bg-BG"/>
        </w:rPr>
      </w:pPr>
      <w:r w:rsidRPr="00252BC6">
        <w:rPr>
          <w:b/>
        </w:rPr>
        <w:t>Assignment 2</w:t>
      </w:r>
    </w:p>
    <w:p w14:paraId="69E7CA42" w14:textId="731268B1" w:rsidR="008E508B" w:rsidRPr="008E508B" w:rsidRDefault="008E508B" w:rsidP="008E508B">
      <w:pPr>
        <w:jc w:val="center"/>
        <w:rPr>
          <w:b/>
          <w:lang w:val="bg-BG"/>
        </w:rPr>
      </w:pPr>
      <w:r w:rsidRPr="008E508B">
        <w:rPr>
          <w:b/>
          <w:lang w:val="nl-NL"/>
        </w:rPr>
        <w:t>Student name:</w:t>
      </w:r>
      <w:r>
        <w:rPr>
          <w:b/>
          <w:lang w:val="bg-BG"/>
        </w:rPr>
        <w:t xml:space="preserve"> Daniel Fieraru</w:t>
      </w:r>
    </w:p>
    <w:p w14:paraId="7C473CE2" w14:textId="365522D5" w:rsidR="008E508B" w:rsidRPr="008E508B" w:rsidRDefault="008E508B" w:rsidP="008E508B">
      <w:pPr>
        <w:jc w:val="center"/>
        <w:rPr>
          <w:b/>
          <w:lang w:val="bg-BG"/>
        </w:rPr>
      </w:pPr>
      <w:r w:rsidRPr="008E508B">
        <w:rPr>
          <w:b/>
          <w:lang w:val="nl-NL"/>
        </w:rPr>
        <w:t xml:space="preserve">Student ID: </w:t>
      </w:r>
      <w:r>
        <w:rPr>
          <w:b/>
          <w:lang w:val="bg-BG"/>
        </w:rPr>
        <w:t>2232199</w:t>
      </w:r>
    </w:p>
    <w:p w14:paraId="626C7379" w14:textId="53F7B46B" w:rsidR="008E508B" w:rsidRPr="008E508B" w:rsidRDefault="008E508B" w:rsidP="008E508B">
      <w:pPr>
        <w:jc w:val="center"/>
        <w:rPr>
          <w:b/>
          <w:lang w:val="nl-NL"/>
        </w:rPr>
      </w:pPr>
      <w:proofErr w:type="spellStart"/>
      <w:r w:rsidRPr="008E508B">
        <w:rPr>
          <w:b/>
          <w:lang w:val="nl-NL"/>
        </w:rPr>
        <w:t>Lecture</w:t>
      </w:r>
      <w:proofErr w:type="spellEnd"/>
      <w:r w:rsidRPr="008E508B">
        <w:rPr>
          <w:b/>
          <w:lang w:val="nl-NL"/>
        </w:rPr>
        <w:t xml:space="preserve"> name: Tristan </w:t>
      </w:r>
      <w:proofErr w:type="spellStart"/>
      <w:r w:rsidRPr="008E508B">
        <w:rPr>
          <w:b/>
          <w:lang w:val="nl-NL"/>
        </w:rPr>
        <w:t>Hawkins</w:t>
      </w:r>
      <w:proofErr w:type="spellEnd"/>
    </w:p>
    <w:p w14:paraId="52C54517" w14:textId="74F863DC" w:rsidR="008E508B" w:rsidRPr="008E508B" w:rsidRDefault="0007041A" w:rsidP="008E508B">
      <w:pPr>
        <w:spacing w:line="259" w:lineRule="auto"/>
        <w:jc w:val="left"/>
        <w:rPr>
          <w:b/>
          <w:sz w:val="32"/>
          <w:lang w:val="bg-BG"/>
        </w:rPr>
      </w:pPr>
      <w:r w:rsidRPr="008E508B">
        <w:rPr>
          <w:b/>
          <w:sz w:val="32"/>
          <w:lang w:val="nl-NL"/>
        </w:rPr>
        <w:br w:type="page"/>
      </w:r>
    </w:p>
    <w:sdt>
      <w:sdtPr>
        <w:rPr>
          <w:rFonts w:ascii="Times New Roman" w:eastAsiaTheme="minorHAnsi" w:hAnsi="Times New Roman" w:cstheme="minorBidi"/>
          <w:color w:val="auto"/>
          <w:sz w:val="24"/>
          <w:szCs w:val="22"/>
          <w:lang w:val="en-GB"/>
        </w:rPr>
        <w:id w:val="1881195407"/>
        <w:docPartObj>
          <w:docPartGallery w:val="Table of Contents"/>
          <w:docPartUnique/>
        </w:docPartObj>
      </w:sdtPr>
      <w:sdtEndPr>
        <w:rPr>
          <w:rFonts w:ascii="Arial" w:hAnsi="Arial"/>
          <w:b/>
          <w:bCs/>
          <w:noProof/>
        </w:rPr>
      </w:sdtEndPr>
      <w:sdtContent>
        <w:p w14:paraId="429EAA09" w14:textId="77777777" w:rsidR="006A068B" w:rsidRDefault="006A068B">
          <w:pPr>
            <w:pStyle w:val="TOCHeading"/>
          </w:pPr>
          <w:r>
            <w:t>Table of Contents</w:t>
          </w:r>
        </w:p>
        <w:p w14:paraId="5BEDEB84" w14:textId="77777777" w:rsidR="001C732C" w:rsidRDefault="006A068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8475011" w:history="1">
            <w:r w:rsidR="001C732C" w:rsidRPr="00003AC6">
              <w:rPr>
                <w:rStyle w:val="Hyperlink"/>
                <w:noProof/>
              </w:rPr>
              <w:t>1. Introduction</w:t>
            </w:r>
            <w:r w:rsidR="001C732C">
              <w:rPr>
                <w:noProof/>
                <w:webHidden/>
              </w:rPr>
              <w:tab/>
            </w:r>
            <w:r w:rsidR="001C732C">
              <w:rPr>
                <w:noProof/>
                <w:webHidden/>
              </w:rPr>
              <w:fldChar w:fldCharType="begin"/>
            </w:r>
            <w:r w:rsidR="001C732C">
              <w:rPr>
                <w:noProof/>
                <w:webHidden/>
              </w:rPr>
              <w:instrText xml:space="preserve"> PAGEREF _Toc168475011 \h </w:instrText>
            </w:r>
            <w:r w:rsidR="001C732C">
              <w:rPr>
                <w:noProof/>
                <w:webHidden/>
              </w:rPr>
            </w:r>
            <w:r w:rsidR="001C732C">
              <w:rPr>
                <w:noProof/>
                <w:webHidden/>
              </w:rPr>
              <w:fldChar w:fldCharType="separate"/>
            </w:r>
            <w:r w:rsidR="001C732C">
              <w:rPr>
                <w:noProof/>
                <w:webHidden/>
              </w:rPr>
              <w:t>3</w:t>
            </w:r>
            <w:r w:rsidR="001C732C">
              <w:rPr>
                <w:noProof/>
                <w:webHidden/>
              </w:rPr>
              <w:fldChar w:fldCharType="end"/>
            </w:r>
          </w:hyperlink>
        </w:p>
        <w:p w14:paraId="51711566" w14:textId="77777777" w:rsidR="001C732C" w:rsidRDefault="008E508B">
          <w:pPr>
            <w:pStyle w:val="TOC1"/>
            <w:tabs>
              <w:tab w:val="right" w:leader="dot" w:pos="9350"/>
            </w:tabs>
            <w:rPr>
              <w:rFonts w:asciiTheme="minorHAnsi" w:eastAsiaTheme="minorEastAsia" w:hAnsiTheme="minorHAnsi"/>
              <w:noProof/>
              <w:sz w:val="22"/>
              <w:lang w:eastAsia="en-GB"/>
            </w:rPr>
          </w:pPr>
          <w:hyperlink w:anchor="_Toc168475012" w:history="1">
            <w:r w:rsidR="001C732C" w:rsidRPr="00003AC6">
              <w:rPr>
                <w:rStyle w:val="Hyperlink"/>
                <w:noProof/>
              </w:rPr>
              <w:t>2. Analysing Urban Heights Hotel's financial performance</w:t>
            </w:r>
            <w:r w:rsidR="001C732C">
              <w:rPr>
                <w:noProof/>
                <w:webHidden/>
              </w:rPr>
              <w:tab/>
            </w:r>
            <w:r w:rsidR="001C732C">
              <w:rPr>
                <w:noProof/>
                <w:webHidden/>
              </w:rPr>
              <w:fldChar w:fldCharType="begin"/>
            </w:r>
            <w:r w:rsidR="001C732C">
              <w:rPr>
                <w:noProof/>
                <w:webHidden/>
              </w:rPr>
              <w:instrText xml:space="preserve"> PAGEREF _Toc168475012 \h </w:instrText>
            </w:r>
            <w:r w:rsidR="001C732C">
              <w:rPr>
                <w:noProof/>
                <w:webHidden/>
              </w:rPr>
            </w:r>
            <w:r w:rsidR="001C732C">
              <w:rPr>
                <w:noProof/>
                <w:webHidden/>
              </w:rPr>
              <w:fldChar w:fldCharType="separate"/>
            </w:r>
            <w:r w:rsidR="001C732C">
              <w:rPr>
                <w:noProof/>
                <w:webHidden/>
              </w:rPr>
              <w:t>4</w:t>
            </w:r>
            <w:r w:rsidR="001C732C">
              <w:rPr>
                <w:noProof/>
                <w:webHidden/>
              </w:rPr>
              <w:fldChar w:fldCharType="end"/>
            </w:r>
          </w:hyperlink>
        </w:p>
        <w:p w14:paraId="7A4EB9DA" w14:textId="77777777" w:rsidR="001C732C" w:rsidRDefault="008E508B">
          <w:pPr>
            <w:pStyle w:val="TOC1"/>
            <w:tabs>
              <w:tab w:val="right" w:leader="dot" w:pos="9350"/>
            </w:tabs>
            <w:rPr>
              <w:rFonts w:asciiTheme="minorHAnsi" w:eastAsiaTheme="minorEastAsia" w:hAnsiTheme="minorHAnsi"/>
              <w:noProof/>
              <w:sz w:val="22"/>
              <w:lang w:eastAsia="en-GB"/>
            </w:rPr>
          </w:pPr>
          <w:hyperlink w:anchor="_Toc168475013" w:history="1">
            <w:r w:rsidR="001C732C" w:rsidRPr="00003AC6">
              <w:rPr>
                <w:rStyle w:val="Hyperlink"/>
                <w:noProof/>
              </w:rPr>
              <w:t>3. Identifying the primary reasons for the decline in profitability</w:t>
            </w:r>
            <w:r w:rsidR="001C732C">
              <w:rPr>
                <w:noProof/>
                <w:webHidden/>
              </w:rPr>
              <w:tab/>
            </w:r>
            <w:r w:rsidR="001C732C">
              <w:rPr>
                <w:noProof/>
                <w:webHidden/>
              </w:rPr>
              <w:fldChar w:fldCharType="begin"/>
            </w:r>
            <w:r w:rsidR="001C732C">
              <w:rPr>
                <w:noProof/>
                <w:webHidden/>
              </w:rPr>
              <w:instrText xml:space="preserve"> PAGEREF _Toc168475013 \h </w:instrText>
            </w:r>
            <w:r w:rsidR="001C732C">
              <w:rPr>
                <w:noProof/>
                <w:webHidden/>
              </w:rPr>
            </w:r>
            <w:r w:rsidR="001C732C">
              <w:rPr>
                <w:noProof/>
                <w:webHidden/>
              </w:rPr>
              <w:fldChar w:fldCharType="separate"/>
            </w:r>
            <w:r w:rsidR="001C732C">
              <w:rPr>
                <w:noProof/>
                <w:webHidden/>
              </w:rPr>
              <w:t>6</w:t>
            </w:r>
            <w:r w:rsidR="001C732C">
              <w:rPr>
                <w:noProof/>
                <w:webHidden/>
              </w:rPr>
              <w:fldChar w:fldCharType="end"/>
            </w:r>
          </w:hyperlink>
        </w:p>
        <w:p w14:paraId="393CCB32" w14:textId="77777777" w:rsidR="001C732C" w:rsidRDefault="008E508B">
          <w:pPr>
            <w:pStyle w:val="TOC1"/>
            <w:tabs>
              <w:tab w:val="right" w:leader="dot" w:pos="9350"/>
            </w:tabs>
            <w:rPr>
              <w:rFonts w:asciiTheme="minorHAnsi" w:eastAsiaTheme="minorEastAsia" w:hAnsiTheme="minorHAnsi"/>
              <w:noProof/>
              <w:sz w:val="22"/>
              <w:lang w:eastAsia="en-GB"/>
            </w:rPr>
          </w:pPr>
          <w:hyperlink w:anchor="_Toc168475014" w:history="1">
            <w:r w:rsidR="001C732C" w:rsidRPr="00003AC6">
              <w:rPr>
                <w:rStyle w:val="Hyperlink"/>
                <w:noProof/>
              </w:rPr>
              <w:t>4. Turnaround strategy for the hotel</w:t>
            </w:r>
            <w:r w:rsidR="001C732C">
              <w:rPr>
                <w:noProof/>
                <w:webHidden/>
              </w:rPr>
              <w:tab/>
            </w:r>
            <w:r w:rsidR="001C732C">
              <w:rPr>
                <w:noProof/>
                <w:webHidden/>
              </w:rPr>
              <w:fldChar w:fldCharType="begin"/>
            </w:r>
            <w:r w:rsidR="001C732C">
              <w:rPr>
                <w:noProof/>
                <w:webHidden/>
              </w:rPr>
              <w:instrText xml:space="preserve"> PAGEREF _Toc168475014 \h </w:instrText>
            </w:r>
            <w:r w:rsidR="001C732C">
              <w:rPr>
                <w:noProof/>
                <w:webHidden/>
              </w:rPr>
            </w:r>
            <w:r w:rsidR="001C732C">
              <w:rPr>
                <w:noProof/>
                <w:webHidden/>
              </w:rPr>
              <w:fldChar w:fldCharType="separate"/>
            </w:r>
            <w:r w:rsidR="001C732C">
              <w:rPr>
                <w:noProof/>
                <w:webHidden/>
              </w:rPr>
              <w:t>7</w:t>
            </w:r>
            <w:r w:rsidR="001C732C">
              <w:rPr>
                <w:noProof/>
                <w:webHidden/>
              </w:rPr>
              <w:fldChar w:fldCharType="end"/>
            </w:r>
          </w:hyperlink>
        </w:p>
        <w:p w14:paraId="6C4BFF53" w14:textId="77777777" w:rsidR="001C732C" w:rsidRDefault="008E508B">
          <w:pPr>
            <w:pStyle w:val="TOC1"/>
            <w:tabs>
              <w:tab w:val="right" w:leader="dot" w:pos="9350"/>
            </w:tabs>
            <w:rPr>
              <w:rFonts w:asciiTheme="minorHAnsi" w:eastAsiaTheme="minorEastAsia" w:hAnsiTheme="minorHAnsi"/>
              <w:noProof/>
              <w:sz w:val="22"/>
              <w:lang w:eastAsia="en-GB"/>
            </w:rPr>
          </w:pPr>
          <w:hyperlink w:anchor="_Toc168475015" w:history="1">
            <w:r w:rsidR="001C732C" w:rsidRPr="00003AC6">
              <w:rPr>
                <w:rStyle w:val="Hyperlink"/>
                <w:noProof/>
              </w:rPr>
              <w:t>5. Conclusion</w:t>
            </w:r>
            <w:r w:rsidR="001C732C">
              <w:rPr>
                <w:noProof/>
                <w:webHidden/>
              </w:rPr>
              <w:tab/>
            </w:r>
            <w:r w:rsidR="001C732C">
              <w:rPr>
                <w:noProof/>
                <w:webHidden/>
              </w:rPr>
              <w:fldChar w:fldCharType="begin"/>
            </w:r>
            <w:r w:rsidR="001C732C">
              <w:rPr>
                <w:noProof/>
                <w:webHidden/>
              </w:rPr>
              <w:instrText xml:space="preserve"> PAGEREF _Toc168475015 \h </w:instrText>
            </w:r>
            <w:r w:rsidR="001C732C">
              <w:rPr>
                <w:noProof/>
                <w:webHidden/>
              </w:rPr>
            </w:r>
            <w:r w:rsidR="001C732C">
              <w:rPr>
                <w:noProof/>
                <w:webHidden/>
              </w:rPr>
              <w:fldChar w:fldCharType="separate"/>
            </w:r>
            <w:r w:rsidR="001C732C">
              <w:rPr>
                <w:noProof/>
                <w:webHidden/>
              </w:rPr>
              <w:t>9</w:t>
            </w:r>
            <w:r w:rsidR="001C732C">
              <w:rPr>
                <w:noProof/>
                <w:webHidden/>
              </w:rPr>
              <w:fldChar w:fldCharType="end"/>
            </w:r>
          </w:hyperlink>
        </w:p>
        <w:p w14:paraId="3A8EFBE7" w14:textId="77777777" w:rsidR="001C732C" w:rsidRDefault="008E508B">
          <w:pPr>
            <w:pStyle w:val="TOC1"/>
            <w:tabs>
              <w:tab w:val="right" w:leader="dot" w:pos="9350"/>
            </w:tabs>
            <w:rPr>
              <w:rFonts w:asciiTheme="minorHAnsi" w:eastAsiaTheme="minorEastAsia" w:hAnsiTheme="minorHAnsi"/>
              <w:noProof/>
              <w:sz w:val="22"/>
              <w:lang w:eastAsia="en-GB"/>
            </w:rPr>
          </w:pPr>
          <w:hyperlink w:anchor="_Toc168475016" w:history="1">
            <w:r w:rsidR="001C732C" w:rsidRPr="00003AC6">
              <w:rPr>
                <w:rStyle w:val="Hyperlink"/>
                <w:noProof/>
              </w:rPr>
              <w:t>References</w:t>
            </w:r>
            <w:r w:rsidR="001C732C">
              <w:rPr>
                <w:noProof/>
                <w:webHidden/>
              </w:rPr>
              <w:tab/>
            </w:r>
            <w:r w:rsidR="001C732C">
              <w:rPr>
                <w:noProof/>
                <w:webHidden/>
              </w:rPr>
              <w:fldChar w:fldCharType="begin"/>
            </w:r>
            <w:r w:rsidR="001C732C">
              <w:rPr>
                <w:noProof/>
                <w:webHidden/>
              </w:rPr>
              <w:instrText xml:space="preserve"> PAGEREF _Toc168475016 \h </w:instrText>
            </w:r>
            <w:r w:rsidR="001C732C">
              <w:rPr>
                <w:noProof/>
                <w:webHidden/>
              </w:rPr>
            </w:r>
            <w:r w:rsidR="001C732C">
              <w:rPr>
                <w:noProof/>
                <w:webHidden/>
              </w:rPr>
              <w:fldChar w:fldCharType="separate"/>
            </w:r>
            <w:r w:rsidR="001C732C">
              <w:rPr>
                <w:noProof/>
                <w:webHidden/>
              </w:rPr>
              <w:t>10</w:t>
            </w:r>
            <w:r w:rsidR="001C732C">
              <w:rPr>
                <w:noProof/>
                <w:webHidden/>
              </w:rPr>
              <w:fldChar w:fldCharType="end"/>
            </w:r>
          </w:hyperlink>
        </w:p>
        <w:p w14:paraId="1A62A45D" w14:textId="77777777" w:rsidR="006A068B" w:rsidRDefault="006A068B">
          <w:r>
            <w:rPr>
              <w:b/>
              <w:bCs/>
              <w:noProof/>
            </w:rPr>
            <w:fldChar w:fldCharType="end"/>
          </w:r>
        </w:p>
      </w:sdtContent>
    </w:sdt>
    <w:p w14:paraId="55483649" w14:textId="77777777" w:rsidR="0007041A" w:rsidRDefault="0007041A" w:rsidP="006A068B">
      <w:r>
        <w:br w:type="page"/>
      </w:r>
    </w:p>
    <w:p w14:paraId="4E5778B1" w14:textId="77777777" w:rsidR="001218CC" w:rsidRDefault="004779BA" w:rsidP="00DA2EE7">
      <w:pPr>
        <w:pStyle w:val="Heading1"/>
      </w:pPr>
      <w:bookmarkStart w:id="0" w:name="_Toc168475011"/>
      <w:r>
        <w:lastRenderedPageBreak/>
        <w:t xml:space="preserve">1. </w:t>
      </w:r>
      <w:r w:rsidR="001218CC">
        <w:t>Introduction</w:t>
      </w:r>
      <w:bookmarkEnd w:id="0"/>
    </w:p>
    <w:p w14:paraId="0CBE06E7" w14:textId="77777777" w:rsidR="002B3CC0" w:rsidRDefault="002B3CC0" w:rsidP="002B3CC0">
      <w:r>
        <w:t>Based on the trend analysis earlier displayed in this report, the sales trend of the Urban Height Hotel in the past three years raises concern about the hotel’s profitability and sustainability in the future. The hotel experienced a gross profit margin in the year in question, but the net profit margin, return on assets, and return on equity were not stable. The Urban Heights Hotel finds this case suitable, as it is currently grappling with a significant challenge that a proper system can effectively address. The solution should be based on the company's main problem, but it should also include other critical factors such as pricing, fees, debt, marketing and advertising campaigns, modularity, and growth strategies.</w:t>
      </w:r>
    </w:p>
    <w:p w14:paraId="711B9545" w14:textId="77777777" w:rsidR="005049C3" w:rsidRDefault="005049C3" w:rsidP="005049C3"/>
    <w:p w14:paraId="4A3A719A" w14:textId="77777777" w:rsidR="005049C3" w:rsidRDefault="005049C3" w:rsidP="005049C3"/>
    <w:p w14:paraId="3F24EC66" w14:textId="77777777" w:rsidR="005049C3" w:rsidRDefault="005049C3" w:rsidP="005049C3"/>
    <w:p w14:paraId="068DDB87" w14:textId="77777777" w:rsidR="005049C3" w:rsidRDefault="005049C3" w:rsidP="005049C3"/>
    <w:p w14:paraId="0B2B6EB0" w14:textId="77777777" w:rsidR="00DC1062" w:rsidRDefault="00DC1062" w:rsidP="005049C3">
      <w:pPr>
        <w:rPr>
          <w:rFonts w:eastAsiaTheme="majorEastAsia" w:cstheme="majorBidi"/>
          <w:color w:val="2F5496" w:themeColor="accent1" w:themeShade="BF"/>
          <w:sz w:val="32"/>
          <w:szCs w:val="32"/>
        </w:rPr>
      </w:pPr>
      <w:r>
        <w:br w:type="page"/>
      </w:r>
    </w:p>
    <w:p w14:paraId="1C420299" w14:textId="77777777" w:rsidR="00AC2132" w:rsidRDefault="00F27E5A" w:rsidP="00DA2EE7">
      <w:pPr>
        <w:pStyle w:val="Heading1"/>
      </w:pPr>
      <w:bookmarkStart w:id="1" w:name="_Toc168475012"/>
      <w:r>
        <w:lastRenderedPageBreak/>
        <w:t xml:space="preserve">2. </w:t>
      </w:r>
      <w:r w:rsidR="00506DD6">
        <w:t>Analysing</w:t>
      </w:r>
      <w:r w:rsidR="00260D4B">
        <w:t xml:space="preserve"> </w:t>
      </w:r>
      <w:r w:rsidR="0070591F">
        <w:t>Urban Heights Hotel</w:t>
      </w:r>
      <w:r w:rsidR="004B6A71" w:rsidRPr="004B6A71">
        <w:t>'s financial perfor</w:t>
      </w:r>
      <w:r w:rsidR="00DA2EE7">
        <w:t>mance</w:t>
      </w:r>
      <w:bookmarkEnd w:id="1"/>
      <w:r w:rsidR="00DA2EE7">
        <w:t xml:space="preserve"> </w:t>
      </w:r>
    </w:p>
    <w:p w14:paraId="2B6A64F3" w14:textId="77777777" w:rsidR="004B7280" w:rsidRPr="00E176D7" w:rsidRDefault="004B7280" w:rsidP="004B7280">
      <w:pPr>
        <w:rPr>
          <w:b/>
        </w:rPr>
      </w:pPr>
      <w:r w:rsidRPr="00E176D7">
        <w:rPr>
          <w:b/>
        </w:rPr>
        <w:t>Ratio calculation</w:t>
      </w:r>
    </w:p>
    <w:p w14:paraId="2BAF8F0D" w14:textId="77777777" w:rsidR="00E65093" w:rsidRDefault="00080193" w:rsidP="00E65093">
      <w:pPr>
        <w:rPr>
          <w:lang w:eastAsia="en-GB"/>
        </w:rPr>
      </w:pPr>
      <w:r w:rsidRPr="00080193">
        <w:rPr>
          <w:lang w:eastAsia="en-GB"/>
        </w:rPr>
        <w:t xml:space="preserve">Net Profit Margin: Net Income / Revenue </w:t>
      </w:r>
    </w:p>
    <w:p w14:paraId="090FB839" w14:textId="77777777" w:rsidR="00E65093" w:rsidRDefault="00080193" w:rsidP="00E65093">
      <w:pPr>
        <w:rPr>
          <w:lang w:eastAsia="en-GB"/>
        </w:rPr>
      </w:pPr>
      <w:r w:rsidRPr="00080193">
        <w:rPr>
          <w:lang w:eastAsia="en-GB"/>
        </w:rPr>
        <w:t xml:space="preserve">2021: £700,000 / £2,500,000 = 0.28 or 28% </w:t>
      </w:r>
    </w:p>
    <w:p w14:paraId="3B1B15A9" w14:textId="77777777" w:rsidR="00E65093" w:rsidRDefault="00080193" w:rsidP="00E65093">
      <w:pPr>
        <w:rPr>
          <w:lang w:eastAsia="en-GB"/>
        </w:rPr>
      </w:pPr>
      <w:r w:rsidRPr="00080193">
        <w:rPr>
          <w:lang w:eastAsia="en-GB"/>
        </w:rPr>
        <w:t xml:space="preserve">2022: £200,000 / £2,200,000 = 0.09 or 9% </w:t>
      </w:r>
    </w:p>
    <w:p w14:paraId="191ABBA7" w14:textId="77777777" w:rsidR="00080193" w:rsidRPr="00080193" w:rsidRDefault="00080193" w:rsidP="00E65093">
      <w:pPr>
        <w:rPr>
          <w:lang w:eastAsia="en-GB"/>
        </w:rPr>
      </w:pPr>
      <w:r w:rsidRPr="00080193">
        <w:rPr>
          <w:lang w:eastAsia="en-GB"/>
        </w:rPr>
        <w:t>2023: (£500,000) / £1,800,000 = -0.28 or -28%</w:t>
      </w:r>
    </w:p>
    <w:p w14:paraId="319DC58B" w14:textId="77777777" w:rsidR="00E65093" w:rsidRDefault="00080193" w:rsidP="00E65093">
      <w:pPr>
        <w:rPr>
          <w:lang w:eastAsia="en-GB"/>
        </w:rPr>
      </w:pPr>
      <w:r w:rsidRPr="00080193">
        <w:rPr>
          <w:lang w:eastAsia="en-GB"/>
        </w:rPr>
        <w:t xml:space="preserve">Gross Profit Margin: (Revenue - Cost of Goods Sold) / Revenue </w:t>
      </w:r>
    </w:p>
    <w:p w14:paraId="0CB0311A" w14:textId="77777777" w:rsidR="00E65093" w:rsidRDefault="00080193" w:rsidP="00E65093">
      <w:pPr>
        <w:rPr>
          <w:lang w:eastAsia="en-GB"/>
        </w:rPr>
      </w:pPr>
      <w:r w:rsidRPr="00080193">
        <w:rPr>
          <w:lang w:eastAsia="en-GB"/>
        </w:rPr>
        <w:t xml:space="preserve">2021: (£2,500,000 - £1,800,000) / £2,500,000 = 0.28 or 28% </w:t>
      </w:r>
    </w:p>
    <w:p w14:paraId="5E58707C" w14:textId="77777777" w:rsidR="00E65093" w:rsidRDefault="00080193" w:rsidP="00E65093">
      <w:pPr>
        <w:rPr>
          <w:lang w:eastAsia="en-GB"/>
        </w:rPr>
      </w:pPr>
      <w:r w:rsidRPr="00080193">
        <w:rPr>
          <w:lang w:eastAsia="en-GB"/>
        </w:rPr>
        <w:t xml:space="preserve">2022: (£2,200,000 - £2,000,000) / £2,200,000 = 0.09 or 9% </w:t>
      </w:r>
    </w:p>
    <w:p w14:paraId="01E02E2D" w14:textId="77777777" w:rsidR="00080193" w:rsidRPr="00080193" w:rsidRDefault="00080193" w:rsidP="00E65093">
      <w:pPr>
        <w:rPr>
          <w:lang w:eastAsia="en-GB"/>
        </w:rPr>
      </w:pPr>
      <w:r w:rsidRPr="00080193">
        <w:rPr>
          <w:lang w:eastAsia="en-GB"/>
        </w:rPr>
        <w:t>2023: (£1,800,000 - £2,300,000) / £1,800,000 = -0.28 or -28%</w:t>
      </w:r>
    </w:p>
    <w:p w14:paraId="105821C2" w14:textId="77777777" w:rsidR="00E65093" w:rsidRDefault="00080193" w:rsidP="00E65093">
      <w:pPr>
        <w:rPr>
          <w:lang w:eastAsia="en-GB"/>
        </w:rPr>
      </w:pPr>
      <w:r w:rsidRPr="00080193">
        <w:rPr>
          <w:lang w:eastAsia="en-GB"/>
        </w:rPr>
        <w:t xml:space="preserve">Return on Assets (ROA): Net Income / Total Assets </w:t>
      </w:r>
    </w:p>
    <w:p w14:paraId="2013C5CE" w14:textId="77777777" w:rsidR="00E65093" w:rsidRDefault="00080193" w:rsidP="00E65093">
      <w:pPr>
        <w:rPr>
          <w:lang w:eastAsia="en-GB"/>
        </w:rPr>
      </w:pPr>
      <w:r w:rsidRPr="00080193">
        <w:rPr>
          <w:lang w:eastAsia="en-GB"/>
        </w:rPr>
        <w:t xml:space="preserve">2021: £700,000 / £5,450,000 = 0.128 or 12.8% </w:t>
      </w:r>
    </w:p>
    <w:p w14:paraId="31982E67" w14:textId="77777777" w:rsidR="00E65093" w:rsidRDefault="00080193" w:rsidP="00E65093">
      <w:pPr>
        <w:rPr>
          <w:lang w:eastAsia="en-GB"/>
        </w:rPr>
      </w:pPr>
      <w:r w:rsidRPr="00080193">
        <w:rPr>
          <w:lang w:eastAsia="en-GB"/>
        </w:rPr>
        <w:t xml:space="preserve">2022: £200,000 / £5,100,000 = 0.039 or 3.9% </w:t>
      </w:r>
    </w:p>
    <w:p w14:paraId="3638F298" w14:textId="77777777" w:rsidR="00080193" w:rsidRPr="00080193" w:rsidRDefault="00080193" w:rsidP="00E65093">
      <w:pPr>
        <w:rPr>
          <w:lang w:eastAsia="en-GB"/>
        </w:rPr>
      </w:pPr>
      <w:r w:rsidRPr="00080193">
        <w:rPr>
          <w:lang w:eastAsia="en-GB"/>
        </w:rPr>
        <w:t>2023: (£500,000) / £4,680,000 = -0.107 or -10.7%</w:t>
      </w:r>
    </w:p>
    <w:p w14:paraId="41BF8E81" w14:textId="77777777" w:rsidR="00E65093" w:rsidRDefault="00080193" w:rsidP="00E65093">
      <w:pPr>
        <w:rPr>
          <w:lang w:eastAsia="en-GB"/>
        </w:rPr>
      </w:pPr>
      <w:r w:rsidRPr="00080193">
        <w:rPr>
          <w:lang w:eastAsia="en-GB"/>
        </w:rPr>
        <w:t xml:space="preserve">Return on Equity (ROE): Net Income / Equity </w:t>
      </w:r>
    </w:p>
    <w:p w14:paraId="6CCACA2B" w14:textId="77777777" w:rsidR="00E65093" w:rsidRDefault="00080193" w:rsidP="00E65093">
      <w:pPr>
        <w:rPr>
          <w:lang w:eastAsia="en-GB"/>
        </w:rPr>
      </w:pPr>
      <w:r w:rsidRPr="00080193">
        <w:rPr>
          <w:lang w:eastAsia="en-GB"/>
        </w:rPr>
        <w:t xml:space="preserve">2021: £700,000 / £2,200,000 = 0.318 or 31.8% </w:t>
      </w:r>
    </w:p>
    <w:p w14:paraId="3ABAD59F" w14:textId="77777777" w:rsidR="00E65093" w:rsidRDefault="00080193" w:rsidP="00E65093">
      <w:pPr>
        <w:rPr>
          <w:lang w:eastAsia="en-GB"/>
        </w:rPr>
      </w:pPr>
      <w:r w:rsidRPr="00080193">
        <w:rPr>
          <w:lang w:eastAsia="en-GB"/>
        </w:rPr>
        <w:t xml:space="preserve">2022: £200,000 / £1,830,000 = 0.109 or 10.9% </w:t>
      </w:r>
    </w:p>
    <w:p w14:paraId="2CA2144C" w14:textId="77777777" w:rsidR="00080193" w:rsidRPr="00080193" w:rsidRDefault="00080193" w:rsidP="00E65093">
      <w:pPr>
        <w:rPr>
          <w:lang w:eastAsia="en-GB"/>
        </w:rPr>
      </w:pPr>
      <w:r w:rsidRPr="00080193">
        <w:rPr>
          <w:lang w:eastAsia="en-GB"/>
        </w:rPr>
        <w:t>2023: (£500,000) / £1,380,000 = -0.362 or -36.2%</w:t>
      </w:r>
    </w:p>
    <w:p w14:paraId="60F171C9" w14:textId="77777777" w:rsidR="00E65093" w:rsidRDefault="00080193" w:rsidP="00E65093">
      <w:pPr>
        <w:rPr>
          <w:lang w:eastAsia="en-GB"/>
        </w:rPr>
      </w:pPr>
      <w:r w:rsidRPr="00080193">
        <w:rPr>
          <w:lang w:eastAsia="en-GB"/>
        </w:rPr>
        <w:t xml:space="preserve">Current Ratio: Current Assets / Current Liabilities </w:t>
      </w:r>
    </w:p>
    <w:p w14:paraId="29A7257B" w14:textId="77777777" w:rsidR="00E65093" w:rsidRDefault="00080193" w:rsidP="00E65093">
      <w:pPr>
        <w:rPr>
          <w:lang w:eastAsia="en-GB"/>
        </w:rPr>
      </w:pPr>
      <w:r w:rsidRPr="00080193">
        <w:rPr>
          <w:lang w:eastAsia="en-GB"/>
        </w:rPr>
        <w:t xml:space="preserve">2021: (£300,000 + £150,000) / £250,000 = 1.8:1 </w:t>
      </w:r>
    </w:p>
    <w:p w14:paraId="0C55A406" w14:textId="77777777" w:rsidR="00E65093" w:rsidRDefault="00080193" w:rsidP="00E65093">
      <w:pPr>
        <w:rPr>
          <w:lang w:eastAsia="en-GB"/>
        </w:rPr>
      </w:pPr>
      <w:r w:rsidRPr="00080193">
        <w:rPr>
          <w:lang w:eastAsia="en-GB"/>
        </w:rPr>
        <w:t xml:space="preserve">2022: (£200,000 + £100,000) / £270,000 = 0.74:1 </w:t>
      </w:r>
    </w:p>
    <w:p w14:paraId="4C822078" w14:textId="77777777" w:rsidR="00080193" w:rsidRPr="00080193" w:rsidRDefault="00080193" w:rsidP="00E65093">
      <w:pPr>
        <w:rPr>
          <w:lang w:eastAsia="en-GB"/>
        </w:rPr>
      </w:pPr>
      <w:r w:rsidRPr="00080193">
        <w:rPr>
          <w:lang w:eastAsia="en-GB"/>
        </w:rPr>
        <w:t>2023: (£100,000 + £80,000) / £300,000 = 0.6:1</w:t>
      </w:r>
    </w:p>
    <w:p w14:paraId="37246E77" w14:textId="77777777" w:rsidR="00E65093" w:rsidRDefault="00E65093" w:rsidP="00E65093">
      <w:pPr>
        <w:rPr>
          <w:lang w:eastAsia="en-GB"/>
        </w:rPr>
      </w:pPr>
      <w:r>
        <w:rPr>
          <w:lang w:eastAsia="en-GB"/>
        </w:rPr>
        <w:t xml:space="preserve">Debt to Equity Ratio: </w:t>
      </w:r>
      <w:r w:rsidR="00080193" w:rsidRPr="00080193">
        <w:rPr>
          <w:lang w:eastAsia="en-GB"/>
        </w:rPr>
        <w:t xml:space="preserve">Total Debt / Total Equity </w:t>
      </w:r>
    </w:p>
    <w:p w14:paraId="0BAEA107" w14:textId="77777777" w:rsidR="00E65093" w:rsidRDefault="00080193" w:rsidP="00E65093">
      <w:pPr>
        <w:rPr>
          <w:lang w:eastAsia="en-GB"/>
        </w:rPr>
      </w:pPr>
      <w:r w:rsidRPr="00080193">
        <w:rPr>
          <w:lang w:eastAsia="en-GB"/>
        </w:rPr>
        <w:lastRenderedPageBreak/>
        <w:t xml:space="preserve">2021: £3,000,000 / £2,200,000 = 1.36:1 </w:t>
      </w:r>
    </w:p>
    <w:p w14:paraId="45643C32" w14:textId="77777777" w:rsidR="00E65093" w:rsidRDefault="00080193" w:rsidP="00E65093">
      <w:pPr>
        <w:rPr>
          <w:lang w:eastAsia="en-GB"/>
        </w:rPr>
      </w:pPr>
      <w:r w:rsidRPr="00080193">
        <w:rPr>
          <w:lang w:eastAsia="en-GB"/>
        </w:rPr>
        <w:t xml:space="preserve">2022: £3,000,000 / £1,830,000 = 1.64:1 </w:t>
      </w:r>
    </w:p>
    <w:p w14:paraId="31661BE9" w14:textId="77777777" w:rsidR="00E44F47" w:rsidRPr="00E44F47" w:rsidRDefault="00080193" w:rsidP="00E44F47">
      <w:pPr>
        <w:rPr>
          <w:lang w:eastAsia="en-GB"/>
        </w:rPr>
      </w:pPr>
      <w:r w:rsidRPr="00080193">
        <w:rPr>
          <w:lang w:eastAsia="en-GB"/>
        </w:rPr>
        <w:t>2023: £3,000,000 / £1,380,000 = 2.17:1</w:t>
      </w:r>
    </w:p>
    <w:p w14:paraId="35499A01" w14:textId="77777777" w:rsidR="009150E3" w:rsidRDefault="009150E3" w:rsidP="00B15B71">
      <w:pPr>
        <w:rPr>
          <w:b/>
          <w:lang w:eastAsia="en-GB"/>
        </w:rPr>
      </w:pPr>
      <w:r w:rsidRPr="00734985">
        <w:rPr>
          <w:b/>
          <w:lang w:eastAsia="en-GB"/>
        </w:rPr>
        <w:t>Summary of the performance</w:t>
      </w:r>
    </w:p>
    <w:p w14:paraId="63A5E277" w14:textId="77777777" w:rsidR="0071228D" w:rsidRDefault="00232072" w:rsidP="00B15B71">
      <w:r>
        <w:t>The net profit margin is an actual financial figure that gives a signal of the proportion of the total amount of income from sales that is available to the firm after meeting all its costs</w:t>
      </w:r>
      <w:r w:rsidR="0051268A">
        <w:t xml:space="preserve"> (</w:t>
      </w:r>
      <w:r w:rsidR="007368BE">
        <w:t xml:space="preserve">Horngren et al., </w:t>
      </w:r>
      <w:r w:rsidR="002955AA">
        <w:t>2022)</w:t>
      </w:r>
      <w:r>
        <w:t xml:space="preserve">. A firm or an organisation employs this measure to determine its profit margin. A positive sign on the number suggests that there is an increase in the financial position, while a negative sign refers to a decrease in the amount. According to the 2021 annual report, the business generated a net balance sheet profit margin of 0.28, implying that it was able to retain 0.28 pounds out of every pound of sales. However, by the year 2022, this figure had drastically reduced to about 9% of the net profit margin. In 2023, the company had a very bad year. </w:t>
      </w:r>
    </w:p>
    <w:p w14:paraId="6DEDE1B8" w14:textId="77777777" w:rsidR="005D4134" w:rsidRDefault="00232072" w:rsidP="00B15B71">
      <w:r>
        <w:t>By the end of the year, the net profit margin was -28%, indicating that the company was making a profit from currency operations rather than from the sales of its goods and services. This means that in 2021, the firm's gross profit margin will be 28 percent of total sales income minus the cost of materials. These facts show that the margin mentioned above decreased to 9% in 2022 and even reached a negative value of (-) 28% in 2023. The decline in gross profit indicates that the company is unable to control production costs or is having difficulty setting appropriate prices for its products. This means that the gross profit margin for the year 2023 is zero percent, indicating that the total operating expenses or cost of sales may have been higher than the firm's revenue</w:t>
      </w:r>
      <w:r w:rsidR="004455DF">
        <w:t xml:space="preserve"> (</w:t>
      </w:r>
      <w:r w:rsidR="008D4951">
        <w:t xml:space="preserve">Zietlow et al., </w:t>
      </w:r>
      <w:r w:rsidR="00F56CB0">
        <w:t>2021)</w:t>
      </w:r>
      <w:r>
        <w:t xml:space="preserve">. </w:t>
      </w:r>
    </w:p>
    <w:p w14:paraId="59F93EA9" w14:textId="77777777" w:rsidR="00767702" w:rsidRDefault="00232072" w:rsidP="00B15B71">
      <w:r>
        <w:t>ROA stands for return on assets, and it measures the ability of a company to generate revenues from the assets it owns. The company uses it as a tool to assess how effectively its assets generate revenues. According to the financial performance results for 2021, this company has an ROA of 12.8%. This means that the company generates £0.128 for every £1 worth of assets invested, or a return on assets of 12.8%</w:t>
      </w:r>
      <w:r w:rsidR="00611EC7">
        <w:t xml:space="preserve"> (</w:t>
      </w:r>
      <w:r w:rsidR="000E3926">
        <w:t xml:space="preserve">Finkler et al., </w:t>
      </w:r>
      <w:r w:rsidR="00A40D36">
        <w:t>2022)</w:t>
      </w:r>
      <w:r>
        <w:t xml:space="preserve">. However, the ratio declined to 3.9% in the second year of 2022, and then it became negative, -10.7% in the first year of 2030. According to this hypothesis, the ROA has </w:t>
      </w:r>
      <w:r>
        <w:lastRenderedPageBreak/>
        <w:t xml:space="preserve">decreased over the given period, supporting the contention that the firm has become less efficient in operating and exploiting assets and making profits. </w:t>
      </w:r>
    </w:p>
    <w:p w14:paraId="49E5CC1C" w14:textId="77777777" w:rsidR="00767702" w:rsidRDefault="00232072" w:rsidP="00B15B71">
      <w:r>
        <w:t>The firm projects a ROE of 31.8% for 2021, indicating that shareholders will generate a profit of £0.318 for every £1 invested. It increased to reach its highest level at 10.9% in 2022, and then sharply declined to reach 36.2% in 2023. A lower ROE also suggests that the business generates fewer operating profits than the shareholders' funds during the three-year period under analysis</w:t>
      </w:r>
      <w:r w:rsidR="00FE65AA">
        <w:t xml:space="preserve"> (</w:t>
      </w:r>
      <w:r w:rsidR="003E0B06">
        <w:t xml:space="preserve">Brooks, </w:t>
      </w:r>
      <w:r w:rsidR="00FE65AA">
        <w:t>2023)</w:t>
      </w:r>
      <w:r>
        <w:t xml:space="preserve">. In 2021, after the outbreak of the COVID-19 pandemic in the year 2020, the company sought to increase knowledge about the prospects and potential problems associated with e-learning as a teaching tool. </w:t>
      </w:r>
    </w:p>
    <w:p w14:paraId="0FD42B89" w14:textId="77777777" w:rsidR="00232072" w:rsidRPr="00232072" w:rsidRDefault="00232072" w:rsidP="00B15B71">
      <w:r>
        <w:t xml:space="preserve">The current ratio for this business is 1.80, which is a good sign because it indicates that the firm has enough assets to cover its current liabilities. However, this ratio declined to 0.74, which in effect meant that the efficiency of the company in procuring autos had gone down. The ratio reduces to 0.6. In 2022, the ratio stood at 1, and in 2023, hotel observed a further decline. For example, in the financial year ending 2021, the debt ratio was 1.36, indicating that the company had </w:t>
      </w:r>
      <w:r w:rsidR="00F371C9">
        <w:t>£</w:t>
      </w:r>
      <w:r>
        <w:t xml:space="preserve">1.36 in debt for every </w:t>
      </w:r>
      <w:r w:rsidR="00F371C9">
        <w:t>pound</w:t>
      </w:r>
      <w:r>
        <w:t xml:space="preserve"> in equity. The total debt to total equity ratio, which was 1.36, indicates that there was 1.36 pound of debt for every pound of equity. The ratio fell to a level of 0.76, then gradually rose to a high of 1.64. In 2022, the ratio was 1:1. </w:t>
      </w:r>
    </w:p>
    <w:p w14:paraId="5996E6AF" w14:textId="77777777" w:rsidR="00DA2EE7" w:rsidRDefault="00527B80" w:rsidP="00790861">
      <w:pPr>
        <w:pStyle w:val="Heading1"/>
      </w:pPr>
      <w:bookmarkStart w:id="2" w:name="_Toc168475013"/>
      <w:r>
        <w:t xml:space="preserve">3. </w:t>
      </w:r>
      <w:r w:rsidR="003B02B7">
        <w:t>Identifying</w:t>
      </w:r>
      <w:r w:rsidR="00424B46">
        <w:t xml:space="preserve"> </w:t>
      </w:r>
      <w:r w:rsidR="001C4204" w:rsidRPr="001C4204">
        <w:t xml:space="preserve">the </w:t>
      </w:r>
      <w:r w:rsidR="00FF48FA">
        <w:t>primary</w:t>
      </w:r>
      <w:r w:rsidR="001C4204" w:rsidRPr="001C4204">
        <w:t xml:space="preserve"> reasons </w:t>
      </w:r>
      <w:r w:rsidR="00A9117B">
        <w:t>for the</w:t>
      </w:r>
      <w:r w:rsidR="00790861">
        <w:t xml:space="preserve"> decline in profitability</w:t>
      </w:r>
      <w:bookmarkEnd w:id="2"/>
    </w:p>
    <w:p w14:paraId="0D1C9F18" w14:textId="77777777" w:rsidR="00815857" w:rsidRDefault="00CA6600" w:rsidP="00CA6600">
      <w:r>
        <w:t>An important aspect that is usually considered when evaluating business performance is its capacity to generate income at different stages of its development. It is also possible that the following factors have affected the given phenomenon: lower consumption, halting the production of the product by the large buyers, or shifts in the market. Thus, the company has been experiencing low sales income; this means that it has to perform many duties and meet many obligations, and despite these challenges, it has to cater for the increasing costs incurred in its quest for profitability</w:t>
      </w:r>
      <w:r w:rsidR="008C3362">
        <w:t xml:space="preserve"> (</w:t>
      </w:r>
      <w:r w:rsidR="00D404A3">
        <w:t xml:space="preserve">Titman et al., </w:t>
      </w:r>
      <w:r w:rsidR="00F33788">
        <w:t>2023)</w:t>
      </w:r>
      <w:r>
        <w:t xml:space="preserve">. These costs include things like employee salaries, accommodation costs, transport costs, and other expenses such as advertisement costs. </w:t>
      </w:r>
    </w:p>
    <w:p w14:paraId="1E101531" w14:textId="77777777" w:rsidR="00B550CA" w:rsidRDefault="00CA6600" w:rsidP="00CA6600">
      <w:r>
        <w:lastRenderedPageBreak/>
        <w:t>As a result, if these expenses experience a higher growth rate than income growth, it affects the operating profit margin. To elaborate, businesses need to figure out the cost of goods sold (COGS) by evaluating the costs that businesses bear while producing goods or providing services. Adjustments to these costs may have a major effect on their profitability, especially in the manufacturing or sales division. If there is any hole in any of the manufacturing costs, such as the cost of raw materials, the cost of labour, or the cost of production, then this directly leads to a decrease in the gross profit margin as well as the overall profit of the firm</w:t>
      </w:r>
      <w:r w:rsidR="00F371C9">
        <w:t xml:space="preserve"> (</w:t>
      </w:r>
      <w:proofErr w:type="spellStart"/>
      <w:r w:rsidR="000E5E7B">
        <w:t>Atrill</w:t>
      </w:r>
      <w:proofErr w:type="spellEnd"/>
      <w:r w:rsidR="00F371C9" w:rsidRPr="002F44D7">
        <w:t xml:space="preserve"> </w:t>
      </w:r>
      <w:r w:rsidR="00F371C9">
        <w:t>and</w:t>
      </w:r>
      <w:r w:rsidR="00AC2BCF">
        <w:t xml:space="preserve"> McLaney, </w:t>
      </w:r>
      <w:r w:rsidR="00321FF8">
        <w:t>2020)</w:t>
      </w:r>
      <w:r>
        <w:t xml:space="preserve">. Other aspects of the COGS category may include changes in the supply chain, increased raw material costs, or even increased </w:t>
      </w:r>
      <w:proofErr w:type="spellStart"/>
      <w:r>
        <w:t>labor</w:t>
      </w:r>
      <w:proofErr w:type="spellEnd"/>
      <w:r>
        <w:t xml:space="preserve"> price volatility. </w:t>
      </w:r>
    </w:p>
    <w:p w14:paraId="6A09B87D" w14:textId="77777777" w:rsidR="00CA6600" w:rsidRPr="00CA6600" w:rsidRDefault="00CA6600" w:rsidP="00CA6600">
      <w:r>
        <w:t>Inefficient use of resources increases resource consumption, thus negatively impacting the business profit margin. Hotel can view this as a concern about internal organisational efficiency or a misallocation of resources. Efficiency constraints can also impact the utilization of assets, leading to a decrease in the company's profitability. For instance, the company will charge high depreciation on idle or old property and equipment, even if they generate no or very little income</w:t>
      </w:r>
      <w:r w:rsidR="00720A28">
        <w:t xml:space="preserve"> (</w:t>
      </w:r>
      <w:r w:rsidR="001E6A5A">
        <w:t xml:space="preserve">Templar, </w:t>
      </w:r>
      <w:r w:rsidR="00720A28" w:rsidRPr="002F44D7">
        <w:t>2020</w:t>
      </w:r>
      <w:r w:rsidR="004B1C3B">
        <w:t>)</w:t>
      </w:r>
      <w:r>
        <w:t xml:space="preserve">. The collection of accounts receivable is important because any delay or occurrence that leads to an unpaid bill affects cash flow and, hence, profitability. Market and industry conditions, which are unrelated to manufacturing operations, are also considered forced variables, including instability and intense rivalry. </w:t>
      </w:r>
    </w:p>
    <w:p w14:paraId="11F77C63" w14:textId="77777777" w:rsidR="00A17A5E" w:rsidRDefault="00107550" w:rsidP="00B0442D">
      <w:pPr>
        <w:pStyle w:val="Heading1"/>
        <w:rPr>
          <w:rStyle w:val="Strong"/>
          <w:b/>
          <w:bCs w:val="0"/>
        </w:rPr>
      </w:pPr>
      <w:bookmarkStart w:id="3" w:name="_Toc168475014"/>
      <w:r>
        <w:rPr>
          <w:rStyle w:val="Strong"/>
          <w:b/>
          <w:bCs w:val="0"/>
        </w:rPr>
        <w:t xml:space="preserve">4. </w:t>
      </w:r>
      <w:r w:rsidR="00083ABD">
        <w:rPr>
          <w:rStyle w:val="Strong"/>
          <w:b/>
          <w:bCs w:val="0"/>
        </w:rPr>
        <w:t>T</w:t>
      </w:r>
      <w:r w:rsidR="00B0442D" w:rsidRPr="00B0442D">
        <w:rPr>
          <w:rStyle w:val="Strong"/>
          <w:b/>
          <w:bCs w:val="0"/>
        </w:rPr>
        <w:t>urnaround strategy</w:t>
      </w:r>
      <w:r w:rsidR="00762447">
        <w:rPr>
          <w:rStyle w:val="Strong"/>
          <w:b/>
          <w:bCs w:val="0"/>
        </w:rPr>
        <w:t xml:space="preserve"> for the hotel</w:t>
      </w:r>
      <w:bookmarkEnd w:id="3"/>
    </w:p>
    <w:p w14:paraId="5E6BA7CC" w14:textId="77777777" w:rsidR="00526AA8" w:rsidRDefault="004742E8" w:rsidP="00FB312A">
      <w:pPr>
        <w:rPr>
          <w:rStyle w:val="Strong"/>
        </w:rPr>
      </w:pPr>
      <w:r>
        <w:rPr>
          <w:rStyle w:val="Strong"/>
        </w:rPr>
        <w:t>Focusing on revenue</w:t>
      </w:r>
      <w:r w:rsidR="00526AA8">
        <w:rPr>
          <w:rStyle w:val="Strong"/>
        </w:rPr>
        <w:t xml:space="preserve"> </w:t>
      </w:r>
    </w:p>
    <w:p w14:paraId="63112209" w14:textId="77777777" w:rsidR="00110EAA" w:rsidRDefault="00110EAA" w:rsidP="00110EAA">
      <w:r>
        <w:t>This will examine the effects of this pricing strategy on both the corporation and the Urban Heights Hotel. When choosing the price level, the objective is to decide on the most effective strategy that will generate the maximum income for the company without compromising on the customer base. Many hotels practice various techniques such as using dynamic rates, setting up seasonal or special rates, and adopting several service plans to improve ADR and total revenues</w:t>
      </w:r>
      <w:r w:rsidR="00A95F78">
        <w:t xml:space="preserve"> (</w:t>
      </w:r>
      <w:r w:rsidR="00DD05AD">
        <w:t>Chadwick</w:t>
      </w:r>
      <w:r w:rsidR="00A95F78" w:rsidRPr="002F44D7">
        <w:t xml:space="preserve"> </w:t>
      </w:r>
      <w:r w:rsidR="00A95F78">
        <w:t>and</w:t>
      </w:r>
      <w:r w:rsidR="00DD05AD">
        <w:t xml:space="preserve"> Marcus, 2022)</w:t>
      </w:r>
      <w:r>
        <w:t xml:space="preserve">. Urban Heights Hotel will incur numerous costs, primarily due to its focus on the digital market and the </w:t>
      </w:r>
      <w:r>
        <w:lastRenderedPageBreak/>
        <w:t>internet. It also explains how organizations can increase awareness and reservations through SEO, SMO, and OTA branding.</w:t>
      </w:r>
    </w:p>
    <w:p w14:paraId="2353A6D0" w14:textId="77777777" w:rsidR="00526AA8" w:rsidRDefault="00385C02" w:rsidP="00FB312A">
      <w:pPr>
        <w:rPr>
          <w:rStyle w:val="Strong"/>
        </w:rPr>
      </w:pPr>
      <w:r>
        <w:rPr>
          <w:rStyle w:val="Strong"/>
        </w:rPr>
        <w:t>Focusing on c</w:t>
      </w:r>
      <w:r w:rsidR="00526AA8">
        <w:rPr>
          <w:rStyle w:val="Strong"/>
        </w:rPr>
        <w:t xml:space="preserve">ost </w:t>
      </w:r>
      <w:r w:rsidR="0061011A">
        <w:rPr>
          <w:rStyle w:val="Strong"/>
        </w:rPr>
        <w:t>m</w:t>
      </w:r>
      <w:r w:rsidR="005D241B">
        <w:rPr>
          <w:rStyle w:val="Strong"/>
        </w:rPr>
        <w:t>anagement and e</w:t>
      </w:r>
      <w:r w:rsidR="00526AA8">
        <w:rPr>
          <w:rStyle w:val="Strong"/>
        </w:rPr>
        <w:t>fficiency</w:t>
      </w:r>
    </w:p>
    <w:p w14:paraId="5B33307C" w14:textId="77777777" w:rsidR="00B94C66" w:rsidRDefault="00B94C66" w:rsidP="00B94C66">
      <w:r>
        <w:t>The first step towards process improvement in the case of the Urban Heights Hotel is a critical assessment of all the processes in operation within the organization. In this way, Urban Heights Hotel is able to come up with a solution that has the correct costs and will meet the needs and wants of consumers. Measures such as process re-engineering, improving energy-saving strategies, and staffing based on need instead of a set number have enabled this</w:t>
      </w:r>
      <w:r w:rsidR="00DD05AD">
        <w:t xml:space="preserve"> (</w:t>
      </w:r>
      <w:r w:rsidR="007F40B7">
        <w:t xml:space="preserve">Titman et al., </w:t>
      </w:r>
      <w:r w:rsidR="00A60F42">
        <w:t>2021)</w:t>
      </w:r>
      <w:r>
        <w:t xml:space="preserve">. Additionally, the company plans to implement environmentally friendly and energy-saving management policies. Therefore, the aim of this paper is to integrate intelligent energy usage and control strategies into the business strategy of the Urban Height Hotel, with the aim of reducing costs. </w:t>
      </w:r>
    </w:p>
    <w:p w14:paraId="55D7E45B" w14:textId="77777777" w:rsidR="00526AA8" w:rsidRDefault="00526AA8" w:rsidP="00FB312A">
      <w:pPr>
        <w:rPr>
          <w:rStyle w:val="Strong"/>
        </w:rPr>
      </w:pPr>
      <w:r>
        <w:rPr>
          <w:rStyle w:val="Strong"/>
        </w:rPr>
        <w:t xml:space="preserve">Restructuring </w:t>
      </w:r>
      <w:r w:rsidR="00397961">
        <w:rPr>
          <w:rStyle w:val="Strong"/>
        </w:rPr>
        <w:t xml:space="preserve">of debt </w:t>
      </w:r>
      <w:r>
        <w:rPr>
          <w:rStyle w:val="Strong"/>
        </w:rPr>
        <w:t xml:space="preserve">and Financial </w:t>
      </w:r>
      <w:r w:rsidR="00397961">
        <w:rPr>
          <w:rStyle w:val="Strong"/>
        </w:rPr>
        <w:t>management</w:t>
      </w:r>
    </w:p>
    <w:p w14:paraId="566052B2" w14:textId="77777777" w:rsidR="00101409" w:rsidRDefault="00101409" w:rsidP="00101409">
      <w:r>
        <w:t>To achieve this goal, the hotel will prioritize debt refinance and restructuring on its strategic agenda. This is why the hotel has been keen on minimising interest expenses in an effort to reduce the cost of debt and enhance equity for security. In accordance with the overall company procurement plan, Urban Heights Hotel will examine and evaluate various procurement approaches</w:t>
      </w:r>
      <w:r w:rsidR="008915FF">
        <w:t xml:space="preserve"> (</w:t>
      </w:r>
      <w:r w:rsidR="00D47CF0">
        <w:t xml:space="preserve">Clayman et al., </w:t>
      </w:r>
      <w:r w:rsidR="00827146">
        <w:t>2023)</w:t>
      </w:r>
      <w:r>
        <w:t>. Therefore, when selecting initiatives, our focus will be on the company's goals, the potential for increased revenue, and the potential for a return on investment. To enhance the organization's cost-efficiency, there will be a certain degree of sacrifice or elimination of certain expenses.</w:t>
      </w:r>
    </w:p>
    <w:p w14:paraId="4851561F" w14:textId="77777777" w:rsidR="00526AA8" w:rsidRDefault="00397961" w:rsidP="00FB312A">
      <w:pPr>
        <w:rPr>
          <w:rStyle w:val="Strong"/>
        </w:rPr>
      </w:pPr>
      <w:r>
        <w:rPr>
          <w:rStyle w:val="Strong"/>
        </w:rPr>
        <w:t xml:space="preserve">Focus on </w:t>
      </w:r>
      <w:r w:rsidR="00526AA8">
        <w:rPr>
          <w:rStyle w:val="Strong"/>
        </w:rPr>
        <w:t>Marketing and Branding</w:t>
      </w:r>
    </w:p>
    <w:p w14:paraId="7361CCD5" w14:textId="77777777" w:rsidR="00FB5A53" w:rsidRDefault="00FB5A53" w:rsidP="00FB5A53">
      <w:r>
        <w:t>Therefore, the current exercise of rebranding at the Urban Heights Hotel has the following objectives: The hotel intends to directly appeal to new customers while also appealing to those who had used the previous brand but had to switch to another brand due to its poor performance</w:t>
      </w:r>
      <w:r w:rsidR="00D6409A">
        <w:t xml:space="preserve"> (</w:t>
      </w:r>
      <w:r w:rsidR="00D6409A" w:rsidRPr="002F44D7">
        <w:t>Bre</w:t>
      </w:r>
      <w:r w:rsidR="00E17C64">
        <w:t xml:space="preserve">aley et al., </w:t>
      </w:r>
      <w:r w:rsidR="00D6409A" w:rsidRPr="002F44D7">
        <w:t>2020</w:t>
      </w:r>
      <w:r w:rsidR="004260B1">
        <w:t>)</w:t>
      </w:r>
      <w:r>
        <w:t xml:space="preserve">. At the moment, the hotel is in the process of forming relations with local and cultural organisations to expand the opportunities for guests. In the marketing mix, the Urban Heights Hotel will aim to advertise and market the hotel more on the internet so that it can build its brand awareness as the leading resort. </w:t>
      </w:r>
      <w:r>
        <w:lastRenderedPageBreak/>
        <w:t>Furthermore, due to the increase in traffic, the restaurant may soon offer a new loyalty program.</w:t>
      </w:r>
    </w:p>
    <w:p w14:paraId="09FC04F6" w14:textId="77777777" w:rsidR="00526AA8" w:rsidRDefault="00526AA8" w:rsidP="00FB312A">
      <w:pPr>
        <w:rPr>
          <w:rStyle w:val="Strong"/>
        </w:rPr>
      </w:pPr>
      <w:r>
        <w:rPr>
          <w:rStyle w:val="Strong"/>
        </w:rPr>
        <w:t>Adaptation to External Factors</w:t>
      </w:r>
    </w:p>
    <w:p w14:paraId="24571554" w14:textId="77777777" w:rsidR="00C95CDD" w:rsidRDefault="00C95CDD" w:rsidP="00C95CDD">
      <w:r>
        <w:t>Urban Heights Hotel has come to understand that it is high time that it began developing an anti-fragility plan in case the organisation experiences future shocks and other disasters, probable diseases and pandemics included. The strategy entails holding more than one asset so as to spread the risk and dividend income sources across the portfolio</w:t>
      </w:r>
      <w:r w:rsidR="00AF156A">
        <w:t xml:space="preserve"> (</w:t>
      </w:r>
      <w:r w:rsidR="00170EA8">
        <w:t>Brigham</w:t>
      </w:r>
      <w:r w:rsidR="00AF156A" w:rsidRPr="002F44D7">
        <w:t xml:space="preserve"> </w:t>
      </w:r>
      <w:r w:rsidR="00AF156A">
        <w:t>and</w:t>
      </w:r>
      <w:r w:rsidR="00AF156A" w:rsidRPr="002F44D7">
        <w:t xml:space="preserve"> Housto</w:t>
      </w:r>
      <w:r w:rsidR="00CE4546">
        <w:t xml:space="preserve">n, </w:t>
      </w:r>
      <w:r w:rsidR="006A582A">
        <w:t>2022)</w:t>
      </w:r>
      <w:r>
        <w:t xml:space="preserve">. Therefore, being able to adjust to the current and future needs of the consumer will continue to be the hotel’s strength in the subsequent years. To fully exploit the opportunities inherent in the situation, the hotel's management must come up with a flexible pricing strategy that may involve periodic or regular changes to the hotel's room rates. </w:t>
      </w:r>
    </w:p>
    <w:p w14:paraId="3BDA07B1" w14:textId="77777777" w:rsidR="005C0B87" w:rsidRDefault="002B1D29" w:rsidP="002B1D29">
      <w:pPr>
        <w:rPr>
          <w:rStyle w:val="Strong"/>
        </w:rPr>
      </w:pPr>
      <w:r>
        <w:rPr>
          <w:rStyle w:val="Strong"/>
        </w:rPr>
        <w:t>Long-term</w:t>
      </w:r>
      <w:r w:rsidR="005C0B87" w:rsidRPr="005C0B87">
        <w:rPr>
          <w:rStyle w:val="Strong"/>
        </w:rPr>
        <w:t xml:space="preserve"> </w:t>
      </w:r>
      <w:r w:rsidR="005C0B87">
        <w:rPr>
          <w:rStyle w:val="Strong"/>
        </w:rPr>
        <w:t xml:space="preserve">Growth </w:t>
      </w:r>
    </w:p>
    <w:p w14:paraId="3665D26A" w14:textId="77777777" w:rsidR="001E04CA" w:rsidRPr="005C0B87" w:rsidRDefault="001E04CA" w:rsidP="00E73F37">
      <w:pPr>
        <w:rPr>
          <w:rStyle w:val="Strong"/>
        </w:rPr>
      </w:pPr>
      <w:r>
        <w:t xml:space="preserve">This strategy will enable growth to fund large acquisitions, thus providing itself with a competitive edge and customer base over competitors. Moreover, the crew documented additional services and amenities that they considered valuable, such as spas, leisure activities, and other related services. They also pointed out any affiliations with other businesses that may enhance the quality of tourism in the region. Furthermore, the organization's management will diligently monitor shifts, deals, and market trends. The Urban Heights Hotel has the required amount of information regarding changes in the hotel industry and is also ready for emergencies. </w:t>
      </w:r>
    </w:p>
    <w:p w14:paraId="7B46006D" w14:textId="77777777" w:rsidR="00AC2132" w:rsidRDefault="008668B6" w:rsidP="00BB32A0">
      <w:pPr>
        <w:pStyle w:val="Heading1"/>
      </w:pPr>
      <w:bookmarkStart w:id="4" w:name="_Toc168475015"/>
      <w:r>
        <w:t xml:space="preserve">5. </w:t>
      </w:r>
      <w:r w:rsidR="00640764" w:rsidRPr="00BB32A0">
        <w:t>Conclusion</w:t>
      </w:r>
      <w:bookmarkEnd w:id="4"/>
    </w:p>
    <w:p w14:paraId="478B4038" w14:textId="77777777" w:rsidR="006C2D80" w:rsidRDefault="00422041" w:rsidP="00422041">
      <w:r>
        <w:t>The method involves creating an improvement schedule to address the reported unprofitable nature of the Urban Heights Hotel's operations. The hotel should give priority to the following aspects: optimising sales, minimising costs, evaluating threats and opportunities, enhancing visibility and credibility, responding to tendencies, and creating a sustainable value proposition in the existing and emerging markets. Therefore, if the vision is to become one of the leading hotels out there and boost hotel revenue, Urban Heights Hotel needs to focus on reducing its expenses while still maintaining high quality.</w:t>
      </w:r>
    </w:p>
    <w:p w14:paraId="442B9077" w14:textId="77777777" w:rsidR="006C2D80" w:rsidRDefault="0033716C" w:rsidP="00613F6F">
      <w:pPr>
        <w:pStyle w:val="Heading1"/>
      </w:pPr>
      <w:bookmarkStart w:id="5" w:name="_Toc168475016"/>
      <w:r>
        <w:lastRenderedPageBreak/>
        <w:t>References</w:t>
      </w:r>
      <w:bookmarkEnd w:id="5"/>
    </w:p>
    <w:p w14:paraId="56520331" w14:textId="77777777" w:rsidR="002F44D7" w:rsidRPr="002F44D7" w:rsidRDefault="002F44D7" w:rsidP="002F44D7">
      <w:r w:rsidRPr="002F44D7">
        <w:t xml:space="preserve">Arnold, G. (2021). </w:t>
      </w:r>
      <w:r w:rsidRPr="002F44D7">
        <w:rPr>
          <w:i/>
          <w:iCs/>
        </w:rPr>
        <w:t>Corporate Financial Management</w:t>
      </w:r>
      <w:r w:rsidRPr="002F44D7">
        <w:t xml:space="preserve"> (6th ed.). Pearson Education.</w:t>
      </w:r>
    </w:p>
    <w:p w14:paraId="2351401A" w14:textId="77777777" w:rsidR="002F44D7" w:rsidRPr="002F44D7" w:rsidRDefault="002F44D7" w:rsidP="002F44D7">
      <w:proofErr w:type="spellStart"/>
      <w:r w:rsidRPr="002F44D7">
        <w:t>Atrill</w:t>
      </w:r>
      <w:proofErr w:type="spellEnd"/>
      <w:r w:rsidRPr="002F44D7">
        <w:t xml:space="preserve">, P., </w:t>
      </w:r>
      <w:r>
        <w:t>and</w:t>
      </w:r>
      <w:r w:rsidRPr="002F44D7">
        <w:t xml:space="preserve"> McLaney, E. (2020). </w:t>
      </w:r>
      <w:r w:rsidRPr="002F44D7">
        <w:rPr>
          <w:i/>
          <w:iCs/>
        </w:rPr>
        <w:t>Financial Management for Decision Makers</w:t>
      </w:r>
      <w:r w:rsidRPr="002F44D7">
        <w:t xml:space="preserve"> (9th ed.). Pearson Education.</w:t>
      </w:r>
    </w:p>
    <w:p w14:paraId="7F14DBFD" w14:textId="77777777" w:rsidR="002F44D7" w:rsidRPr="002F44D7" w:rsidRDefault="002F44D7" w:rsidP="002F44D7">
      <w:r w:rsidRPr="002F44D7">
        <w:t xml:space="preserve">Brealey, R. A., Myers, S. C., </w:t>
      </w:r>
      <w:r>
        <w:t>and</w:t>
      </w:r>
      <w:r w:rsidRPr="002F44D7">
        <w:t xml:space="preserve"> Allen, F. (2020). </w:t>
      </w:r>
      <w:r w:rsidRPr="002F44D7">
        <w:rPr>
          <w:i/>
          <w:iCs/>
        </w:rPr>
        <w:t>Principles of Corporate Finance</w:t>
      </w:r>
      <w:r w:rsidRPr="002F44D7">
        <w:t xml:space="preserve"> (13th ed.). McGraw-Hill Education.</w:t>
      </w:r>
    </w:p>
    <w:p w14:paraId="5E48821A" w14:textId="77777777" w:rsidR="002F44D7" w:rsidRPr="002F44D7" w:rsidRDefault="002F44D7" w:rsidP="002F44D7">
      <w:r w:rsidRPr="002F44D7">
        <w:t xml:space="preserve">Brigham, E. F., </w:t>
      </w:r>
      <w:r>
        <w:t>and</w:t>
      </w:r>
      <w:r w:rsidRPr="002F44D7">
        <w:t xml:space="preserve"> Ehrhardt, M. C. (2021). </w:t>
      </w:r>
      <w:r w:rsidRPr="002F44D7">
        <w:rPr>
          <w:i/>
          <w:iCs/>
        </w:rPr>
        <w:t xml:space="preserve">Financial Management: Theory </w:t>
      </w:r>
      <w:r>
        <w:rPr>
          <w:i/>
          <w:iCs/>
        </w:rPr>
        <w:t>and</w:t>
      </w:r>
      <w:r w:rsidRPr="002F44D7">
        <w:rPr>
          <w:i/>
          <w:iCs/>
        </w:rPr>
        <w:t xml:space="preserve"> Practice</w:t>
      </w:r>
      <w:r w:rsidRPr="002F44D7">
        <w:t xml:space="preserve"> (16th ed.). Cengage Learning.</w:t>
      </w:r>
    </w:p>
    <w:p w14:paraId="1EB40FC4" w14:textId="77777777" w:rsidR="002F44D7" w:rsidRPr="002F44D7" w:rsidRDefault="002F44D7" w:rsidP="002F44D7">
      <w:r w:rsidRPr="002F44D7">
        <w:t xml:space="preserve">Brigham, E. F., </w:t>
      </w:r>
      <w:r>
        <w:t>and</w:t>
      </w:r>
      <w:r w:rsidRPr="002F44D7">
        <w:t xml:space="preserve"> Houston, J. F. (2022). </w:t>
      </w:r>
      <w:r w:rsidRPr="002F44D7">
        <w:rPr>
          <w:i/>
          <w:iCs/>
        </w:rPr>
        <w:t>Fundamentals of Financial Management</w:t>
      </w:r>
      <w:r w:rsidRPr="002F44D7">
        <w:t xml:space="preserve"> (15th ed.). Cengage Learning.</w:t>
      </w:r>
    </w:p>
    <w:p w14:paraId="7CCD9064" w14:textId="77777777" w:rsidR="002F44D7" w:rsidRPr="002F44D7" w:rsidRDefault="002F44D7" w:rsidP="002F44D7">
      <w:r w:rsidRPr="002F44D7">
        <w:t xml:space="preserve">Brooks, R. (2020). </w:t>
      </w:r>
      <w:r w:rsidRPr="002F44D7">
        <w:rPr>
          <w:i/>
          <w:iCs/>
        </w:rPr>
        <w:t>Financial Management: Core Concepts</w:t>
      </w:r>
      <w:r w:rsidRPr="002F44D7">
        <w:t xml:space="preserve"> (4th ed.). Pearson Education.</w:t>
      </w:r>
    </w:p>
    <w:p w14:paraId="75294363" w14:textId="77777777" w:rsidR="002F44D7" w:rsidRPr="002F44D7" w:rsidRDefault="002F44D7" w:rsidP="002F44D7">
      <w:r w:rsidRPr="002F44D7">
        <w:t xml:space="preserve">Brooks, R. (2023). </w:t>
      </w:r>
      <w:r w:rsidRPr="002F44D7">
        <w:rPr>
          <w:i/>
          <w:iCs/>
        </w:rPr>
        <w:t>Financial Management: Core Concepts</w:t>
      </w:r>
      <w:r w:rsidRPr="002F44D7">
        <w:t xml:space="preserve"> (6th ed.). Pearson Education.</w:t>
      </w:r>
    </w:p>
    <w:p w14:paraId="4B0B1EEE" w14:textId="77777777" w:rsidR="002F44D7" w:rsidRPr="002F44D7" w:rsidRDefault="002F44D7" w:rsidP="002F44D7">
      <w:r w:rsidRPr="002F44D7">
        <w:t xml:space="preserve">Chadwick, L., </w:t>
      </w:r>
      <w:r>
        <w:t>and</w:t>
      </w:r>
      <w:r w:rsidRPr="002F44D7">
        <w:t xml:space="preserve"> Marcus, A. J. (2022). </w:t>
      </w:r>
      <w:r w:rsidRPr="002F44D7">
        <w:rPr>
          <w:i/>
          <w:iCs/>
        </w:rPr>
        <w:t>Financial Management: Principles and Applications</w:t>
      </w:r>
      <w:r w:rsidRPr="002F44D7">
        <w:t xml:space="preserve"> (7th ed.). Oxford University Press.</w:t>
      </w:r>
    </w:p>
    <w:p w14:paraId="04AE74F2" w14:textId="77777777" w:rsidR="002F44D7" w:rsidRPr="002F44D7" w:rsidRDefault="002F44D7" w:rsidP="002F44D7">
      <w:r w:rsidRPr="002F44D7">
        <w:t xml:space="preserve">Clayman, M. R., </w:t>
      </w:r>
      <w:proofErr w:type="spellStart"/>
      <w:r w:rsidRPr="002F44D7">
        <w:t>Fridson</w:t>
      </w:r>
      <w:proofErr w:type="spellEnd"/>
      <w:r w:rsidRPr="002F44D7">
        <w:t xml:space="preserve">, M. S., </w:t>
      </w:r>
      <w:r>
        <w:t>and</w:t>
      </w:r>
      <w:r w:rsidRPr="002F44D7">
        <w:t xml:space="preserve"> Troughton, G. H. (2023). </w:t>
      </w:r>
      <w:r w:rsidRPr="002F44D7">
        <w:rPr>
          <w:i/>
          <w:iCs/>
        </w:rPr>
        <w:t>Corporate Finance: A Practical Approach</w:t>
      </w:r>
      <w:r w:rsidRPr="002F44D7">
        <w:t xml:space="preserve"> (3rd ed.). Wiley.</w:t>
      </w:r>
    </w:p>
    <w:p w14:paraId="33C90B48" w14:textId="77777777" w:rsidR="002F44D7" w:rsidRPr="002F44D7" w:rsidRDefault="002F44D7" w:rsidP="002F44D7">
      <w:r w:rsidRPr="002F44D7">
        <w:t xml:space="preserve">Finkler, S. A., Smith, D. L., </w:t>
      </w:r>
      <w:r>
        <w:t>and</w:t>
      </w:r>
      <w:r w:rsidRPr="002F44D7">
        <w:t xml:space="preserve"> Calabrese, T. D. (2022). </w:t>
      </w:r>
      <w:r w:rsidRPr="002F44D7">
        <w:rPr>
          <w:i/>
          <w:iCs/>
        </w:rPr>
        <w:t>Financial Management for Public, Health, and Not-for-Profit Organizations</w:t>
      </w:r>
      <w:r w:rsidRPr="002F44D7">
        <w:t xml:space="preserve"> (4th ed.). Wiley.</w:t>
      </w:r>
    </w:p>
    <w:p w14:paraId="42C298CE" w14:textId="77777777" w:rsidR="002F44D7" w:rsidRPr="002F44D7" w:rsidRDefault="002F44D7" w:rsidP="002F44D7">
      <w:r w:rsidRPr="002F44D7">
        <w:t xml:space="preserve">Horngren, C. T., Sundem, G. L., </w:t>
      </w:r>
      <w:r>
        <w:t>and</w:t>
      </w:r>
      <w:r w:rsidRPr="002F44D7">
        <w:t xml:space="preserve"> Elliott, J. A. (2022). </w:t>
      </w:r>
      <w:r w:rsidRPr="002F44D7">
        <w:rPr>
          <w:i/>
          <w:iCs/>
        </w:rPr>
        <w:t>Introduction to Financial Management</w:t>
      </w:r>
      <w:r w:rsidRPr="002F44D7">
        <w:t xml:space="preserve"> (13th ed.). Pearson Education.</w:t>
      </w:r>
    </w:p>
    <w:p w14:paraId="3E6CF3E6" w14:textId="77777777" w:rsidR="002F44D7" w:rsidRPr="002F44D7" w:rsidRDefault="002F44D7" w:rsidP="002F44D7">
      <w:r w:rsidRPr="002F44D7">
        <w:t xml:space="preserve">Templar, R. (2020). </w:t>
      </w:r>
      <w:r w:rsidRPr="002F44D7">
        <w:rPr>
          <w:i/>
          <w:iCs/>
        </w:rPr>
        <w:t>Principles of Financial Management</w:t>
      </w:r>
      <w:r w:rsidRPr="002F44D7">
        <w:t xml:space="preserve"> (3rd ed.). Pearson Education.</w:t>
      </w:r>
    </w:p>
    <w:p w14:paraId="74D588F5" w14:textId="77777777" w:rsidR="002F44D7" w:rsidRPr="002F44D7" w:rsidRDefault="002F44D7" w:rsidP="002F44D7">
      <w:r w:rsidRPr="002F44D7">
        <w:t xml:space="preserve">Titman, S., Keown, A. J., </w:t>
      </w:r>
      <w:r>
        <w:t>and</w:t>
      </w:r>
      <w:r w:rsidRPr="002F44D7">
        <w:t xml:space="preserve"> Martin, J. D. (2021). </w:t>
      </w:r>
      <w:r w:rsidRPr="002F44D7">
        <w:rPr>
          <w:i/>
          <w:iCs/>
        </w:rPr>
        <w:t>Financial Management: Principles and Applications</w:t>
      </w:r>
      <w:r w:rsidRPr="002F44D7">
        <w:t xml:space="preserve"> (14th ed.). Pearson Education.</w:t>
      </w:r>
    </w:p>
    <w:p w14:paraId="3EF40701" w14:textId="77777777" w:rsidR="002F44D7" w:rsidRPr="002F44D7" w:rsidRDefault="002F44D7" w:rsidP="002F44D7">
      <w:r w:rsidRPr="002F44D7">
        <w:t xml:space="preserve">Titman, S., Keown, A. J., </w:t>
      </w:r>
      <w:r>
        <w:t>and</w:t>
      </w:r>
      <w:r w:rsidRPr="002F44D7">
        <w:t xml:space="preserve"> Martin, J. D. (2023). </w:t>
      </w:r>
      <w:r w:rsidRPr="002F44D7">
        <w:rPr>
          <w:i/>
          <w:iCs/>
        </w:rPr>
        <w:t>Financial Management: Principles and Applications</w:t>
      </w:r>
      <w:r w:rsidRPr="002F44D7">
        <w:t xml:space="preserve"> (10th ed.). Oxford University Press.</w:t>
      </w:r>
    </w:p>
    <w:p w14:paraId="32BD8FB3" w14:textId="77777777" w:rsidR="002F44D7" w:rsidRPr="002F44D7" w:rsidRDefault="002F44D7" w:rsidP="002F44D7">
      <w:r w:rsidRPr="002F44D7">
        <w:lastRenderedPageBreak/>
        <w:t xml:space="preserve">Zietlow, J., Hankin, J. A., </w:t>
      </w:r>
      <w:r>
        <w:t>and</w:t>
      </w:r>
      <w:r w:rsidRPr="002F44D7">
        <w:t xml:space="preserve"> Seidner, A. G. (2021). </w:t>
      </w:r>
      <w:r w:rsidRPr="002F44D7">
        <w:rPr>
          <w:i/>
          <w:iCs/>
        </w:rPr>
        <w:t>Financial Management for Nonprofit Organizations: Policies and Practices</w:t>
      </w:r>
      <w:r w:rsidRPr="002F44D7">
        <w:t xml:space="preserve"> (5th ed.). Wiley.</w:t>
      </w:r>
    </w:p>
    <w:p w14:paraId="2D3E93CE" w14:textId="77777777" w:rsidR="00704D45" w:rsidRPr="006F4DEA" w:rsidRDefault="00704D45" w:rsidP="002F5197"/>
    <w:sectPr w:rsidR="00704D45" w:rsidRPr="006F4DE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121997" w14:textId="77777777" w:rsidR="00A86DF9" w:rsidRDefault="00A86DF9" w:rsidP="00F11112">
      <w:pPr>
        <w:spacing w:after="0" w:line="240" w:lineRule="auto"/>
      </w:pPr>
      <w:r>
        <w:separator/>
      </w:r>
    </w:p>
  </w:endnote>
  <w:endnote w:type="continuationSeparator" w:id="0">
    <w:p w14:paraId="53979CE7" w14:textId="77777777" w:rsidR="00A86DF9" w:rsidRDefault="00A86DF9" w:rsidP="00F11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BE8907" w14:textId="77777777" w:rsidR="005C1118" w:rsidRDefault="005C11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FA0F17" w14:textId="77777777" w:rsidR="00F11112" w:rsidRPr="005C1118" w:rsidRDefault="00F11112" w:rsidP="005C11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56FA9A" w14:textId="77777777" w:rsidR="005C1118" w:rsidRDefault="005C1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5FB288" w14:textId="77777777" w:rsidR="00A86DF9" w:rsidRDefault="00A86DF9" w:rsidP="00F11112">
      <w:pPr>
        <w:spacing w:after="0" w:line="240" w:lineRule="auto"/>
      </w:pPr>
      <w:r>
        <w:separator/>
      </w:r>
    </w:p>
  </w:footnote>
  <w:footnote w:type="continuationSeparator" w:id="0">
    <w:p w14:paraId="071E2C10" w14:textId="77777777" w:rsidR="00A86DF9" w:rsidRDefault="00A86DF9" w:rsidP="00F11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5E9A1C" w14:textId="77777777" w:rsidR="005C1118" w:rsidRDefault="005C11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82BFD5" w14:textId="77777777" w:rsidR="005C1118" w:rsidRDefault="005C11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8BB1E" w14:textId="77777777" w:rsidR="005C1118" w:rsidRDefault="005C11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23C8C"/>
    <w:multiLevelType w:val="multilevel"/>
    <w:tmpl w:val="00CE4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265ED5"/>
    <w:multiLevelType w:val="multilevel"/>
    <w:tmpl w:val="97B20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DF04A0"/>
    <w:multiLevelType w:val="multilevel"/>
    <w:tmpl w:val="544A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0A2B06"/>
    <w:multiLevelType w:val="multilevel"/>
    <w:tmpl w:val="6ADAB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410077"/>
    <w:multiLevelType w:val="hybridMultilevel"/>
    <w:tmpl w:val="E138BF1E"/>
    <w:lvl w:ilvl="0" w:tplc="6A00E6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0A0623"/>
    <w:multiLevelType w:val="multilevel"/>
    <w:tmpl w:val="1C007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00249C"/>
    <w:multiLevelType w:val="multilevel"/>
    <w:tmpl w:val="3DB6E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1F055E"/>
    <w:multiLevelType w:val="multilevel"/>
    <w:tmpl w:val="4BC4E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E31B95"/>
    <w:multiLevelType w:val="multilevel"/>
    <w:tmpl w:val="9824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3856B7"/>
    <w:multiLevelType w:val="hybridMultilevel"/>
    <w:tmpl w:val="C5E0C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0F7CC0"/>
    <w:multiLevelType w:val="hybridMultilevel"/>
    <w:tmpl w:val="31D4DEAA"/>
    <w:lvl w:ilvl="0" w:tplc="0809000F">
      <w:start w:val="1"/>
      <w:numFmt w:val="decimal"/>
      <w:lvlText w:val="%1."/>
      <w:lvlJc w:val="left"/>
      <w:pPr>
        <w:ind w:left="720" w:hanging="360"/>
      </w:pPr>
    </w:lvl>
    <w:lvl w:ilvl="1" w:tplc="B8F4016A">
      <w:numFmt w:val="bullet"/>
      <w:lvlText w:val=""/>
      <w:lvlJc w:val="left"/>
      <w:pPr>
        <w:ind w:left="1460" w:hanging="38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E4129C"/>
    <w:multiLevelType w:val="hybridMultilevel"/>
    <w:tmpl w:val="FC3C33F0"/>
    <w:lvl w:ilvl="0" w:tplc="FCCCDE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C119A9"/>
    <w:multiLevelType w:val="hybridMultilevel"/>
    <w:tmpl w:val="33022382"/>
    <w:lvl w:ilvl="0" w:tplc="1222114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53672A"/>
    <w:multiLevelType w:val="hybridMultilevel"/>
    <w:tmpl w:val="F392D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3B652C4"/>
    <w:multiLevelType w:val="hybridMultilevel"/>
    <w:tmpl w:val="F48EA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865485">
    <w:abstractNumId w:val="5"/>
  </w:num>
  <w:num w:numId="2" w16cid:durableId="1565945963">
    <w:abstractNumId w:val="2"/>
  </w:num>
  <w:num w:numId="3" w16cid:durableId="1713459234">
    <w:abstractNumId w:val="3"/>
  </w:num>
  <w:num w:numId="4" w16cid:durableId="686564744">
    <w:abstractNumId w:val="1"/>
  </w:num>
  <w:num w:numId="5" w16cid:durableId="314071253">
    <w:abstractNumId w:val="7"/>
  </w:num>
  <w:num w:numId="6" w16cid:durableId="13121396">
    <w:abstractNumId w:val="8"/>
  </w:num>
  <w:num w:numId="7" w16cid:durableId="1958487754">
    <w:abstractNumId w:val="0"/>
  </w:num>
  <w:num w:numId="8" w16cid:durableId="996886138">
    <w:abstractNumId w:val="6"/>
  </w:num>
  <w:num w:numId="9" w16cid:durableId="1783957425">
    <w:abstractNumId w:val="14"/>
  </w:num>
  <w:num w:numId="10" w16cid:durableId="468938595">
    <w:abstractNumId w:val="4"/>
  </w:num>
  <w:num w:numId="11" w16cid:durableId="152333531">
    <w:abstractNumId w:val="13"/>
  </w:num>
  <w:num w:numId="12" w16cid:durableId="1792087844">
    <w:abstractNumId w:val="12"/>
  </w:num>
  <w:num w:numId="13" w16cid:durableId="1764446931">
    <w:abstractNumId w:val="10"/>
  </w:num>
  <w:num w:numId="14" w16cid:durableId="1273439829">
    <w:abstractNumId w:val="9"/>
  </w:num>
  <w:num w:numId="15" w16cid:durableId="808805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132"/>
    <w:rsid w:val="00007BCA"/>
    <w:rsid w:val="00007D45"/>
    <w:rsid w:val="00010D26"/>
    <w:rsid w:val="00013DBE"/>
    <w:rsid w:val="000349DF"/>
    <w:rsid w:val="000433A2"/>
    <w:rsid w:val="0004580C"/>
    <w:rsid w:val="00050991"/>
    <w:rsid w:val="00052126"/>
    <w:rsid w:val="0005253E"/>
    <w:rsid w:val="000564CA"/>
    <w:rsid w:val="00065D70"/>
    <w:rsid w:val="0007041A"/>
    <w:rsid w:val="00075F9B"/>
    <w:rsid w:val="00080193"/>
    <w:rsid w:val="000820F3"/>
    <w:rsid w:val="00083ABD"/>
    <w:rsid w:val="00085C76"/>
    <w:rsid w:val="00093248"/>
    <w:rsid w:val="00095817"/>
    <w:rsid w:val="00095DF3"/>
    <w:rsid w:val="000A6F40"/>
    <w:rsid w:val="000B23A4"/>
    <w:rsid w:val="000B4D00"/>
    <w:rsid w:val="000B69E7"/>
    <w:rsid w:val="000B6CA4"/>
    <w:rsid w:val="000D296C"/>
    <w:rsid w:val="000E2399"/>
    <w:rsid w:val="000E2A3E"/>
    <w:rsid w:val="000E370F"/>
    <w:rsid w:val="000E3926"/>
    <w:rsid w:val="000E5B25"/>
    <w:rsid w:val="000E5E7B"/>
    <w:rsid w:val="000F20F1"/>
    <w:rsid w:val="001006D5"/>
    <w:rsid w:val="00101409"/>
    <w:rsid w:val="00107461"/>
    <w:rsid w:val="00107550"/>
    <w:rsid w:val="001075AB"/>
    <w:rsid w:val="00107EF2"/>
    <w:rsid w:val="001100AB"/>
    <w:rsid w:val="0011094A"/>
    <w:rsid w:val="00110EAA"/>
    <w:rsid w:val="00115CD0"/>
    <w:rsid w:val="001177BC"/>
    <w:rsid w:val="001218CC"/>
    <w:rsid w:val="00124E79"/>
    <w:rsid w:val="00131284"/>
    <w:rsid w:val="0013243B"/>
    <w:rsid w:val="001362BE"/>
    <w:rsid w:val="00136DF3"/>
    <w:rsid w:val="00141234"/>
    <w:rsid w:val="00141CC3"/>
    <w:rsid w:val="001458A3"/>
    <w:rsid w:val="00146092"/>
    <w:rsid w:val="001505EF"/>
    <w:rsid w:val="0015265D"/>
    <w:rsid w:val="00156F92"/>
    <w:rsid w:val="00160E26"/>
    <w:rsid w:val="001634E3"/>
    <w:rsid w:val="001635B9"/>
    <w:rsid w:val="001704F4"/>
    <w:rsid w:val="00170EA8"/>
    <w:rsid w:val="0017137A"/>
    <w:rsid w:val="0017405F"/>
    <w:rsid w:val="00175697"/>
    <w:rsid w:val="00187378"/>
    <w:rsid w:val="0019142D"/>
    <w:rsid w:val="00195C9C"/>
    <w:rsid w:val="001B0EC3"/>
    <w:rsid w:val="001B1B90"/>
    <w:rsid w:val="001C2C2B"/>
    <w:rsid w:val="001C4204"/>
    <w:rsid w:val="001C732C"/>
    <w:rsid w:val="001D21E0"/>
    <w:rsid w:val="001D30C2"/>
    <w:rsid w:val="001D4363"/>
    <w:rsid w:val="001E04CA"/>
    <w:rsid w:val="001E3B76"/>
    <w:rsid w:val="001E4F2E"/>
    <w:rsid w:val="001E6A5A"/>
    <w:rsid w:val="001F4EE9"/>
    <w:rsid w:val="0020243F"/>
    <w:rsid w:val="00207E39"/>
    <w:rsid w:val="00217050"/>
    <w:rsid w:val="002201D7"/>
    <w:rsid w:val="00222DC6"/>
    <w:rsid w:val="00232072"/>
    <w:rsid w:val="00233476"/>
    <w:rsid w:val="002349D6"/>
    <w:rsid w:val="002368F9"/>
    <w:rsid w:val="002429E6"/>
    <w:rsid w:val="00243EE9"/>
    <w:rsid w:val="00250AA4"/>
    <w:rsid w:val="00251A95"/>
    <w:rsid w:val="00252BC6"/>
    <w:rsid w:val="002538BF"/>
    <w:rsid w:val="00255A11"/>
    <w:rsid w:val="00257CC2"/>
    <w:rsid w:val="002609F0"/>
    <w:rsid w:val="00260D4B"/>
    <w:rsid w:val="00264146"/>
    <w:rsid w:val="0027061F"/>
    <w:rsid w:val="0027070F"/>
    <w:rsid w:val="0027102D"/>
    <w:rsid w:val="00274D6A"/>
    <w:rsid w:val="0028201E"/>
    <w:rsid w:val="0028581F"/>
    <w:rsid w:val="002900B4"/>
    <w:rsid w:val="00291634"/>
    <w:rsid w:val="00294CF2"/>
    <w:rsid w:val="002955AA"/>
    <w:rsid w:val="00297283"/>
    <w:rsid w:val="002A130F"/>
    <w:rsid w:val="002A666A"/>
    <w:rsid w:val="002B0D98"/>
    <w:rsid w:val="002B1D29"/>
    <w:rsid w:val="002B3CC0"/>
    <w:rsid w:val="002B43FA"/>
    <w:rsid w:val="002B576C"/>
    <w:rsid w:val="002B66E5"/>
    <w:rsid w:val="002B7BDA"/>
    <w:rsid w:val="002B7D08"/>
    <w:rsid w:val="002C357F"/>
    <w:rsid w:val="002C4ECE"/>
    <w:rsid w:val="002D437B"/>
    <w:rsid w:val="002D4C4E"/>
    <w:rsid w:val="002D70EE"/>
    <w:rsid w:val="002E2A81"/>
    <w:rsid w:val="002E66D4"/>
    <w:rsid w:val="002E7245"/>
    <w:rsid w:val="002F0DFE"/>
    <w:rsid w:val="002F30F0"/>
    <w:rsid w:val="002F44D7"/>
    <w:rsid w:val="002F5197"/>
    <w:rsid w:val="003106D4"/>
    <w:rsid w:val="0031349A"/>
    <w:rsid w:val="00320936"/>
    <w:rsid w:val="00321FF8"/>
    <w:rsid w:val="00323420"/>
    <w:rsid w:val="00330675"/>
    <w:rsid w:val="00335430"/>
    <w:rsid w:val="0033716C"/>
    <w:rsid w:val="00350304"/>
    <w:rsid w:val="00350ECF"/>
    <w:rsid w:val="003626F0"/>
    <w:rsid w:val="00371491"/>
    <w:rsid w:val="003733EE"/>
    <w:rsid w:val="003827B7"/>
    <w:rsid w:val="00385C02"/>
    <w:rsid w:val="0039019A"/>
    <w:rsid w:val="00397961"/>
    <w:rsid w:val="003A7A99"/>
    <w:rsid w:val="003B02B7"/>
    <w:rsid w:val="003B097C"/>
    <w:rsid w:val="003B4C8F"/>
    <w:rsid w:val="003B5DC2"/>
    <w:rsid w:val="003C0AFA"/>
    <w:rsid w:val="003C17AE"/>
    <w:rsid w:val="003C7550"/>
    <w:rsid w:val="003D1B70"/>
    <w:rsid w:val="003D1F67"/>
    <w:rsid w:val="003E0B06"/>
    <w:rsid w:val="003E3F54"/>
    <w:rsid w:val="003E4897"/>
    <w:rsid w:val="003E5A99"/>
    <w:rsid w:val="003F0596"/>
    <w:rsid w:val="003F3073"/>
    <w:rsid w:val="003F3254"/>
    <w:rsid w:val="003F40D5"/>
    <w:rsid w:val="00400774"/>
    <w:rsid w:val="00400EA1"/>
    <w:rsid w:val="00406517"/>
    <w:rsid w:val="0041472F"/>
    <w:rsid w:val="00414849"/>
    <w:rsid w:val="00415CD5"/>
    <w:rsid w:val="00420E4B"/>
    <w:rsid w:val="00422041"/>
    <w:rsid w:val="00424B46"/>
    <w:rsid w:val="004253DE"/>
    <w:rsid w:val="004260B1"/>
    <w:rsid w:val="004275B1"/>
    <w:rsid w:val="004276D2"/>
    <w:rsid w:val="00431287"/>
    <w:rsid w:val="004332A4"/>
    <w:rsid w:val="004336B3"/>
    <w:rsid w:val="00444A23"/>
    <w:rsid w:val="004450AB"/>
    <w:rsid w:val="004455DF"/>
    <w:rsid w:val="00446064"/>
    <w:rsid w:val="004467F8"/>
    <w:rsid w:val="004528CD"/>
    <w:rsid w:val="00452FA1"/>
    <w:rsid w:val="0046308F"/>
    <w:rsid w:val="004655BC"/>
    <w:rsid w:val="00472D55"/>
    <w:rsid w:val="004742E8"/>
    <w:rsid w:val="00476638"/>
    <w:rsid w:val="004779BA"/>
    <w:rsid w:val="00480F2A"/>
    <w:rsid w:val="00480F6F"/>
    <w:rsid w:val="004818D2"/>
    <w:rsid w:val="00486BC7"/>
    <w:rsid w:val="00492D81"/>
    <w:rsid w:val="004933B1"/>
    <w:rsid w:val="004953A9"/>
    <w:rsid w:val="004954E5"/>
    <w:rsid w:val="00496D92"/>
    <w:rsid w:val="00496E5B"/>
    <w:rsid w:val="004A0986"/>
    <w:rsid w:val="004A0E29"/>
    <w:rsid w:val="004A38E9"/>
    <w:rsid w:val="004A42C9"/>
    <w:rsid w:val="004A6BA6"/>
    <w:rsid w:val="004B1C3B"/>
    <w:rsid w:val="004B20AE"/>
    <w:rsid w:val="004B5161"/>
    <w:rsid w:val="004B6A71"/>
    <w:rsid w:val="004B7280"/>
    <w:rsid w:val="004C187B"/>
    <w:rsid w:val="004C27B8"/>
    <w:rsid w:val="004C31B8"/>
    <w:rsid w:val="004C6EF8"/>
    <w:rsid w:val="004D085B"/>
    <w:rsid w:val="004D137F"/>
    <w:rsid w:val="004D3060"/>
    <w:rsid w:val="004D4416"/>
    <w:rsid w:val="004D729D"/>
    <w:rsid w:val="004D78E0"/>
    <w:rsid w:val="004E5FCC"/>
    <w:rsid w:val="004E66A2"/>
    <w:rsid w:val="004E68B4"/>
    <w:rsid w:val="004F2E76"/>
    <w:rsid w:val="004F51E6"/>
    <w:rsid w:val="0050073E"/>
    <w:rsid w:val="005049C3"/>
    <w:rsid w:val="00505056"/>
    <w:rsid w:val="005052EF"/>
    <w:rsid w:val="00505672"/>
    <w:rsid w:val="00506DD6"/>
    <w:rsid w:val="005072B0"/>
    <w:rsid w:val="0051021F"/>
    <w:rsid w:val="0051268A"/>
    <w:rsid w:val="005137FE"/>
    <w:rsid w:val="00514F45"/>
    <w:rsid w:val="005157AC"/>
    <w:rsid w:val="00517C49"/>
    <w:rsid w:val="00522967"/>
    <w:rsid w:val="00526AA8"/>
    <w:rsid w:val="005275E5"/>
    <w:rsid w:val="00527B80"/>
    <w:rsid w:val="00532DF9"/>
    <w:rsid w:val="00534A67"/>
    <w:rsid w:val="00535694"/>
    <w:rsid w:val="005357EA"/>
    <w:rsid w:val="00542013"/>
    <w:rsid w:val="00542B18"/>
    <w:rsid w:val="005436F1"/>
    <w:rsid w:val="005446C3"/>
    <w:rsid w:val="00545F6B"/>
    <w:rsid w:val="0054668B"/>
    <w:rsid w:val="0055012F"/>
    <w:rsid w:val="00552BCD"/>
    <w:rsid w:val="00552EA6"/>
    <w:rsid w:val="00554D49"/>
    <w:rsid w:val="005624E6"/>
    <w:rsid w:val="00567713"/>
    <w:rsid w:val="005719EE"/>
    <w:rsid w:val="005822FC"/>
    <w:rsid w:val="00582525"/>
    <w:rsid w:val="00585018"/>
    <w:rsid w:val="0059237D"/>
    <w:rsid w:val="00593618"/>
    <w:rsid w:val="005A281F"/>
    <w:rsid w:val="005A4051"/>
    <w:rsid w:val="005A44EA"/>
    <w:rsid w:val="005A5CA6"/>
    <w:rsid w:val="005A6E35"/>
    <w:rsid w:val="005B3B01"/>
    <w:rsid w:val="005B6D92"/>
    <w:rsid w:val="005B770A"/>
    <w:rsid w:val="005C0B87"/>
    <w:rsid w:val="005C1118"/>
    <w:rsid w:val="005C11BB"/>
    <w:rsid w:val="005C4206"/>
    <w:rsid w:val="005C4BBE"/>
    <w:rsid w:val="005D0963"/>
    <w:rsid w:val="005D16C4"/>
    <w:rsid w:val="005D241B"/>
    <w:rsid w:val="005D4134"/>
    <w:rsid w:val="005E0374"/>
    <w:rsid w:val="005E0A8E"/>
    <w:rsid w:val="005E1CF5"/>
    <w:rsid w:val="005E3535"/>
    <w:rsid w:val="005E4A52"/>
    <w:rsid w:val="005F2E94"/>
    <w:rsid w:val="005F7845"/>
    <w:rsid w:val="0060089C"/>
    <w:rsid w:val="0060098C"/>
    <w:rsid w:val="006060A1"/>
    <w:rsid w:val="0061011A"/>
    <w:rsid w:val="00611EC7"/>
    <w:rsid w:val="00612EB8"/>
    <w:rsid w:val="00613F6F"/>
    <w:rsid w:val="00614932"/>
    <w:rsid w:val="00620761"/>
    <w:rsid w:val="00620DF1"/>
    <w:rsid w:val="00625172"/>
    <w:rsid w:val="00625AC9"/>
    <w:rsid w:val="0063265D"/>
    <w:rsid w:val="00635DE3"/>
    <w:rsid w:val="00640680"/>
    <w:rsid w:val="00640764"/>
    <w:rsid w:val="00640EEB"/>
    <w:rsid w:val="0064253C"/>
    <w:rsid w:val="00642582"/>
    <w:rsid w:val="006435F3"/>
    <w:rsid w:val="006437B3"/>
    <w:rsid w:val="00650255"/>
    <w:rsid w:val="0065129D"/>
    <w:rsid w:val="00657EAF"/>
    <w:rsid w:val="006636D5"/>
    <w:rsid w:val="00663A33"/>
    <w:rsid w:val="0067014E"/>
    <w:rsid w:val="00673A98"/>
    <w:rsid w:val="00677C99"/>
    <w:rsid w:val="0068224F"/>
    <w:rsid w:val="0068748E"/>
    <w:rsid w:val="00692EE6"/>
    <w:rsid w:val="00695C04"/>
    <w:rsid w:val="00696CE7"/>
    <w:rsid w:val="006A068B"/>
    <w:rsid w:val="006A1BEE"/>
    <w:rsid w:val="006A3FCC"/>
    <w:rsid w:val="006A582A"/>
    <w:rsid w:val="006B00B5"/>
    <w:rsid w:val="006B0A45"/>
    <w:rsid w:val="006C0AEE"/>
    <w:rsid w:val="006C2D80"/>
    <w:rsid w:val="006C3020"/>
    <w:rsid w:val="006C4992"/>
    <w:rsid w:val="006C56C9"/>
    <w:rsid w:val="006C67F8"/>
    <w:rsid w:val="006C79C4"/>
    <w:rsid w:val="006D05E6"/>
    <w:rsid w:val="006D5BDB"/>
    <w:rsid w:val="006D6498"/>
    <w:rsid w:val="006E0094"/>
    <w:rsid w:val="006E1705"/>
    <w:rsid w:val="006E6C86"/>
    <w:rsid w:val="006F4DEA"/>
    <w:rsid w:val="006F6941"/>
    <w:rsid w:val="0070012C"/>
    <w:rsid w:val="00701907"/>
    <w:rsid w:val="00702C56"/>
    <w:rsid w:val="00703F88"/>
    <w:rsid w:val="00704D45"/>
    <w:rsid w:val="0070591F"/>
    <w:rsid w:val="00710F96"/>
    <w:rsid w:val="007117A7"/>
    <w:rsid w:val="0071228D"/>
    <w:rsid w:val="00717F72"/>
    <w:rsid w:val="00720A28"/>
    <w:rsid w:val="00721BF2"/>
    <w:rsid w:val="007232BA"/>
    <w:rsid w:val="00724BDA"/>
    <w:rsid w:val="00730AB3"/>
    <w:rsid w:val="007327A3"/>
    <w:rsid w:val="00734713"/>
    <w:rsid w:val="00734985"/>
    <w:rsid w:val="0073626B"/>
    <w:rsid w:val="007368BE"/>
    <w:rsid w:val="00740916"/>
    <w:rsid w:val="0074290D"/>
    <w:rsid w:val="007432F8"/>
    <w:rsid w:val="007460C4"/>
    <w:rsid w:val="00756E37"/>
    <w:rsid w:val="00762447"/>
    <w:rsid w:val="00762474"/>
    <w:rsid w:val="00764694"/>
    <w:rsid w:val="007676A6"/>
    <w:rsid w:val="00767702"/>
    <w:rsid w:val="007719F9"/>
    <w:rsid w:val="00782FA6"/>
    <w:rsid w:val="00787D79"/>
    <w:rsid w:val="007904CB"/>
    <w:rsid w:val="00790861"/>
    <w:rsid w:val="007962A2"/>
    <w:rsid w:val="007A2DAD"/>
    <w:rsid w:val="007A31F6"/>
    <w:rsid w:val="007A6855"/>
    <w:rsid w:val="007B2441"/>
    <w:rsid w:val="007B326C"/>
    <w:rsid w:val="007C0C81"/>
    <w:rsid w:val="007D2E8A"/>
    <w:rsid w:val="007D3412"/>
    <w:rsid w:val="007D549F"/>
    <w:rsid w:val="007E3752"/>
    <w:rsid w:val="007E4D42"/>
    <w:rsid w:val="007F1590"/>
    <w:rsid w:val="007F40B7"/>
    <w:rsid w:val="00805BB6"/>
    <w:rsid w:val="00815857"/>
    <w:rsid w:val="0082088A"/>
    <w:rsid w:val="008225B2"/>
    <w:rsid w:val="00822E9B"/>
    <w:rsid w:val="008231DA"/>
    <w:rsid w:val="00825583"/>
    <w:rsid w:val="00827146"/>
    <w:rsid w:val="00834D98"/>
    <w:rsid w:val="008438B6"/>
    <w:rsid w:val="00850815"/>
    <w:rsid w:val="008563AA"/>
    <w:rsid w:val="00857608"/>
    <w:rsid w:val="00863E67"/>
    <w:rsid w:val="008668B6"/>
    <w:rsid w:val="00875D50"/>
    <w:rsid w:val="00877081"/>
    <w:rsid w:val="008808A7"/>
    <w:rsid w:val="008915FF"/>
    <w:rsid w:val="00895A19"/>
    <w:rsid w:val="008A1524"/>
    <w:rsid w:val="008A3C4B"/>
    <w:rsid w:val="008A3DC9"/>
    <w:rsid w:val="008A59F1"/>
    <w:rsid w:val="008A694C"/>
    <w:rsid w:val="008A6EE3"/>
    <w:rsid w:val="008B2521"/>
    <w:rsid w:val="008B4438"/>
    <w:rsid w:val="008C2299"/>
    <w:rsid w:val="008C279C"/>
    <w:rsid w:val="008C3362"/>
    <w:rsid w:val="008C70FC"/>
    <w:rsid w:val="008C71FD"/>
    <w:rsid w:val="008D4720"/>
    <w:rsid w:val="008D4951"/>
    <w:rsid w:val="008E508B"/>
    <w:rsid w:val="008E5C6D"/>
    <w:rsid w:val="008E7C6E"/>
    <w:rsid w:val="008F038C"/>
    <w:rsid w:val="00903F3C"/>
    <w:rsid w:val="0090494F"/>
    <w:rsid w:val="00904FF6"/>
    <w:rsid w:val="00905BB6"/>
    <w:rsid w:val="00911A00"/>
    <w:rsid w:val="00913310"/>
    <w:rsid w:val="00914F70"/>
    <w:rsid w:val="009150E3"/>
    <w:rsid w:val="00915F02"/>
    <w:rsid w:val="00920185"/>
    <w:rsid w:val="00924D84"/>
    <w:rsid w:val="0094248F"/>
    <w:rsid w:val="00943042"/>
    <w:rsid w:val="00945086"/>
    <w:rsid w:val="00953B08"/>
    <w:rsid w:val="00954113"/>
    <w:rsid w:val="00956631"/>
    <w:rsid w:val="00961A70"/>
    <w:rsid w:val="00963F85"/>
    <w:rsid w:val="00966FBB"/>
    <w:rsid w:val="0097138B"/>
    <w:rsid w:val="0097294F"/>
    <w:rsid w:val="00973C04"/>
    <w:rsid w:val="00973CB7"/>
    <w:rsid w:val="00983874"/>
    <w:rsid w:val="009852D9"/>
    <w:rsid w:val="0098717C"/>
    <w:rsid w:val="00992B45"/>
    <w:rsid w:val="009A0F05"/>
    <w:rsid w:val="009A422E"/>
    <w:rsid w:val="009A5AF1"/>
    <w:rsid w:val="009A619D"/>
    <w:rsid w:val="009A62A8"/>
    <w:rsid w:val="009B3570"/>
    <w:rsid w:val="009C270C"/>
    <w:rsid w:val="009C5844"/>
    <w:rsid w:val="009D2357"/>
    <w:rsid w:val="009D4C91"/>
    <w:rsid w:val="009D4D49"/>
    <w:rsid w:val="009D718A"/>
    <w:rsid w:val="009D756D"/>
    <w:rsid w:val="009E2DF3"/>
    <w:rsid w:val="009E6E8D"/>
    <w:rsid w:val="009E78BD"/>
    <w:rsid w:val="009F07C7"/>
    <w:rsid w:val="009F0E33"/>
    <w:rsid w:val="009F33B8"/>
    <w:rsid w:val="009F6F81"/>
    <w:rsid w:val="00A01990"/>
    <w:rsid w:val="00A036C4"/>
    <w:rsid w:val="00A1122D"/>
    <w:rsid w:val="00A12384"/>
    <w:rsid w:val="00A17A5E"/>
    <w:rsid w:val="00A2110D"/>
    <w:rsid w:val="00A2247A"/>
    <w:rsid w:val="00A26538"/>
    <w:rsid w:val="00A27AD0"/>
    <w:rsid w:val="00A30913"/>
    <w:rsid w:val="00A32094"/>
    <w:rsid w:val="00A3238E"/>
    <w:rsid w:val="00A325C8"/>
    <w:rsid w:val="00A36D37"/>
    <w:rsid w:val="00A40D36"/>
    <w:rsid w:val="00A438AB"/>
    <w:rsid w:val="00A440B5"/>
    <w:rsid w:val="00A45D26"/>
    <w:rsid w:val="00A50178"/>
    <w:rsid w:val="00A52E6E"/>
    <w:rsid w:val="00A53222"/>
    <w:rsid w:val="00A5415E"/>
    <w:rsid w:val="00A60F42"/>
    <w:rsid w:val="00A62162"/>
    <w:rsid w:val="00A65F76"/>
    <w:rsid w:val="00A7388E"/>
    <w:rsid w:val="00A75AB2"/>
    <w:rsid w:val="00A77686"/>
    <w:rsid w:val="00A853CE"/>
    <w:rsid w:val="00A86B22"/>
    <w:rsid w:val="00A86DF9"/>
    <w:rsid w:val="00A9117B"/>
    <w:rsid w:val="00A91606"/>
    <w:rsid w:val="00A930F6"/>
    <w:rsid w:val="00A95F78"/>
    <w:rsid w:val="00A9614B"/>
    <w:rsid w:val="00A96757"/>
    <w:rsid w:val="00A9697B"/>
    <w:rsid w:val="00AA31DE"/>
    <w:rsid w:val="00AB0F10"/>
    <w:rsid w:val="00AB13CA"/>
    <w:rsid w:val="00AB3C7E"/>
    <w:rsid w:val="00AB605D"/>
    <w:rsid w:val="00AB6D7E"/>
    <w:rsid w:val="00AC0918"/>
    <w:rsid w:val="00AC2132"/>
    <w:rsid w:val="00AC277B"/>
    <w:rsid w:val="00AC2BCF"/>
    <w:rsid w:val="00AC4D41"/>
    <w:rsid w:val="00AD42B8"/>
    <w:rsid w:val="00AD5B3C"/>
    <w:rsid w:val="00AD74D4"/>
    <w:rsid w:val="00AE01F4"/>
    <w:rsid w:val="00AE27D9"/>
    <w:rsid w:val="00AE5A5D"/>
    <w:rsid w:val="00AE5E10"/>
    <w:rsid w:val="00AF156A"/>
    <w:rsid w:val="00AF493B"/>
    <w:rsid w:val="00B02E0A"/>
    <w:rsid w:val="00B0442D"/>
    <w:rsid w:val="00B07B44"/>
    <w:rsid w:val="00B12D0E"/>
    <w:rsid w:val="00B15B71"/>
    <w:rsid w:val="00B165D1"/>
    <w:rsid w:val="00B25482"/>
    <w:rsid w:val="00B2728A"/>
    <w:rsid w:val="00B272C7"/>
    <w:rsid w:val="00B305EB"/>
    <w:rsid w:val="00B312BF"/>
    <w:rsid w:val="00B323CB"/>
    <w:rsid w:val="00B3443A"/>
    <w:rsid w:val="00B34E80"/>
    <w:rsid w:val="00B36D13"/>
    <w:rsid w:val="00B37532"/>
    <w:rsid w:val="00B46955"/>
    <w:rsid w:val="00B53D33"/>
    <w:rsid w:val="00B54F5C"/>
    <w:rsid w:val="00B550CA"/>
    <w:rsid w:val="00B60332"/>
    <w:rsid w:val="00B61950"/>
    <w:rsid w:val="00B76252"/>
    <w:rsid w:val="00B770BD"/>
    <w:rsid w:val="00B77933"/>
    <w:rsid w:val="00B8032F"/>
    <w:rsid w:val="00B81190"/>
    <w:rsid w:val="00B84C86"/>
    <w:rsid w:val="00B85D15"/>
    <w:rsid w:val="00B87B40"/>
    <w:rsid w:val="00B92AFA"/>
    <w:rsid w:val="00B92D96"/>
    <w:rsid w:val="00B94C66"/>
    <w:rsid w:val="00BA351F"/>
    <w:rsid w:val="00BA5BAB"/>
    <w:rsid w:val="00BA5F87"/>
    <w:rsid w:val="00BA7B49"/>
    <w:rsid w:val="00BB1852"/>
    <w:rsid w:val="00BB32A0"/>
    <w:rsid w:val="00BB5B3F"/>
    <w:rsid w:val="00BB7086"/>
    <w:rsid w:val="00BC0524"/>
    <w:rsid w:val="00BC06F1"/>
    <w:rsid w:val="00BC1ADE"/>
    <w:rsid w:val="00BD2DAB"/>
    <w:rsid w:val="00BE6C2C"/>
    <w:rsid w:val="00BF01DA"/>
    <w:rsid w:val="00BF280C"/>
    <w:rsid w:val="00C035F8"/>
    <w:rsid w:val="00C03D90"/>
    <w:rsid w:val="00C061FA"/>
    <w:rsid w:val="00C14D2E"/>
    <w:rsid w:val="00C2200B"/>
    <w:rsid w:val="00C24C2F"/>
    <w:rsid w:val="00C27804"/>
    <w:rsid w:val="00C30810"/>
    <w:rsid w:val="00C30EE7"/>
    <w:rsid w:val="00C32088"/>
    <w:rsid w:val="00C41F12"/>
    <w:rsid w:val="00C5172F"/>
    <w:rsid w:val="00C55202"/>
    <w:rsid w:val="00C5738E"/>
    <w:rsid w:val="00C604A8"/>
    <w:rsid w:val="00C6224F"/>
    <w:rsid w:val="00C65E53"/>
    <w:rsid w:val="00C718DE"/>
    <w:rsid w:val="00C83DF4"/>
    <w:rsid w:val="00C85D46"/>
    <w:rsid w:val="00C86394"/>
    <w:rsid w:val="00C86A91"/>
    <w:rsid w:val="00C86C59"/>
    <w:rsid w:val="00C873D1"/>
    <w:rsid w:val="00C9520B"/>
    <w:rsid w:val="00C9585E"/>
    <w:rsid w:val="00C95CDD"/>
    <w:rsid w:val="00C969ED"/>
    <w:rsid w:val="00CA3775"/>
    <w:rsid w:val="00CA5212"/>
    <w:rsid w:val="00CA6600"/>
    <w:rsid w:val="00CC7CA0"/>
    <w:rsid w:val="00CD1E2A"/>
    <w:rsid w:val="00CD3E69"/>
    <w:rsid w:val="00CD51FF"/>
    <w:rsid w:val="00CD5650"/>
    <w:rsid w:val="00CE4546"/>
    <w:rsid w:val="00CE50EF"/>
    <w:rsid w:val="00CF1EEC"/>
    <w:rsid w:val="00CF294C"/>
    <w:rsid w:val="00CF4132"/>
    <w:rsid w:val="00CF4F2A"/>
    <w:rsid w:val="00CF5110"/>
    <w:rsid w:val="00CF658F"/>
    <w:rsid w:val="00D10E4A"/>
    <w:rsid w:val="00D20A21"/>
    <w:rsid w:val="00D20A82"/>
    <w:rsid w:val="00D220D8"/>
    <w:rsid w:val="00D25ABA"/>
    <w:rsid w:val="00D26710"/>
    <w:rsid w:val="00D30D2F"/>
    <w:rsid w:val="00D32C51"/>
    <w:rsid w:val="00D3785A"/>
    <w:rsid w:val="00D404A3"/>
    <w:rsid w:val="00D43F28"/>
    <w:rsid w:val="00D476C1"/>
    <w:rsid w:val="00D477E6"/>
    <w:rsid w:val="00D47CF0"/>
    <w:rsid w:val="00D505FB"/>
    <w:rsid w:val="00D509F1"/>
    <w:rsid w:val="00D53D5B"/>
    <w:rsid w:val="00D54F0C"/>
    <w:rsid w:val="00D55C4A"/>
    <w:rsid w:val="00D62326"/>
    <w:rsid w:val="00D6409A"/>
    <w:rsid w:val="00D65B69"/>
    <w:rsid w:val="00D65C84"/>
    <w:rsid w:val="00D66BF6"/>
    <w:rsid w:val="00D670E0"/>
    <w:rsid w:val="00D704BC"/>
    <w:rsid w:val="00D746B8"/>
    <w:rsid w:val="00D754AF"/>
    <w:rsid w:val="00D84839"/>
    <w:rsid w:val="00D93CC1"/>
    <w:rsid w:val="00DA2B07"/>
    <w:rsid w:val="00DA2EE7"/>
    <w:rsid w:val="00DA59A9"/>
    <w:rsid w:val="00DA6040"/>
    <w:rsid w:val="00DA7730"/>
    <w:rsid w:val="00DB1E28"/>
    <w:rsid w:val="00DB71AC"/>
    <w:rsid w:val="00DC1062"/>
    <w:rsid w:val="00DC3659"/>
    <w:rsid w:val="00DC4789"/>
    <w:rsid w:val="00DC5AAE"/>
    <w:rsid w:val="00DD05AD"/>
    <w:rsid w:val="00DD1196"/>
    <w:rsid w:val="00DD284F"/>
    <w:rsid w:val="00DD7AFE"/>
    <w:rsid w:val="00DE2995"/>
    <w:rsid w:val="00DE374C"/>
    <w:rsid w:val="00DF188E"/>
    <w:rsid w:val="00DF31D2"/>
    <w:rsid w:val="00DF48DB"/>
    <w:rsid w:val="00DF4C5A"/>
    <w:rsid w:val="00DF6D17"/>
    <w:rsid w:val="00DF7767"/>
    <w:rsid w:val="00E0218F"/>
    <w:rsid w:val="00E10109"/>
    <w:rsid w:val="00E11247"/>
    <w:rsid w:val="00E126BF"/>
    <w:rsid w:val="00E136BB"/>
    <w:rsid w:val="00E1390D"/>
    <w:rsid w:val="00E14BB6"/>
    <w:rsid w:val="00E16823"/>
    <w:rsid w:val="00E176D7"/>
    <w:rsid w:val="00E17C64"/>
    <w:rsid w:val="00E21ADA"/>
    <w:rsid w:val="00E32D3F"/>
    <w:rsid w:val="00E33EDC"/>
    <w:rsid w:val="00E35433"/>
    <w:rsid w:val="00E3610C"/>
    <w:rsid w:val="00E4002F"/>
    <w:rsid w:val="00E43EB1"/>
    <w:rsid w:val="00E44F47"/>
    <w:rsid w:val="00E4515E"/>
    <w:rsid w:val="00E52D51"/>
    <w:rsid w:val="00E61851"/>
    <w:rsid w:val="00E620A7"/>
    <w:rsid w:val="00E6292B"/>
    <w:rsid w:val="00E65093"/>
    <w:rsid w:val="00E6596B"/>
    <w:rsid w:val="00E65BA3"/>
    <w:rsid w:val="00E65C1D"/>
    <w:rsid w:val="00E65DE1"/>
    <w:rsid w:val="00E67188"/>
    <w:rsid w:val="00E71820"/>
    <w:rsid w:val="00E73F37"/>
    <w:rsid w:val="00E75F99"/>
    <w:rsid w:val="00E7664D"/>
    <w:rsid w:val="00E81A24"/>
    <w:rsid w:val="00E8517E"/>
    <w:rsid w:val="00E856BE"/>
    <w:rsid w:val="00E85734"/>
    <w:rsid w:val="00E86592"/>
    <w:rsid w:val="00E87278"/>
    <w:rsid w:val="00E95118"/>
    <w:rsid w:val="00E978EC"/>
    <w:rsid w:val="00EA06CF"/>
    <w:rsid w:val="00EA4299"/>
    <w:rsid w:val="00EA6227"/>
    <w:rsid w:val="00EC3906"/>
    <w:rsid w:val="00EC4577"/>
    <w:rsid w:val="00EC612A"/>
    <w:rsid w:val="00ED51AA"/>
    <w:rsid w:val="00EE0D0D"/>
    <w:rsid w:val="00EE1172"/>
    <w:rsid w:val="00EE70CB"/>
    <w:rsid w:val="00EF19FA"/>
    <w:rsid w:val="00EF421D"/>
    <w:rsid w:val="00F00346"/>
    <w:rsid w:val="00F019C2"/>
    <w:rsid w:val="00F05AF7"/>
    <w:rsid w:val="00F07E0F"/>
    <w:rsid w:val="00F11112"/>
    <w:rsid w:val="00F12562"/>
    <w:rsid w:val="00F13E06"/>
    <w:rsid w:val="00F1596E"/>
    <w:rsid w:val="00F21B45"/>
    <w:rsid w:val="00F27E5A"/>
    <w:rsid w:val="00F31A6F"/>
    <w:rsid w:val="00F33788"/>
    <w:rsid w:val="00F358A6"/>
    <w:rsid w:val="00F371C9"/>
    <w:rsid w:val="00F378D1"/>
    <w:rsid w:val="00F443CA"/>
    <w:rsid w:val="00F4771B"/>
    <w:rsid w:val="00F502F7"/>
    <w:rsid w:val="00F53D85"/>
    <w:rsid w:val="00F54261"/>
    <w:rsid w:val="00F56CB0"/>
    <w:rsid w:val="00F56ED1"/>
    <w:rsid w:val="00F608FA"/>
    <w:rsid w:val="00F61BAE"/>
    <w:rsid w:val="00F6573E"/>
    <w:rsid w:val="00F65CC9"/>
    <w:rsid w:val="00F65D07"/>
    <w:rsid w:val="00F71B62"/>
    <w:rsid w:val="00F737D2"/>
    <w:rsid w:val="00F77969"/>
    <w:rsid w:val="00F808EE"/>
    <w:rsid w:val="00F80D67"/>
    <w:rsid w:val="00F8168A"/>
    <w:rsid w:val="00F840E7"/>
    <w:rsid w:val="00F84EC4"/>
    <w:rsid w:val="00F86183"/>
    <w:rsid w:val="00F901A6"/>
    <w:rsid w:val="00F90960"/>
    <w:rsid w:val="00F91D8D"/>
    <w:rsid w:val="00F96C20"/>
    <w:rsid w:val="00FA22C8"/>
    <w:rsid w:val="00FA4180"/>
    <w:rsid w:val="00FB146D"/>
    <w:rsid w:val="00FB2425"/>
    <w:rsid w:val="00FB312A"/>
    <w:rsid w:val="00FB5A53"/>
    <w:rsid w:val="00FB664A"/>
    <w:rsid w:val="00FD16A6"/>
    <w:rsid w:val="00FD22A1"/>
    <w:rsid w:val="00FD4AC1"/>
    <w:rsid w:val="00FE4A97"/>
    <w:rsid w:val="00FE65AA"/>
    <w:rsid w:val="00FE7A75"/>
    <w:rsid w:val="00FF436B"/>
    <w:rsid w:val="00FF48FA"/>
    <w:rsid w:val="00FF60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CFCF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BC6"/>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AC213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C213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5F784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132"/>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AC2132"/>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A930F6"/>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A930F6"/>
    <w:rPr>
      <w:b/>
      <w:bCs/>
    </w:rPr>
  </w:style>
  <w:style w:type="paragraph" w:styleId="ListParagraph">
    <w:name w:val="List Paragraph"/>
    <w:basedOn w:val="Normal"/>
    <w:uiPriority w:val="34"/>
    <w:qFormat/>
    <w:rsid w:val="00B305EB"/>
    <w:pPr>
      <w:ind w:left="720"/>
      <w:contextualSpacing/>
    </w:pPr>
  </w:style>
  <w:style w:type="paragraph" w:styleId="Header">
    <w:name w:val="header"/>
    <w:basedOn w:val="Normal"/>
    <w:link w:val="HeaderChar"/>
    <w:uiPriority w:val="99"/>
    <w:unhideWhenUsed/>
    <w:rsid w:val="00F111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112"/>
    <w:rPr>
      <w:rFonts w:ascii="Times New Roman" w:hAnsi="Times New Roman"/>
      <w:sz w:val="24"/>
      <w:lang w:val="en-GB"/>
    </w:rPr>
  </w:style>
  <w:style w:type="paragraph" w:styleId="Footer">
    <w:name w:val="footer"/>
    <w:basedOn w:val="Normal"/>
    <w:link w:val="FooterChar"/>
    <w:uiPriority w:val="99"/>
    <w:unhideWhenUsed/>
    <w:rsid w:val="00F111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112"/>
    <w:rPr>
      <w:rFonts w:ascii="Times New Roman" w:hAnsi="Times New Roman"/>
      <w:sz w:val="24"/>
      <w:lang w:val="en-GB"/>
    </w:rPr>
  </w:style>
  <w:style w:type="paragraph" w:styleId="TOCHeading">
    <w:name w:val="TOC Heading"/>
    <w:basedOn w:val="Heading1"/>
    <w:next w:val="Normal"/>
    <w:uiPriority w:val="39"/>
    <w:unhideWhenUsed/>
    <w:qFormat/>
    <w:rsid w:val="006A068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A068B"/>
    <w:pPr>
      <w:spacing w:after="100"/>
    </w:pPr>
  </w:style>
  <w:style w:type="character" w:styleId="Hyperlink">
    <w:name w:val="Hyperlink"/>
    <w:basedOn w:val="DefaultParagraphFont"/>
    <w:uiPriority w:val="99"/>
    <w:unhideWhenUsed/>
    <w:rsid w:val="006A068B"/>
    <w:rPr>
      <w:color w:val="0563C1" w:themeColor="hyperlink"/>
      <w:u w:val="single"/>
    </w:rPr>
  </w:style>
  <w:style w:type="table" w:styleId="PlainTable2">
    <w:name w:val="Plain Table 2"/>
    <w:basedOn w:val="TableNormal"/>
    <w:uiPriority w:val="42"/>
    <w:rsid w:val="00915F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3Char">
    <w:name w:val="Heading 3 Char"/>
    <w:basedOn w:val="DefaultParagraphFont"/>
    <w:link w:val="Heading3"/>
    <w:uiPriority w:val="9"/>
    <w:semiHidden/>
    <w:rsid w:val="005F7845"/>
    <w:rPr>
      <w:rFonts w:asciiTheme="majorHAnsi" w:eastAsiaTheme="majorEastAsia" w:hAnsiTheme="majorHAnsi" w:cstheme="majorBidi"/>
      <w:color w:val="1F3763" w:themeColor="accent1" w:themeShade="7F"/>
      <w:sz w:val="24"/>
      <w:szCs w:val="24"/>
      <w:lang w:val="en-GB"/>
    </w:rPr>
  </w:style>
  <w:style w:type="paragraph" w:styleId="z-TopofForm">
    <w:name w:val="HTML Top of Form"/>
    <w:basedOn w:val="Normal"/>
    <w:next w:val="Normal"/>
    <w:link w:val="z-TopofFormChar"/>
    <w:hidden/>
    <w:uiPriority w:val="99"/>
    <w:semiHidden/>
    <w:unhideWhenUsed/>
    <w:rsid w:val="00080193"/>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080193"/>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080193"/>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080193"/>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48667">
      <w:bodyDiv w:val="1"/>
      <w:marLeft w:val="0"/>
      <w:marRight w:val="0"/>
      <w:marTop w:val="0"/>
      <w:marBottom w:val="0"/>
      <w:divBdr>
        <w:top w:val="none" w:sz="0" w:space="0" w:color="auto"/>
        <w:left w:val="none" w:sz="0" w:space="0" w:color="auto"/>
        <w:bottom w:val="none" w:sz="0" w:space="0" w:color="auto"/>
        <w:right w:val="none" w:sz="0" w:space="0" w:color="auto"/>
      </w:divBdr>
      <w:divsChild>
        <w:div w:id="2117209923">
          <w:marLeft w:val="0"/>
          <w:marRight w:val="0"/>
          <w:marTop w:val="0"/>
          <w:marBottom w:val="0"/>
          <w:divBdr>
            <w:top w:val="none" w:sz="0" w:space="0" w:color="auto"/>
            <w:left w:val="none" w:sz="0" w:space="0" w:color="auto"/>
            <w:bottom w:val="none" w:sz="0" w:space="0" w:color="auto"/>
            <w:right w:val="none" w:sz="0" w:space="0" w:color="auto"/>
          </w:divBdr>
        </w:div>
      </w:divsChild>
    </w:div>
    <w:div w:id="54738282">
      <w:bodyDiv w:val="1"/>
      <w:marLeft w:val="0"/>
      <w:marRight w:val="0"/>
      <w:marTop w:val="0"/>
      <w:marBottom w:val="0"/>
      <w:divBdr>
        <w:top w:val="none" w:sz="0" w:space="0" w:color="auto"/>
        <w:left w:val="none" w:sz="0" w:space="0" w:color="auto"/>
        <w:bottom w:val="none" w:sz="0" w:space="0" w:color="auto"/>
        <w:right w:val="none" w:sz="0" w:space="0" w:color="auto"/>
      </w:divBdr>
      <w:divsChild>
        <w:div w:id="1158230380">
          <w:marLeft w:val="0"/>
          <w:marRight w:val="0"/>
          <w:marTop w:val="0"/>
          <w:marBottom w:val="0"/>
          <w:divBdr>
            <w:top w:val="none" w:sz="0" w:space="0" w:color="auto"/>
            <w:left w:val="none" w:sz="0" w:space="0" w:color="auto"/>
            <w:bottom w:val="none" w:sz="0" w:space="0" w:color="auto"/>
            <w:right w:val="none" w:sz="0" w:space="0" w:color="auto"/>
          </w:divBdr>
        </w:div>
      </w:divsChild>
    </w:div>
    <w:div w:id="75519100">
      <w:bodyDiv w:val="1"/>
      <w:marLeft w:val="0"/>
      <w:marRight w:val="0"/>
      <w:marTop w:val="0"/>
      <w:marBottom w:val="0"/>
      <w:divBdr>
        <w:top w:val="none" w:sz="0" w:space="0" w:color="auto"/>
        <w:left w:val="none" w:sz="0" w:space="0" w:color="auto"/>
        <w:bottom w:val="none" w:sz="0" w:space="0" w:color="auto"/>
        <w:right w:val="none" w:sz="0" w:space="0" w:color="auto"/>
      </w:divBdr>
    </w:div>
    <w:div w:id="206725687">
      <w:bodyDiv w:val="1"/>
      <w:marLeft w:val="0"/>
      <w:marRight w:val="0"/>
      <w:marTop w:val="0"/>
      <w:marBottom w:val="0"/>
      <w:divBdr>
        <w:top w:val="none" w:sz="0" w:space="0" w:color="auto"/>
        <w:left w:val="none" w:sz="0" w:space="0" w:color="auto"/>
        <w:bottom w:val="none" w:sz="0" w:space="0" w:color="auto"/>
        <w:right w:val="none" w:sz="0" w:space="0" w:color="auto"/>
      </w:divBdr>
    </w:div>
    <w:div w:id="270207649">
      <w:bodyDiv w:val="1"/>
      <w:marLeft w:val="0"/>
      <w:marRight w:val="0"/>
      <w:marTop w:val="0"/>
      <w:marBottom w:val="0"/>
      <w:divBdr>
        <w:top w:val="none" w:sz="0" w:space="0" w:color="auto"/>
        <w:left w:val="none" w:sz="0" w:space="0" w:color="auto"/>
        <w:bottom w:val="none" w:sz="0" w:space="0" w:color="auto"/>
        <w:right w:val="none" w:sz="0" w:space="0" w:color="auto"/>
      </w:divBdr>
      <w:divsChild>
        <w:div w:id="1603417646">
          <w:marLeft w:val="0"/>
          <w:marRight w:val="0"/>
          <w:marTop w:val="0"/>
          <w:marBottom w:val="0"/>
          <w:divBdr>
            <w:top w:val="none" w:sz="0" w:space="0" w:color="auto"/>
            <w:left w:val="none" w:sz="0" w:space="0" w:color="auto"/>
            <w:bottom w:val="none" w:sz="0" w:space="0" w:color="auto"/>
            <w:right w:val="none" w:sz="0" w:space="0" w:color="auto"/>
          </w:divBdr>
        </w:div>
      </w:divsChild>
    </w:div>
    <w:div w:id="362748106">
      <w:bodyDiv w:val="1"/>
      <w:marLeft w:val="0"/>
      <w:marRight w:val="0"/>
      <w:marTop w:val="0"/>
      <w:marBottom w:val="0"/>
      <w:divBdr>
        <w:top w:val="none" w:sz="0" w:space="0" w:color="auto"/>
        <w:left w:val="none" w:sz="0" w:space="0" w:color="auto"/>
        <w:bottom w:val="none" w:sz="0" w:space="0" w:color="auto"/>
        <w:right w:val="none" w:sz="0" w:space="0" w:color="auto"/>
      </w:divBdr>
    </w:div>
    <w:div w:id="393429227">
      <w:bodyDiv w:val="1"/>
      <w:marLeft w:val="0"/>
      <w:marRight w:val="0"/>
      <w:marTop w:val="0"/>
      <w:marBottom w:val="0"/>
      <w:divBdr>
        <w:top w:val="none" w:sz="0" w:space="0" w:color="auto"/>
        <w:left w:val="none" w:sz="0" w:space="0" w:color="auto"/>
        <w:bottom w:val="none" w:sz="0" w:space="0" w:color="auto"/>
        <w:right w:val="none" w:sz="0" w:space="0" w:color="auto"/>
      </w:divBdr>
      <w:divsChild>
        <w:div w:id="1408067211">
          <w:marLeft w:val="0"/>
          <w:marRight w:val="0"/>
          <w:marTop w:val="0"/>
          <w:marBottom w:val="0"/>
          <w:divBdr>
            <w:top w:val="none" w:sz="0" w:space="0" w:color="auto"/>
            <w:left w:val="none" w:sz="0" w:space="0" w:color="auto"/>
            <w:bottom w:val="none" w:sz="0" w:space="0" w:color="auto"/>
            <w:right w:val="none" w:sz="0" w:space="0" w:color="auto"/>
          </w:divBdr>
        </w:div>
      </w:divsChild>
    </w:div>
    <w:div w:id="444540441">
      <w:bodyDiv w:val="1"/>
      <w:marLeft w:val="0"/>
      <w:marRight w:val="0"/>
      <w:marTop w:val="0"/>
      <w:marBottom w:val="0"/>
      <w:divBdr>
        <w:top w:val="none" w:sz="0" w:space="0" w:color="auto"/>
        <w:left w:val="none" w:sz="0" w:space="0" w:color="auto"/>
        <w:bottom w:val="none" w:sz="0" w:space="0" w:color="auto"/>
        <w:right w:val="none" w:sz="0" w:space="0" w:color="auto"/>
      </w:divBdr>
    </w:div>
    <w:div w:id="457726954">
      <w:bodyDiv w:val="1"/>
      <w:marLeft w:val="0"/>
      <w:marRight w:val="0"/>
      <w:marTop w:val="0"/>
      <w:marBottom w:val="0"/>
      <w:divBdr>
        <w:top w:val="none" w:sz="0" w:space="0" w:color="auto"/>
        <w:left w:val="none" w:sz="0" w:space="0" w:color="auto"/>
        <w:bottom w:val="none" w:sz="0" w:space="0" w:color="auto"/>
        <w:right w:val="none" w:sz="0" w:space="0" w:color="auto"/>
      </w:divBdr>
      <w:divsChild>
        <w:div w:id="1565985336">
          <w:marLeft w:val="0"/>
          <w:marRight w:val="0"/>
          <w:marTop w:val="0"/>
          <w:marBottom w:val="0"/>
          <w:divBdr>
            <w:top w:val="none" w:sz="0" w:space="0" w:color="auto"/>
            <w:left w:val="none" w:sz="0" w:space="0" w:color="auto"/>
            <w:bottom w:val="none" w:sz="0" w:space="0" w:color="auto"/>
            <w:right w:val="none" w:sz="0" w:space="0" w:color="auto"/>
          </w:divBdr>
        </w:div>
      </w:divsChild>
    </w:div>
    <w:div w:id="467360755">
      <w:bodyDiv w:val="1"/>
      <w:marLeft w:val="0"/>
      <w:marRight w:val="0"/>
      <w:marTop w:val="0"/>
      <w:marBottom w:val="0"/>
      <w:divBdr>
        <w:top w:val="none" w:sz="0" w:space="0" w:color="auto"/>
        <w:left w:val="none" w:sz="0" w:space="0" w:color="auto"/>
        <w:bottom w:val="none" w:sz="0" w:space="0" w:color="auto"/>
        <w:right w:val="none" w:sz="0" w:space="0" w:color="auto"/>
      </w:divBdr>
      <w:divsChild>
        <w:div w:id="2064476672">
          <w:marLeft w:val="0"/>
          <w:marRight w:val="0"/>
          <w:marTop w:val="0"/>
          <w:marBottom w:val="0"/>
          <w:divBdr>
            <w:top w:val="none" w:sz="0" w:space="0" w:color="auto"/>
            <w:left w:val="none" w:sz="0" w:space="0" w:color="auto"/>
            <w:bottom w:val="none" w:sz="0" w:space="0" w:color="auto"/>
            <w:right w:val="none" w:sz="0" w:space="0" w:color="auto"/>
          </w:divBdr>
        </w:div>
      </w:divsChild>
    </w:div>
    <w:div w:id="522286906">
      <w:bodyDiv w:val="1"/>
      <w:marLeft w:val="0"/>
      <w:marRight w:val="0"/>
      <w:marTop w:val="0"/>
      <w:marBottom w:val="0"/>
      <w:divBdr>
        <w:top w:val="none" w:sz="0" w:space="0" w:color="auto"/>
        <w:left w:val="none" w:sz="0" w:space="0" w:color="auto"/>
        <w:bottom w:val="none" w:sz="0" w:space="0" w:color="auto"/>
        <w:right w:val="none" w:sz="0" w:space="0" w:color="auto"/>
      </w:divBdr>
      <w:divsChild>
        <w:div w:id="301430299">
          <w:marLeft w:val="0"/>
          <w:marRight w:val="0"/>
          <w:marTop w:val="0"/>
          <w:marBottom w:val="0"/>
          <w:divBdr>
            <w:top w:val="none" w:sz="0" w:space="0" w:color="auto"/>
            <w:left w:val="none" w:sz="0" w:space="0" w:color="auto"/>
            <w:bottom w:val="none" w:sz="0" w:space="0" w:color="auto"/>
            <w:right w:val="none" w:sz="0" w:space="0" w:color="auto"/>
          </w:divBdr>
        </w:div>
      </w:divsChild>
    </w:div>
    <w:div w:id="523783285">
      <w:bodyDiv w:val="1"/>
      <w:marLeft w:val="0"/>
      <w:marRight w:val="0"/>
      <w:marTop w:val="0"/>
      <w:marBottom w:val="0"/>
      <w:divBdr>
        <w:top w:val="none" w:sz="0" w:space="0" w:color="auto"/>
        <w:left w:val="none" w:sz="0" w:space="0" w:color="auto"/>
        <w:bottom w:val="none" w:sz="0" w:space="0" w:color="auto"/>
        <w:right w:val="none" w:sz="0" w:space="0" w:color="auto"/>
      </w:divBdr>
      <w:divsChild>
        <w:div w:id="1490829748">
          <w:marLeft w:val="0"/>
          <w:marRight w:val="0"/>
          <w:marTop w:val="0"/>
          <w:marBottom w:val="0"/>
          <w:divBdr>
            <w:top w:val="none" w:sz="0" w:space="0" w:color="auto"/>
            <w:left w:val="none" w:sz="0" w:space="0" w:color="auto"/>
            <w:bottom w:val="none" w:sz="0" w:space="0" w:color="auto"/>
            <w:right w:val="none" w:sz="0" w:space="0" w:color="auto"/>
          </w:divBdr>
        </w:div>
      </w:divsChild>
    </w:div>
    <w:div w:id="610750295">
      <w:bodyDiv w:val="1"/>
      <w:marLeft w:val="0"/>
      <w:marRight w:val="0"/>
      <w:marTop w:val="0"/>
      <w:marBottom w:val="0"/>
      <w:divBdr>
        <w:top w:val="none" w:sz="0" w:space="0" w:color="auto"/>
        <w:left w:val="none" w:sz="0" w:space="0" w:color="auto"/>
        <w:bottom w:val="none" w:sz="0" w:space="0" w:color="auto"/>
        <w:right w:val="none" w:sz="0" w:space="0" w:color="auto"/>
      </w:divBdr>
      <w:divsChild>
        <w:div w:id="1200973532">
          <w:marLeft w:val="0"/>
          <w:marRight w:val="0"/>
          <w:marTop w:val="0"/>
          <w:marBottom w:val="0"/>
          <w:divBdr>
            <w:top w:val="none" w:sz="0" w:space="0" w:color="auto"/>
            <w:left w:val="none" w:sz="0" w:space="0" w:color="auto"/>
            <w:bottom w:val="none" w:sz="0" w:space="0" w:color="auto"/>
            <w:right w:val="none" w:sz="0" w:space="0" w:color="auto"/>
          </w:divBdr>
        </w:div>
      </w:divsChild>
    </w:div>
    <w:div w:id="726340558">
      <w:bodyDiv w:val="1"/>
      <w:marLeft w:val="0"/>
      <w:marRight w:val="0"/>
      <w:marTop w:val="0"/>
      <w:marBottom w:val="0"/>
      <w:divBdr>
        <w:top w:val="none" w:sz="0" w:space="0" w:color="auto"/>
        <w:left w:val="none" w:sz="0" w:space="0" w:color="auto"/>
        <w:bottom w:val="none" w:sz="0" w:space="0" w:color="auto"/>
        <w:right w:val="none" w:sz="0" w:space="0" w:color="auto"/>
      </w:divBdr>
      <w:divsChild>
        <w:div w:id="266812852">
          <w:marLeft w:val="0"/>
          <w:marRight w:val="0"/>
          <w:marTop w:val="0"/>
          <w:marBottom w:val="0"/>
          <w:divBdr>
            <w:top w:val="none" w:sz="0" w:space="0" w:color="auto"/>
            <w:left w:val="none" w:sz="0" w:space="0" w:color="auto"/>
            <w:bottom w:val="none" w:sz="0" w:space="0" w:color="auto"/>
            <w:right w:val="none" w:sz="0" w:space="0" w:color="auto"/>
          </w:divBdr>
          <w:divsChild>
            <w:div w:id="1836148133">
              <w:marLeft w:val="0"/>
              <w:marRight w:val="0"/>
              <w:marTop w:val="0"/>
              <w:marBottom w:val="0"/>
              <w:divBdr>
                <w:top w:val="none" w:sz="0" w:space="0" w:color="auto"/>
                <w:left w:val="none" w:sz="0" w:space="0" w:color="auto"/>
                <w:bottom w:val="none" w:sz="0" w:space="0" w:color="auto"/>
                <w:right w:val="none" w:sz="0" w:space="0" w:color="auto"/>
              </w:divBdr>
              <w:divsChild>
                <w:div w:id="1726830601">
                  <w:marLeft w:val="0"/>
                  <w:marRight w:val="0"/>
                  <w:marTop w:val="0"/>
                  <w:marBottom w:val="0"/>
                  <w:divBdr>
                    <w:top w:val="none" w:sz="0" w:space="0" w:color="auto"/>
                    <w:left w:val="none" w:sz="0" w:space="0" w:color="auto"/>
                    <w:bottom w:val="none" w:sz="0" w:space="0" w:color="auto"/>
                    <w:right w:val="none" w:sz="0" w:space="0" w:color="auto"/>
                  </w:divBdr>
                  <w:divsChild>
                    <w:div w:id="686835796">
                      <w:marLeft w:val="0"/>
                      <w:marRight w:val="0"/>
                      <w:marTop w:val="0"/>
                      <w:marBottom w:val="0"/>
                      <w:divBdr>
                        <w:top w:val="none" w:sz="0" w:space="0" w:color="auto"/>
                        <w:left w:val="none" w:sz="0" w:space="0" w:color="auto"/>
                        <w:bottom w:val="none" w:sz="0" w:space="0" w:color="auto"/>
                        <w:right w:val="none" w:sz="0" w:space="0" w:color="auto"/>
                      </w:divBdr>
                      <w:divsChild>
                        <w:div w:id="1669405739">
                          <w:marLeft w:val="0"/>
                          <w:marRight w:val="0"/>
                          <w:marTop w:val="0"/>
                          <w:marBottom w:val="0"/>
                          <w:divBdr>
                            <w:top w:val="none" w:sz="0" w:space="0" w:color="auto"/>
                            <w:left w:val="none" w:sz="0" w:space="0" w:color="auto"/>
                            <w:bottom w:val="none" w:sz="0" w:space="0" w:color="auto"/>
                            <w:right w:val="none" w:sz="0" w:space="0" w:color="auto"/>
                          </w:divBdr>
                          <w:divsChild>
                            <w:div w:id="285892073">
                              <w:marLeft w:val="0"/>
                              <w:marRight w:val="0"/>
                              <w:marTop w:val="0"/>
                              <w:marBottom w:val="0"/>
                              <w:divBdr>
                                <w:top w:val="none" w:sz="0" w:space="0" w:color="auto"/>
                                <w:left w:val="none" w:sz="0" w:space="0" w:color="auto"/>
                                <w:bottom w:val="none" w:sz="0" w:space="0" w:color="auto"/>
                                <w:right w:val="none" w:sz="0" w:space="0" w:color="auto"/>
                              </w:divBdr>
                              <w:divsChild>
                                <w:div w:id="111018948">
                                  <w:marLeft w:val="0"/>
                                  <w:marRight w:val="0"/>
                                  <w:marTop w:val="0"/>
                                  <w:marBottom w:val="0"/>
                                  <w:divBdr>
                                    <w:top w:val="none" w:sz="0" w:space="0" w:color="auto"/>
                                    <w:left w:val="none" w:sz="0" w:space="0" w:color="auto"/>
                                    <w:bottom w:val="none" w:sz="0" w:space="0" w:color="auto"/>
                                    <w:right w:val="none" w:sz="0" w:space="0" w:color="auto"/>
                                  </w:divBdr>
                                  <w:divsChild>
                                    <w:div w:id="561258151">
                                      <w:marLeft w:val="0"/>
                                      <w:marRight w:val="0"/>
                                      <w:marTop w:val="0"/>
                                      <w:marBottom w:val="0"/>
                                      <w:divBdr>
                                        <w:top w:val="none" w:sz="0" w:space="0" w:color="auto"/>
                                        <w:left w:val="none" w:sz="0" w:space="0" w:color="auto"/>
                                        <w:bottom w:val="none" w:sz="0" w:space="0" w:color="auto"/>
                                        <w:right w:val="none" w:sz="0" w:space="0" w:color="auto"/>
                                      </w:divBdr>
                                      <w:divsChild>
                                        <w:div w:id="1982616166">
                                          <w:marLeft w:val="0"/>
                                          <w:marRight w:val="0"/>
                                          <w:marTop w:val="0"/>
                                          <w:marBottom w:val="0"/>
                                          <w:divBdr>
                                            <w:top w:val="none" w:sz="0" w:space="0" w:color="auto"/>
                                            <w:left w:val="none" w:sz="0" w:space="0" w:color="auto"/>
                                            <w:bottom w:val="none" w:sz="0" w:space="0" w:color="auto"/>
                                            <w:right w:val="none" w:sz="0" w:space="0" w:color="auto"/>
                                          </w:divBdr>
                                          <w:divsChild>
                                            <w:div w:id="25756422">
                                              <w:marLeft w:val="0"/>
                                              <w:marRight w:val="0"/>
                                              <w:marTop w:val="0"/>
                                              <w:marBottom w:val="0"/>
                                              <w:divBdr>
                                                <w:top w:val="none" w:sz="0" w:space="0" w:color="auto"/>
                                                <w:left w:val="none" w:sz="0" w:space="0" w:color="auto"/>
                                                <w:bottom w:val="none" w:sz="0" w:space="0" w:color="auto"/>
                                                <w:right w:val="none" w:sz="0" w:space="0" w:color="auto"/>
                                              </w:divBdr>
                                              <w:divsChild>
                                                <w:div w:id="1712609456">
                                                  <w:marLeft w:val="0"/>
                                                  <w:marRight w:val="0"/>
                                                  <w:marTop w:val="0"/>
                                                  <w:marBottom w:val="0"/>
                                                  <w:divBdr>
                                                    <w:top w:val="none" w:sz="0" w:space="0" w:color="auto"/>
                                                    <w:left w:val="none" w:sz="0" w:space="0" w:color="auto"/>
                                                    <w:bottom w:val="none" w:sz="0" w:space="0" w:color="auto"/>
                                                    <w:right w:val="none" w:sz="0" w:space="0" w:color="auto"/>
                                                  </w:divBdr>
                                                  <w:divsChild>
                                                    <w:div w:id="1463962418">
                                                      <w:marLeft w:val="0"/>
                                                      <w:marRight w:val="0"/>
                                                      <w:marTop w:val="0"/>
                                                      <w:marBottom w:val="0"/>
                                                      <w:divBdr>
                                                        <w:top w:val="none" w:sz="0" w:space="0" w:color="auto"/>
                                                        <w:left w:val="none" w:sz="0" w:space="0" w:color="auto"/>
                                                        <w:bottom w:val="none" w:sz="0" w:space="0" w:color="auto"/>
                                                        <w:right w:val="none" w:sz="0" w:space="0" w:color="auto"/>
                                                      </w:divBdr>
                                                      <w:divsChild>
                                                        <w:div w:id="95113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1607732">
          <w:marLeft w:val="0"/>
          <w:marRight w:val="0"/>
          <w:marTop w:val="0"/>
          <w:marBottom w:val="0"/>
          <w:divBdr>
            <w:top w:val="none" w:sz="0" w:space="0" w:color="auto"/>
            <w:left w:val="none" w:sz="0" w:space="0" w:color="auto"/>
            <w:bottom w:val="none" w:sz="0" w:space="0" w:color="auto"/>
            <w:right w:val="none" w:sz="0" w:space="0" w:color="auto"/>
          </w:divBdr>
          <w:divsChild>
            <w:div w:id="2047944321">
              <w:marLeft w:val="0"/>
              <w:marRight w:val="0"/>
              <w:marTop w:val="0"/>
              <w:marBottom w:val="0"/>
              <w:divBdr>
                <w:top w:val="none" w:sz="0" w:space="0" w:color="auto"/>
                <w:left w:val="none" w:sz="0" w:space="0" w:color="auto"/>
                <w:bottom w:val="none" w:sz="0" w:space="0" w:color="auto"/>
                <w:right w:val="none" w:sz="0" w:space="0" w:color="auto"/>
              </w:divBdr>
              <w:divsChild>
                <w:div w:id="132994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483932">
      <w:bodyDiv w:val="1"/>
      <w:marLeft w:val="0"/>
      <w:marRight w:val="0"/>
      <w:marTop w:val="0"/>
      <w:marBottom w:val="0"/>
      <w:divBdr>
        <w:top w:val="none" w:sz="0" w:space="0" w:color="auto"/>
        <w:left w:val="none" w:sz="0" w:space="0" w:color="auto"/>
        <w:bottom w:val="none" w:sz="0" w:space="0" w:color="auto"/>
        <w:right w:val="none" w:sz="0" w:space="0" w:color="auto"/>
      </w:divBdr>
      <w:divsChild>
        <w:div w:id="658387819">
          <w:marLeft w:val="0"/>
          <w:marRight w:val="0"/>
          <w:marTop w:val="0"/>
          <w:marBottom w:val="0"/>
          <w:divBdr>
            <w:top w:val="none" w:sz="0" w:space="0" w:color="auto"/>
            <w:left w:val="none" w:sz="0" w:space="0" w:color="auto"/>
            <w:bottom w:val="none" w:sz="0" w:space="0" w:color="auto"/>
            <w:right w:val="none" w:sz="0" w:space="0" w:color="auto"/>
          </w:divBdr>
        </w:div>
      </w:divsChild>
    </w:div>
    <w:div w:id="809982089">
      <w:bodyDiv w:val="1"/>
      <w:marLeft w:val="0"/>
      <w:marRight w:val="0"/>
      <w:marTop w:val="0"/>
      <w:marBottom w:val="0"/>
      <w:divBdr>
        <w:top w:val="none" w:sz="0" w:space="0" w:color="auto"/>
        <w:left w:val="none" w:sz="0" w:space="0" w:color="auto"/>
        <w:bottom w:val="none" w:sz="0" w:space="0" w:color="auto"/>
        <w:right w:val="none" w:sz="0" w:space="0" w:color="auto"/>
      </w:divBdr>
      <w:divsChild>
        <w:div w:id="298269341">
          <w:marLeft w:val="0"/>
          <w:marRight w:val="0"/>
          <w:marTop w:val="0"/>
          <w:marBottom w:val="0"/>
          <w:divBdr>
            <w:top w:val="none" w:sz="0" w:space="0" w:color="auto"/>
            <w:left w:val="none" w:sz="0" w:space="0" w:color="auto"/>
            <w:bottom w:val="none" w:sz="0" w:space="0" w:color="auto"/>
            <w:right w:val="none" w:sz="0" w:space="0" w:color="auto"/>
          </w:divBdr>
        </w:div>
      </w:divsChild>
    </w:div>
    <w:div w:id="881870003">
      <w:bodyDiv w:val="1"/>
      <w:marLeft w:val="0"/>
      <w:marRight w:val="0"/>
      <w:marTop w:val="0"/>
      <w:marBottom w:val="0"/>
      <w:divBdr>
        <w:top w:val="none" w:sz="0" w:space="0" w:color="auto"/>
        <w:left w:val="none" w:sz="0" w:space="0" w:color="auto"/>
        <w:bottom w:val="none" w:sz="0" w:space="0" w:color="auto"/>
        <w:right w:val="none" w:sz="0" w:space="0" w:color="auto"/>
      </w:divBdr>
      <w:divsChild>
        <w:div w:id="1359576601">
          <w:marLeft w:val="0"/>
          <w:marRight w:val="0"/>
          <w:marTop w:val="0"/>
          <w:marBottom w:val="0"/>
          <w:divBdr>
            <w:top w:val="none" w:sz="0" w:space="0" w:color="auto"/>
            <w:left w:val="none" w:sz="0" w:space="0" w:color="auto"/>
            <w:bottom w:val="none" w:sz="0" w:space="0" w:color="auto"/>
            <w:right w:val="none" w:sz="0" w:space="0" w:color="auto"/>
          </w:divBdr>
        </w:div>
      </w:divsChild>
    </w:div>
    <w:div w:id="887642570">
      <w:bodyDiv w:val="1"/>
      <w:marLeft w:val="0"/>
      <w:marRight w:val="0"/>
      <w:marTop w:val="0"/>
      <w:marBottom w:val="0"/>
      <w:divBdr>
        <w:top w:val="none" w:sz="0" w:space="0" w:color="auto"/>
        <w:left w:val="none" w:sz="0" w:space="0" w:color="auto"/>
        <w:bottom w:val="none" w:sz="0" w:space="0" w:color="auto"/>
        <w:right w:val="none" w:sz="0" w:space="0" w:color="auto"/>
      </w:divBdr>
      <w:divsChild>
        <w:div w:id="2112627492">
          <w:marLeft w:val="0"/>
          <w:marRight w:val="0"/>
          <w:marTop w:val="0"/>
          <w:marBottom w:val="0"/>
          <w:divBdr>
            <w:top w:val="none" w:sz="0" w:space="0" w:color="auto"/>
            <w:left w:val="none" w:sz="0" w:space="0" w:color="auto"/>
            <w:bottom w:val="none" w:sz="0" w:space="0" w:color="auto"/>
            <w:right w:val="none" w:sz="0" w:space="0" w:color="auto"/>
          </w:divBdr>
        </w:div>
      </w:divsChild>
    </w:div>
    <w:div w:id="907345953">
      <w:bodyDiv w:val="1"/>
      <w:marLeft w:val="0"/>
      <w:marRight w:val="0"/>
      <w:marTop w:val="0"/>
      <w:marBottom w:val="0"/>
      <w:divBdr>
        <w:top w:val="none" w:sz="0" w:space="0" w:color="auto"/>
        <w:left w:val="none" w:sz="0" w:space="0" w:color="auto"/>
        <w:bottom w:val="none" w:sz="0" w:space="0" w:color="auto"/>
        <w:right w:val="none" w:sz="0" w:space="0" w:color="auto"/>
      </w:divBdr>
      <w:divsChild>
        <w:div w:id="533733389">
          <w:marLeft w:val="0"/>
          <w:marRight w:val="0"/>
          <w:marTop w:val="0"/>
          <w:marBottom w:val="0"/>
          <w:divBdr>
            <w:top w:val="none" w:sz="0" w:space="0" w:color="auto"/>
            <w:left w:val="none" w:sz="0" w:space="0" w:color="auto"/>
            <w:bottom w:val="none" w:sz="0" w:space="0" w:color="auto"/>
            <w:right w:val="none" w:sz="0" w:space="0" w:color="auto"/>
          </w:divBdr>
        </w:div>
      </w:divsChild>
    </w:div>
    <w:div w:id="1101534758">
      <w:bodyDiv w:val="1"/>
      <w:marLeft w:val="0"/>
      <w:marRight w:val="0"/>
      <w:marTop w:val="0"/>
      <w:marBottom w:val="0"/>
      <w:divBdr>
        <w:top w:val="none" w:sz="0" w:space="0" w:color="auto"/>
        <w:left w:val="none" w:sz="0" w:space="0" w:color="auto"/>
        <w:bottom w:val="none" w:sz="0" w:space="0" w:color="auto"/>
        <w:right w:val="none" w:sz="0" w:space="0" w:color="auto"/>
      </w:divBdr>
    </w:div>
    <w:div w:id="1220284271">
      <w:bodyDiv w:val="1"/>
      <w:marLeft w:val="0"/>
      <w:marRight w:val="0"/>
      <w:marTop w:val="0"/>
      <w:marBottom w:val="0"/>
      <w:divBdr>
        <w:top w:val="none" w:sz="0" w:space="0" w:color="auto"/>
        <w:left w:val="none" w:sz="0" w:space="0" w:color="auto"/>
        <w:bottom w:val="none" w:sz="0" w:space="0" w:color="auto"/>
        <w:right w:val="none" w:sz="0" w:space="0" w:color="auto"/>
      </w:divBdr>
    </w:div>
    <w:div w:id="1226843438">
      <w:bodyDiv w:val="1"/>
      <w:marLeft w:val="0"/>
      <w:marRight w:val="0"/>
      <w:marTop w:val="0"/>
      <w:marBottom w:val="0"/>
      <w:divBdr>
        <w:top w:val="none" w:sz="0" w:space="0" w:color="auto"/>
        <w:left w:val="none" w:sz="0" w:space="0" w:color="auto"/>
        <w:bottom w:val="none" w:sz="0" w:space="0" w:color="auto"/>
        <w:right w:val="none" w:sz="0" w:space="0" w:color="auto"/>
      </w:divBdr>
      <w:divsChild>
        <w:div w:id="796220134">
          <w:marLeft w:val="0"/>
          <w:marRight w:val="0"/>
          <w:marTop w:val="0"/>
          <w:marBottom w:val="0"/>
          <w:divBdr>
            <w:top w:val="none" w:sz="0" w:space="0" w:color="auto"/>
            <w:left w:val="none" w:sz="0" w:space="0" w:color="auto"/>
            <w:bottom w:val="none" w:sz="0" w:space="0" w:color="auto"/>
            <w:right w:val="none" w:sz="0" w:space="0" w:color="auto"/>
          </w:divBdr>
        </w:div>
      </w:divsChild>
    </w:div>
    <w:div w:id="1233931769">
      <w:bodyDiv w:val="1"/>
      <w:marLeft w:val="0"/>
      <w:marRight w:val="0"/>
      <w:marTop w:val="0"/>
      <w:marBottom w:val="0"/>
      <w:divBdr>
        <w:top w:val="none" w:sz="0" w:space="0" w:color="auto"/>
        <w:left w:val="none" w:sz="0" w:space="0" w:color="auto"/>
        <w:bottom w:val="none" w:sz="0" w:space="0" w:color="auto"/>
        <w:right w:val="none" w:sz="0" w:space="0" w:color="auto"/>
      </w:divBdr>
      <w:divsChild>
        <w:div w:id="249393275">
          <w:marLeft w:val="0"/>
          <w:marRight w:val="0"/>
          <w:marTop w:val="0"/>
          <w:marBottom w:val="0"/>
          <w:divBdr>
            <w:top w:val="none" w:sz="0" w:space="0" w:color="auto"/>
            <w:left w:val="none" w:sz="0" w:space="0" w:color="auto"/>
            <w:bottom w:val="none" w:sz="0" w:space="0" w:color="auto"/>
            <w:right w:val="none" w:sz="0" w:space="0" w:color="auto"/>
          </w:divBdr>
          <w:divsChild>
            <w:div w:id="2058971998">
              <w:marLeft w:val="0"/>
              <w:marRight w:val="0"/>
              <w:marTop w:val="0"/>
              <w:marBottom w:val="0"/>
              <w:divBdr>
                <w:top w:val="none" w:sz="0" w:space="0" w:color="auto"/>
                <w:left w:val="none" w:sz="0" w:space="0" w:color="auto"/>
                <w:bottom w:val="none" w:sz="0" w:space="0" w:color="auto"/>
                <w:right w:val="none" w:sz="0" w:space="0" w:color="auto"/>
              </w:divBdr>
              <w:divsChild>
                <w:div w:id="87026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992875">
      <w:bodyDiv w:val="1"/>
      <w:marLeft w:val="0"/>
      <w:marRight w:val="0"/>
      <w:marTop w:val="0"/>
      <w:marBottom w:val="0"/>
      <w:divBdr>
        <w:top w:val="none" w:sz="0" w:space="0" w:color="auto"/>
        <w:left w:val="none" w:sz="0" w:space="0" w:color="auto"/>
        <w:bottom w:val="none" w:sz="0" w:space="0" w:color="auto"/>
        <w:right w:val="none" w:sz="0" w:space="0" w:color="auto"/>
      </w:divBdr>
      <w:divsChild>
        <w:div w:id="835537146">
          <w:marLeft w:val="0"/>
          <w:marRight w:val="0"/>
          <w:marTop w:val="0"/>
          <w:marBottom w:val="0"/>
          <w:divBdr>
            <w:top w:val="none" w:sz="0" w:space="0" w:color="auto"/>
            <w:left w:val="none" w:sz="0" w:space="0" w:color="auto"/>
            <w:bottom w:val="none" w:sz="0" w:space="0" w:color="auto"/>
            <w:right w:val="none" w:sz="0" w:space="0" w:color="auto"/>
          </w:divBdr>
        </w:div>
      </w:divsChild>
    </w:div>
    <w:div w:id="1480803843">
      <w:bodyDiv w:val="1"/>
      <w:marLeft w:val="0"/>
      <w:marRight w:val="0"/>
      <w:marTop w:val="0"/>
      <w:marBottom w:val="0"/>
      <w:divBdr>
        <w:top w:val="none" w:sz="0" w:space="0" w:color="auto"/>
        <w:left w:val="none" w:sz="0" w:space="0" w:color="auto"/>
        <w:bottom w:val="none" w:sz="0" w:space="0" w:color="auto"/>
        <w:right w:val="none" w:sz="0" w:space="0" w:color="auto"/>
      </w:divBdr>
    </w:div>
    <w:div w:id="1497302620">
      <w:bodyDiv w:val="1"/>
      <w:marLeft w:val="0"/>
      <w:marRight w:val="0"/>
      <w:marTop w:val="0"/>
      <w:marBottom w:val="0"/>
      <w:divBdr>
        <w:top w:val="none" w:sz="0" w:space="0" w:color="auto"/>
        <w:left w:val="none" w:sz="0" w:space="0" w:color="auto"/>
        <w:bottom w:val="none" w:sz="0" w:space="0" w:color="auto"/>
        <w:right w:val="none" w:sz="0" w:space="0" w:color="auto"/>
      </w:divBdr>
    </w:div>
    <w:div w:id="1524902043">
      <w:bodyDiv w:val="1"/>
      <w:marLeft w:val="0"/>
      <w:marRight w:val="0"/>
      <w:marTop w:val="0"/>
      <w:marBottom w:val="0"/>
      <w:divBdr>
        <w:top w:val="none" w:sz="0" w:space="0" w:color="auto"/>
        <w:left w:val="none" w:sz="0" w:space="0" w:color="auto"/>
        <w:bottom w:val="none" w:sz="0" w:space="0" w:color="auto"/>
        <w:right w:val="none" w:sz="0" w:space="0" w:color="auto"/>
      </w:divBdr>
    </w:div>
    <w:div w:id="1778863699">
      <w:bodyDiv w:val="1"/>
      <w:marLeft w:val="0"/>
      <w:marRight w:val="0"/>
      <w:marTop w:val="0"/>
      <w:marBottom w:val="0"/>
      <w:divBdr>
        <w:top w:val="none" w:sz="0" w:space="0" w:color="auto"/>
        <w:left w:val="none" w:sz="0" w:space="0" w:color="auto"/>
        <w:bottom w:val="none" w:sz="0" w:space="0" w:color="auto"/>
        <w:right w:val="none" w:sz="0" w:space="0" w:color="auto"/>
      </w:divBdr>
      <w:divsChild>
        <w:div w:id="1727531892">
          <w:marLeft w:val="0"/>
          <w:marRight w:val="0"/>
          <w:marTop w:val="0"/>
          <w:marBottom w:val="0"/>
          <w:divBdr>
            <w:top w:val="none" w:sz="0" w:space="0" w:color="auto"/>
            <w:left w:val="none" w:sz="0" w:space="0" w:color="auto"/>
            <w:bottom w:val="none" w:sz="0" w:space="0" w:color="auto"/>
            <w:right w:val="none" w:sz="0" w:space="0" w:color="auto"/>
          </w:divBdr>
        </w:div>
      </w:divsChild>
    </w:div>
    <w:div w:id="1783500815">
      <w:bodyDiv w:val="1"/>
      <w:marLeft w:val="0"/>
      <w:marRight w:val="0"/>
      <w:marTop w:val="0"/>
      <w:marBottom w:val="0"/>
      <w:divBdr>
        <w:top w:val="none" w:sz="0" w:space="0" w:color="auto"/>
        <w:left w:val="none" w:sz="0" w:space="0" w:color="auto"/>
        <w:bottom w:val="none" w:sz="0" w:space="0" w:color="auto"/>
        <w:right w:val="none" w:sz="0" w:space="0" w:color="auto"/>
      </w:divBdr>
      <w:divsChild>
        <w:div w:id="921715746">
          <w:marLeft w:val="0"/>
          <w:marRight w:val="0"/>
          <w:marTop w:val="0"/>
          <w:marBottom w:val="0"/>
          <w:divBdr>
            <w:top w:val="none" w:sz="0" w:space="0" w:color="auto"/>
            <w:left w:val="none" w:sz="0" w:space="0" w:color="auto"/>
            <w:bottom w:val="none" w:sz="0" w:space="0" w:color="auto"/>
            <w:right w:val="none" w:sz="0" w:space="0" w:color="auto"/>
          </w:divBdr>
        </w:div>
      </w:divsChild>
    </w:div>
    <w:div w:id="1910459469">
      <w:bodyDiv w:val="1"/>
      <w:marLeft w:val="0"/>
      <w:marRight w:val="0"/>
      <w:marTop w:val="0"/>
      <w:marBottom w:val="0"/>
      <w:divBdr>
        <w:top w:val="none" w:sz="0" w:space="0" w:color="auto"/>
        <w:left w:val="none" w:sz="0" w:space="0" w:color="auto"/>
        <w:bottom w:val="none" w:sz="0" w:space="0" w:color="auto"/>
        <w:right w:val="none" w:sz="0" w:space="0" w:color="auto"/>
      </w:divBdr>
    </w:div>
    <w:div w:id="1960065565">
      <w:bodyDiv w:val="1"/>
      <w:marLeft w:val="0"/>
      <w:marRight w:val="0"/>
      <w:marTop w:val="0"/>
      <w:marBottom w:val="0"/>
      <w:divBdr>
        <w:top w:val="none" w:sz="0" w:space="0" w:color="auto"/>
        <w:left w:val="none" w:sz="0" w:space="0" w:color="auto"/>
        <w:bottom w:val="none" w:sz="0" w:space="0" w:color="auto"/>
        <w:right w:val="none" w:sz="0" w:space="0" w:color="auto"/>
      </w:divBdr>
    </w:div>
    <w:div w:id="1981301665">
      <w:bodyDiv w:val="1"/>
      <w:marLeft w:val="0"/>
      <w:marRight w:val="0"/>
      <w:marTop w:val="0"/>
      <w:marBottom w:val="0"/>
      <w:divBdr>
        <w:top w:val="none" w:sz="0" w:space="0" w:color="auto"/>
        <w:left w:val="none" w:sz="0" w:space="0" w:color="auto"/>
        <w:bottom w:val="none" w:sz="0" w:space="0" w:color="auto"/>
        <w:right w:val="none" w:sz="0" w:space="0" w:color="auto"/>
      </w:divBdr>
    </w:div>
    <w:div w:id="2106346074">
      <w:bodyDiv w:val="1"/>
      <w:marLeft w:val="0"/>
      <w:marRight w:val="0"/>
      <w:marTop w:val="0"/>
      <w:marBottom w:val="0"/>
      <w:divBdr>
        <w:top w:val="none" w:sz="0" w:space="0" w:color="auto"/>
        <w:left w:val="none" w:sz="0" w:space="0" w:color="auto"/>
        <w:bottom w:val="none" w:sz="0" w:space="0" w:color="auto"/>
        <w:right w:val="none" w:sz="0" w:space="0" w:color="auto"/>
      </w:divBdr>
      <w:divsChild>
        <w:div w:id="1272396951">
          <w:marLeft w:val="0"/>
          <w:marRight w:val="0"/>
          <w:marTop w:val="0"/>
          <w:marBottom w:val="0"/>
          <w:divBdr>
            <w:top w:val="none" w:sz="0" w:space="0" w:color="auto"/>
            <w:left w:val="none" w:sz="0" w:space="0" w:color="auto"/>
            <w:bottom w:val="none" w:sz="0" w:space="0" w:color="auto"/>
            <w:right w:val="none" w:sz="0" w:space="0" w:color="auto"/>
          </w:divBdr>
        </w:div>
      </w:divsChild>
    </w:div>
    <w:div w:id="2130322356">
      <w:bodyDiv w:val="1"/>
      <w:marLeft w:val="0"/>
      <w:marRight w:val="0"/>
      <w:marTop w:val="0"/>
      <w:marBottom w:val="0"/>
      <w:divBdr>
        <w:top w:val="none" w:sz="0" w:space="0" w:color="auto"/>
        <w:left w:val="none" w:sz="0" w:space="0" w:color="auto"/>
        <w:bottom w:val="none" w:sz="0" w:space="0" w:color="auto"/>
        <w:right w:val="none" w:sz="0" w:space="0" w:color="auto"/>
      </w:divBdr>
      <w:divsChild>
        <w:div w:id="1720129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D01C3-C720-4070-BB48-B6E8D6D9E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2371</Words>
  <Characters>13519</Characters>
  <Application>Microsoft Office Word</Application>
  <DocSecurity>0</DocSecurity>
  <Lines>112</Lines>
  <Paragraphs>31</Paragraphs>
  <ScaleCrop>false</ScaleCrop>
  <Company/>
  <LinksUpToDate>false</LinksUpToDate>
  <CharactersWithSpaces>15859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2024-06-06T18:56:00Z</dcterms:created>
  <dcterms:modified xsi:type="dcterms:W3CDTF">2024-06-06T18:56:00Z</dcterms:modified>
</cp:coreProperties>
</file>