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r>
        <w:rPr>
          <w:sz w:val="21"/>
        </w:rPr>
        <mc:AlternateContent>
          <mc:Choice Requires="wps">
            <w:drawing>
              <wp:anchor distT="0" distB="0" distL="114300" distR="114300" simplePos="0" relativeHeight="251660288" behindDoc="0" locked="0" layoutInCell="1" allowOverlap="1">
                <wp:simplePos x="0" y="0"/>
                <wp:positionH relativeFrom="column">
                  <wp:posOffset>-716280</wp:posOffset>
                </wp:positionH>
                <wp:positionV relativeFrom="paragraph">
                  <wp:posOffset>-701040</wp:posOffset>
                </wp:positionV>
                <wp:extent cx="5060315" cy="9561195"/>
                <wp:effectExtent l="52705" t="33655" r="55880" b="82550"/>
                <wp:wrapNone/>
                <wp:docPr id="2" name="矩形 2"/>
                <wp:cNvGraphicFramePr/>
                <a:graphic xmlns:a="http://schemas.openxmlformats.org/drawingml/2006/main">
                  <a:graphicData uri="http://schemas.microsoft.com/office/word/2010/wordprocessingShape">
                    <wps:wsp>
                      <wps:cNvSpPr/>
                      <wps:spPr>
                        <a:xfrm>
                          <a:off x="179705" y="283210"/>
                          <a:ext cx="5060315" cy="9561195"/>
                        </a:xfrm>
                        <a:prstGeom prst="rect">
                          <a:avLst/>
                        </a:prstGeom>
                        <a:solidFill>
                          <a:schemeClr val="accent5">
                            <a:lumMod val="75000"/>
                          </a:schemeClr>
                        </a:solidFill>
                        <a:ln>
                          <a:solidFill>
                            <a:schemeClr val="accent5">
                              <a:lumMod val="75000"/>
                            </a:schemeClr>
                          </a:solidFill>
                        </a:ln>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6.4pt;margin-top:-55.2pt;height:752.85pt;width:398.45pt;z-index:251660288;v-text-anchor:middle;mso-width-relative:page;mso-height-relative:page;" fillcolor="#2E75B6 [2408]" filled="t" stroked="t" coordsize="21600,21600" o:gfxdata="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APQ7Y12AAAAA4BAAAPAAAAAAAAAAEAIAAAACIAAABkcnMvZG93&#10;bnJldi54bWxQSwECFAAUAAAACACHTuJAUb3SWKsCAACfBQAADgAAAAAAAAABACAAAAAnAQAAZHJz&#10;L2Uyb0RvYy54bWxQSwUGAAAAAAYABgBZAQAARAYAAAAA&#10;">
                <v:fill on="t" focussize="0,0"/>
                <v:stroke color="#2E75B6 [2408]" joinstyle="round"/>
                <v:imagedata o:title=""/>
                <o:lock v:ext="edit" aspectratio="f"/>
                <v:shadow on="t" color="#000000" opacity="41287f" offset="0pt,1.5pt" origin="0f,0f" matrix="65536f,0f,0f,65536f"/>
              </v:rect>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3970655</wp:posOffset>
                </wp:positionH>
                <wp:positionV relativeFrom="paragraph">
                  <wp:posOffset>-782955</wp:posOffset>
                </wp:positionV>
                <wp:extent cx="2668270" cy="19640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668270" cy="19640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r>
                              <w:rPr>
                                <w:rFonts w:ascii="Arial" w:hAnsi="Arial"/>
                              </w:rPr>
                              <w:drawing>
                                <wp:inline distT="0" distB="0" distL="0" distR="0">
                                  <wp:extent cx="1945005" cy="780415"/>
                                  <wp:effectExtent l="0" t="0" r="1079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2.65pt;margin-top:-61.65pt;height:154.65pt;width:210.1pt;z-index:251664384;mso-width-relative:page;mso-height-relative:page;" filled="f" stroked="f" coordsize="21600,21600" o:gfxdata="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KK/pnDcAAAADQEAAA8AAAAAAAAAAQAgAAAAIgAA&#10;AGRycy9kb3ducmV2LnhtbFBLAQIUABQAAAAIAIdO4kCYNVUxPQIAAGcEAAAOAAAAAAAAAAEAIAAA&#10;ACsBAABkcnMvZTJvRG9jLnhtbFBLBQYAAAAABgAGAFkBAADaBQAAAAA=&#10;">
                <v:fill on="f" focussize="0,0"/>
                <v:stroke on="f" weight="0.5pt"/>
                <v:imagedata o:title=""/>
                <o:lock v:ext="edit" aspectratio="f"/>
                <v:textbox>
                  <w:txbxContent>
                    <w:p>
                      <w:pPr>
                        <w:jc w:val="lef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r>
                        <w:rPr>
                          <w:rFonts w:ascii="Arial" w:hAnsi="Arial"/>
                        </w:rPr>
                        <w:drawing>
                          <wp:inline distT="0" distB="0" distL="0" distR="0">
                            <wp:extent cx="1945005" cy="780415"/>
                            <wp:effectExtent l="0" t="0" r="1079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txbxContent>
                </v:textbox>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-386080</wp:posOffset>
                </wp:positionH>
                <wp:positionV relativeFrom="paragraph">
                  <wp:posOffset>1774825</wp:posOffset>
                </wp:positionV>
                <wp:extent cx="4521835" cy="1668780"/>
                <wp:effectExtent l="0" t="0" r="0" b="0"/>
                <wp:wrapNone/>
                <wp:docPr id="8" name="文本框 8"/>
                <wp:cNvGraphicFramePr/>
                <a:graphic xmlns:a="http://schemas.openxmlformats.org/drawingml/2006/main">
                  <a:graphicData uri="http://schemas.microsoft.com/office/word/2010/wordprocessingShape">
                    <wps:wsp>
                      <wps:cNvSpPr txBox="1"/>
                      <wps:spPr>
                        <a:xfrm>
                          <a:off x="0" y="0"/>
                          <a:ext cx="4521835" cy="1668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kinsoku/>
                              <w:wordWrap/>
                              <w:overflowPunct/>
                              <w:topLinePunct w:val="0"/>
                              <w:autoSpaceDE/>
                              <w:autoSpaceDN/>
                              <w:bidi w:val="0"/>
                              <w:adjustRightInd/>
                              <w:snapToGrid/>
                              <w:spacing w:line="240" w:lineRule="auto"/>
                              <w:ind w:firstLine="0"/>
                              <w:jc w:val="center"/>
                              <w:textAlignment w:val="auto"/>
                              <w:rPr>
                                <w:rFonts w:hint="default" w:ascii="Arial" w:hAnsi="Arial" w:cs="Arial"/>
                                <w:b/>
                                <w:color w:val="FFFFFF" w:themeColor="background1"/>
                                <w:sz w:val="40"/>
                                <w:szCs w:val="40"/>
                                <w14:textFill>
                                  <w14:solidFill>
                                    <w14:schemeClr w14:val="bg1"/>
                                  </w14:solidFill>
                                </w14:textFill>
                              </w:rPr>
                            </w:pPr>
                            <w:r>
                              <w:rPr>
                                <w:rFonts w:hint="default" w:ascii="Arial" w:hAnsi="Arial" w:cs="Arial"/>
                                <w:b/>
                                <w:color w:val="FFFFFF" w:themeColor="background1"/>
                                <w:sz w:val="40"/>
                                <w:szCs w:val="40"/>
                                <w14:textFill>
                                  <w14:solidFill>
                                    <w14:schemeClr w14:val="bg1"/>
                                  </w14:solidFill>
                                </w14:textFill>
                              </w:rPr>
                              <w:t>Analysis of Pizza Hut’s Current and Future External and Internal Environments</w:t>
                            </w: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4pt;margin-top:139.75pt;height:131.4pt;width:356.05pt;z-index:251662336;mso-width-relative:page;mso-height-relative:page;" filled="f" stroked="f" coordsize="21600,21600" o:gfxdata="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vdkFT3AAAAAsBAAAPAAAAAAAAAAEAIAAAACIA&#10;AABkcnMvZG93bnJldi54bWxQSwECFAAUAAAACACHTuJAJ4EuMT4CAABnBAAADgAAAAAAAAABACAA&#10;AAArAQAAZHJzL2Uyb0RvYy54bWxQSwUGAAAAAAYABgBZAQAA2wUAAAAA&#10;">
                <v:fill on="f" focussize="0,0"/>
                <v:stroke on="f" weight="0.5pt"/>
                <v:imagedata o:title=""/>
                <o:lock v:ext="edit" aspectratio="f"/>
                <v:textbox>
                  <w:txbxContent>
                    <w:p>
                      <w:pPr>
                        <w:keepNext w:val="0"/>
                        <w:keepLines w:val="0"/>
                        <w:pageBreakBefore w:val="0"/>
                        <w:widowControl/>
                        <w:kinsoku/>
                        <w:wordWrap/>
                        <w:overflowPunct/>
                        <w:topLinePunct w:val="0"/>
                        <w:autoSpaceDE/>
                        <w:autoSpaceDN/>
                        <w:bidi w:val="0"/>
                        <w:adjustRightInd/>
                        <w:snapToGrid/>
                        <w:spacing w:line="240" w:lineRule="auto"/>
                        <w:ind w:firstLine="0"/>
                        <w:jc w:val="center"/>
                        <w:textAlignment w:val="auto"/>
                        <w:rPr>
                          <w:rFonts w:hint="default" w:ascii="Arial" w:hAnsi="Arial" w:cs="Arial"/>
                          <w:b/>
                          <w:color w:val="FFFFFF" w:themeColor="background1"/>
                          <w:sz w:val="40"/>
                          <w:szCs w:val="40"/>
                          <w14:textFill>
                            <w14:solidFill>
                              <w14:schemeClr w14:val="bg1"/>
                            </w14:solidFill>
                          </w14:textFill>
                        </w:rPr>
                      </w:pPr>
                      <w:r>
                        <w:rPr>
                          <w:rFonts w:hint="default" w:ascii="Arial" w:hAnsi="Arial" w:cs="Arial"/>
                          <w:b/>
                          <w:color w:val="FFFFFF" w:themeColor="background1"/>
                          <w:sz w:val="40"/>
                          <w:szCs w:val="40"/>
                          <w14:textFill>
                            <w14:solidFill>
                              <w14:schemeClr w14:val="bg1"/>
                            </w14:solidFill>
                          </w14:textFill>
                        </w:rPr>
                        <w:t>Analysis of Pizza Hut’s Current and Future External and Internal Environments</w:t>
                      </w:r>
                    </w:p>
                    <w:p>
                      <w:pPr>
                        <w:rPr>
                          <w:rFonts w:hint="eastAsia"/>
                          <w:lang w:val="en-US" w:eastAsia="zh-CN"/>
                        </w:rPr>
                      </w:pP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-1447800</wp:posOffset>
                </wp:positionH>
                <wp:positionV relativeFrom="paragraph">
                  <wp:posOffset>735965</wp:posOffset>
                </wp:positionV>
                <wp:extent cx="5857875" cy="1082675"/>
                <wp:effectExtent l="0" t="0" r="0" b="0"/>
                <wp:wrapNone/>
                <wp:docPr id="7" name="文本框 7"/>
                <wp:cNvGraphicFramePr/>
                <a:graphic xmlns:a="http://schemas.openxmlformats.org/drawingml/2006/main">
                  <a:graphicData uri="http://schemas.microsoft.com/office/word/2010/wordprocessingShape">
                    <wps:wsp>
                      <wps:cNvSpPr txBox="1"/>
                      <wps:spPr>
                        <a:xfrm>
                          <a:off x="0" y="0"/>
                          <a:ext cx="5857875" cy="1082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ordWrap/>
                              <w:jc w:val="center"/>
                              <w:rPr>
                                <w:rFonts w:hint="default" w:ascii="Arial" w:hAnsi="Arial" w:eastAsia="微软雅黑" w:cs="Arial"/>
                                <w:b/>
                                <w:bCs/>
                                <w:color w:val="FFFFFF" w:themeColor="background1"/>
                                <w:sz w:val="56"/>
                                <w:szCs w:val="56"/>
                                <w:lang w:val="en-US" w:eastAsia="zh-CN"/>
                                <w14:textFill>
                                  <w14:solidFill>
                                    <w14:schemeClr w14:val="bg1"/>
                                  </w14:solidFill>
                                </w14:textFill>
                              </w:rPr>
                            </w:pPr>
                            <w:r>
                              <w:rPr>
                                <w:rFonts w:hint="default" w:ascii="Arial" w:hAnsi="Arial" w:eastAsia="微软雅黑" w:cs="Arial"/>
                                <w:b/>
                                <w:bCs/>
                                <w:color w:val="FFFFFF" w:themeColor="background1"/>
                                <w:sz w:val="56"/>
                                <w:szCs w:val="56"/>
                                <w:lang w:val="en-US" w:eastAsia="zh-CN"/>
                                <w14:textFill>
                                  <w14:solidFill>
                                    <w14:schemeClr w14:val="bg1"/>
                                  </w14:solidFill>
                                </w14:textFill>
                              </w:rPr>
                              <w:t>Strategic Marketing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4pt;margin-top:57.95pt;height:85.25pt;width:461.25pt;z-index:251661312;mso-width-relative:page;mso-height-relative:page;" filled="f" stroked="f" coordsize="21600,21600" o:gfxdata="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RnvQ6dwAAAAMAQAADwAAAAAAAAABACAAAAAiAAAA&#10;ZHJzL2Rvd25yZXYueG1sUEsBAhQAFAAAAAgAh07iQJgWX/o8AgAAZwQAAA4AAAAAAAAAAQAgAAAA&#10;KwEAAGRycy9lMm9Eb2MueG1sUEsFBgAAAAAGAAYAWQEAANkFAAAAAA==&#10;">
                <v:fill on="f" focussize="0,0"/>
                <v:stroke on="f" weight="0.5pt"/>
                <v:imagedata o:title=""/>
                <o:lock v:ext="edit" aspectratio="f"/>
                <v:textbox>
                  <w:txbxContent>
                    <w:p>
                      <w:pPr>
                        <w:wordWrap/>
                        <w:jc w:val="center"/>
                        <w:rPr>
                          <w:rFonts w:hint="default" w:ascii="Arial" w:hAnsi="Arial" w:eastAsia="微软雅黑" w:cs="Arial"/>
                          <w:b/>
                          <w:bCs/>
                          <w:color w:val="FFFFFF" w:themeColor="background1"/>
                          <w:sz w:val="56"/>
                          <w:szCs w:val="56"/>
                          <w:lang w:val="en-US" w:eastAsia="zh-CN"/>
                          <w14:textFill>
                            <w14:solidFill>
                              <w14:schemeClr w14:val="bg1"/>
                            </w14:solidFill>
                          </w14:textFill>
                        </w:rPr>
                      </w:pPr>
                      <w:r>
                        <w:rPr>
                          <w:rFonts w:hint="default" w:ascii="Arial" w:hAnsi="Arial" w:eastAsia="微软雅黑" w:cs="Arial"/>
                          <w:b/>
                          <w:bCs/>
                          <w:color w:val="FFFFFF" w:themeColor="background1"/>
                          <w:sz w:val="56"/>
                          <w:szCs w:val="56"/>
                          <w:lang w:val="en-US" w:eastAsia="zh-CN"/>
                          <w14:textFill>
                            <w14:solidFill>
                              <w14:schemeClr w14:val="bg1"/>
                            </w14:solidFill>
                          </w14:textFill>
                        </w:rPr>
                        <w:t>Strategic Marketing</w:t>
                      </w:r>
                    </w:p>
                  </w:txbxContent>
                </v:textbox>
              </v:shape>
            </w:pict>
          </mc:Fallback>
        </mc:AlternateContent>
      </w:r>
    </w:p>
    <w:p>
      <w:pPr>
        <w:spacing w:after="160" w:line="259" w:lineRule="auto"/>
        <w:ind w:firstLine="0"/>
        <w:jc w:val="left"/>
        <w:rPr>
          <w:b/>
        </w:rPr>
        <w:sectPr>
          <w:headerReference r:id="rId5" w:type="default"/>
          <w:pgSz w:w="12240" w:h="15840"/>
          <w:pgMar w:top="1440" w:right="1440" w:bottom="1440" w:left="1440" w:header="720" w:footer="720" w:gutter="0"/>
          <w:pgNumType w:fmt="decimal" w:start="1"/>
          <w:cols w:space="720" w:num="1"/>
        </w:sectPr>
      </w:pPr>
      <w:r>
        <w:drawing>
          <wp:anchor distT="0" distB="0" distL="114935" distR="114935" simplePos="0" relativeHeight="251666432" behindDoc="0" locked="0" layoutInCell="1" allowOverlap="1">
            <wp:simplePos x="0" y="0"/>
            <wp:positionH relativeFrom="column">
              <wp:posOffset>2299970</wp:posOffset>
            </wp:positionH>
            <wp:positionV relativeFrom="paragraph">
              <wp:posOffset>5117465</wp:posOffset>
            </wp:positionV>
            <wp:extent cx="4337685" cy="2388870"/>
            <wp:effectExtent l="0" t="0" r="5715" b="11430"/>
            <wp:wrapNone/>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10"/>
                    <a:stretch>
                      <a:fillRect/>
                    </a:stretch>
                  </pic:blipFill>
                  <pic:spPr>
                    <a:xfrm>
                      <a:off x="0" y="0"/>
                      <a:ext cx="4337685" cy="2388870"/>
                    </a:xfrm>
                    <a:prstGeom prst="rect">
                      <a:avLst/>
                    </a:prstGeom>
                    <a:noFill/>
                    <a:ln>
                      <a:noFill/>
                    </a:ln>
                  </pic:spPr>
                </pic:pic>
              </a:graphicData>
            </a:graphic>
          </wp:anchor>
        </w:drawing>
      </w:r>
      <w:r>
        <w:rPr>
          <w:sz w:val="21"/>
        </w:rPr>
        <mc:AlternateContent>
          <mc:Choice Requires="wps">
            <w:drawing>
              <wp:anchor distT="0" distB="0" distL="114300" distR="114300" simplePos="0" relativeHeight="251663360" behindDoc="0" locked="0" layoutInCell="1" allowOverlap="1">
                <wp:simplePos x="0" y="0"/>
                <wp:positionH relativeFrom="column">
                  <wp:posOffset>1343025</wp:posOffset>
                </wp:positionH>
                <wp:positionV relativeFrom="paragraph">
                  <wp:posOffset>3969385</wp:posOffset>
                </wp:positionV>
                <wp:extent cx="2529840" cy="12573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529840" cy="1257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FFFFFF" w:themeColor="background1"/>
                                <w:sz w:val="40"/>
                                <w:szCs w:val="40"/>
                                <w:lang w:val="en-US" w:eastAsia="zh-CN"/>
                                <w14:textFill>
                                  <w14:solidFill>
                                    <w14:schemeClr w14:val="bg1"/>
                                  </w14:solidFill>
                                </w14:textFill>
                              </w:rPr>
                            </w:pPr>
                          </w:p>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5.75pt;margin-top:312.55pt;height:99pt;width:199.2pt;z-index:251663360;mso-width-relative:page;mso-height-relative:page;" filled="f" stroked="f" coordsize="21600,21600" o:gfxdata="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rILz/bAAAACwEAAA8AAAAAAAAAAQAgAAAAIgAA&#10;AGRycy9kb3ducmV2LnhtbFBLAQIUABQAAAAIAIdO4kDKYs9xPgIAAGcEAAAOAAAAAAAAAAEAIAAA&#10;ACoBAABkcnMvZTJvRG9jLnhtbFBLBQYAAAAABgAGAFkBAADaBQAAAAA=&#10;">
                <v:fill on="f" focussize="0,0"/>
                <v:stroke on="f" weight="0.5pt"/>
                <v:imagedata o:title=""/>
                <o:lock v:ext="edit" aspectratio="f"/>
                <v:textbox>
                  <w:txbxContent>
                    <w:p>
                      <w:pPr>
                        <w:jc w:val="right"/>
                        <w:rPr>
                          <w:rFonts w:hint="eastAsia" w:ascii="微软雅黑" w:hAnsi="微软雅黑" w:eastAsia="微软雅黑" w:cs="微软雅黑"/>
                          <w:color w:val="FFFFFF" w:themeColor="background1"/>
                          <w:sz w:val="40"/>
                          <w:szCs w:val="40"/>
                          <w:lang w:val="en-US" w:eastAsia="zh-CN"/>
                          <w14:textFill>
                            <w14:solidFill>
                              <w14:schemeClr w14:val="bg1"/>
                            </w14:solidFill>
                          </w14:textFill>
                        </w:rPr>
                      </w:pPr>
                    </w:p>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v:textbox>
              </v:shape>
            </w:pict>
          </mc:Fallback>
        </mc:AlternateContent>
      </w:r>
      <w:r>
        <w:rPr>
          <w:rFonts w:ascii="Arial" w:hAnsi="Arial"/>
        </w:rPr>
        <w:drawing>
          <wp:inline distT="0" distB="0" distL="0" distR="0">
            <wp:extent cx="1945005" cy="780415"/>
            <wp:effectExtent l="0" t="0" r="1079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jc w:val="both"/>
        <w:textAlignment w:val="auto"/>
        <w:rPr>
          <w:rFonts w:hint="default" w:ascii="Arial" w:hAnsi="Arial" w:cs="Arial"/>
          <w:b/>
          <w:bCs/>
          <w:sz w:val="32"/>
          <w:szCs w:val="40"/>
        </w:rPr>
      </w:pPr>
      <w:bookmarkStart w:id="0" w:name="_heading=h.gjdgxs" w:colFirst="0" w:colLast="0"/>
      <w:bookmarkEnd w:id="0"/>
      <w:r>
        <w:rPr>
          <w:rFonts w:hint="default" w:ascii="Arial" w:hAnsi="Arial" w:cs="Arial"/>
          <w:b/>
          <w:bCs/>
          <w:sz w:val="32"/>
          <w:szCs w:val="40"/>
        </w:rPr>
        <w:t>Contents</w:t>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rPr>
      </w:pP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TOC \o "1-3" \h \z \u </w:instrText>
      </w:r>
      <w:r>
        <w:rPr>
          <w:rFonts w:hint="default" w:ascii="Arial" w:hAnsi="Arial" w:cs="Arial"/>
          <w:b w:val="0"/>
          <w:bCs w:val="0"/>
          <w:sz w:val="24"/>
          <w:szCs w:val="24"/>
        </w:rPr>
        <w:fldChar w:fldCharType="separate"/>
      </w:r>
      <w:r>
        <w:rPr>
          <w:rFonts w:hint="default" w:ascii="Arial" w:hAnsi="Arial" w:cs="Arial"/>
          <w:bCs w:val="0"/>
          <w:szCs w:val="24"/>
        </w:rPr>
        <w:fldChar w:fldCharType="begin"/>
      </w:r>
      <w:r>
        <w:rPr>
          <w:rFonts w:hint="default" w:ascii="Arial" w:hAnsi="Arial" w:cs="Arial"/>
          <w:bCs w:val="0"/>
          <w:szCs w:val="24"/>
        </w:rPr>
        <w:instrText xml:space="preserve"> HYPERLINK \l _Toc23080 </w:instrText>
      </w:r>
      <w:r>
        <w:rPr>
          <w:rFonts w:hint="default" w:ascii="Arial" w:hAnsi="Arial" w:cs="Arial"/>
          <w:bCs w:val="0"/>
          <w:szCs w:val="24"/>
        </w:rPr>
        <w:fldChar w:fldCharType="separate"/>
      </w:r>
      <w:r>
        <w:rPr>
          <w:rFonts w:hint="default" w:ascii="Arial" w:hAnsi="Arial" w:eastAsia="Arial" w:cs="Arial"/>
          <w:kern w:val="2"/>
          <w:szCs w:val="24"/>
          <w:lang w:val="en-US" w:eastAsia="zh-CN"/>
        </w:rPr>
        <w:t xml:space="preserve">1 </w:t>
      </w:r>
      <w:r>
        <w:rPr>
          <w:rFonts w:hint="default" w:ascii="Arial" w:hAnsi="Arial" w:cs="Arial" w:eastAsiaTheme="minorEastAsia"/>
          <w:kern w:val="2"/>
          <w:szCs w:val="24"/>
          <w:lang w:val="en-US" w:eastAsia="zh-CN"/>
        </w:rPr>
        <w:t>Introduction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_Toc23080 \h </w:instrText>
      </w:r>
      <w:r>
        <w:rPr>
          <w:rFonts w:hint="default" w:ascii="Arial" w:hAnsi="Arial" w:cs="Arial"/>
        </w:rPr>
        <w:fldChar w:fldCharType="separate"/>
      </w:r>
      <w:r>
        <w:rPr>
          <w:rFonts w:hint="default" w:ascii="Arial" w:hAnsi="Arial" w:cs="Arial"/>
        </w:rPr>
        <w:t>3</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_Toc26702 </w:instrText>
      </w:r>
      <w:r>
        <w:rPr>
          <w:rFonts w:hint="default" w:ascii="Arial" w:hAnsi="Arial" w:cs="Arial"/>
          <w:bCs w:val="0"/>
          <w:szCs w:val="24"/>
        </w:rPr>
        <w:fldChar w:fldCharType="separate"/>
      </w:r>
      <w:r>
        <w:rPr>
          <w:rFonts w:hint="default" w:ascii="Arial" w:hAnsi="Arial" w:eastAsia="Arial" w:cs="Arial"/>
          <w:kern w:val="2"/>
          <w:szCs w:val="24"/>
          <w:lang w:val="en-US" w:eastAsia="zh-CN"/>
        </w:rPr>
        <w:t xml:space="preserve">2 </w:t>
      </w:r>
      <w:r>
        <w:rPr>
          <w:rFonts w:hint="default" w:ascii="Arial" w:hAnsi="Arial" w:cs="Arial" w:eastAsiaTheme="minorEastAsia"/>
          <w:kern w:val="2"/>
          <w:szCs w:val="24"/>
          <w:lang w:val="en-US" w:eastAsia="zh-CN"/>
        </w:rPr>
        <w:t>Pizza Hut’s PESTEL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_Toc26702 \h </w:instrText>
      </w:r>
      <w:r>
        <w:rPr>
          <w:rFonts w:hint="default" w:ascii="Arial" w:hAnsi="Arial" w:cs="Arial"/>
        </w:rPr>
        <w:fldChar w:fldCharType="separate"/>
      </w:r>
      <w:r>
        <w:rPr>
          <w:rFonts w:hint="default" w:ascii="Arial" w:hAnsi="Arial" w:cs="Arial"/>
        </w:rPr>
        <w:t>3</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_Toc28584 </w:instrText>
      </w:r>
      <w:r>
        <w:rPr>
          <w:rFonts w:hint="default" w:ascii="Arial" w:hAnsi="Arial" w:cs="Arial"/>
          <w:bCs w:val="0"/>
          <w:szCs w:val="24"/>
        </w:rPr>
        <w:fldChar w:fldCharType="separate"/>
      </w:r>
      <w:r>
        <w:rPr>
          <w:rFonts w:hint="default" w:ascii="Arial" w:hAnsi="Arial" w:eastAsia="宋体" w:cs="Arial"/>
          <w:kern w:val="2"/>
          <w:szCs w:val="24"/>
          <w:lang w:val="en-US" w:eastAsia="zh-CN"/>
        </w:rPr>
        <w:t xml:space="preserve">2.1 </w:t>
      </w:r>
      <w:r>
        <w:rPr>
          <w:rFonts w:hint="default" w:ascii="Arial" w:hAnsi="Arial" w:cs="Arial" w:eastAsiaTheme="minorEastAsia"/>
          <w:kern w:val="2"/>
          <w:szCs w:val="28"/>
          <w:lang w:val="en-US" w:eastAsia="zh-CN"/>
        </w:rPr>
        <w:t>Political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_Toc28584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_Toc30436 </w:instrText>
      </w:r>
      <w:r>
        <w:rPr>
          <w:rFonts w:hint="default" w:ascii="Arial" w:hAnsi="Arial" w:cs="Arial"/>
          <w:bCs w:val="0"/>
          <w:szCs w:val="24"/>
        </w:rPr>
        <w:fldChar w:fldCharType="separate"/>
      </w:r>
      <w:r>
        <w:rPr>
          <w:rFonts w:hint="default" w:ascii="Arial" w:hAnsi="Arial" w:eastAsia="宋体" w:cs="Arial"/>
          <w:kern w:val="2"/>
          <w:szCs w:val="24"/>
          <w:lang w:val="en-US" w:eastAsia="zh-CN"/>
        </w:rPr>
        <w:t xml:space="preserve">2.2 </w:t>
      </w:r>
      <w:r>
        <w:rPr>
          <w:rFonts w:hint="default" w:ascii="Arial" w:hAnsi="Arial" w:cs="Arial" w:eastAsiaTheme="minorEastAsia"/>
          <w:kern w:val="2"/>
          <w:szCs w:val="28"/>
          <w:lang w:val="en-US" w:eastAsia="zh-CN"/>
        </w:rPr>
        <w:t>Economic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_Toc30436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_Toc12614 </w:instrText>
      </w:r>
      <w:r>
        <w:rPr>
          <w:rFonts w:hint="default" w:ascii="Arial" w:hAnsi="Arial" w:cs="Arial"/>
          <w:bCs w:val="0"/>
          <w:szCs w:val="24"/>
        </w:rPr>
        <w:fldChar w:fldCharType="separate"/>
      </w:r>
      <w:r>
        <w:rPr>
          <w:rFonts w:hint="default" w:ascii="Arial" w:hAnsi="Arial" w:eastAsia="宋体" w:cs="Arial"/>
          <w:kern w:val="2"/>
          <w:szCs w:val="24"/>
          <w:lang w:val="en-US" w:eastAsia="zh-CN"/>
        </w:rPr>
        <w:t xml:space="preserve">2.3 </w:t>
      </w:r>
      <w:r>
        <w:rPr>
          <w:rFonts w:hint="default" w:ascii="Arial" w:hAnsi="Arial" w:cs="Arial" w:eastAsiaTheme="minorEastAsia"/>
          <w:kern w:val="2"/>
          <w:szCs w:val="28"/>
          <w:lang w:val="en-US" w:eastAsia="zh-CN"/>
        </w:rPr>
        <w:t>Sociocultural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_Toc12614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_Toc23059 </w:instrText>
      </w:r>
      <w:r>
        <w:rPr>
          <w:rFonts w:hint="default" w:ascii="Arial" w:hAnsi="Arial" w:cs="Arial"/>
          <w:bCs w:val="0"/>
          <w:szCs w:val="24"/>
        </w:rPr>
        <w:fldChar w:fldCharType="separate"/>
      </w:r>
      <w:r>
        <w:rPr>
          <w:rFonts w:hint="default" w:ascii="Arial" w:hAnsi="Arial" w:eastAsia="宋体" w:cs="Arial"/>
          <w:kern w:val="2"/>
          <w:szCs w:val="24"/>
          <w:lang w:val="en-US" w:eastAsia="zh-CN"/>
        </w:rPr>
        <w:t xml:space="preserve">2.4 </w:t>
      </w:r>
      <w:r>
        <w:rPr>
          <w:rFonts w:hint="default" w:ascii="Arial" w:hAnsi="Arial" w:cs="Arial" w:eastAsiaTheme="minorEastAsia"/>
          <w:kern w:val="2"/>
          <w:szCs w:val="28"/>
          <w:lang w:val="en-US" w:eastAsia="zh-CN"/>
        </w:rPr>
        <w:t>Technological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_Toc23059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_Toc16193 </w:instrText>
      </w:r>
      <w:r>
        <w:rPr>
          <w:rFonts w:hint="default" w:ascii="Arial" w:hAnsi="Arial" w:cs="Arial"/>
          <w:bCs w:val="0"/>
          <w:szCs w:val="24"/>
        </w:rPr>
        <w:fldChar w:fldCharType="separate"/>
      </w:r>
      <w:r>
        <w:rPr>
          <w:rFonts w:hint="default" w:ascii="Arial" w:hAnsi="Arial" w:eastAsia="宋体" w:cs="Arial"/>
          <w:kern w:val="2"/>
          <w:szCs w:val="24"/>
          <w:lang w:val="en-US" w:eastAsia="zh-CN"/>
        </w:rPr>
        <w:t xml:space="preserve">2.5 </w:t>
      </w:r>
      <w:r>
        <w:rPr>
          <w:rFonts w:hint="default" w:ascii="Arial" w:hAnsi="Arial" w:cs="Arial" w:eastAsiaTheme="minorEastAsia"/>
          <w:kern w:val="2"/>
          <w:szCs w:val="28"/>
          <w:lang w:val="en-US" w:eastAsia="zh-CN"/>
        </w:rPr>
        <w:t>Environmental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_Toc16193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_Toc31396 </w:instrText>
      </w:r>
      <w:r>
        <w:rPr>
          <w:rFonts w:hint="default" w:ascii="Arial" w:hAnsi="Arial" w:cs="Arial"/>
          <w:bCs w:val="0"/>
          <w:szCs w:val="24"/>
        </w:rPr>
        <w:fldChar w:fldCharType="separate"/>
      </w:r>
      <w:r>
        <w:rPr>
          <w:rFonts w:hint="default" w:ascii="Arial" w:hAnsi="Arial" w:eastAsia="宋体" w:cs="Arial"/>
          <w:kern w:val="2"/>
          <w:szCs w:val="24"/>
          <w:lang w:val="en-US" w:eastAsia="zh-CN"/>
        </w:rPr>
        <w:t xml:space="preserve">2.6 </w:t>
      </w:r>
      <w:r>
        <w:rPr>
          <w:rFonts w:hint="default" w:ascii="Arial" w:hAnsi="Arial" w:cs="Arial" w:eastAsiaTheme="minorEastAsia"/>
          <w:kern w:val="2"/>
          <w:szCs w:val="28"/>
          <w:lang w:val="en-US" w:eastAsia="zh-CN"/>
        </w:rPr>
        <w:t>Legal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_Toc31396 \h </w:instrText>
      </w:r>
      <w:r>
        <w:rPr>
          <w:rFonts w:hint="default" w:ascii="Arial" w:hAnsi="Arial" w:cs="Arial"/>
        </w:rPr>
        <w:fldChar w:fldCharType="separate"/>
      </w:r>
      <w:r>
        <w:rPr>
          <w:rFonts w:hint="default" w:ascii="Arial" w:hAnsi="Arial" w:cs="Arial"/>
        </w:rPr>
        <w:t>6</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_Toc10918 </w:instrText>
      </w:r>
      <w:r>
        <w:rPr>
          <w:rFonts w:hint="default" w:ascii="Arial" w:hAnsi="Arial" w:cs="Arial"/>
          <w:bCs w:val="0"/>
          <w:szCs w:val="24"/>
        </w:rPr>
        <w:fldChar w:fldCharType="separate"/>
      </w:r>
      <w:r>
        <w:rPr>
          <w:rFonts w:hint="default" w:ascii="Arial" w:hAnsi="Arial" w:eastAsia="Arial" w:cs="Arial"/>
          <w:kern w:val="2"/>
          <w:szCs w:val="24"/>
          <w:lang w:val="en-US" w:eastAsia="zh-CN"/>
        </w:rPr>
        <w:t xml:space="preserve">3 </w:t>
      </w:r>
      <w:r>
        <w:rPr>
          <w:rFonts w:hint="default" w:ascii="Arial" w:hAnsi="Arial" w:cs="Arial" w:eastAsiaTheme="minorEastAsia"/>
          <w:kern w:val="2"/>
          <w:szCs w:val="24"/>
          <w:lang w:val="en-US" w:eastAsia="zh-CN"/>
        </w:rPr>
        <w:t>Competitive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_Toc10918 \h </w:instrText>
      </w:r>
      <w:r>
        <w:rPr>
          <w:rFonts w:hint="default" w:ascii="Arial" w:hAnsi="Arial" w:cs="Arial"/>
        </w:rPr>
        <w:fldChar w:fldCharType="separate"/>
      </w:r>
      <w:r>
        <w:rPr>
          <w:rFonts w:hint="default" w:ascii="Arial" w:hAnsi="Arial" w:cs="Arial"/>
        </w:rPr>
        <w:t>6</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default" w:ascii="Arial" w:hAnsi="Arial" w:cs="Arial"/>
          <w:bCs w:val="0"/>
          <w:szCs w:val="24"/>
        </w:rPr>
      </w:pPr>
      <w:r>
        <w:rPr>
          <w:rFonts w:hint="default" w:ascii="Arial" w:hAnsi="Arial" w:cs="Arial"/>
          <w:bCs w:val="0"/>
          <w:szCs w:val="24"/>
        </w:rPr>
        <w:fldChar w:fldCharType="begin"/>
      </w:r>
      <w:r>
        <w:rPr>
          <w:rFonts w:hint="default" w:ascii="Arial" w:hAnsi="Arial" w:cs="Arial"/>
          <w:bCs w:val="0"/>
          <w:szCs w:val="24"/>
        </w:rPr>
        <w:instrText xml:space="preserve"> HYPERLINK \l _Toc19278 </w:instrText>
      </w:r>
      <w:r>
        <w:rPr>
          <w:rFonts w:hint="default" w:ascii="Arial" w:hAnsi="Arial" w:cs="Arial"/>
          <w:bCs w:val="0"/>
          <w:szCs w:val="24"/>
        </w:rPr>
        <w:fldChar w:fldCharType="separate"/>
      </w:r>
      <w:r>
        <w:rPr>
          <w:rFonts w:hint="default" w:ascii="Arial" w:hAnsi="Arial" w:eastAsia="宋体" w:cs="Arial"/>
          <w:kern w:val="2"/>
          <w:szCs w:val="24"/>
          <w:lang w:val="en-US" w:eastAsia="zh-CN"/>
        </w:rPr>
        <w:t xml:space="preserve">3.1 </w:t>
      </w:r>
      <w:r>
        <w:rPr>
          <w:rFonts w:hint="default" w:ascii="Arial" w:hAnsi="Arial" w:cs="Arial"/>
          <w:szCs w:val="28"/>
          <w:lang w:val="en-US" w:eastAsia="zh-CN"/>
        </w:rPr>
        <w:t>Porter’s Five Forces</w:t>
      </w:r>
      <w:r>
        <w:rPr>
          <w:rFonts w:hint="default" w:ascii="Arial" w:hAnsi="Arial" w:cs="Arial"/>
        </w:rPr>
        <w:tab/>
      </w:r>
      <w:r>
        <w:rPr>
          <w:rFonts w:hint="eastAsia" w:ascii="Arial" w:hAnsi="Arial" w:eastAsia="宋体" w:cs="Arial"/>
          <w:lang w:val="en-US" w:eastAsia="zh-CN"/>
        </w:rPr>
        <w:t>6</w:t>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960" w:leftChars="4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_Toc29066 </w:instrText>
      </w:r>
      <w:r>
        <w:rPr>
          <w:rFonts w:hint="default" w:ascii="Arial" w:hAnsi="Arial" w:cs="Arial"/>
          <w:bCs w:val="0"/>
          <w:szCs w:val="24"/>
        </w:rPr>
        <w:fldChar w:fldCharType="separate"/>
      </w:r>
      <w:r>
        <w:rPr>
          <w:rFonts w:hint="eastAsia" w:ascii="Arial" w:hAnsi="Arial" w:eastAsia="宋体" w:cs="Arial"/>
          <w:bCs w:val="0"/>
          <w:szCs w:val="24"/>
          <w:lang w:val="en-US" w:eastAsia="zh-CN"/>
        </w:rPr>
        <w:t>3</w:t>
      </w:r>
      <w:r>
        <w:rPr>
          <w:rFonts w:hint="default" w:ascii="Arial" w:hAnsi="Arial" w:eastAsia="宋体" w:cs="Arial"/>
          <w:lang w:val="en-US" w:eastAsia="zh-CN"/>
        </w:rPr>
        <w:t xml:space="preserve">.1.1 </w:t>
      </w:r>
      <w:r>
        <w:rPr>
          <w:rFonts w:hint="default" w:ascii="Arial" w:hAnsi="Arial" w:cs="Arial"/>
          <w:lang w:val="en-US" w:eastAsia="zh-CN"/>
        </w:rPr>
        <w:t>Bargaining Power of Suppliers</w:t>
      </w:r>
      <w:r>
        <w:rPr>
          <w:rFonts w:hint="default" w:ascii="Arial" w:hAnsi="Arial" w:cs="Arial"/>
        </w:rPr>
        <w:tab/>
      </w:r>
      <w:r>
        <w:rPr>
          <w:rFonts w:hint="eastAsia" w:ascii="Arial" w:hAnsi="Arial" w:eastAsia="宋体" w:cs="Arial"/>
          <w:lang w:val="en-US" w:eastAsia="zh-CN"/>
        </w:rPr>
        <w:t>7</w:t>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960" w:leftChars="4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_Toc22332 </w:instrText>
      </w:r>
      <w:r>
        <w:rPr>
          <w:rFonts w:hint="default" w:ascii="Arial" w:hAnsi="Arial" w:cs="Arial"/>
          <w:bCs w:val="0"/>
          <w:szCs w:val="24"/>
        </w:rPr>
        <w:fldChar w:fldCharType="separate"/>
      </w:r>
      <w:r>
        <w:rPr>
          <w:rFonts w:hint="eastAsia" w:ascii="Arial" w:hAnsi="Arial" w:eastAsia="宋体" w:cs="Arial"/>
          <w:bCs w:val="0"/>
          <w:szCs w:val="24"/>
          <w:lang w:val="en-US" w:eastAsia="zh-CN"/>
        </w:rPr>
        <w:t>3</w:t>
      </w:r>
      <w:r>
        <w:rPr>
          <w:rFonts w:hint="default" w:ascii="Arial" w:hAnsi="Arial" w:eastAsia="宋体" w:cs="Arial"/>
          <w:lang w:val="en-US" w:eastAsia="zh-CN"/>
        </w:rPr>
        <w:t xml:space="preserve">.1.2 </w:t>
      </w:r>
      <w:r>
        <w:rPr>
          <w:rFonts w:hint="default" w:ascii="Arial" w:hAnsi="Arial" w:cs="Arial"/>
          <w:lang w:val="en-US" w:eastAsia="zh-CN"/>
        </w:rPr>
        <w:t>Threat of Substitutes</w:t>
      </w:r>
      <w:r>
        <w:rPr>
          <w:rFonts w:hint="default" w:ascii="Arial" w:hAnsi="Arial" w:cs="Arial"/>
        </w:rPr>
        <w:tab/>
      </w:r>
      <w:r>
        <w:rPr>
          <w:rFonts w:hint="eastAsia" w:ascii="Arial" w:hAnsi="Arial" w:eastAsia="宋体" w:cs="Arial"/>
          <w:lang w:val="en-US" w:eastAsia="zh-CN"/>
        </w:rPr>
        <w:t>7</w:t>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960" w:leftChars="4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_Toc13367 </w:instrText>
      </w:r>
      <w:r>
        <w:rPr>
          <w:rFonts w:hint="default" w:ascii="Arial" w:hAnsi="Arial" w:cs="Arial"/>
          <w:bCs w:val="0"/>
          <w:szCs w:val="24"/>
        </w:rPr>
        <w:fldChar w:fldCharType="separate"/>
      </w:r>
      <w:r>
        <w:rPr>
          <w:rFonts w:hint="eastAsia" w:ascii="Arial" w:hAnsi="Arial" w:eastAsia="宋体" w:cs="Arial"/>
          <w:bCs w:val="0"/>
          <w:szCs w:val="24"/>
          <w:lang w:val="en-US" w:eastAsia="zh-CN"/>
        </w:rPr>
        <w:t>3</w:t>
      </w:r>
      <w:r>
        <w:rPr>
          <w:rFonts w:hint="default" w:ascii="Arial" w:hAnsi="Arial" w:eastAsia="宋体" w:cs="Arial"/>
          <w:lang w:val="en-US" w:eastAsia="zh-CN"/>
        </w:rPr>
        <w:t xml:space="preserve">.1.3 </w:t>
      </w:r>
      <w:r>
        <w:rPr>
          <w:rFonts w:hint="default" w:ascii="Arial" w:hAnsi="Arial" w:cs="Arial"/>
          <w:lang w:val="en-US" w:eastAsia="zh-CN"/>
        </w:rPr>
        <w:t>Bargaining Power of Buyers</w:t>
      </w:r>
      <w:r>
        <w:rPr>
          <w:rFonts w:hint="default" w:ascii="Arial" w:hAnsi="Arial" w:cs="Arial"/>
        </w:rPr>
        <w:tab/>
      </w:r>
      <w:r>
        <w:rPr>
          <w:rFonts w:hint="eastAsia" w:ascii="Arial" w:hAnsi="Arial" w:eastAsia="宋体" w:cs="Arial"/>
          <w:lang w:val="en-US" w:eastAsia="zh-CN"/>
        </w:rPr>
        <w:t>7</w:t>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960" w:leftChars="4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_Toc9091 </w:instrText>
      </w:r>
      <w:r>
        <w:rPr>
          <w:rFonts w:hint="default" w:ascii="Arial" w:hAnsi="Arial" w:cs="Arial"/>
          <w:bCs w:val="0"/>
          <w:szCs w:val="24"/>
        </w:rPr>
        <w:fldChar w:fldCharType="separate"/>
      </w:r>
      <w:r>
        <w:rPr>
          <w:rFonts w:hint="eastAsia" w:ascii="Arial" w:hAnsi="Arial" w:eastAsia="宋体" w:cs="Arial"/>
          <w:bCs w:val="0"/>
          <w:szCs w:val="24"/>
          <w:lang w:val="en-US" w:eastAsia="zh-CN"/>
        </w:rPr>
        <w:t>3</w:t>
      </w:r>
      <w:r>
        <w:rPr>
          <w:rFonts w:hint="default" w:ascii="Arial" w:hAnsi="Arial" w:eastAsia="宋体" w:cs="Arial"/>
          <w:lang w:val="en-US" w:eastAsia="zh-CN"/>
        </w:rPr>
        <w:t xml:space="preserve">.1.4 </w:t>
      </w:r>
      <w:r>
        <w:rPr>
          <w:rFonts w:hint="default" w:ascii="Arial" w:hAnsi="Arial" w:cs="Arial"/>
          <w:lang w:val="en-US" w:eastAsia="zh-CN"/>
        </w:rPr>
        <w:t>The Threat of New Entrants</w:t>
      </w:r>
      <w:r>
        <w:rPr>
          <w:rFonts w:hint="default" w:ascii="Arial" w:hAnsi="Arial" w:cs="Arial"/>
        </w:rPr>
        <w:tab/>
      </w:r>
      <w:r>
        <w:rPr>
          <w:rFonts w:hint="eastAsia" w:ascii="Arial" w:hAnsi="Arial" w:eastAsia="宋体" w:cs="Arial"/>
          <w:lang w:val="en-US" w:eastAsia="zh-CN"/>
        </w:rPr>
        <w:t>8</w:t>
      </w:r>
      <w:r>
        <w:rPr>
          <w:rFonts w:hint="default" w:ascii="Arial" w:hAnsi="Arial" w:cs="Arial"/>
          <w:bCs w:val="0"/>
          <w:szCs w:val="24"/>
        </w:rPr>
        <w:fldChar w:fldCharType="end"/>
      </w:r>
    </w:p>
    <w:p>
      <w:pPr>
        <w:ind w:firstLine="960" w:firstLineChars="400"/>
        <w:rPr>
          <w:rFonts w:hint="eastAsia" w:ascii="Arial" w:hAnsi="Arial" w:eastAsia="宋体" w:cs="Arial"/>
          <w:bCs w:val="0"/>
          <w:szCs w:val="24"/>
          <w:lang w:val="en-US" w:eastAsia="zh-CN"/>
        </w:rPr>
      </w:pPr>
      <w:r>
        <w:rPr>
          <w:rFonts w:hint="default" w:ascii="Arial" w:hAnsi="Arial" w:cs="Arial"/>
          <w:bCs w:val="0"/>
          <w:szCs w:val="24"/>
        </w:rPr>
        <w:fldChar w:fldCharType="begin"/>
      </w:r>
      <w:r>
        <w:rPr>
          <w:rFonts w:hint="default" w:ascii="Arial" w:hAnsi="Arial" w:cs="Arial"/>
          <w:bCs w:val="0"/>
          <w:szCs w:val="24"/>
        </w:rPr>
        <w:instrText xml:space="preserve"> HYPERLINK \l _Toc29083 </w:instrText>
      </w:r>
      <w:r>
        <w:rPr>
          <w:rFonts w:hint="default" w:ascii="Arial" w:hAnsi="Arial" w:cs="Arial"/>
          <w:bCs w:val="0"/>
          <w:szCs w:val="24"/>
        </w:rPr>
        <w:fldChar w:fldCharType="separate"/>
      </w:r>
      <w:r>
        <w:rPr>
          <w:rFonts w:hint="eastAsia" w:ascii="Arial" w:hAnsi="Arial" w:eastAsia="宋体" w:cs="Arial"/>
          <w:bCs w:val="0"/>
          <w:szCs w:val="24"/>
          <w:lang w:val="en-US" w:eastAsia="zh-CN"/>
        </w:rPr>
        <w:t>3</w:t>
      </w:r>
      <w:r>
        <w:rPr>
          <w:rFonts w:hint="default" w:ascii="Arial" w:hAnsi="Arial" w:eastAsia="宋体" w:cs="Arial"/>
          <w:lang w:val="en-US" w:eastAsia="zh-CN"/>
        </w:rPr>
        <w:t xml:space="preserve">.1.5 </w:t>
      </w:r>
      <w:r>
        <w:rPr>
          <w:rFonts w:hint="default" w:ascii="Arial" w:hAnsi="Arial" w:cs="Arial"/>
          <w:lang w:val="en-US" w:eastAsia="zh-CN"/>
        </w:rPr>
        <w:t>Competitive Rivalry</w:t>
      </w:r>
      <w:r>
        <w:rPr>
          <w:rFonts w:hint="eastAsia" w:ascii="Arial" w:hAnsi="Arial" w:cs="Arial"/>
          <w:lang w:val="en-US" w:eastAsia="zh-CN"/>
        </w:rPr>
        <w:t>...................................................................................</w:t>
      </w:r>
      <w:r>
        <w:rPr>
          <w:rFonts w:hint="eastAsia" w:ascii="Arial" w:hAnsi="Arial" w:eastAsia="宋体" w:cs="Arial"/>
          <w:lang w:val="en-US" w:eastAsia="zh-CN"/>
        </w:rPr>
        <w:t>8</w:t>
      </w:r>
      <w:r>
        <w:rPr>
          <w:rFonts w:hint="default" w:ascii="Arial" w:hAnsi="Arial" w:cs="Arial"/>
          <w:bCs w:val="0"/>
          <w:szCs w:val="24"/>
        </w:rPr>
        <w:fldChar w:fldCharType="end"/>
      </w:r>
    </w:p>
    <w:p>
      <w:pPr>
        <w:ind w:left="0" w:leftChars="0" w:firstLine="480" w:firstLineChars="200"/>
        <w:rPr>
          <w:rFonts w:hint="default" w:ascii="Arial" w:hAnsi="Arial" w:cs="Arial"/>
          <w:bCs w:val="0"/>
          <w:szCs w:val="24"/>
        </w:rPr>
      </w:pPr>
      <w:r>
        <w:rPr>
          <w:rFonts w:hint="default" w:ascii="Arial" w:hAnsi="Arial" w:cs="Arial"/>
          <w:bCs w:val="0"/>
          <w:szCs w:val="24"/>
        </w:rPr>
        <w:fldChar w:fldCharType="begin"/>
      </w:r>
      <w:r>
        <w:rPr>
          <w:rFonts w:hint="default" w:ascii="Arial" w:hAnsi="Arial" w:cs="Arial"/>
          <w:bCs w:val="0"/>
          <w:szCs w:val="24"/>
        </w:rPr>
        <w:instrText xml:space="preserve"> HYPERLINK \l _Toc4545 </w:instrText>
      </w:r>
      <w:r>
        <w:rPr>
          <w:rFonts w:hint="default" w:ascii="Arial" w:hAnsi="Arial" w:cs="Arial"/>
          <w:bCs w:val="0"/>
          <w:szCs w:val="24"/>
        </w:rPr>
        <w:fldChar w:fldCharType="separate"/>
      </w:r>
      <w:r>
        <w:rPr>
          <w:rFonts w:hint="default" w:ascii="Arial" w:hAnsi="Arial" w:eastAsia="宋体" w:cs="Arial"/>
          <w:kern w:val="2"/>
          <w:szCs w:val="24"/>
          <w:lang w:val="en-US" w:eastAsia="zh-CN"/>
        </w:rPr>
        <w:t xml:space="preserve">3.2 </w:t>
      </w:r>
      <w:r>
        <w:rPr>
          <w:rFonts w:hint="default" w:ascii="Arial" w:hAnsi="Arial" w:cs="Arial"/>
          <w:szCs w:val="28"/>
          <w:lang w:val="en-US" w:eastAsia="zh-CN"/>
        </w:rPr>
        <w:t>VRIO Analysis</w:t>
      </w:r>
      <w:r>
        <w:rPr>
          <w:rFonts w:hint="eastAsia" w:ascii="Arial" w:hAnsi="Arial" w:cs="Arial"/>
          <w:szCs w:val="28"/>
          <w:lang w:val="en-US" w:eastAsia="zh-CN"/>
        </w:rPr>
        <w:t>.....................................................................................................</w:t>
      </w:r>
      <w:r>
        <w:rPr>
          <w:rFonts w:hint="eastAsia" w:ascii="Arial" w:hAnsi="Arial" w:eastAsia="宋体" w:cs="Arial"/>
          <w:lang w:val="en-US" w:eastAsia="zh-CN"/>
        </w:rPr>
        <w:t>9</w:t>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960" w:leftChars="4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_Toc2676 </w:instrText>
      </w:r>
      <w:r>
        <w:rPr>
          <w:rFonts w:hint="default" w:ascii="Arial" w:hAnsi="Arial" w:cs="Arial"/>
          <w:bCs w:val="0"/>
          <w:szCs w:val="24"/>
        </w:rPr>
        <w:fldChar w:fldCharType="separate"/>
      </w:r>
      <w:r>
        <w:rPr>
          <w:rFonts w:hint="eastAsia" w:ascii="Arial" w:hAnsi="Arial" w:eastAsia="宋体" w:cs="Arial"/>
          <w:lang w:val="en-US" w:eastAsia="zh-CN"/>
        </w:rPr>
        <w:t>3</w:t>
      </w:r>
      <w:r>
        <w:rPr>
          <w:rFonts w:hint="default" w:ascii="Arial" w:hAnsi="Arial" w:eastAsia="宋体" w:cs="Arial"/>
          <w:lang w:val="en-US" w:eastAsia="zh-CN"/>
        </w:rPr>
        <w:t xml:space="preserve">.2.1 </w:t>
      </w:r>
      <w:r>
        <w:rPr>
          <w:rFonts w:hint="default" w:ascii="Arial" w:hAnsi="Arial" w:cs="Arial"/>
          <w:lang w:val="en-US" w:eastAsia="zh-CN"/>
        </w:rPr>
        <w:t>Valuable</w:t>
      </w:r>
      <w:r>
        <w:rPr>
          <w:rFonts w:hint="default" w:ascii="Arial" w:hAnsi="Arial" w:cs="Arial"/>
        </w:rPr>
        <w:tab/>
      </w:r>
      <w:r>
        <w:rPr>
          <w:rFonts w:hint="eastAsia" w:ascii="Arial" w:hAnsi="Arial" w:eastAsia="宋体" w:cs="Arial"/>
          <w:lang w:val="en-US" w:eastAsia="zh-CN"/>
        </w:rPr>
        <w:t>9</w:t>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960" w:leftChars="400" w:firstLine="0" w:firstLineChars="0"/>
        <w:textAlignment w:val="auto"/>
        <w:rPr>
          <w:rFonts w:hint="eastAsia" w:ascii="Arial" w:hAnsi="Arial" w:eastAsia="宋体" w:cs="Arial"/>
          <w:lang w:val="en-US" w:eastAsia="zh-CN"/>
        </w:rPr>
      </w:pPr>
      <w:r>
        <w:rPr>
          <w:rFonts w:hint="default" w:ascii="Arial" w:hAnsi="Arial" w:cs="Arial"/>
          <w:bCs w:val="0"/>
          <w:szCs w:val="24"/>
        </w:rPr>
        <w:fldChar w:fldCharType="begin"/>
      </w:r>
      <w:r>
        <w:rPr>
          <w:rFonts w:hint="default" w:ascii="Arial" w:hAnsi="Arial" w:cs="Arial"/>
          <w:bCs w:val="0"/>
          <w:szCs w:val="24"/>
        </w:rPr>
        <w:instrText xml:space="preserve"> HYPERLINK \l _Toc26549 </w:instrText>
      </w:r>
      <w:r>
        <w:rPr>
          <w:rFonts w:hint="default" w:ascii="Arial" w:hAnsi="Arial" w:cs="Arial"/>
          <w:bCs w:val="0"/>
          <w:szCs w:val="24"/>
        </w:rPr>
        <w:fldChar w:fldCharType="separate"/>
      </w:r>
      <w:r>
        <w:rPr>
          <w:rFonts w:hint="eastAsia" w:ascii="Arial" w:hAnsi="Arial" w:eastAsia="宋体" w:cs="Arial"/>
          <w:lang w:val="en-US" w:eastAsia="zh-CN"/>
        </w:rPr>
        <w:t>3</w:t>
      </w:r>
      <w:r>
        <w:rPr>
          <w:rFonts w:hint="default" w:ascii="Arial" w:hAnsi="Arial" w:eastAsia="宋体" w:cs="Arial"/>
          <w:lang w:val="en-US" w:eastAsia="zh-CN"/>
        </w:rPr>
        <w:t xml:space="preserve">.2.2 </w:t>
      </w:r>
      <w:r>
        <w:rPr>
          <w:rFonts w:hint="default" w:ascii="Arial" w:hAnsi="Arial" w:cs="Arial"/>
          <w:lang w:val="en-US" w:eastAsia="zh-CN"/>
        </w:rPr>
        <w:t>Rarity</w:t>
      </w:r>
      <w:r>
        <w:rPr>
          <w:rFonts w:hint="default" w:ascii="Arial" w:hAnsi="Arial" w:cs="Arial"/>
        </w:rPr>
        <w:tab/>
      </w:r>
      <w:r>
        <w:rPr>
          <w:rFonts w:hint="eastAsia" w:ascii="Arial" w:hAnsi="Arial" w:eastAsia="宋体" w:cs="Arial"/>
          <w:lang w:val="en-US" w:eastAsia="zh-CN"/>
        </w:rPr>
        <w:t>1</w:t>
      </w:r>
      <w:r>
        <w:rPr>
          <w:rFonts w:hint="default" w:ascii="Arial" w:hAnsi="Arial" w:cs="Arial"/>
          <w:bCs w:val="0"/>
          <w:szCs w:val="24"/>
        </w:rPr>
        <w:fldChar w:fldCharType="end"/>
      </w:r>
      <w:r>
        <w:rPr>
          <w:rFonts w:hint="eastAsia" w:ascii="Arial" w:hAnsi="Arial" w:eastAsia="宋体" w:cs="Arial"/>
          <w:bCs w:val="0"/>
          <w:szCs w:val="24"/>
          <w:lang w:val="en-US" w:eastAsia="zh-CN"/>
        </w:rPr>
        <w:t>0</w:t>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960" w:leftChars="400" w:firstLine="0" w:firstLineChars="0"/>
        <w:textAlignment w:val="auto"/>
        <w:rPr>
          <w:rFonts w:hint="eastAsia" w:ascii="Arial" w:hAnsi="Arial" w:eastAsia="宋体" w:cs="Arial"/>
          <w:lang w:val="en-US" w:eastAsia="zh-CN"/>
        </w:rPr>
      </w:pPr>
      <w:r>
        <w:rPr>
          <w:rFonts w:hint="default" w:ascii="Arial" w:hAnsi="Arial" w:cs="Arial"/>
          <w:bCs w:val="0"/>
          <w:szCs w:val="24"/>
        </w:rPr>
        <w:fldChar w:fldCharType="begin"/>
      </w:r>
      <w:r>
        <w:rPr>
          <w:rFonts w:hint="default" w:ascii="Arial" w:hAnsi="Arial" w:cs="Arial"/>
          <w:bCs w:val="0"/>
          <w:szCs w:val="24"/>
        </w:rPr>
        <w:instrText xml:space="preserve"> HYPERLINK \l _Toc16770 </w:instrText>
      </w:r>
      <w:r>
        <w:rPr>
          <w:rFonts w:hint="default" w:ascii="Arial" w:hAnsi="Arial" w:cs="Arial"/>
          <w:bCs w:val="0"/>
          <w:szCs w:val="24"/>
        </w:rPr>
        <w:fldChar w:fldCharType="separate"/>
      </w:r>
      <w:r>
        <w:rPr>
          <w:rFonts w:hint="eastAsia" w:ascii="Arial" w:hAnsi="Arial" w:eastAsia="宋体" w:cs="Arial"/>
          <w:lang w:val="en-US" w:eastAsia="zh-CN"/>
        </w:rPr>
        <w:t>3</w:t>
      </w:r>
      <w:r>
        <w:rPr>
          <w:rFonts w:hint="default" w:ascii="Arial" w:hAnsi="Arial" w:eastAsia="宋体" w:cs="Arial"/>
          <w:lang w:val="en-US" w:eastAsia="zh-CN"/>
        </w:rPr>
        <w:t xml:space="preserve">.2.3 </w:t>
      </w:r>
      <w:r>
        <w:rPr>
          <w:rFonts w:hint="default" w:ascii="Arial" w:hAnsi="Arial" w:cs="Arial"/>
          <w:lang w:val="en-US" w:eastAsia="zh-CN"/>
        </w:rPr>
        <w:t>Imitability</w:t>
      </w:r>
      <w:r>
        <w:rPr>
          <w:rFonts w:hint="default" w:ascii="Arial" w:hAnsi="Arial" w:cs="Arial"/>
        </w:rPr>
        <w:tab/>
      </w:r>
      <w:r>
        <w:rPr>
          <w:rFonts w:hint="eastAsia" w:ascii="Arial" w:hAnsi="Arial" w:eastAsia="宋体" w:cs="Arial"/>
          <w:lang w:val="en-US" w:eastAsia="zh-CN"/>
        </w:rPr>
        <w:t>1</w:t>
      </w:r>
      <w:r>
        <w:rPr>
          <w:rFonts w:hint="default" w:ascii="Arial" w:hAnsi="Arial" w:cs="Arial"/>
          <w:bCs w:val="0"/>
          <w:szCs w:val="24"/>
        </w:rPr>
        <w:fldChar w:fldCharType="end"/>
      </w:r>
      <w:r>
        <w:rPr>
          <w:rFonts w:hint="eastAsia" w:ascii="Arial" w:hAnsi="Arial" w:eastAsia="宋体" w:cs="Arial"/>
          <w:bCs w:val="0"/>
          <w:szCs w:val="24"/>
          <w:lang w:val="en-US" w:eastAsia="zh-CN"/>
        </w:rPr>
        <w:t>0</w:t>
      </w:r>
    </w:p>
    <w:p>
      <w:pPr>
        <w:ind w:left="0" w:leftChars="0" w:firstLine="960" w:firstLineChars="400"/>
        <w:rPr>
          <w:rFonts w:hint="eastAsia" w:ascii="Arial" w:hAnsi="Arial" w:eastAsia="宋体" w:cs="Arial"/>
          <w:bCs w:val="0"/>
          <w:szCs w:val="24"/>
          <w:lang w:val="en-US" w:eastAsia="zh-CN"/>
        </w:rPr>
      </w:pPr>
      <w:r>
        <w:rPr>
          <w:rFonts w:hint="default" w:ascii="Arial" w:hAnsi="Arial" w:cs="Arial"/>
          <w:bCs w:val="0"/>
          <w:szCs w:val="24"/>
        </w:rPr>
        <w:fldChar w:fldCharType="begin"/>
      </w:r>
      <w:r>
        <w:rPr>
          <w:rFonts w:hint="default" w:ascii="Arial" w:hAnsi="Arial" w:cs="Arial"/>
          <w:bCs w:val="0"/>
          <w:szCs w:val="24"/>
        </w:rPr>
        <w:instrText xml:space="preserve"> HYPERLINK \l _Toc20063 </w:instrText>
      </w:r>
      <w:r>
        <w:rPr>
          <w:rFonts w:hint="default" w:ascii="Arial" w:hAnsi="Arial" w:cs="Arial"/>
          <w:bCs w:val="0"/>
          <w:szCs w:val="24"/>
        </w:rPr>
        <w:fldChar w:fldCharType="separate"/>
      </w:r>
      <w:r>
        <w:rPr>
          <w:rFonts w:hint="eastAsia" w:ascii="Arial" w:hAnsi="Arial" w:eastAsia="宋体" w:cs="Arial"/>
          <w:lang w:val="en-US" w:eastAsia="zh-CN"/>
        </w:rPr>
        <w:t>3</w:t>
      </w:r>
      <w:r>
        <w:rPr>
          <w:rFonts w:hint="default" w:ascii="Arial" w:hAnsi="Arial" w:eastAsia="宋体" w:cs="Arial"/>
          <w:lang w:val="en-US" w:eastAsia="zh-CN"/>
        </w:rPr>
        <w:t xml:space="preserve">.2.4 </w:t>
      </w:r>
      <w:r>
        <w:rPr>
          <w:rFonts w:hint="default" w:ascii="Arial" w:hAnsi="Arial" w:cs="Arial"/>
          <w:lang w:val="en-US" w:eastAsia="zh-CN"/>
        </w:rPr>
        <w:t>Organisation</w:t>
      </w:r>
      <w:r>
        <w:rPr>
          <w:rFonts w:hint="eastAsia" w:ascii="Arial" w:hAnsi="Arial" w:cs="Arial"/>
          <w:lang w:val="en-US" w:eastAsia="zh-CN"/>
        </w:rPr>
        <w:t>............................................................................................</w:t>
      </w:r>
      <w:r>
        <w:rPr>
          <w:rFonts w:hint="eastAsia" w:ascii="Arial" w:hAnsi="Arial" w:eastAsia="宋体" w:cs="Arial"/>
          <w:lang w:val="en-US" w:eastAsia="zh-CN"/>
        </w:rPr>
        <w:t>1</w:t>
      </w:r>
      <w:r>
        <w:rPr>
          <w:rFonts w:hint="default" w:ascii="Arial" w:hAnsi="Arial" w:cs="Arial"/>
          <w:bCs w:val="0"/>
          <w:szCs w:val="24"/>
        </w:rPr>
        <w:fldChar w:fldCharType="end"/>
      </w:r>
      <w:r>
        <w:rPr>
          <w:rFonts w:hint="eastAsia" w:ascii="Arial" w:hAnsi="Arial" w:eastAsia="宋体" w:cs="Arial"/>
          <w:bCs w:val="0"/>
          <w:szCs w:val="24"/>
          <w:lang w:val="en-US" w:eastAsia="zh-CN"/>
        </w:rPr>
        <w:t>1</w:t>
      </w:r>
    </w:p>
    <w:p>
      <w:pPr>
        <w:ind w:left="0" w:leftChars="0" w:firstLine="0" w:firstLineChars="0"/>
        <w:rPr>
          <w:rFonts w:hint="eastAsia" w:ascii="Arial" w:hAnsi="Arial" w:cs="Arial" w:eastAsiaTheme="minorEastAsia"/>
          <w:kern w:val="2"/>
          <w:sz w:val="24"/>
          <w:szCs w:val="24"/>
          <w:lang w:val="en-US" w:eastAsia="zh-CN"/>
        </w:rPr>
      </w:pPr>
      <w:r>
        <w:rPr>
          <w:rFonts w:hint="eastAsia" w:ascii="Arial" w:hAnsi="Arial" w:eastAsia="宋体" w:cs="Arial"/>
          <w:bCs w:val="0"/>
          <w:szCs w:val="24"/>
          <w:lang w:val="en-US" w:eastAsia="zh-CN"/>
        </w:rPr>
        <w:t xml:space="preserve">4 </w:t>
      </w:r>
      <w:r>
        <w:rPr>
          <w:rFonts w:hint="default" w:ascii="Arial" w:hAnsi="Arial" w:cs="Arial" w:eastAsiaTheme="minorEastAsia"/>
          <w:kern w:val="2"/>
          <w:sz w:val="24"/>
          <w:szCs w:val="24"/>
          <w:lang w:val="en-US" w:eastAsia="zh-CN"/>
        </w:rPr>
        <w:t>Pizza Hut’s SWOT Analysis</w:t>
      </w:r>
      <w:r>
        <w:rPr>
          <w:rFonts w:hint="eastAsia" w:ascii="Arial" w:hAnsi="Arial" w:cs="Arial" w:eastAsiaTheme="minorEastAsia"/>
          <w:kern w:val="2"/>
          <w:sz w:val="24"/>
          <w:szCs w:val="24"/>
          <w:lang w:val="en-US" w:eastAsia="zh-CN"/>
        </w:rPr>
        <w:t>.........................................................................................11</w:t>
      </w:r>
    </w:p>
    <w:p>
      <w:pPr>
        <w:ind w:left="0" w:leftChars="0" w:firstLine="480" w:firstLineChars="200"/>
        <w:rPr>
          <w:rFonts w:hint="default" w:ascii="Arial" w:hAnsi="Arial" w:cs="Arial" w:eastAsiaTheme="minorEastAsia"/>
          <w:kern w:val="2"/>
          <w:sz w:val="24"/>
          <w:szCs w:val="24"/>
          <w:lang w:val="en-US" w:eastAsia="zh-CN"/>
        </w:rPr>
      </w:pPr>
      <w:r>
        <w:rPr>
          <w:rFonts w:hint="eastAsia" w:ascii="Arial" w:hAnsi="Arial" w:cs="Arial" w:eastAsiaTheme="minorEastAsia"/>
          <w:kern w:val="2"/>
          <w:sz w:val="24"/>
          <w:szCs w:val="24"/>
          <w:lang w:val="en-US" w:eastAsia="zh-CN"/>
        </w:rPr>
        <w:t xml:space="preserve">4.1 </w:t>
      </w:r>
      <w:r>
        <w:rPr>
          <w:rFonts w:hint="default" w:ascii="Arial" w:hAnsi="Arial" w:cs="Arial" w:eastAsiaTheme="minorEastAsia"/>
          <w:kern w:val="2"/>
          <w:sz w:val="24"/>
          <w:szCs w:val="24"/>
          <w:lang w:val="en-US" w:eastAsia="zh-CN"/>
        </w:rPr>
        <w:t>Strengths</w:t>
      </w:r>
      <w:r>
        <w:rPr>
          <w:rFonts w:hint="eastAsia" w:ascii="Arial" w:hAnsi="Arial" w:cs="Arial" w:eastAsiaTheme="minorEastAsia"/>
          <w:kern w:val="2"/>
          <w:sz w:val="24"/>
          <w:szCs w:val="24"/>
          <w:lang w:val="en-US" w:eastAsia="zh-CN"/>
        </w:rPr>
        <w:t>...........................................................................................................12</w:t>
      </w:r>
    </w:p>
    <w:p>
      <w:pPr>
        <w:ind w:left="0" w:leftChars="0" w:firstLine="480" w:firstLineChars="200"/>
        <w:rPr>
          <w:rFonts w:hint="default" w:ascii="Arial" w:hAnsi="Arial" w:cs="Arial" w:eastAsiaTheme="minorEastAsia"/>
          <w:kern w:val="2"/>
          <w:sz w:val="24"/>
          <w:szCs w:val="24"/>
          <w:lang w:val="en-US" w:eastAsia="zh-CN"/>
        </w:rPr>
      </w:pPr>
      <w:r>
        <w:rPr>
          <w:rFonts w:hint="eastAsia" w:ascii="Arial" w:hAnsi="Arial" w:cs="Arial" w:eastAsiaTheme="minorEastAsia"/>
          <w:kern w:val="2"/>
          <w:sz w:val="24"/>
          <w:szCs w:val="24"/>
          <w:lang w:val="en-US" w:eastAsia="zh-CN"/>
        </w:rPr>
        <w:t xml:space="preserve">4.2 </w:t>
      </w:r>
      <w:r>
        <w:rPr>
          <w:rFonts w:hint="eastAsia" w:ascii="Arial" w:hAnsi="Arial" w:cs="Arial" w:eastAsiaTheme="minorEastAsia"/>
          <w:kern w:val="2"/>
          <w:sz w:val="28"/>
          <w:szCs w:val="28"/>
          <w:lang w:val="en-US" w:eastAsia="zh-CN"/>
        </w:rPr>
        <w:t xml:space="preserve"> </w:t>
      </w:r>
      <w:r>
        <w:rPr>
          <w:rFonts w:hint="default" w:ascii="Arial" w:hAnsi="Arial" w:cs="Arial" w:eastAsiaTheme="minorEastAsia"/>
          <w:kern w:val="2"/>
          <w:sz w:val="24"/>
          <w:szCs w:val="24"/>
          <w:lang w:val="en-US" w:eastAsia="zh-CN"/>
        </w:rPr>
        <w:t>Weaknesses</w:t>
      </w:r>
      <w:r>
        <w:rPr>
          <w:rFonts w:hint="eastAsia" w:ascii="Arial" w:hAnsi="Arial" w:cs="Arial" w:eastAsiaTheme="minorEastAsia"/>
          <w:kern w:val="2"/>
          <w:sz w:val="24"/>
          <w:szCs w:val="24"/>
          <w:lang w:val="en-US" w:eastAsia="zh-CN"/>
        </w:rPr>
        <w:t>.....................................................................................................12</w:t>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eastAsia" w:ascii="Arial" w:hAnsi="Arial" w:eastAsia="宋体" w:cs="Arial"/>
          <w:lang w:val="en-US" w:eastAsia="zh-CN"/>
        </w:rPr>
      </w:pPr>
      <w:r>
        <w:rPr>
          <w:rFonts w:hint="default" w:ascii="Arial" w:hAnsi="Arial" w:cs="Arial"/>
          <w:bCs w:val="0"/>
          <w:szCs w:val="24"/>
        </w:rPr>
        <w:fldChar w:fldCharType="begin"/>
      </w:r>
      <w:r>
        <w:rPr>
          <w:rFonts w:hint="default" w:ascii="Arial" w:hAnsi="Arial" w:cs="Arial"/>
          <w:bCs w:val="0"/>
          <w:szCs w:val="24"/>
        </w:rPr>
        <w:instrText xml:space="preserve"> HYPERLINK \l _Toc21971 </w:instrText>
      </w:r>
      <w:r>
        <w:rPr>
          <w:rFonts w:hint="default" w:ascii="Arial" w:hAnsi="Arial" w:cs="Arial"/>
          <w:bCs w:val="0"/>
          <w:szCs w:val="24"/>
        </w:rPr>
        <w:fldChar w:fldCharType="separate"/>
      </w:r>
      <w:r>
        <w:rPr>
          <w:rFonts w:hint="eastAsia" w:ascii="Arial" w:hAnsi="Arial" w:eastAsia="宋体" w:cs="Arial"/>
          <w:kern w:val="2"/>
          <w:szCs w:val="24"/>
          <w:lang w:val="en-US" w:eastAsia="zh-CN"/>
        </w:rPr>
        <w:t>4</w:t>
      </w:r>
      <w:r>
        <w:rPr>
          <w:rFonts w:hint="default" w:ascii="Arial" w:hAnsi="Arial" w:eastAsia="宋体" w:cs="Arial"/>
          <w:kern w:val="2"/>
          <w:szCs w:val="24"/>
          <w:lang w:val="en-US" w:eastAsia="zh-CN"/>
        </w:rPr>
        <w:t xml:space="preserve">.3 </w:t>
      </w:r>
      <w:r>
        <w:rPr>
          <w:rFonts w:hint="default" w:ascii="Arial" w:hAnsi="Arial" w:cs="Arial" w:eastAsiaTheme="minorEastAsia"/>
          <w:kern w:val="2"/>
          <w:szCs w:val="28"/>
          <w:lang w:val="en-US" w:eastAsia="zh-CN"/>
        </w:rPr>
        <w:t>Opportunities</w:t>
      </w:r>
      <w:r>
        <w:rPr>
          <w:rFonts w:hint="default" w:ascii="Arial" w:hAnsi="Arial" w:cs="Arial"/>
        </w:rPr>
        <w:tab/>
      </w:r>
      <w:r>
        <w:rPr>
          <w:rFonts w:hint="eastAsia" w:ascii="Arial" w:hAnsi="Arial" w:eastAsia="宋体" w:cs="Arial"/>
          <w:lang w:val="en-US" w:eastAsia="zh-CN"/>
        </w:rPr>
        <w:t>1</w:t>
      </w:r>
      <w:r>
        <w:rPr>
          <w:rFonts w:hint="default" w:ascii="Arial" w:hAnsi="Arial" w:cs="Arial"/>
          <w:bCs w:val="0"/>
          <w:szCs w:val="24"/>
        </w:rPr>
        <w:fldChar w:fldCharType="end"/>
      </w:r>
      <w:r>
        <w:rPr>
          <w:rFonts w:hint="eastAsia" w:ascii="Arial" w:hAnsi="Arial" w:eastAsia="宋体" w:cs="Arial"/>
          <w:bCs w:val="0"/>
          <w:szCs w:val="24"/>
          <w:lang w:val="en-US" w:eastAsia="zh-CN"/>
        </w:rPr>
        <w:t>3</w:t>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480" w:leftChars="200" w:firstLine="0" w:firstLineChars="0"/>
        <w:textAlignment w:val="auto"/>
        <w:rPr>
          <w:rFonts w:hint="eastAsia" w:ascii="Arial" w:hAnsi="Arial" w:eastAsia="宋体" w:cs="Arial"/>
          <w:lang w:val="en-US" w:eastAsia="zh-CN"/>
        </w:rPr>
      </w:pPr>
      <w:r>
        <w:rPr>
          <w:rFonts w:hint="default" w:ascii="Arial" w:hAnsi="Arial" w:cs="Arial"/>
          <w:bCs w:val="0"/>
          <w:szCs w:val="24"/>
        </w:rPr>
        <w:fldChar w:fldCharType="begin"/>
      </w:r>
      <w:r>
        <w:rPr>
          <w:rFonts w:hint="default" w:ascii="Arial" w:hAnsi="Arial" w:cs="Arial"/>
          <w:bCs w:val="0"/>
          <w:szCs w:val="24"/>
        </w:rPr>
        <w:instrText xml:space="preserve"> HYPERLINK \l _Toc20813 </w:instrText>
      </w:r>
      <w:r>
        <w:rPr>
          <w:rFonts w:hint="default" w:ascii="Arial" w:hAnsi="Arial" w:cs="Arial"/>
          <w:bCs w:val="0"/>
          <w:szCs w:val="24"/>
        </w:rPr>
        <w:fldChar w:fldCharType="separate"/>
      </w:r>
      <w:r>
        <w:rPr>
          <w:rFonts w:hint="eastAsia" w:ascii="Arial" w:hAnsi="Arial" w:eastAsia="宋体" w:cs="Arial"/>
          <w:kern w:val="2"/>
          <w:szCs w:val="24"/>
          <w:lang w:val="en-US" w:eastAsia="zh-CN"/>
        </w:rPr>
        <w:t>4</w:t>
      </w:r>
      <w:r>
        <w:rPr>
          <w:rFonts w:hint="default" w:ascii="Arial" w:hAnsi="Arial" w:eastAsia="宋体" w:cs="Arial"/>
          <w:kern w:val="2"/>
          <w:szCs w:val="24"/>
          <w:lang w:val="en-US" w:eastAsia="zh-CN"/>
        </w:rPr>
        <w:t xml:space="preserve">.4 </w:t>
      </w:r>
      <w:r>
        <w:rPr>
          <w:rFonts w:hint="default" w:ascii="Arial" w:hAnsi="Arial" w:cs="Arial" w:eastAsiaTheme="minorEastAsia"/>
          <w:kern w:val="2"/>
          <w:szCs w:val="28"/>
          <w:lang w:val="en-US" w:eastAsia="zh-CN"/>
        </w:rPr>
        <w:t>Threats</w:t>
      </w:r>
      <w:r>
        <w:rPr>
          <w:rFonts w:hint="default" w:ascii="Arial" w:hAnsi="Arial" w:cs="Arial"/>
        </w:rPr>
        <w:tab/>
      </w:r>
      <w:r>
        <w:rPr>
          <w:rFonts w:hint="eastAsia" w:ascii="Arial" w:hAnsi="Arial" w:eastAsia="宋体" w:cs="Arial"/>
          <w:lang w:val="en-US" w:eastAsia="zh-CN"/>
        </w:rPr>
        <w:t>1</w:t>
      </w:r>
      <w:r>
        <w:rPr>
          <w:rFonts w:hint="default" w:ascii="Arial" w:hAnsi="Arial" w:cs="Arial"/>
          <w:bCs w:val="0"/>
          <w:szCs w:val="24"/>
        </w:rPr>
        <w:fldChar w:fldCharType="end"/>
      </w:r>
      <w:r>
        <w:rPr>
          <w:rFonts w:hint="eastAsia" w:ascii="Arial" w:hAnsi="Arial" w:eastAsia="宋体" w:cs="Arial"/>
          <w:bCs w:val="0"/>
          <w:szCs w:val="24"/>
          <w:lang w:val="en-US" w:eastAsia="zh-CN"/>
        </w:rPr>
        <w:t>3</w:t>
      </w:r>
      <w:bookmarkStart w:id="24" w:name="_GoBack"/>
      <w:bookmarkEnd w:id="24"/>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_Toc19503 </w:instrText>
      </w:r>
      <w:r>
        <w:rPr>
          <w:rFonts w:hint="default" w:ascii="Arial" w:hAnsi="Arial" w:cs="Arial"/>
          <w:bCs w:val="0"/>
          <w:szCs w:val="24"/>
        </w:rPr>
        <w:fldChar w:fldCharType="separate"/>
      </w:r>
      <w:r>
        <w:rPr>
          <w:rFonts w:hint="default" w:ascii="Arial" w:hAnsi="Arial" w:eastAsia="Arial" w:cs="Arial"/>
          <w:kern w:val="2"/>
          <w:szCs w:val="24"/>
          <w:lang w:val="en-US" w:eastAsia="zh-CN"/>
        </w:rPr>
        <w:t xml:space="preserve">5 </w:t>
      </w:r>
      <w:r>
        <w:rPr>
          <w:rFonts w:hint="default" w:ascii="Arial" w:hAnsi="Arial" w:cs="Arial" w:eastAsiaTheme="minorEastAsia"/>
          <w:kern w:val="2"/>
          <w:szCs w:val="24"/>
          <w:lang w:val="en-US" w:eastAsia="zh-CN"/>
        </w:rPr>
        <w:t>Conclusion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_Toc19503 \h </w:instrText>
      </w:r>
      <w:r>
        <w:rPr>
          <w:rFonts w:hint="default" w:ascii="Arial" w:hAnsi="Arial" w:cs="Arial"/>
        </w:rPr>
        <w:fldChar w:fldCharType="separate"/>
      </w:r>
      <w:r>
        <w:rPr>
          <w:rFonts w:hint="default" w:ascii="Arial" w:hAnsi="Arial" w:cs="Arial"/>
        </w:rPr>
        <w:t>14</w:t>
      </w:r>
      <w:r>
        <w:rPr>
          <w:rFonts w:hint="default" w:ascii="Arial" w:hAnsi="Arial" w:cs="Arial"/>
        </w:rPr>
        <w:fldChar w:fldCharType="end"/>
      </w:r>
      <w:r>
        <w:rPr>
          <w:rFonts w:hint="default" w:ascii="Arial" w:hAnsi="Arial" w:cs="Arial"/>
          <w:bCs w:val="0"/>
          <w:szCs w:val="24"/>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_Toc19449 </w:instrText>
      </w:r>
      <w:r>
        <w:rPr>
          <w:rFonts w:hint="default" w:ascii="Arial" w:hAnsi="Arial" w:cs="Arial"/>
          <w:bCs w:val="0"/>
          <w:szCs w:val="24"/>
        </w:rPr>
        <w:fldChar w:fldCharType="separate"/>
      </w:r>
      <w:r>
        <w:rPr>
          <w:rFonts w:hint="default" w:ascii="Arial" w:hAnsi="Arial" w:cs="Arial" w:eastAsiaTheme="minorEastAsia"/>
          <w:kern w:val="2"/>
          <w:szCs w:val="24"/>
          <w:lang w:val="en-US" w:eastAsia="zh-CN"/>
        </w:rPr>
        <w:t>Reference List</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_Toc19449 \h </w:instrText>
      </w:r>
      <w:r>
        <w:rPr>
          <w:rFonts w:hint="default" w:ascii="Arial" w:hAnsi="Arial" w:cs="Arial"/>
        </w:rPr>
        <w:fldChar w:fldCharType="separate"/>
      </w:r>
      <w:r>
        <w:rPr>
          <w:rFonts w:hint="default" w:ascii="Arial" w:hAnsi="Arial" w:cs="Arial"/>
        </w:rPr>
        <w:t>15</w:t>
      </w:r>
      <w:r>
        <w:rPr>
          <w:rFonts w:hint="default" w:ascii="Arial" w:hAnsi="Arial" w:cs="Arial"/>
        </w:rPr>
        <w:fldChar w:fldCharType="end"/>
      </w:r>
      <w:r>
        <w:rPr>
          <w:rFonts w:hint="default" w:ascii="Arial" w:hAnsi="Arial" w:cs="Arial"/>
          <w:bCs w:val="0"/>
          <w:szCs w:val="24"/>
        </w:rPr>
        <w:fldChar w:fldCharType="end"/>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bCs w:val="0"/>
          <w:szCs w:val="24"/>
        </w:rPr>
        <w:sectPr>
          <w:footerReference r:id="rId6" w:type="default"/>
          <w:pgSz w:w="12240" w:h="15840"/>
          <w:pgMar w:top="1440" w:right="1440" w:bottom="1440" w:left="1440" w:header="720" w:footer="720" w:gutter="0"/>
          <w:pgNumType w:fmt="decimal" w:start="1"/>
          <w:cols w:space="720" w:num="1"/>
        </w:sectPr>
      </w:pPr>
      <w:r>
        <w:rPr>
          <w:rFonts w:hint="default" w:ascii="Arial" w:hAnsi="Arial" w:cs="Arial"/>
          <w:bCs w:val="0"/>
          <w:szCs w:val="24"/>
        </w:rPr>
        <w:fldChar w:fldCharType="end"/>
      </w:r>
    </w:p>
    <w:p>
      <w:pPr>
        <w:bidi w:val="0"/>
        <w:jc w:val="center"/>
        <w:rPr>
          <w:rFonts w:hint="default" w:ascii="Arial" w:hAnsi="Arial" w:cs="Arial"/>
          <w:b/>
          <w:bCs/>
          <w:sz w:val="32"/>
          <w:szCs w:val="40"/>
        </w:rPr>
      </w:pPr>
      <w:r>
        <w:rPr>
          <w:rFonts w:hint="default" w:ascii="Arial" w:hAnsi="Arial" w:cs="Arial"/>
          <w:b/>
          <w:bCs/>
          <w:sz w:val="32"/>
          <w:szCs w:val="40"/>
        </w:rPr>
        <w:t>Executive Summary</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b/>
          <w:bCs/>
          <w:sz w:val="32"/>
          <w:szCs w:val="40"/>
        </w:rPr>
      </w:pPr>
    </w:p>
    <w:p>
      <w:pPr>
        <w:keepNext w:val="0"/>
        <w:keepLines w:val="0"/>
        <w:pageBreakBefore w:val="0"/>
        <w:widowControl/>
        <w:kinsoku/>
        <w:wordWrap/>
        <w:overflowPunct/>
        <w:topLinePunct w:val="0"/>
        <w:autoSpaceDE/>
        <w:autoSpaceDN/>
        <w:bidi w:val="0"/>
        <w:adjustRightInd/>
        <w:snapToGrid/>
        <w:spacing w:line="480" w:lineRule="auto"/>
        <w:ind w:left="0" w:leftChars="0" w:firstLine="720" w:firstLineChars="300"/>
        <w:textAlignment w:val="auto"/>
        <w:rPr>
          <w:rFonts w:hint="eastAsia" w:ascii="Arial" w:hAnsi="Arial" w:cs="Arial"/>
          <w:b w:val="0"/>
          <w:bCs/>
          <w:color w:val="auto"/>
          <w:kern w:val="2"/>
          <w:sz w:val="24"/>
          <w:szCs w:val="24"/>
          <w:lang w:val="en-US" w:eastAsia="zh-CN" w:bidi="ar-SA"/>
        </w:rPr>
      </w:pPr>
      <w:r>
        <w:rPr>
          <w:rFonts w:hint="eastAsia" w:ascii="Arial" w:hAnsi="Arial" w:cs="Arial"/>
          <w:b w:val="0"/>
          <w:bCs/>
          <w:color w:val="auto"/>
          <w:kern w:val="2"/>
          <w:sz w:val="24"/>
          <w:szCs w:val="24"/>
          <w:lang w:val="en-US" w:eastAsia="zh-CN" w:bidi="ar-SA"/>
        </w:rPr>
        <w:t xml:space="preserve">International fast food chain enterprises are full of expectations for sustainable development, which is bound to constantly adapt to its internal and external environment, find new opportunities and face new challenges, and adopt targeted development strategies according to local conditions to cope with the changing business environment. Taking Pizza Hut as the research object, this report uses a variety of frameworks and models to analyze the current and future external and internal environments facing the fast food chain. The first model used is the PESTEL analysis, which is used primarily to assess the impact of consumer preferences, economic conditions and regulatory changes. The second model is SWOT analysis, which is mainly used to evaluate the strengths, weaknesses, opportunities and threats of Pizza Hut. In addition, this report also uses Porter's five forces model and </w:t>
      </w:r>
      <w:r>
        <w:rPr>
          <w:rFonts w:hint="default" w:ascii="Arial" w:hAnsi="Arial" w:cs="Arial"/>
        </w:rPr>
        <w:t>VRIO</w:t>
      </w:r>
      <w:r>
        <w:rPr>
          <w:rFonts w:hint="eastAsia" w:ascii="Arial" w:hAnsi="Arial" w:eastAsia="宋体" w:cs="Arial"/>
          <w:lang w:val="en-US" w:eastAsia="zh-CN"/>
        </w:rPr>
        <w:t xml:space="preserve"> model</w:t>
      </w:r>
      <w:r>
        <w:rPr>
          <w:rFonts w:hint="eastAsia" w:ascii="Arial" w:hAnsi="Arial" w:cs="Arial"/>
          <w:b w:val="0"/>
          <w:bCs/>
          <w:color w:val="auto"/>
          <w:kern w:val="2"/>
          <w:sz w:val="24"/>
          <w:szCs w:val="24"/>
          <w:lang w:val="en-US" w:eastAsia="zh-CN" w:bidi="ar-SA"/>
        </w:rPr>
        <w:t xml:space="preserve"> to analyze Pizza Hut's competition, to determine its opportunity to improve operations. In order to remain competitive, Pizza Hut should constantly innovate and differentiate its products, differentiate itself from competitors, and focus on new development opportunities to attract and retain customers. Pizza Hut must learn to size up the situation, attach importance to and constantly adapt to the new internal and external environment changes, mitigate potential threats, adjust and optimize the enterprise development strategy timely, strive to improve customer loyalty to its brand, give full play to the brand effect, to ensure that the enterprise in the complex environment full of opportunities and challenges in an invincible position.</w:t>
      </w:r>
    </w:p>
    <w:p>
      <w:pPr>
        <w:keepNext w:val="0"/>
        <w:keepLines w:val="0"/>
        <w:pageBreakBefore w:val="0"/>
        <w:widowControl/>
        <w:kinsoku/>
        <w:wordWrap/>
        <w:overflowPunct/>
        <w:topLinePunct w:val="0"/>
        <w:autoSpaceDE/>
        <w:autoSpaceDN/>
        <w:bidi w:val="0"/>
        <w:adjustRightInd/>
        <w:snapToGrid/>
        <w:spacing w:line="480" w:lineRule="auto"/>
        <w:ind w:left="0" w:leftChars="0" w:firstLine="0" w:firstLineChars="0"/>
        <w:textAlignment w:val="auto"/>
        <w:rPr>
          <w:rFonts w:hint="eastAsia" w:ascii="Arial" w:hAnsi="Arial" w:cs="Arial"/>
          <w:b w:val="0"/>
          <w:bCs/>
          <w:color w:val="auto"/>
          <w:kern w:val="2"/>
          <w:sz w:val="24"/>
          <w:szCs w:val="24"/>
          <w:lang w:val="en-US" w:eastAsia="zh-CN" w:bidi="ar-SA"/>
        </w:rPr>
        <w:sectPr>
          <w:pgSz w:w="12240" w:h="15840"/>
          <w:pgMar w:top="1440" w:right="1440" w:bottom="1440" w:left="1440" w:header="720" w:footer="720" w:gutter="0"/>
          <w:pgNumType w:fmt="decimal"/>
          <w:cols w:space="720" w:num="1"/>
        </w:sectPr>
      </w:pPr>
    </w:p>
    <w:p>
      <w:pPr>
        <w:pStyle w:val="4"/>
        <w:keepNext/>
        <w:keepLines/>
        <w:pageBreakBefore w:val="0"/>
        <w:widowControl w:val="0"/>
        <w:numPr>
          <w:ilvl w:val="0"/>
          <w:numId w:val="2"/>
        </w:numPr>
        <w:kinsoku/>
        <w:wordWrap/>
        <w:overflowPunct/>
        <w:topLinePunct w:val="0"/>
        <w:autoSpaceDE/>
        <w:autoSpaceDN/>
        <w:bidi w:val="0"/>
        <w:adjustRightInd/>
        <w:snapToGrid/>
        <w:spacing w:before="20" w:beforeLines="0" w:beforeAutospacing="0" w:after="20" w:afterLines="0" w:afterAutospacing="0" w:line="480" w:lineRule="auto"/>
        <w:ind w:left="0" w:leftChars="0" w:firstLine="0" w:firstLineChars="0"/>
        <w:textAlignment w:val="auto"/>
        <w:outlineLvl w:val="2"/>
        <w:rPr>
          <w:rFonts w:hint="default" w:ascii="Arial" w:hAnsi="Arial" w:cs="Arial" w:eastAsiaTheme="minorEastAsia"/>
          <w:kern w:val="2"/>
          <w:sz w:val="32"/>
          <w:szCs w:val="24"/>
          <w:lang w:val="en-US" w:eastAsia="zh-CN"/>
        </w:rPr>
      </w:pPr>
      <w:bookmarkStart w:id="1" w:name="_Toc23080"/>
      <w:r>
        <w:rPr>
          <w:rFonts w:hint="eastAsia" w:ascii="Arial" w:hAnsi="Arial" w:cs="Arial" w:eastAsiaTheme="minorEastAsia"/>
          <w:kern w:val="2"/>
          <w:sz w:val="32"/>
          <w:szCs w:val="24"/>
          <w:lang w:val="en-US" w:eastAsia="zh-CN"/>
        </w:rPr>
        <w:t>Introduction</w:t>
      </w:r>
      <w:bookmarkEnd w:id="1"/>
    </w:p>
    <w:p>
      <w:pPr>
        <w:keepNext w:val="0"/>
        <w:keepLines w:val="0"/>
        <w:pageBreakBefore w:val="0"/>
        <w:widowControl/>
        <w:kinsoku/>
        <w:wordWrap/>
        <w:overflowPunct/>
        <w:topLinePunct w:val="0"/>
        <w:autoSpaceDE/>
        <w:autoSpaceDN/>
        <w:bidi w:val="0"/>
        <w:adjustRightInd/>
        <w:snapToGrid/>
        <w:textAlignment w:val="auto"/>
        <w:rPr>
          <w:rFonts w:hint="default" w:ascii="Arial" w:hAnsi="Arial" w:cs="Arial"/>
          <w:lang w:val="en-US" w:eastAsia="zh-CN"/>
        </w:rPr>
      </w:pPr>
      <w:r>
        <w:rPr>
          <w:rFonts w:hint="default" w:ascii="Arial" w:hAnsi="Arial" w:cs="Arial"/>
          <w:lang w:val="en-US" w:eastAsia="zh-CN"/>
        </w:rPr>
        <w:t xml:space="preserve">Pizza Hut is one of the world's largest and most successful pizza restaurant chains, with a history spanning over six decades. Founded in 1958 in Wichita, Kansas, Pizza Hut has since expanded to different locations worldwide, serving millions of customers every day (Pizza Hut Brand Blog, 2022). However, the fast-food industry is rapidly evolving, with changing consumer preferences, emerging technology, and increasing competition. To remain competitive and successful, a fast-food chain like Pizza Hut must continue evolving and adapting to its internal and external environment, identifying new opportunities, overcoming challenges, and developing effective strategies to respond to an ever-changing business environment. This report will analyse Pizza Hut's current and future external and internal environments using various frameworks and models. The first model is the PESTEL analysis, which will evaluate the impact of changing consumer preferences, economic conditions, and regulations. The second model, SWOT analysis, will assess the strengths, weaknesses, opportunities, and threats of Pizza Hut. Finally, this report will conduct a competitive analysis using Porter's Five Forces model and </w:t>
      </w:r>
      <w:r>
        <w:rPr>
          <w:rFonts w:hint="default" w:ascii="Arial" w:hAnsi="Arial" w:cs="Arial"/>
        </w:rPr>
        <w:t>VRIO</w:t>
      </w:r>
      <w:r>
        <w:rPr>
          <w:rFonts w:hint="eastAsia" w:ascii="Arial" w:hAnsi="Arial" w:eastAsia="宋体" w:cs="Arial"/>
          <w:lang w:val="en-US" w:eastAsia="zh-CN"/>
        </w:rPr>
        <w:t xml:space="preserve"> model</w:t>
      </w:r>
      <w:r>
        <w:rPr>
          <w:rFonts w:hint="default" w:ascii="Arial" w:hAnsi="Arial" w:cs="Arial"/>
          <w:lang w:val="en-US" w:eastAsia="zh-CN"/>
        </w:rPr>
        <w:t>, which will identify opportunities for operational improvement.</w:t>
      </w:r>
    </w:p>
    <w:p>
      <w:pPr>
        <w:pStyle w:val="4"/>
        <w:keepNext/>
        <w:keepLines/>
        <w:pageBreakBefore w:val="0"/>
        <w:widowControl w:val="0"/>
        <w:numPr>
          <w:ilvl w:val="0"/>
          <w:numId w:val="2"/>
        </w:numPr>
        <w:kinsoku/>
        <w:wordWrap/>
        <w:overflowPunct/>
        <w:topLinePunct w:val="0"/>
        <w:autoSpaceDE/>
        <w:autoSpaceDN/>
        <w:bidi w:val="0"/>
        <w:adjustRightInd/>
        <w:snapToGrid/>
        <w:spacing w:before="20" w:beforeLines="0" w:beforeAutospacing="0" w:after="20" w:afterLines="0" w:afterAutospacing="0" w:line="480" w:lineRule="auto"/>
        <w:ind w:left="0" w:leftChars="0" w:firstLine="0" w:firstLineChars="0"/>
        <w:textAlignment w:val="auto"/>
        <w:outlineLvl w:val="2"/>
        <w:rPr>
          <w:rFonts w:hint="default" w:ascii="Arial" w:hAnsi="Arial" w:cs="Arial" w:eastAsiaTheme="minorEastAsia"/>
          <w:kern w:val="2"/>
          <w:sz w:val="32"/>
          <w:szCs w:val="24"/>
          <w:lang w:val="en-US" w:eastAsia="zh-CN"/>
        </w:rPr>
      </w:pPr>
      <w:bookmarkStart w:id="2" w:name="_Toc26702"/>
      <w:r>
        <w:rPr>
          <w:rFonts w:hint="default" w:ascii="Arial" w:hAnsi="Arial" w:cs="Arial" w:eastAsiaTheme="minorEastAsia"/>
          <w:kern w:val="2"/>
          <w:sz w:val="32"/>
          <w:szCs w:val="24"/>
          <w:lang w:val="en-US" w:eastAsia="zh-CN"/>
        </w:rPr>
        <w:t>Pizza Hut’s PESTEL Analysis</w:t>
      </w:r>
      <w:bookmarkEnd w:id="2"/>
    </w:p>
    <w:p>
      <w:pPr>
        <w:keepNext w:val="0"/>
        <w:keepLines w:val="0"/>
        <w:pageBreakBefore w:val="0"/>
        <w:widowControl/>
        <w:kinsoku/>
        <w:wordWrap/>
        <w:overflowPunct/>
        <w:topLinePunct w:val="0"/>
        <w:autoSpaceDE/>
        <w:autoSpaceDN/>
        <w:bidi w:val="0"/>
        <w:adjustRightInd/>
        <w:snapToGrid/>
        <w:textAlignment w:val="auto"/>
        <w:rPr>
          <w:rFonts w:hint="default" w:ascii="Arial" w:hAnsi="Arial" w:cs="Arial"/>
          <w:lang w:val="en-US" w:eastAsia="zh-CN"/>
        </w:rPr>
      </w:pPr>
      <w:r>
        <w:rPr>
          <w:rFonts w:hint="default" w:ascii="Arial" w:hAnsi="Arial" w:cs="Arial"/>
          <w:lang w:val="en-US" w:eastAsia="zh-CN"/>
        </w:rPr>
        <w:t xml:space="preserve">The political, economic, sociocultural, technological, environmental, and legal (PESTEL) analysis is a valuable tool for evaluating the external environment in which Pizza Hut operates. </w:t>
      </w:r>
    </w:p>
    <w:p>
      <w:pPr>
        <w:pStyle w:val="4"/>
        <w:keepNext/>
        <w:keepLines/>
        <w:pageBreakBefore w:val="0"/>
        <w:widowControl w:val="0"/>
        <w:numPr>
          <w:ilvl w:val="1"/>
          <w:numId w:val="3"/>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567" w:leftChars="0" w:hanging="567" w:firstLineChars="0"/>
        <w:textAlignment w:val="auto"/>
        <w:outlineLvl w:val="2"/>
        <w:rPr>
          <w:rFonts w:hint="default" w:ascii="Arial" w:hAnsi="Arial" w:cs="Arial" w:eastAsiaTheme="minorEastAsia"/>
          <w:kern w:val="2"/>
          <w:sz w:val="28"/>
          <w:szCs w:val="28"/>
          <w:lang w:val="en-US" w:eastAsia="zh-CN"/>
        </w:rPr>
      </w:pPr>
      <w:bookmarkStart w:id="3" w:name="_Toc28584"/>
      <w:r>
        <w:rPr>
          <w:rFonts w:hint="default" w:ascii="Arial" w:hAnsi="Arial" w:cs="Arial" w:eastAsiaTheme="minorEastAsia"/>
          <w:kern w:val="2"/>
          <w:sz w:val="28"/>
          <w:szCs w:val="28"/>
          <w:lang w:val="en-US" w:eastAsia="zh-CN"/>
        </w:rPr>
        <w:t>Political Analysis</w:t>
      </w:r>
      <w:bookmarkEnd w:id="3"/>
    </w:p>
    <w:p>
      <w:pPr>
        <w:bidi w:val="0"/>
        <w:rPr>
          <w:rFonts w:hint="default" w:ascii="Arial" w:hAnsi="Arial" w:cs="Arial"/>
        </w:rPr>
      </w:pPr>
      <w:r>
        <w:rPr>
          <w:rFonts w:hint="default" w:ascii="Arial" w:hAnsi="Arial" w:cs="Arial"/>
        </w:rPr>
        <w:t xml:space="preserve">Pizza Hut operates in a politically unstable industry and is subject to various internal and external political factors that can impact its operations. According to Markus (2022), Pizza Hut, like many international businesses, has been affected by geopolitical events such as Russia's 2022 invasion of Ukraine, which led to international sanctions against Russia. Liadze and others (2022) note that this resulted in many franchises leaving the Russian market, thereby negatively impacting the sales of Pizza Hut. </w:t>
      </w:r>
    </w:p>
    <w:p>
      <w:pPr>
        <w:pStyle w:val="4"/>
        <w:keepNext/>
        <w:keepLines/>
        <w:pageBreakBefore w:val="0"/>
        <w:widowControl w:val="0"/>
        <w:numPr>
          <w:ilvl w:val="1"/>
          <w:numId w:val="3"/>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567" w:leftChars="0" w:hanging="567" w:firstLineChars="0"/>
        <w:textAlignment w:val="auto"/>
        <w:outlineLvl w:val="2"/>
        <w:rPr>
          <w:rFonts w:hint="default" w:ascii="Arial" w:hAnsi="Arial" w:cs="Arial" w:eastAsiaTheme="minorEastAsia"/>
          <w:kern w:val="2"/>
          <w:sz w:val="28"/>
          <w:szCs w:val="28"/>
          <w:lang w:val="en-US" w:eastAsia="zh-CN"/>
        </w:rPr>
      </w:pPr>
      <w:bookmarkStart w:id="4" w:name="_Toc30436"/>
      <w:r>
        <w:rPr>
          <w:rFonts w:hint="default" w:ascii="Arial" w:hAnsi="Arial" w:cs="Arial" w:eastAsiaTheme="minorEastAsia"/>
          <w:kern w:val="2"/>
          <w:sz w:val="28"/>
          <w:szCs w:val="28"/>
          <w:lang w:val="en-US" w:eastAsia="zh-CN"/>
        </w:rPr>
        <w:t>Economic Analysis</w:t>
      </w:r>
      <w:bookmarkEnd w:id="4"/>
    </w:p>
    <w:p>
      <w:pPr>
        <w:bidi w:val="0"/>
        <w:rPr>
          <w:rFonts w:hint="default" w:ascii="Arial" w:hAnsi="Arial" w:cs="Arial"/>
        </w:rPr>
      </w:pPr>
      <w:r>
        <w:rPr>
          <w:rFonts w:hint="default" w:ascii="Arial" w:hAnsi="Arial" w:cs="Arial"/>
        </w:rPr>
        <w:t xml:space="preserve">Changes in internal and external economic conditions have also significantly impacted the fast-food industry, including Pizza Hut. The COVID-19 pandemic significantly impacted the economy and the fast-food industry. </w:t>
      </w:r>
      <w:r>
        <w:rPr>
          <w:rFonts w:hint="default" w:ascii="Arial" w:hAnsi="Arial" w:cs="Arial"/>
          <w:lang w:val="en-US"/>
        </w:rPr>
        <w:t>Bhushan (2020)</w:t>
      </w:r>
      <w:r>
        <w:rPr>
          <w:rFonts w:hint="default" w:ascii="Arial" w:hAnsi="Arial" w:cs="Arial"/>
        </w:rPr>
        <w:t xml:space="preserve"> notes that lockdowns and restrictions on dining out resulted in reduced sales and revenue by 6% in the first half of 2020 as compared to the same period in 2019. Overall, changes in economic conditions, such as recession, inflation, and increase in prices, have significantly impacted Pizza Hut. </w:t>
      </w:r>
    </w:p>
    <w:p>
      <w:pPr>
        <w:pStyle w:val="4"/>
        <w:keepNext/>
        <w:keepLines/>
        <w:pageBreakBefore w:val="0"/>
        <w:widowControl w:val="0"/>
        <w:numPr>
          <w:ilvl w:val="1"/>
          <w:numId w:val="3"/>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567" w:leftChars="0" w:hanging="567" w:firstLineChars="0"/>
        <w:textAlignment w:val="auto"/>
        <w:outlineLvl w:val="2"/>
        <w:rPr>
          <w:rFonts w:hint="default" w:ascii="Arial" w:hAnsi="Arial" w:cs="Arial" w:eastAsiaTheme="minorEastAsia"/>
          <w:kern w:val="2"/>
          <w:sz w:val="28"/>
          <w:szCs w:val="28"/>
          <w:lang w:val="en-US" w:eastAsia="zh-CN"/>
        </w:rPr>
      </w:pPr>
      <w:bookmarkStart w:id="5" w:name="_Toc12614"/>
      <w:r>
        <w:rPr>
          <w:rFonts w:hint="default" w:ascii="Arial" w:hAnsi="Arial" w:cs="Arial" w:eastAsiaTheme="minorEastAsia"/>
          <w:kern w:val="2"/>
          <w:sz w:val="28"/>
          <w:szCs w:val="28"/>
          <w:lang w:val="en-US" w:eastAsia="zh-CN"/>
        </w:rPr>
        <w:t>Sociocultural Analysis</w:t>
      </w:r>
      <w:bookmarkEnd w:id="5"/>
    </w:p>
    <w:p>
      <w:pPr>
        <w:bidi w:val="0"/>
        <w:rPr>
          <w:rFonts w:hint="default" w:ascii="Arial" w:hAnsi="Arial" w:cs="Arial"/>
        </w:rPr>
      </w:pPr>
      <w:r>
        <w:rPr>
          <w:rFonts w:hint="default" w:ascii="Arial" w:hAnsi="Arial" w:cs="Arial"/>
        </w:rPr>
        <w:t>Changing sociocultural factors have also had a significant impact on Pizza Hut. Jensen and Schwartz (2021) note that one such external factor is the increasing focus on health and sustainability. As consumers become more health-conscious, they avoid fast food or opt for healthier options. This shift in consumer preferences towards more nutritious and sustainable food options has impacted demand for Pizza Hut, leading to declined sales of unhealthy foods. Therefore, Pizza Hut should consider offering healthier pizza toppings or introducing new menu items that cater to this trend, such as vegetarian or gluten-free options.</w:t>
      </w:r>
    </w:p>
    <w:p>
      <w:pPr>
        <w:pStyle w:val="4"/>
        <w:keepNext/>
        <w:keepLines/>
        <w:pageBreakBefore w:val="0"/>
        <w:widowControl w:val="0"/>
        <w:numPr>
          <w:ilvl w:val="1"/>
          <w:numId w:val="3"/>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567" w:leftChars="0" w:hanging="567" w:firstLineChars="0"/>
        <w:textAlignment w:val="auto"/>
        <w:outlineLvl w:val="2"/>
        <w:rPr>
          <w:rFonts w:hint="default" w:ascii="Arial" w:hAnsi="Arial" w:cs="Arial" w:eastAsiaTheme="minorEastAsia"/>
          <w:kern w:val="2"/>
          <w:sz w:val="28"/>
          <w:szCs w:val="28"/>
          <w:lang w:val="en-US" w:eastAsia="zh-CN"/>
        </w:rPr>
      </w:pPr>
      <w:bookmarkStart w:id="6" w:name="_Toc23059"/>
      <w:r>
        <w:rPr>
          <w:rFonts w:hint="default" w:ascii="Arial" w:hAnsi="Arial" w:cs="Arial" w:eastAsiaTheme="minorEastAsia"/>
          <w:kern w:val="2"/>
          <w:sz w:val="28"/>
          <w:szCs w:val="28"/>
          <w:lang w:val="en-US" w:eastAsia="zh-CN"/>
        </w:rPr>
        <w:t>Technological Analysis</w:t>
      </w:r>
      <w:bookmarkEnd w:id="6"/>
    </w:p>
    <w:p>
      <w:pPr>
        <w:bidi w:val="0"/>
        <w:rPr>
          <w:rFonts w:hint="default" w:ascii="Arial" w:hAnsi="Arial" w:cs="Arial"/>
        </w:rPr>
      </w:pPr>
      <w:r>
        <w:rPr>
          <w:rFonts w:hint="default" w:ascii="Arial" w:hAnsi="Arial" w:cs="Arial"/>
        </w:rPr>
        <w:t>Technological advancements have also significantly impacted Pizza Hut both internally and externally. Externally, Chang and Meyerhoefer (2021) observe that the growing use of online platforms and delivery services for ordering and payment processing has made it easier for customers to order from Pizza Hut leading to an increase in online sales. For this reason, adopting new technologies can improve its operations and customer experience. Kakani and others (2020) note that Pizza Hut could potentially implement artificial intelligence and machine learning algorithms to optimize its supply chain management processes and improve efficiency.</w:t>
      </w:r>
    </w:p>
    <w:p>
      <w:pPr>
        <w:pStyle w:val="4"/>
        <w:keepNext/>
        <w:keepLines/>
        <w:pageBreakBefore w:val="0"/>
        <w:widowControl w:val="0"/>
        <w:numPr>
          <w:ilvl w:val="1"/>
          <w:numId w:val="3"/>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567" w:leftChars="0" w:hanging="567" w:firstLineChars="0"/>
        <w:textAlignment w:val="auto"/>
        <w:outlineLvl w:val="2"/>
        <w:rPr>
          <w:rFonts w:hint="default" w:ascii="Arial" w:hAnsi="Arial" w:cs="Arial" w:eastAsiaTheme="minorEastAsia"/>
          <w:kern w:val="2"/>
          <w:sz w:val="28"/>
          <w:szCs w:val="28"/>
          <w:lang w:val="en-US" w:eastAsia="zh-CN"/>
        </w:rPr>
      </w:pPr>
      <w:bookmarkStart w:id="7" w:name="_Toc16193"/>
      <w:r>
        <w:rPr>
          <w:rFonts w:hint="default" w:ascii="Arial" w:hAnsi="Arial" w:cs="Arial" w:eastAsiaTheme="minorEastAsia"/>
          <w:kern w:val="2"/>
          <w:sz w:val="28"/>
          <w:szCs w:val="28"/>
          <w:lang w:val="en-US" w:eastAsia="zh-CN"/>
        </w:rPr>
        <w:t>Environmental Analysis</w:t>
      </w:r>
      <w:bookmarkEnd w:id="7"/>
    </w:p>
    <w:p>
      <w:pPr>
        <w:bidi w:val="0"/>
        <w:rPr>
          <w:rFonts w:hint="default" w:ascii="Arial" w:hAnsi="Arial" w:cs="Arial"/>
        </w:rPr>
      </w:pPr>
      <w:r>
        <w:rPr>
          <w:rFonts w:hint="default" w:ascii="Arial" w:hAnsi="Arial" w:cs="Arial"/>
        </w:rPr>
        <w:t xml:space="preserve">Growing concerns about environmental sustainability and climate change have become essential factors for many consumers, including in the fast-food industry when making purchasing decisions. Wolfson and others (2022) note that there has been increasing public awareness of environmental sustainability; thus, consumers are becoming increasingly conscious of the environmental impact of their purchasing decisions and may prefer to choose brands that demonstrate a commitment to sustainability. To keep up, Pizza Hut needs to implement sustainable practices such as reducing food waste, using eco-friendly packaging, and sourcing ingredients from sustainable and ethical suppliers. Thamagasorn and Pharino (2019) note that Pizza Hut could focus on efficient energy and resource usage to prevent energy wastage which could negatively impact the environment. </w:t>
      </w:r>
    </w:p>
    <w:p>
      <w:pPr>
        <w:pStyle w:val="4"/>
        <w:keepNext/>
        <w:keepLines/>
        <w:pageBreakBefore w:val="0"/>
        <w:widowControl w:val="0"/>
        <w:numPr>
          <w:ilvl w:val="1"/>
          <w:numId w:val="3"/>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567" w:leftChars="0" w:hanging="567" w:firstLineChars="0"/>
        <w:textAlignment w:val="auto"/>
        <w:outlineLvl w:val="2"/>
        <w:rPr>
          <w:rFonts w:hint="default" w:ascii="Arial" w:hAnsi="Arial" w:cs="Arial" w:eastAsiaTheme="minorEastAsia"/>
          <w:kern w:val="2"/>
          <w:sz w:val="28"/>
          <w:szCs w:val="28"/>
          <w:lang w:val="en-US" w:eastAsia="zh-CN"/>
        </w:rPr>
      </w:pPr>
      <w:bookmarkStart w:id="8" w:name="_Toc31396"/>
      <w:r>
        <w:rPr>
          <w:rFonts w:hint="default" w:ascii="Arial" w:hAnsi="Arial" w:cs="Arial" w:eastAsiaTheme="minorEastAsia"/>
          <w:kern w:val="2"/>
          <w:sz w:val="28"/>
          <w:szCs w:val="28"/>
          <w:lang w:val="en-US" w:eastAsia="zh-CN"/>
        </w:rPr>
        <w:t>Legal Analysis</w:t>
      </w:r>
      <w:bookmarkEnd w:id="8"/>
    </w:p>
    <w:p>
      <w:pPr>
        <w:bidi w:val="0"/>
        <w:rPr>
          <w:rFonts w:hint="default" w:ascii="Arial" w:hAnsi="Arial" w:cs="Arial"/>
        </w:rPr>
      </w:pPr>
      <w:r>
        <w:rPr>
          <w:rFonts w:hint="default" w:ascii="Arial" w:hAnsi="Arial" w:cs="Arial"/>
        </w:rPr>
        <w:t>Legal requirements related to food safety, health and safety, and employment laws are essential considerations for Pizza Hut's operations. Governments worldwide are implementing various labor laws and regulations to protect workers' rights, including minimum wage laws, paid leave policies, and employee benefits (Fisk and Reddy, 2020). Pizza Hut must adhere to food safety laws and regulations and ensure that food is prepared and served safely and hygienically. Failure to comply with these regulations can result in legal and reputational risks (Nayak and Waterson, 2019). Therefore, Pizza Hut must implement all these policies and procedures to retain its corporate success.</w:t>
      </w:r>
    </w:p>
    <w:p>
      <w:pPr>
        <w:pStyle w:val="4"/>
        <w:keepNext/>
        <w:keepLines/>
        <w:pageBreakBefore w:val="0"/>
        <w:widowControl w:val="0"/>
        <w:numPr>
          <w:ilvl w:val="0"/>
          <w:numId w:val="2"/>
        </w:numPr>
        <w:kinsoku/>
        <w:wordWrap/>
        <w:overflowPunct/>
        <w:topLinePunct w:val="0"/>
        <w:autoSpaceDE/>
        <w:autoSpaceDN/>
        <w:bidi w:val="0"/>
        <w:adjustRightInd/>
        <w:snapToGrid/>
        <w:spacing w:before="20" w:beforeLines="0" w:beforeAutospacing="0" w:after="20" w:afterLines="0" w:afterAutospacing="0" w:line="480" w:lineRule="auto"/>
        <w:ind w:left="0" w:leftChars="0" w:firstLine="0" w:firstLineChars="0"/>
        <w:textAlignment w:val="auto"/>
        <w:outlineLvl w:val="2"/>
        <w:rPr>
          <w:rFonts w:hint="default" w:ascii="Arial" w:hAnsi="Arial" w:cs="Arial" w:eastAsiaTheme="minorEastAsia"/>
          <w:kern w:val="2"/>
          <w:sz w:val="32"/>
          <w:szCs w:val="24"/>
          <w:lang w:val="en-US" w:eastAsia="zh-CN"/>
        </w:rPr>
      </w:pPr>
      <w:bookmarkStart w:id="9" w:name="_Toc7678"/>
      <w:r>
        <w:rPr>
          <w:rFonts w:hint="default" w:ascii="Arial" w:hAnsi="Arial" w:cs="Arial" w:eastAsiaTheme="minorEastAsia"/>
          <w:kern w:val="2"/>
          <w:sz w:val="32"/>
          <w:szCs w:val="24"/>
          <w:lang w:val="en-US" w:eastAsia="zh-CN"/>
        </w:rPr>
        <w:t>Competitive Analysis</w:t>
      </w:r>
      <w:bookmarkEnd w:id="9"/>
    </w:p>
    <w:p>
      <w:pPr>
        <w:bidi w:val="0"/>
        <w:rPr>
          <w:rFonts w:hint="default" w:ascii="Arial" w:hAnsi="Arial" w:cs="Arial"/>
        </w:rPr>
      </w:pPr>
      <w:r>
        <w:rPr>
          <w:rFonts w:hint="default" w:ascii="Arial" w:hAnsi="Arial" w:cs="Arial"/>
        </w:rPr>
        <w:t>A competitive analysis is a framework that helps organizations identify and evaluate their competitors and their competitive environment to gain insights into their competitive advantage. This section will explore Porter’s five forces and the VRIO analysis of Pizza Hut.</w:t>
      </w:r>
    </w:p>
    <w:p>
      <w:pPr>
        <w:pStyle w:val="3"/>
        <w:numPr>
          <w:numId w:val="0"/>
        </w:numPr>
        <w:bidi w:val="0"/>
        <w:ind w:leftChars="0"/>
        <w:rPr>
          <w:rFonts w:hint="default" w:ascii="Arial" w:hAnsi="Arial" w:cs="Arial"/>
          <w:sz w:val="28"/>
          <w:szCs w:val="28"/>
          <w:lang w:val="en-US" w:eastAsia="zh-CN"/>
        </w:rPr>
      </w:pPr>
      <w:bookmarkStart w:id="10" w:name="_Toc30715"/>
      <w:r>
        <w:rPr>
          <w:rFonts w:hint="eastAsia" w:ascii="Arial" w:hAnsi="Arial" w:cs="Arial"/>
          <w:sz w:val="28"/>
          <w:szCs w:val="28"/>
          <w:lang w:val="en-US" w:eastAsia="zh-CN"/>
        </w:rPr>
        <w:t xml:space="preserve">3.1 </w:t>
      </w:r>
      <w:r>
        <w:rPr>
          <w:rFonts w:hint="default" w:ascii="Arial" w:hAnsi="Arial" w:cs="Arial"/>
          <w:sz w:val="28"/>
          <w:szCs w:val="28"/>
          <w:lang w:val="en-US" w:eastAsia="zh-CN"/>
        </w:rPr>
        <w:t>Porter’s Five Forces</w:t>
      </w:r>
      <w:bookmarkEnd w:id="10"/>
    </w:p>
    <w:p>
      <w:pPr>
        <w:bidi w:val="0"/>
        <w:rPr>
          <w:rFonts w:hint="default" w:ascii="Arial" w:hAnsi="Arial" w:cs="Arial"/>
        </w:rPr>
      </w:pPr>
      <w:r>
        <w:rPr>
          <w:rFonts w:hint="default" w:ascii="Arial" w:hAnsi="Arial" w:cs="Arial"/>
        </w:rPr>
        <w:t>Porter's Five Forces model is a tool used to analyze the competitive environment of an industry. The five forces include the bargaining power of suppliers, the threat of new entrants, the bargaining power of buyers, the threat of substitute products, and the intensity of rivalry among existing competitors (Dobbs, 2014). This part will analyse the five forces' relevance to Pizza Hut’s internal and external market position.</w:t>
      </w:r>
    </w:p>
    <w:p>
      <w:pPr>
        <w:pStyle w:val="4"/>
        <w:numPr>
          <w:numId w:val="0"/>
        </w:numPr>
        <w:bidi w:val="0"/>
        <w:ind w:leftChars="0"/>
        <w:rPr>
          <w:rFonts w:hint="default" w:ascii="Arial" w:hAnsi="Arial" w:cs="Arial"/>
          <w:lang w:val="en-US" w:eastAsia="zh-CN"/>
        </w:rPr>
      </w:pPr>
      <w:bookmarkStart w:id="11" w:name="_Toc29066"/>
      <w:r>
        <w:rPr>
          <w:rFonts w:hint="eastAsia" w:ascii="Arial" w:hAnsi="Arial" w:cs="Arial"/>
          <w:lang w:val="en-US" w:eastAsia="zh-CN"/>
        </w:rPr>
        <w:t xml:space="preserve">3.1.1 </w:t>
      </w:r>
      <w:r>
        <w:rPr>
          <w:rFonts w:hint="default" w:ascii="Arial" w:hAnsi="Arial" w:cs="Arial"/>
          <w:lang w:val="en-US" w:eastAsia="zh-CN"/>
        </w:rPr>
        <w:t>Bargaining Power of Suppliers</w:t>
      </w:r>
      <w:bookmarkEnd w:id="11"/>
    </w:p>
    <w:p>
      <w:pPr>
        <w:bidi w:val="0"/>
        <w:rPr>
          <w:rFonts w:hint="default" w:ascii="Arial" w:hAnsi="Arial" w:cs="Arial"/>
        </w:rPr>
      </w:pPr>
      <w:r>
        <w:rPr>
          <w:rFonts w:hint="default" w:ascii="Arial" w:hAnsi="Arial" w:cs="Arial"/>
        </w:rPr>
        <w:t>Pizza Hut has an extensive network of suppliers for ingredients, equipment, and other necessary supplies (Mukucha et al., 2021). As a large chain, it may have some bargaining power to negotiate better prices and terms with its suppliers. However, suppliers of Pizza Hut's competitors may also impact the company's position in the market. According to Nugraha and others (2019), if a competitor can secure better deals with suppliers, it may offer lower prices or higher-quality products than Pizza Hut. This can lead to lower revenues and reduced profitability for Pizza Hut.</w:t>
      </w:r>
    </w:p>
    <w:p>
      <w:pPr>
        <w:pStyle w:val="4"/>
        <w:numPr>
          <w:numId w:val="0"/>
        </w:numPr>
        <w:bidi w:val="0"/>
        <w:ind w:leftChars="0"/>
        <w:rPr>
          <w:rFonts w:hint="default" w:ascii="Arial" w:hAnsi="Arial" w:cs="Arial"/>
          <w:lang w:val="en-US" w:eastAsia="zh-CN"/>
        </w:rPr>
      </w:pPr>
      <w:bookmarkStart w:id="12" w:name="_Toc22332"/>
      <w:r>
        <w:rPr>
          <w:rFonts w:hint="eastAsia" w:ascii="Arial" w:hAnsi="Arial" w:cs="Arial"/>
          <w:lang w:val="en-US" w:eastAsia="zh-CN"/>
        </w:rPr>
        <w:t xml:space="preserve">3.1.2 </w:t>
      </w:r>
      <w:r>
        <w:rPr>
          <w:rFonts w:hint="default" w:ascii="Arial" w:hAnsi="Arial" w:cs="Arial"/>
          <w:lang w:val="en-US" w:eastAsia="zh-CN"/>
        </w:rPr>
        <w:t>Threat of Substitutes</w:t>
      </w:r>
      <w:bookmarkEnd w:id="12"/>
    </w:p>
    <w:p>
      <w:pPr>
        <w:bidi w:val="0"/>
        <w:rPr>
          <w:rFonts w:hint="default" w:ascii="Arial" w:hAnsi="Arial" w:cs="Arial"/>
        </w:rPr>
      </w:pPr>
      <w:r>
        <w:rPr>
          <w:rFonts w:hint="default" w:ascii="Arial" w:hAnsi="Arial" w:cs="Arial"/>
        </w:rPr>
        <w:t xml:space="preserve">Substitutes are products or services that fulfil a similar need or purpose to a company's offering but are not necessarily identical in nature. Pizza Hut may minimize the threat of substitutes internally by offering unique products or services that are difficult to replicate. For instance, Itani and others (2019) note that the company has introduced new menu items or promotions that differentiate it from competitors and give customers a compelling reason to choose Pizza Hut. However, the emergence of external new substitutes, such as cheaper delivery services or more diverse menus, can erode Pizza Hut's market share (Janssen et al., 2018). Pizza Hut must, therefore, constantly innovate and differentiate itself from competitors to attract and retain customers. </w:t>
      </w:r>
    </w:p>
    <w:p>
      <w:pPr>
        <w:pStyle w:val="4"/>
        <w:numPr>
          <w:numId w:val="0"/>
        </w:numPr>
        <w:bidi w:val="0"/>
        <w:ind w:leftChars="0"/>
        <w:rPr>
          <w:rFonts w:hint="default" w:ascii="Arial" w:hAnsi="Arial" w:cs="Arial"/>
          <w:lang w:val="en-US" w:eastAsia="zh-CN"/>
        </w:rPr>
      </w:pPr>
      <w:bookmarkStart w:id="13" w:name="_Toc13367"/>
      <w:r>
        <w:rPr>
          <w:rFonts w:hint="eastAsia" w:ascii="Arial" w:hAnsi="Arial" w:cs="Arial"/>
          <w:lang w:val="en-US" w:eastAsia="zh-CN"/>
        </w:rPr>
        <w:t xml:space="preserve">3.1.3 </w:t>
      </w:r>
      <w:r>
        <w:rPr>
          <w:rFonts w:hint="default" w:ascii="Arial" w:hAnsi="Arial" w:cs="Arial"/>
          <w:lang w:val="en-US" w:eastAsia="zh-CN"/>
        </w:rPr>
        <w:t>Bargaining Power of Buyers</w:t>
      </w:r>
      <w:bookmarkEnd w:id="13"/>
    </w:p>
    <w:p>
      <w:pPr>
        <w:bidi w:val="0"/>
        <w:rPr>
          <w:rFonts w:hint="default" w:ascii="Arial" w:hAnsi="Arial" w:cs="Arial"/>
        </w:rPr>
      </w:pPr>
      <w:r>
        <w:rPr>
          <w:rFonts w:hint="default" w:ascii="Arial" w:hAnsi="Arial" w:cs="Arial"/>
        </w:rPr>
        <w:t>According to Kaung (2019), Pizza Hut can have some internal control over the bargaining power of buyers through its pricing and promotional strategies. As a result, high customer satisfaction and loyalty levels mean that buyers may be less likely to negotiate aggressively on prices or switch to competitors. However, Pizza Hut needs to be responsive to customer needs and preferences. Any negative publicity or quality issues can impact customer satisfaction and bargaining power. Namin (2017) notes that when buyers perceive they can get a better deal or higher quality products elsewhere, they may switch to competitors and reduce Pizza Hut's market share. Therefore, Pizza Hut needs to continually improve its offerings and maintain strong customer relationships to minimize the bargaining power of buyers.</w:t>
      </w:r>
    </w:p>
    <w:p>
      <w:pPr>
        <w:pStyle w:val="4"/>
        <w:numPr>
          <w:numId w:val="0"/>
        </w:numPr>
        <w:bidi w:val="0"/>
        <w:ind w:leftChars="0"/>
        <w:rPr>
          <w:rFonts w:hint="default" w:ascii="Arial" w:hAnsi="Arial" w:cs="Arial"/>
          <w:lang w:val="en-US" w:eastAsia="zh-CN"/>
        </w:rPr>
      </w:pPr>
      <w:bookmarkStart w:id="14" w:name="_Toc9091"/>
      <w:r>
        <w:rPr>
          <w:rFonts w:hint="eastAsia" w:ascii="Arial" w:hAnsi="Arial" w:cs="Arial"/>
          <w:lang w:val="en-US" w:eastAsia="zh-CN"/>
        </w:rPr>
        <w:t xml:space="preserve">3.1.4 </w:t>
      </w:r>
      <w:r>
        <w:rPr>
          <w:rFonts w:hint="default" w:ascii="Arial" w:hAnsi="Arial" w:cs="Arial"/>
          <w:lang w:val="en-US" w:eastAsia="zh-CN"/>
        </w:rPr>
        <w:t>The Threat of New Entrants</w:t>
      </w:r>
      <w:bookmarkEnd w:id="14"/>
    </w:p>
    <w:p>
      <w:pPr>
        <w:bidi w:val="0"/>
        <w:rPr>
          <w:rFonts w:hint="default" w:ascii="Arial" w:hAnsi="Arial" w:cs="Arial"/>
        </w:rPr>
      </w:pPr>
      <w:r>
        <w:rPr>
          <w:rFonts w:hint="default" w:ascii="Arial" w:hAnsi="Arial" w:cs="Arial"/>
        </w:rPr>
        <w:t xml:space="preserve">Senduk and others (2021) note that as an established player in the pizza industry, Pizza Hut has some advantages over potential entrants, like a strong brand reputation, an established supply chain, and economies of scale. As a result, it becomes difficult for new entrants to compete on price or quality. However, new entrants can potentially enter the market with lower costs and better services, which can pressure Pizza Hut's profitability externally (Laužikas et al., 2016). Therefore, Pizza Hut must continually innovate and differentiate its offerings to minimize the threat of new entrants. It must also be vigilant and responsive to market trends and emerging competitors. </w:t>
      </w:r>
    </w:p>
    <w:p>
      <w:pPr>
        <w:pStyle w:val="4"/>
        <w:numPr>
          <w:numId w:val="0"/>
        </w:numPr>
        <w:bidi w:val="0"/>
        <w:ind w:leftChars="0"/>
        <w:rPr>
          <w:rFonts w:hint="default" w:ascii="Arial" w:hAnsi="Arial" w:cs="Arial"/>
          <w:lang w:val="en-US" w:eastAsia="zh-CN"/>
        </w:rPr>
      </w:pPr>
      <w:bookmarkStart w:id="15" w:name="_Toc29083"/>
      <w:r>
        <w:rPr>
          <w:rFonts w:hint="eastAsia" w:ascii="Arial" w:hAnsi="Arial" w:cs="Arial"/>
          <w:lang w:val="en-US" w:eastAsia="zh-CN"/>
        </w:rPr>
        <w:t xml:space="preserve">3.1.5 </w:t>
      </w:r>
      <w:r>
        <w:rPr>
          <w:rFonts w:hint="default" w:ascii="Arial" w:hAnsi="Arial" w:cs="Arial"/>
          <w:lang w:val="en-US" w:eastAsia="zh-CN"/>
        </w:rPr>
        <w:t>Competitive Rivalry</w:t>
      </w:r>
      <w:bookmarkEnd w:id="15"/>
    </w:p>
    <w:p>
      <w:pPr>
        <w:bidi w:val="0"/>
        <w:rPr>
          <w:rFonts w:hint="default" w:ascii="Arial" w:hAnsi="Arial" w:cs="Arial"/>
        </w:rPr>
      </w:pPr>
      <w:r>
        <w:rPr>
          <w:rFonts w:hint="default" w:ascii="Arial" w:hAnsi="Arial" w:cs="Arial"/>
        </w:rPr>
        <w:t>Pizza Hut must offer high-quality products at competitive prices and promote them effectively to attract and retain customers.  However, Rajput and Gahfoor (2020) note that Pizza Hut’s competitors, like Domino's Pizza, Papa John's, and Little Caesars, also offer high-quality pizzas at similarly competitive prices and at sometimes even higher service quality. As such, Pizza Hut must differentiate itself from competitors through unique menu items, promotions, or customer service. Hanaysha also (2016) notes that competitive rivalry is generally high in the food service industry, as many players compete for market share. Therefore, Pizza Hut must continually adapt to changing market conditions and differentiate its offerings to maintain its competitive position.</w:t>
      </w:r>
      <w:r>
        <w:rPr>
          <w:rFonts w:hint="eastAsia" w:ascii="Arial" w:hAnsi="Arial" w:cs="Arial"/>
          <w:lang w:val="en-US" w:eastAsia="zh-CN"/>
        </w:rPr>
        <w:t xml:space="preserve"> </w:t>
      </w:r>
      <w:r>
        <w:rPr>
          <w:rFonts w:hint="default" w:ascii="Arial" w:hAnsi="Arial" w:cs="Arial"/>
        </w:rPr>
        <w:t xml:space="preserve">In the same industry, competition should be an eternal way of communication. Therefore, Pizza Hut must adapt to the changing market conditions, </w:t>
      </w:r>
      <w:r>
        <w:rPr>
          <w:rFonts w:hint="eastAsia" w:ascii="Arial" w:hAnsi="Arial" w:cs="Arial"/>
          <w:lang w:val="en-US" w:eastAsia="zh-CN"/>
        </w:rPr>
        <w:t>focus on</w:t>
      </w:r>
      <w:r>
        <w:rPr>
          <w:rFonts w:hint="default" w:ascii="Arial" w:hAnsi="Arial" w:cs="Arial"/>
        </w:rPr>
        <w:t xml:space="preserve"> the product development of competitors, and </w:t>
      </w:r>
      <w:r>
        <w:rPr>
          <w:rFonts w:hint="eastAsia" w:ascii="Arial" w:hAnsi="Arial" w:cs="Arial"/>
          <w:lang w:val="en-US" w:eastAsia="zh-CN"/>
        </w:rPr>
        <w:t>focus on</w:t>
      </w:r>
      <w:r>
        <w:rPr>
          <w:rFonts w:hint="default" w:ascii="Arial" w:hAnsi="Arial" w:cs="Arial"/>
        </w:rPr>
        <w:t xml:space="preserve"> the analysis of consumer preferences of the enterprise, constantly develop new products and make them different, </w:t>
      </w:r>
      <w:r>
        <w:rPr>
          <w:rFonts w:hint="eastAsia" w:ascii="Arial" w:hAnsi="Arial" w:cs="Arial"/>
          <w:lang w:val="en-US" w:eastAsia="zh-CN"/>
        </w:rPr>
        <w:t>to</w:t>
      </w:r>
      <w:r>
        <w:rPr>
          <w:rFonts w:hint="default" w:ascii="Arial" w:hAnsi="Arial" w:cs="Arial"/>
        </w:rPr>
        <w:t xml:space="preserve"> maintain its competitive position.</w:t>
      </w:r>
    </w:p>
    <w:p>
      <w:pPr>
        <w:pStyle w:val="3"/>
        <w:numPr>
          <w:numId w:val="0"/>
        </w:numPr>
        <w:bidi w:val="0"/>
        <w:ind w:leftChars="0"/>
        <w:rPr>
          <w:rFonts w:hint="default" w:ascii="Arial" w:hAnsi="Arial" w:cs="Arial"/>
          <w:sz w:val="28"/>
          <w:szCs w:val="28"/>
          <w:lang w:val="en-US" w:eastAsia="zh-CN"/>
        </w:rPr>
      </w:pPr>
      <w:bookmarkStart w:id="16" w:name="_Toc26445"/>
      <w:r>
        <w:rPr>
          <w:rFonts w:hint="eastAsia" w:ascii="Arial" w:hAnsi="Arial" w:cs="Arial"/>
          <w:sz w:val="28"/>
          <w:szCs w:val="28"/>
          <w:lang w:val="en-US" w:eastAsia="zh-CN"/>
        </w:rPr>
        <w:t xml:space="preserve">3.2 </w:t>
      </w:r>
      <w:r>
        <w:rPr>
          <w:rFonts w:hint="default" w:ascii="Arial" w:hAnsi="Arial" w:cs="Arial"/>
          <w:sz w:val="28"/>
          <w:szCs w:val="28"/>
          <w:lang w:val="en-US" w:eastAsia="zh-CN"/>
        </w:rPr>
        <w:t>VRIO Analysis</w:t>
      </w:r>
      <w:bookmarkEnd w:id="16"/>
    </w:p>
    <w:p>
      <w:pPr>
        <w:ind w:left="0" w:leftChars="0" w:firstLine="480" w:firstLineChars="200"/>
        <w:rPr>
          <w:rFonts w:hint="default" w:ascii="Arial" w:hAnsi="Arial" w:cs="Arial"/>
          <w:sz w:val="24"/>
          <w:szCs w:val="24"/>
        </w:rPr>
      </w:pPr>
      <w:r>
        <w:rPr>
          <w:rFonts w:hint="default" w:ascii="Arial" w:hAnsi="Arial" w:cs="Arial"/>
        </w:rPr>
        <w:t>VRIO analysis is a strategic tool used to evaluate a business or organisation's internal resources and capabilities. It includes valueable, rarity, imitability, and organisation.</w:t>
      </w:r>
      <w:sdt>
        <w:sdtPr>
          <w:rPr>
            <w:rFonts w:hint="default" w:ascii="Arial" w:hAnsi="Arial" w:cs="Arial"/>
          </w:rPr>
          <w:tag w:val="goog_rdk_0"/>
          <w:id w:val="186952174"/>
        </w:sdtPr>
        <w:sdtEndPr>
          <w:rPr>
            <w:rFonts w:hint="default" w:ascii="Arial" w:hAnsi="Arial" w:cs="Arial"/>
            <w:sz w:val="24"/>
            <w:szCs w:val="24"/>
          </w:rPr>
        </w:sdtEndPr>
        <w:sdtContent/>
      </w:sdt>
    </w:p>
    <w:p>
      <w:pPr>
        <w:pStyle w:val="4"/>
        <w:numPr>
          <w:numId w:val="0"/>
        </w:numPr>
        <w:bidi w:val="0"/>
        <w:ind w:leftChars="0"/>
        <w:rPr>
          <w:rFonts w:hint="default" w:ascii="Arial" w:hAnsi="Arial" w:cs="Arial"/>
          <w:lang w:val="en-US" w:eastAsia="zh-CN"/>
        </w:rPr>
      </w:pPr>
      <w:bookmarkStart w:id="17" w:name="_Toc2676"/>
      <w:r>
        <w:rPr>
          <w:rFonts w:hint="eastAsia" w:ascii="Arial" w:hAnsi="Arial" w:cs="Arial"/>
          <w:lang w:val="en-US" w:eastAsia="zh-CN"/>
        </w:rPr>
        <w:t xml:space="preserve">3.2.1 </w:t>
      </w:r>
      <w:r>
        <w:rPr>
          <w:rFonts w:hint="default" w:ascii="Arial" w:hAnsi="Arial" w:cs="Arial"/>
          <w:lang w:val="en-US" w:eastAsia="zh-CN"/>
        </w:rPr>
        <w:t>Valuable</w:t>
      </w:r>
      <w:bookmarkEnd w:id="17"/>
    </w:p>
    <w:p>
      <w:pPr>
        <w:ind w:left="0" w:leftChars="0" w:firstLine="480" w:firstLineChars="200"/>
        <w:rPr>
          <w:rFonts w:hint="default" w:ascii="Arial" w:hAnsi="Arial" w:cs="Arial"/>
          <w:sz w:val="24"/>
          <w:szCs w:val="24"/>
        </w:rPr>
      </w:pPr>
      <w:r>
        <w:rPr>
          <w:rFonts w:hint="default" w:ascii="Arial" w:hAnsi="Arial" w:cs="Arial"/>
        </w:rPr>
        <w:t>Internally, Pizza Hut has a well-established supply chain, distribution network, and franchising system. According to Abezie (2020), this resource is valuable because it allows the company to deliver high-quality pizzas quickly and efficiently to customers. Additionally, Pizza Hut has implemented innovative technologies such as online ordering and contactless delivery to differentiate itself from competitors. It is also not easily imitable because replicating Pizza Hut'</w:t>
      </w:r>
      <w:r>
        <w:rPr>
          <w:rFonts w:hint="default" w:ascii="Arial" w:hAnsi="Arial" w:cs="Arial"/>
          <w:sz w:val="24"/>
          <w:szCs w:val="24"/>
        </w:rPr>
        <w:t xml:space="preserve">s operations requires significant investments in infrastructure and logistics (Shaikh and Qazi, 2019). Externally, Pizza Hut has a strong brand image and recognition in the pizza industry. This resource is valuable because it allows the company to attract customers and charge a premium price (Senduk et al., 2021). Therefore, Pizza Hut’s value lies in its strong brand recognition and efficient corporate operations that contribute to its success. </w:t>
      </w:r>
    </w:p>
    <w:p>
      <w:pPr>
        <w:pStyle w:val="4"/>
        <w:numPr>
          <w:numId w:val="0"/>
        </w:numPr>
        <w:bidi w:val="0"/>
        <w:ind w:leftChars="0"/>
        <w:rPr>
          <w:rFonts w:hint="default" w:ascii="Arial" w:hAnsi="Arial" w:cs="Arial"/>
          <w:lang w:val="en-US" w:eastAsia="zh-CN"/>
        </w:rPr>
      </w:pPr>
      <w:bookmarkStart w:id="18" w:name="_Toc26549"/>
      <w:r>
        <w:rPr>
          <w:rFonts w:hint="eastAsia" w:ascii="Arial" w:hAnsi="Arial" w:cs="Arial"/>
          <w:lang w:val="en-US" w:eastAsia="zh-CN"/>
        </w:rPr>
        <w:t xml:space="preserve">3.2.2 </w:t>
      </w:r>
      <w:r>
        <w:rPr>
          <w:rFonts w:hint="default" w:ascii="Arial" w:hAnsi="Arial" w:cs="Arial"/>
          <w:lang w:val="en-US" w:eastAsia="zh-CN"/>
        </w:rPr>
        <w:t>Rarity</w:t>
      </w:r>
      <w:bookmarkEnd w:id="18"/>
    </w:p>
    <w:p>
      <w:pPr>
        <w:ind w:left="0" w:leftChars="0" w:firstLine="480" w:firstLineChars="200"/>
        <w:rPr>
          <w:rFonts w:hint="default" w:ascii="Arial" w:hAnsi="Arial" w:cs="Arial"/>
          <w:lang w:val="en-US" w:eastAsia="zh-CN"/>
        </w:rPr>
      </w:pPr>
      <w:r>
        <w:rPr>
          <w:rFonts w:hint="default" w:ascii="Arial" w:hAnsi="Arial" w:cs="Arial"/>
          <w:sz w:val="24"/>
          <w:szCs w:val="24"/>
        </w:rPr>
        <w:t xml:space="preserve">A rare resource or capability gives a company a competitive advantage because it is not widely available or easily replicable. Internally, Shaikh and Qazi (2019) note that Pizza Hut possesses rare resources and capabilities unique to its organisation and not easily replicated by competitors. For instance, its internal supply chain and distribution network are considered exceptional resources because of the exclusive partnerships with suppliers or logistics providers that it has developed over time. Externally, Pizza Hut's brand is considered a rare resource. The company has built a strong brand recognised and valued by customers over the years, giving it a competitive edge over other pizza chains (Laužikas et al., 2016). This rarity in the brand leads to increased customer loyalty and a higher willingness to pay for Pizza Hut's products and services than competitors. </w:t>
      </w:r>
    </w:p>
    <w:p>
      <w:pPr>
        <w:pStyle w:val="4"/>
        <w:numPr>
          <w:numId w:val="0"/>
        </w:numPr>
        <w:bidi w:val="0"/>
        <w:ind w:leftChars="0"/>
        <w:rPr>
          <w:rFonts w:hint="default" w:ascii="Arial" w:hAnsi="Arial" w:cs="Arial"/>
          <w:lang w:val="en-US" w:eastAsia="zh-CN"/>
        </w:rPr>
      </w:pPr>
      <w:bookmarkStart w:id="19" w:name="_Toc16770"/>
      <w:r>
        <w:rPr>
          <w:rFonts w:hint="eastAsia" w:ascii="Arial" w:hAnsi="Arial" w:cs="Arial"/>
          <w:lang w:val="en-US" w:eastAsia="zh-CN"/>
        </w:rPr>
        <w:t xml:space="preserve">3.2.3 </w:t>
      </w:r>
      <w:r>
        <w:rPr>
          <w:rFonts w:hint="default" w:ascii="Arial" w:hAnsi="Arial" w:cs="Arial"/>
          <w:lang w:val="en-US" w:eastAsia="zh-CN"/>
        </w:rPr>
        <w:t>Imitability</w:t>
      </w:r>
      <w:bookmarkEnd w:id="19"/>
    </w:p>
    <w:p>
      <w:pPr>
        <w:ind w:left="0" w:leftChars="0" w:firstLine="480" w:firstLineChars="200"/>
        <w:rPr>
          <w:rFonts w:hint="default" w:ascii="Arial" w:hAnsi="Arial" w:cs="Arial"/>
          <w:sz w:val="24"/>
          <w:szCs w:val="24"/>
        </w:rPr>
      </w:pPr>
      <w:r>
        <w:rPr>
          <w:rFonts w:hint="default" w:ascii="Arial" w:hAnsi="Arial" w:cs="Arial"/>
          <w:sz w:val="24"/>
          <w:szCs w:val="24"/>
        </w:rPr>
        <w:t xml:space="preserve">Imitability refers to the degree to which a resource or capability can be replicated by competitors. Pizza Hut's supply chain and distribution network may be difficult to imitate because it has developed unique processes and relationships with suppliers and logistics providers. However, if their pizza recipes are not protected legally by intellectual property laws, they are imitated by competitors like Domino’s Pizza and Papa John’s (Thampapillai, 2015). Still, Pizza Hut's brand may be copied by unscrupulous rivals as they can mimic Pizza Hut's logo, messaging, and marketing campaigns, potentially diluting the value of the brand over time. Additionally, competitors may be able to copy Pizza Hut's menu items or offer similar promotions to attract customers (Matejowsky, 2020). As a result, Pizza Hut must constantly innovate and differentiate itself from competitors while maintaining strong brand loyalty to maintain its competitive advantage. </w:t>
      </w:r>
    </w:p>
    <w:p>
      <w:pPr>
        <w:pStyle w:val="4"/>
        <w:numPr>
          <w:numId w:val="0"/>
        </w:numPr>
        <w:bidi w:val="0"/>
        <w:ind w:leftChars="0"/>
        <w:rPr>
          <w:rFonts w:hint="default" w:ascii="Arial" w:hAnsi="Arial" w:cs="Arial"/>
          <w:lang w:val="en-US" w:eastAsia="zh-CN"/>
        </w:rPr>
      </w:pPr>
      <w:bookmarkStart w:id="20" w:name="_Toc20063"/>
      <w:r>
        <w:rPr>
          <w:rFonts w:hint="eastAsia" w:ascii="Arial" w:hAnsi="Arial" w:cs="Arial"/>
          <w:lang w:val="en-US" w:eastAsia="zh-CN"/>
        </w:rPr>
        <w:t xml:space="preserve">3.2.4 </w:t>
      </w:r>
      <w:r>
        <w:rPr>
          <w:rFonts w:hint="default" w:ascii="Arial" w:hAnsi="Arial" w:cs="Arial"/>
          <w:lang w:val="en-US" w:eastAsia="zh-CN"/>
        </w:rPr>
        <w:t>Organisation</w:t>
      </w:r>
      <w:bookmarkEnd w:id="20"/>
    </w:p>
    <w:p>
      <w:pPr>
        <w:ind w:left="0" w:leftChars="0" w:firstLine="480" w:firstLineChars="200"/>
        <w:rPr>
          <w:rFonts w:hint="default" w:ascii="Arial" w:hAnsi="Arial" w:cs="Arial"/>
          <w:sz w:val="24"/>
          <w:szCs w:val="24"/>
        </w:rPr>
      </w:pPr>
      <w:r>
        <w:rPr>
          <w:rFonts w:hint="default" w:ascii="Arial" w:hAnsi="Arial" w:cs="Arial"/>
          <w:sz w:val="24"/>
          <w:szCs w:val="24"/>
        </w:rPr>
        <w:t xml:space="preserve">Internally, Pizza Hut's organisational structure and culture impact its ability to utilise its resources effectively. For instance, a strong culture of innovation and collaboration allows the company to leverage its proprietary technologies and unique processes fully (Fajar, 2019). Externally, Pizza Hut's partnerships with suppliers and logistics providers impact its ability to organise its supply chain and distribution network effectively. A strong partnership with reliable suppliers and logistics providers helps ensure the company can efficiently deliver products to customers (Mukucha et al., 2021). The degree to which Pizza Hut can effectively organise its resources and capabilities can impact its ability to maintain a competitive advantage in the market. </w:t>
      </w:r>
    </w:p>
    <w:p>
      <w:pPr>
        <w:ind w:left="0" w:leftChars="0" w:firstLine="480" w:firstLineChars="200"/>
        <w:rPr>
          <w:rFonts w:hint="default" w:ascii="Arial" w:hAnsi="Arial" w:cs="Arial"/>
          <w:sz w:val="24"/>
          <w:szCs w:val="24"/>
        </w:rPr>
      </w:pPr>
    </w:p>
    <w:p>
      <w:pPr>
        <w:pStyle w:val="4"/>
        <w:keepNext/>
        <w:keepLines/>
        <w:pageBreakBefore w:val="0"/>
        <w:widowControl w:val="0"/>
        <w:numPr>
          <w:ilvl w:val="0"/>
          <w:numId w:val="2"/>
        </w:numPr>
        <w:kinsoku/>
        <w:wordWrap/>
        <w:overflowPunct/>
        <w:topLinePunct w:val="0"/>
        <w:autoSpaceDE/>
        <w:autoSpaceDN/>
        <w:bidi w:val="0"/>
        <w:adjustRightInd/>
        <w:snapToGrid/>
        <w:spacing w:before="20" w:beforeLines="0" w:beforeAutospacing="0" w:after="20" w:afterLines="0" w:afterAutospacing="0" w:line="480" w:lineRule="auto"/>
        <w:ind w:left="0" w:leftChars="0" w:firstLine="0" w:firstLineChars="0"/>
        <w:textAlignment w:val="auto"/>
        <w:outlineLvl w:val="2"/>
        <w:rPr>
          <w:rFonts w:hint="default" w:ascii="Arial" w:hAnsi="Arial" w:cs="Arial" w:eastAsiaTheme="minorEastAsia"/>
          <w:kern w:val="2"/>
          <w:sz w:val="32"/>
          <w:szCs w:val="24"/>
          <w:lang w:val="en-US" w:eastAsia="zh-CN"/>
        </w:rPr>
      </w:pPr>
      <w:bookmarkStart w:id="21" w:name="_Toc10918"/>
      <w:r>
        <w:rPr>
          <w:rFonts w:hint="default" w:ascii="Arial" w:hAnsi="Arial" w:cs="Arial" w:eastAsiaTheme="minorEastAsia"/>
          <w:kern w:val="2"/>
          <w:sz w:val="32"/>
          <w:szCs w:val="24"/>
          <w:lang w:val="en-US" w:eastAsia="zh-CN"/>
        </w:rPr>
        <w:t>Pizza Hut’s SWOT Analysis</w:t>
      </w:r>
      <w:bookmarkEnd w:id="21"/>
    </w:p>
    <w:p>
      <w:pPr>
        <w:bidi w:val="0"/>
        <w:ind w:left="0" w:leftChars="0" w:firstLine="480" w:firstLineChars="200"/>
        <w:rPr>
          <w:rFonts w:hint="default" w:ascii="Arial" w:hAnsi="Arial" w:cs="Arial"/>
        </w:rPr>
      </w:pPr>
      <w:r>
        <w:rPr>
          <w:rFonts w:hint="default" w:ascii="Arial" w:hAnsi="Arial" w:cs="Arial"/>
        </w:rPr>
        <w:t xml:space="preserve">SWOT analysis is a commonly used tool to assess an organization's internal strengths and weaknesses and external opportunities and threats. (Benzaghta et al, 2021). The company can gain a deeper understanding of the factors contributing to its success and identify areas for improvement. Table 1 below is a summary of the SWOT analysis discussed in this paper. </w:t>
      </w:r>
    </w:p>
    <w:p>
      <w:pPr>
        <w:ind w:firstLine="0"/>
        <w:jc w:val="center"/>
        <w:rPr>
          <w:rFonts w:hint="default" w:ascii="Arial" w:hAnsi="Arial" w:cs="Arial"/>
          <w:b/>
          <w:sz w:val="24"/>
          <w:szCs w:val="24"/>
        </w:rPr>
      </w:pPr>
      <w:r>
        <w:rPr>
          <w:rFonts w:hint="default" w:ascii="Arial" w:hAnsi="Arial" w:cs="Arial"/>
          <w:b/>
          <w:sz w:val="24"/>
          <w:szCs w:val="24"/>
        </w:rPr>
        <w:t>Table 1: Pizza Hut’s SWOT analysis.</w:t>
      </w:r>
    </w:p>
    <w:tbl>
      <w:tblPr>
        <w:tblStyle w:val="35"/>
        <w:tblW w:w="9124"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62"/>
        <w:gridCol w:w="45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62" w:type="dxa"/>
          </w:tcPr>
          <w:p>
            <w:pPr>
              <w:spacing w:line="360" w:lineRule="auto"/>
              <w:ind w:firstLine="0"/>
              <w:rPr>
                <w:rFonts w:hint="default" w:ascii="Arial" w:hAnsi="Arial" w:cs="Arial"/>
                <w:b/>
                <w:sz w:val="24"/>
                <w:szCs w:val="24"/>
              </w:rPr>
            </w:pPr>
            <w:r>
              <w:rPr>
                <w:rFonts w:hint="default" w:ascii="Arial" w:hAnsi="Arial" w:cs="Arial"/>
                <w:b/>
                <w:sz w:val="24"/>
                <w:szCs w:val="24"/>
              </w:rPr>
              <w:t>Strengths</w:t>
            </w:r>
          </w:p>
          <w:p>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hint="default" w:ascii="Arial" w:hAnsi="Arial" w:cs="Arial"/>
                <w:sz w:val="24"/>
                <w:szCs w:val="24"/>
              </w:rPr>
            </w:pPr>
            <w:r>
              <w:rPr>
                <w:rFonts w:hint="default" w:ascii="Arial" w:hAnsi="Arial" w:cs="Arial"/>
                <w:color w:val="000000"/>
                <w:sz w:val="24"/>
                <w:szCs w:val="24"/>
              </w:rPr>
              <w:t>Strong brand recognition</w:t>
            </w:r>
          </w:p>
          <w:p>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hint="default" w:ascii="Arial" w:hAnsi="Arial" w:cs="Arial"/>
                <w:sz w:val="24"/>
                <w:szCs w:val="24"/>
              </w:rPr>
            </w:pPr>
            <w:r>
              <w:rPr>
                <w:rFonts w:hint="default" w:ascii="Arial" w:hAnsi="Arial" w:cs="Arial"/>
                <w:color w:val="000000"/>
                <w:sz w:val="24"/>
                <w:szCs w:val="24"/>
              </w:rPr>
              <w:t>Strong financial position</w:t>
            </w:r>
          </w:p>
        </w:tc>
        <w:tc>
          <w:tcPr>
            <w:tcW w:w="4562" w:type="dxa"/>
          </w:tcPr>
          <w:p>
            <w:pPr>
              <w:spacing w:line="360" w:lineRule="auto"/>
              <w:ind w:firstLine="0"/>
              <w:rPr>
                <w:rFonts w:hint="default" w:ascii="Arial" w:hAnsi="Arial" w:cs="Arial"/>
                <w:b/>
                <w:sz w:val="24"/>
                <w:szCs w:val="24"/>
              </w:rPr>
            </w:pPr>
            <w:r>
              <w:rPr>
                <w:rFonts w:hint="default" w:ascii="Arial" w:hAnsi="Arial" w:cs="Arial"/>
                <w:b/>
                <w:sz w:val="24"/>
                <w:szCs w:val="24"/>
              </w:rPr>
              <w:t>Weaknesses</w:t>
            </w:r>
          </w:p>
          <w:p>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hint="default" w:ascii="Arial" w:hAnsi="Arial" w:cs="Arial"/>
                <w:sz w:val="24"/>
                <w:szCs w:val="24"/>
              </w:rPr>
            </w:pPr>
            <w:r>
              <w:rPr>
                <w:rFonts w:hint="default" w:ascii="Arial" w:hAnsi="Arial" w:cs="Arial"/>
                <w:color w:val="000000"/>
                <w:sz w:val="24"/>
                <w:szCs w:val="24"/>
              </w:rPr>
              <w:t>Dependence on franchisees</w:t>
            </w:r>
          </w:p>
          <w:p>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hint="default" w:ascii="Arial" w:hAnsi="Arial" w:cs="Arial"/>
                <w:sz w:val="24"/>
                <w:szCs w:val="24"/>
              </w:rPr>
            </w:pPr>
            <w:r>
              <w:rPr>
                <w:rFonts w:hint="default" w:ascii="Arial" w:hAnsi="Arial" w:cs="Arial"/>
                <w:color w:val="000000"/>
                <w:sz w:val="24"/>
                <w:szCs w:val="24"/>
              </w:rPr>
              <w:t>Slow adoption of technology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62" w:type="dxa"/>
          </w:tcPr>
          <w:p>
            <w:pPr>
              <w:spacing w:line="360" w:lineRule="auto"/>
              <w:ind w:firstLine="0"/>
              <w:rPr>
                <w:rFonts w:hint="default" w:ascii="Arial" w:hAnsi="Arial" w:cs="Arial"/>
                <w:b/>
                <w:sz w:val="24"/>
                <w:szCs w:val="24"/>
              </w:rPr>
            </w:pPr>
            <w:r>
              <w:rPr>
                <w:rFonts w:hint="default" w:ascii="Arial" w:hAnsi="Arial" w:cs="Arial"/>
                <w:b/>
                <w:sz w:val="24"/>
                <w:szCs w:val="24"/>
              </w:rPr>
              <w:t>Opportunities</w:t>
            </w:r>
          </w:p>
          <w:p>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hint="default" w:ascii="Arial" w:hAnsi="Arial" w:cs="Arial"/>
                <w:sz w:val="24"/>
                <w:szCs w:val="24"/>
              </w:rPr>
            </w:pPr>
            <w:r>
              <w:rPr>
                <w:rFonts w:hint="default" w:ascii="Arial" w:hAnsi="Arial" w:cs="Arial"/>
                <w:color w:val="000000"/>
                <w:sz w:val="24"/>
                <w:szCs w:val="24"/>
              </w:rPr>
              <w:t>Expansion into new markets</w:t>
            </w:r>
          </w:p>
          <w:p>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hint="default" w:ascii="Arial" w:hAnsi="Arial" w:cs="Arial"/>
                <w:sz w:val="24"/>
                <w:szCs w:val="24"/>
              </w:rPr>
            </w:pPr>
            <w:r>
              <w:rPr>
                <w:rFonts w:hint="default" w:ascii="Arial" w:hAnsi="Arial" w:cs="Arial"/>
                <w:color w:val="000000"/>
                <w:sz w:val="24"/>
                <w:szCs w:val="24"/>
              </w:rPr>
              <w:t>New product development</w:t>
            </w:r>
          </w:p>
        </w:tc>
        <w:tc>
          <w:tcPr>
            <w:tcW w:w="4562" w:type="dxa"/>
          </w:tcPr>
          <w:p>
            <w:pPr>
              <w:spacing w:line="360" w:lineRule="auto"/>
              <w:ind w:firstLine="0"/>
              <w:rPr>
                <w:rFonts w:hint="default" w:ascii="Arial" w:hAnsi="Arial" w:cs="Arial"/>
                <w:b/>
                <w:sz w:val="24"/>
                <w:szCs w:val="24"/>
              </w:rPr>
            </w:pPr>
            <w:r>
              <w:rPr>
                <w:rFonts w:hint="default" w:ascii="Arial" w:hAnsi="Arial" w:cs="Arial"/>
                <w:b/>
                <w:sz w:val="24"/>
                <w:szCs w:val="24"/>
              </w:rPr>
              <w:t>Threats</w:t>
            </w:r>
          </w:p>
          <w:p>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hint="default" w:ascii="Arial" w:hAnsi="Arial" w:cs="Arial"/>
                <w:sz w:val="24"/>
                <w:szCs w:val="24"/>
              </w:rPr>
            </w:pPr>
            <w:r>
              <w:rPr>
                <w:rFonts w:hint="default" w:ascii="Arial" w:hAnsi="Arial" w:cs="Arial"/>
                <w:color w:val="000000"/>
                <w:sz w:val="24"/>
                <w:szCs w:val="24"/>
              </w:rPr>
              <w:t>Increased competition</w:t>
            </w:r>
          </w:p>
          <w:p>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hint="default" w:ascii="Arial" w:hAnsi="Arial" w:cs="Arial"/>
                <w:sz w:val="24"/>
                <w:szCs w:val="24"/>
              </w:rPr>
            </w:pPr>
            <w:r>
              <w:rPr>
                <w:rFonts w:hint="default" w:ascii="Arial" w:hAnsi="Arial" w:cs="Arial"/>
                <w:color w:val="000000"/>
                <w:sz w:val="24"/>
                <w:szCs w:val="24"/>
              </w:rPr>
              <w:t>Inflexible menu</w:t>
            </w:r>
          </w:p>
        </w:tc>
      </w:tr>
    </w:tbl>
    <w:p>
      <w:pPr>
        <w:pStyle w:val="4"/>
        <w:keepNext/>
        <w:keepLines/>
        <w:pageBreakBefore w:val="0"/>
        <w:widowControl w:val="0"/>
        <w:numPr>
          <w:numId w:val="0"/>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Chars="0"/>
        <w:textAlignment w:val="auto"/>
        <w:outlineLvl w:val="2"/>
        <w:rPr>
          <w:rFonts w:hint="eastAsia" w:ascii="Arial" w:hAnsi="Arial" w:cs="Arial" w:eastAsiaTheme="minorEastAsia"/>
          <w:kern w:val="2"/>
          <w:sz w:val="28"/>
          <w:szCs w:val="28"/>
          <w:lang w:val="en-US" w:eastAsia="zh-CN"/>
        </w:rPr>
      </w:pPr>
    </w:p>
    <w:p>
      <w:pPr>
        <w:pStyle w:val="4"/>
        <w:keepNext/>
        <w:keepLines/>
        <w:pageBreakBefore w:val="0"/>
        <w:widowControl w:val="0"/>
        <w:numPr>
          <w:numId w:val="0"/>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Chars="0"/>
        <w:textAlignment w:val="auto"/>
        <w:outlineLvl w:val="2"/>
        <w:rPr>
          <w:rFonts w:hint="default" w:ascii="Arial" w:hAnsi="Arial" w:cs="Arial" w:eastAsiaTheme="minorEastAsia"/>
          <w:kern w:val="2"/>
          <w:sz w:val="28"/>
          <w:szCs w:val="28"/>
          <w:lang w:val="en-US" w:eastAsia="zh-CN"/>
        </w:rPr>
      </w:pPr>
      <w:r>
        <w:rPr>
          <w:rFonts w:hint="eastAsia" w:ascii="Arial" w:hAnsi="Arial" w:cs="Arial" w:eastAsiaTheme="minorEastAsia"/>
          <w:kern w:val="2"/>
          <w:sz w:val="28"/>
          <w:szCs w:val="28"/>
          <w:lang w:val="en-US" w:eastAsia="zh-CN"/>
        </w:rPr>
        <w:t xml:space="preserve">4.1 </w:t>
      </w:r>
      <w:r>
        <w:rPr>
          <w:rFonts w:hint="default" w:ascii="Arial" w:hAnsi="Arial" w:cs="Arial" w:eastAsiaTheme="minorEastAsia"/>
          <w:kern w:val="2"/>
          <w:sz w:val="28"/>
          <w:szCs w:val="28"/>
          <w:lang w:val="en-US" w:eastAsia="zh-CN"/>
        </w:rPr>
        <w:t>Strengths</w:t>
      </w:r>
    </w:p>
    <w:p>
      <w:pPr>
        <w:bidi w:val="0"/>
        <w:rPr>
          <w:rFonts w:hint="default" w:ascii="Arial" w:hAnsi="Arial" w:cs="Arial"/>
        </w:rPr>
      </w:pPr>
      <w:r>
        <w:rPr>
          <w:rFonts w:hint="default" w:ascii="Arial" w:hAnsi="Arial" w:cs="Arial"/>
        </w:rPr>
        <w:t>Pizza Hut’s primary strength includes brand recognition and established supply chain management. This is crucial since they have the advantage of brand loyalty by consumers. Internally, the company has a strong financial position, recording an annual revenue of 1.2 billion U.S. dollars in 2020 (Yum, 2020). This allows it to invest in research and development to maintain and improve its capabilities.</w:t>
      </w:r>
    </w:p>
    <w:p>
      <w:pPr>
        <w:pStyle w:val="4"/>
        <w:keepNext/>
        <w:keepLines/>
        <w:pageBreakBefore w:val="0"/>
        <w:widowControl w:val="0"/>
        <w:numPr>
          <w:numId w:val="0"/>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Chars="0"/>
        <w:textAlignment w:val="auto"/>
        <w:outlineLvl w:val="2"/>
        <w:rPr>
          <w:rFonts w:hint="default" w:ascii="Arial" w:hAnsi="Arial" w:cs="Arial" w:eastAsiaTheme="minorEastAsia"/>
          <w:kern w:val="2"/>
          <w:sz w:val="28"/>
          <w:szCs w:val="28"/>
          <w:lang w:val="en-US" w:eastAsia="zh-CN"/>
        </w:rPr>
      </w:pPr>
      <w:r>
        <w:rPr>
          <w:rFonts w:hint="eastAsia" w:ascii="Arial" w:hAnsi="Arial" w:cs="Arial" w:eastAsiaTheme="minorEastAsia"/>
          <w:kern w:val="2"/>
          <w:sz w:val="28"/>
          <w:szCs w:val="28"/>
          <w:lang w:val="en-US" w:eastAsia="zh-CN"/>
        </w:rPr>
        <w:t xml:space="preserve">4.2 </w:t>
      </w:r>
      <w:r>
        <w:rPr>
          <w:rFonts w:hint="default" w:ascii="Arial" w:hAnsi="Arial" w:cs="Arial" w:eastAsiaTheme="minorEastAsia"/>
          <w:kern w:val="2"/>
          <w:sz w:val="28"/>
          <w:szCs w:val="28"/>
          <w:lang w:val="en-US" w:eastAsia="zh-CN"/>
        </w:rPr>
        <w:t xml:space="preserve">Weaknesses </w:t>
      </w:r>
    </w:p>
    <w:p>
      <w:pPr>
        <w:bidi w:val="0"/>
        <w:rPr>
          <w:rFonts w:hint="default" w:ascii="Arial" w:hAnsi="Arial" w:cs="Arial"/>
        </w:rPr>
      </w:pPr>
      <w:r>
        <w:rPr>
          <w:rFonts w:hint="default" w:ascii="Arial" w:hAnsi="Arial" w:cs="Arial"/>
        </w:rPr>
        <w:t>Pizza Hut's weaknesses include its high dependence on franchisees. Franchisees operate over 80% of Pizza Hut's restaurants, and this high reliance could lead to a lack of control over quality standards and inconsistent customer experiences (Emerson and Trautman, 2020). Externally, Pizza Hut has been criticized for its slow adoption of digital technologies, such as mobile ordering and delivery tracking, which has disadvantaged it compared to its competitors (Chen et al., 2020). Additionally, Pizza Hut's online presence is limited, which can limit its reach and customer engagement, lead to lost sales and cause lower customer satisfaction (Singh and Sarangal, 2021).</w:t>
      </w:r>
    </w:p>
    <w:p>
      <w:pPr>
        <w:pStyle w:val="4"/>
        <w:keepNext/>
        <w:keepLines/>
        <w:pageBreakBefore w:val="0"/>
        <w:widowControl w:val="0"/>
        <w:numPr>
          <w:numId w:val="0"/>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Chars="0"/>
        <w:textAlignment w:val="auto"/>
        <w:outlineLvl w:val="2"/>
        <w:rPr>
          <w:rFonts w:hint="default" w:ascii="Arial" w:hAnsi="Arial" w:cs="Arial" w:eastAsiaTheme="minorEastAsia"/>
          <w:kern w:val="2"/>
          <w:sz w:val="28"/>
          <w:szCs w:val="28"/>
          <w:lang w:val="en-US" w:eastAsia="zh-CN"/>
        </w:rPr>
      </w:pPr>
      <w:r>
        <w:rPr>
          <w:rFonts w:hint="eastAsia" w:ascii="Arial" w:hAnsi="Arial" w:cs="Arial" w:eastAsiaTheme="minorEastAsia"/>
          <w:kern w:val="2"/>
          <w:sz w:val="28"/>
          <w:szCs w:val="28"/>
          <w:lang w:val="en-US" w:eastAsia="zh-CN"/>
        </w:rPr>
        <w:t xml:space="preserve">4.3 </w:t>
      </w:r>
      <w:r>
        <w:rPr>
          <w:rFonts w:hint="default" w:ascii="Arial" w:hAnsi="Arial" w:cs="Arial" w:eastAsiaTheme="minorEastAsia"/>
          <w:kern w:val="2"/>
          <w:sz w:val="28"/>
          <w:szCs w:val="28"/>
          <w:lang w:val="en-US" w:eastAsia="zh-CN"/>
        </w:rPr>
        <w:t>Opportunities</w:t>
      </w:r>
    </w:p>
    <w:p>
      <w:pPr>
        <w:bidi w:val="0"/>
        <w:rPr>
          <w:rFonts w:hint="default" w:ascii="Arial" w:hAnsi="Arial" w:cs="Arial"/>
        </w:rPr>
      </w:pPr>
      <w:r>
        <w:rPr>
          <w:rFonts w:hint="default" w:ascii="Arial" w:hAnsi="Arial" w:cs="Arial"/>
        </w:rPr>
        <w:t>Pizza Hut has the potential to expand into new markets, especially internationally, such as developing countries in Asia and Africa. This can be done by leveraging its reputation as a well-known brand to expand its customer base and market share (Iyer et al., 2016). Internally, Pizza Hut can adopt new technologies in product innovation, such as mobile ordering and delivery tracking systems, to streamline its operations and enhance customer experience (Kumar, 2015).</w:t>
      </w:r>
    </w:p>
    <w:p>
      <w:pPr>
        <w:pStyle w:val="4"/>
        <w:keepNext/>
        <w:keepLines/>
        <w:pageBreakBefore w:val="0"/>
        <w:widowControl w:val="0"/>
        <w:numPr>
          <w:numId w:val="0"/>
        </w:numPr>
        <w:tabs>
          <w:tab w:val="left" w:pos="0"/>
        </w:tabs>
        <w:kinsoku/>
        <w:wordWrap/>
        <w:overflowPunct/>
        <w:topLinePunct w:val="0"/>
        <w:autoSpaceDE/>
        <w:autoSpaceDN/>
        <w:bidi w:val="0"/>
        <w:adjustRightInd/>
        <w:snapToGrid/>
        <w:spacing w:before="20" w:beforeLines="0" w:beforeAutospacing="0" w:after="20" w:afterLines="0" w:afterAutospacing="0" w:line="480" w:lineRule="auto"/>
        <w:ind w:leftChars="0"/>
        <w:textAlignment w:val="auto"/>
        <w:outlineLvl w:val="2"/>
        <w:rPr>
          <w:rFonts w:hint="default" w:ascii="Arial" w:hAnsi="Arial" w:cs="Arial" w:eastAsiaTheme="minorEastAsia"/>
          <w:kern w:val="2"/>
          <w:sz w:val="28"/>
          <w:szCs w:val="28"/>
          <w:lang w:val="en-US" w:eastAsia="zh-CN"/>
        </w:rPr>
      </w:pPr>
      <w:r>
        <w:rPr>
          <w:rFonts w:hint="eastAsia" w:ascii="Arial" w:hAnsi="Arial" w:cs="Arial" w:eastAsiaTheme="minorEastAsia"/>
          <w:kern w:val="2"/>
          <w:sz w:val="28"/>
          <w:szCs w:val="28"/>
          <w:lang w:val="en-US" w:eastAsia="zh-CN"/>
        </w:rPr>
        <w:t xml:space="preserve">4.4 </w:t>
      </w:r>
      <w:r>
        <w:rPr>
          <w:rFonts w:hint="default" w:ascii="Arial" w:hAnsi="Arial" w:cs="Arial" w:eastAsiaTheme="minorEastAsia"/>
          <w:kern w:val="2"/>
          <w:sz w:val="28"/>
          <w:szCs w:val="28"/>
          <w:lang w:val="en-US" w:eastAsia="zh-CN"/>
        </w:rPr>
        <w:t>Threats</w:t>
      </w:r>
    </w:p>
    <w:p>
      <w:pPr>
        <w:bidi w:val="0"/>
        <w:rPr>
          <w:rFonts w:hint="default" w:ascii="Arial" w:hAnsi="Arial" w:cs="Arial"/>
        </w:rPr>
      </w:pPr>
      <w:r>
        <w:rPr>
          <w:rFonts w:hint="default" w:ascii="Arial" w:hAnsi="Arial" w:cs="Arial"/>
        </w:rPr>
        <w:t>Pizza Hut's threats include increased competition. Slack et al. (2021) note that the pizza industry is highly competitive, with numerous local and national players vying for market share. In addition, the emergence of new competitors, such as food delivery apps, can threaten Pizza Hut's market position and customer base. On the other hand, the main internal threat is limited innovation and flexibility. According to Gogoi (2022), Pizza Hut's reliance on its existing business model and menu offerings can limit its ability to respond to changing consumer preferences and market trends. As a result, the company is slow to introduce new products or adopt new technologies, which can put it at a disadvantage compared to more agile and innovative competitors. Therefore, Pizza Hut needs to develop strategies to address these threats to remain competitive in the market.</w:t>
      </w:r>
    </w:p>
    <w:p>
      <w:pPr>
        <w:ind w:left="0" w:leftChars="0" w:firstLine="480" w:firstLineChars="200"/>
        <w:rPr>
          <w:rFonts w:hint="default" w:ascii="Arial" w:hAnsi="Arial" w:cs="Arial"/>
          <w:sz w:val="24"/>
          <w:szCs w:val="24"/>
        </w:rPr>
      </w:pPr>
    </w:p>
    <w:p>
      <w:pPr>
        <w:pStyle w:val="4"/>
        <w:keepNext/>
        <w:keepLines/>
        <w:pageBreakBefore w:val="0"/>
        <w:widowControl w:val="0"/>
        <w:numPr>
          <w:ilvl w:val="0"/>
          <w:numId w:val="2"/>
        </w:numPr>
        <w:kinsoku/>
        <w:wordWrap/>
        <w:overflowPunct/>
        <w:topLinePunct w:val="0"/>
        <w:autoSpaceDE/>
        <w:autoSpaceDN/>
        <w:bidi w:val="0"/>
        <w:adjustRightInd/>
        <w:snapToGrid/>
        <w:spacing w:before="20" w:beforeLines="0" w:beforeAutospacing="0" w:after="20" w:afterLines="0" w:afterAutospacing="0" w:line="480" w:lineRule="auto"/>
        <w:ind w:left="0" w:leftChars="0" w:firstLine="0" w:firstLineChars="0"/>
        <w:textAlignment w:val="auto"/>
        <w:outlineLvl w:val="2"/>
        <w:rPr>
          <w:rFonts w:hint="default" w:ascii="Arial" w:hAnsi="Arial" w:cs="Arial" w:eastAsiaTheme="minorEastAsia"/>
          <w:kern w:val="2"/>
          <w:sz w:val="32"/>
          <w:szCs w:val="24"/>
          <w:lang w:val="en-US" w:eastAsia="zh-CN"/>
        </w:rPr>
      </w:pPr>
      <w:bookmarkStart w:id="22" w:name="_Toc19503"/>
      <w:r>
        <w:rPr>
          <w:rFonts w:hint="default" w:ascii="Arial" w:hAnsi="Arial" w:cs="Arial" w:eastAsiaTheme="minorEastAsia"/>
          <w:kern w:val="2"/>
          <w:sz w:val="32"/>
          <w:szCs w:val="24"/>
          <w:lang w:val="en-US" w:eastAsia="zh-CN"/>
        </w:rPr>
        <w:t>Conclusion</w:t>
      </w:r>
      <w:bookmarkEnd w:id="22"/>
    </w:p>
    <w:p>
      <w:pPr>
        <w:ind w:left="0" w:leftChars="0" w:firstLine="480" w:firstLineChars="200"/>
        <w:rPr>
          <w:rFonts w:hint="default" w:ascii="Arial" w:hAnsi="Arial" w:cs="Arial"/>
          <w:sz w:val="24"/>
          <w:szCs w:val="24"/>
        </w:rPr>
      </w:pPr>
      <w:r>
        <w:rPr>
          <w:rFonts w:hint="default" w:ascii="Arial" w:hAnsi="Arial" w:cs="Arial"/>
          <w:sz w:val="24"/>
          <w:szCs w:val="24"/>
        </w:rPr>
        <w:t xml:space="preserve">Pizza Hut operates in a highly competitive fast-food industry, which is impacted by various external and internal factors. The external factors include political events, economic conditions, social trends, technological advancements, environmental concerns, and legal requirements. Pizza Hut's internal environment has strengths such as strong brand recognition, established supply chain management, and robust product innovation capabilities. However, it also faces weaknesses such as high dependence on franchisees, slow adoption of digital technologies, and limited menu offerings compared to its competitors. </w:t>
      </w:r>
      <w:r>
        <w:rPr>
          <w:rFonts w:hint="eastAsia" w:ascii="Arial" w:hAnsi="Arial" w:eastAsia="宋体" w:cs="Arial"/>
          <w:sz w:val="24"/>
          <w:szCs w:val="24"/>
          <w:lang w:val="en-US" w:eastAsia="zh-CN"/>
        </w:rPr>
        <w:t xml:space="preserve">To </w:t>
      </w:r>
      <w:r>
        <w:rPr>
          <w:rFonts w:hint="default" w:ascii="Arial" w:hAnsi="Arial" w:cs="Arial"/>
          <w:sz w:val="24"/>
          <w:szCs w:val="24"/>
        </w:rPr>
        <w:t>remain competitive, Pizza Hut needs to focus on opportunities, such as expanding into new markets, adopting new technologies and diversifying its menu, while mitigating potential threats, such as changing consumer preferences, increasing competition from other fast food chains and economic recession, avoiding vicious competition in the same industry and minimizing adverse effects. Furthermore, Pizza Hut can capitalise on emerging trends such as the rise of delivery services and the shift to healthier eating habits, unimpeded access to information and developed the right strategic plan to continue to expand its brand influence and maintain its brand effect.</w:t>
      </w:r>
    </w:p>
    <w:p>
      <w:pPr>
        <w:ind w:firstLine="0"/>
        <w:jc w:val="center"/>
        <w:rPr>
          <w:rFonts w:hint="default" w:ascii="Arial" w:hAnsi="Arial" w:cs="Arial"/>
          <w:sz w:val="24"/>
          <w:szCs w:val="24"/>
        </w:rPr>
      </w:pPr>
      <w:r>
        <w:rPr>
          <w:rFonts w:hint="default" w:ascii="Arial" w:hAnsi="Arial" w:cs="Arial"/>
          <w:sz w:val="24"/>
          <w:szCs w:val="24"/>
        </w:rPr>
        <w:br w:type="page"/>
      </w:r>
    </w:p>
    <w:p>
      <w:pPr>
        <w:pStyle w:val="4"/>
        <w:keepNext/>
        <w:keepLines/>
        <w:pageBreakBefore w:val="0"/>
        <w:widowControl w:val="0"/>
        <w:numPr>
          <w:ilvl w:val="2"/>
          <w:numId w:val="0"/>
        </w:numPr>
        <w:kinsoku/>
        <w:wordWrap/>
        <w:overflowPunct/>
        <w:topLinePunct w:val="0"/>
        <w:autoSpaceDE/>
        <w:autoSpaceDN/>
        <w:bidi w:val="0"/>
        <w:adjustRightInd/>
        <w:snapToGrid/>
        <w:spacing w:before="20" w:beforeLines="0" w:beforeAutospacing="0" w:after="20" w:afterLines="0" w:afterAutospacing="0" w:line="413" w:lineRule="auto"/>
        <w:ind w:left="720" w:leftChars="0" w:hanging="720"/>
        <w:textAlignment w:val="auto"/>
        <w:rPr>
          <w:rFonts w:hint="default" w:ascii="Arial" w:hAnsi="Arial" w:cs="Arial" w:eastAsiaTheme="minorEastAsia"/>
          <w:kern w:val="2"/>
          <w:sz w:val="32"/>
          <w:szCs w:val="24"/>
          <w:lang w:val="en-US" w:eastAsia="zh-CN"/>
        </w:rPr>
      </w:pPr>
      <w:bookmarkStart w:id="23" w:name="_Toc19449"/>
      <w:r>
        <w:rPr>
          <w:rFonts w:hint="default" w:ascii="Arial" w:hAnsi="Arial" w:cs="Arial" w:eastAsiaTheme="minorEastAsia"/>
          <w:kern w:val="2"/>
          <w:sz w:val="32"/>
          <w:szCs w:val="24"/>
          <w:lang w:val="en-US" w:eastAsia="zh-CN"/>
        </w:rPr>
        <w:t>Reference</w:t>
      </w:r>
      <w:r>
        <w:rPr>
          <w:rFonts w:hint="eastAsia" w:ascii="Arial" w:hAnsi="Arial" w:cs="Arial" w:eastAsiaTheme="minorEastAsia"/>
          <w:kern w:val="2"/>
          <w:sz w:val="32"/>
          <w:szCs w:val="24"/>
          <w:lang w:val="en-US" w:eastAsia="zh-CN"/>
        </w:rPr>
        <w:t xml:space="preserve"> List</w:t>
      </w:r>
      <w:bookmarkEnd w:id="23"/>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eastAsia" w:ascii="Arial" w:hAnsi="Arial" w:eastAsia="宋体" w:cs="Arial"/>
          <w:sz w:val="24"/>
          <w:szCs w:val="24"/>
          <w:lang w:val="en-US" w:eastAsia="zh-CN"/>
        </w:rPr>
      </w:pPr>
      <w:r>
        <w:rPr>
          <w:rFonts w:hint="default" w:ascii="Arial" w:hAnsi="Arial" w:cs="Arial"/>
          <w:sz w:val="24"/>
          <w:szCs w:val="24"/>
        </w:rPr>
        <w:t xml:space="preserve">Abezie, H. </w:t>
      </w:r>
      <w:r>
        <w:rPr>
          <w:rFonts w:hint="eastAsia" w:ascii="Arial" w:hAnsi="Arial" w:eastAsia="宋体" w:cs="Arial"/>
          <w:sz w:val="24"/>
          <w:szCs w:val="24"/>
          <w:lang w:val="en-US" w:eastAsia="zh-CN"/>
        </w:rPr>
        <w:t>(</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cs="Arial"/>
          <w:i/>
          <w:iCs/>
          <w:sz w:val="24"/>
          <w:szCs w:val="24"/>
        </w:rPr>
        <w:t xml:space="preserve">Assessing a restaurant service quality using the Dineserv model: </w:t>
      </w:r>
      <w:r>
        <w:rPr>
          <w:rFonts w:hint="eastAsia" w:ascii="Arial" w:hAnsi="Arial" w:eastAsia="宋体" w:cs="Arial"/>
          <w:i/>
          <w:iCs/>
          <w:sz w:val="24"/>
          <w:szCs w:val="24"/>
          <w:lang w:val="en-US" w:eastAsia="zh-CN"/>
        </w:rPr>
        <w:t xml:space="preserve">A </w:t>
      </w:r>
      <w:r>
        <w:rPr>
          <w:rFonts w:hint="default" w:ascii="Arial" w:hAnsi="Arial" w:cs="Arial"/>
          <w:i/>
          <w:iCs/>
          <w:sz w:val="24"/>
          <w:szCs w:val="24"/>
        </w:rPr>
        <w:t>quantitative study on Pizza Hut</w:t>
      </w:r>
      <w:r>
        <w:rPr>
          <w:rFonts w:hint="default" w:ascii="Arial" w:hAnsi="Arial" w:cs="Arial"/>
          <w:sz w:val="24"/>
          <w:szCs w:val="24"/>
        </w:rPr>
        <w:t>.</w:t>
      </w:r>
      <w:r>
        <w:rPr>
          <w:rFonts w:hint="eastAsia" w:ascii="Arial" w:hAnsi="Arial" w:eastAsia="宋体" w:cs="Arial"/>
          <w:sz w:val="24"/>
          <w:szCs w:val="24"/>
          <w:lang w:val="en-US" w:eastAsia="zh-CN"/>
        </w:rPr>
        <w:t xml:space="preserve"> Master's Thesis, Umeå University, Umeå, Sweden.</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eastAsia" w:ascii="Arial" w:hAnsi="Arial" w:eastAsia="宋体" w:cs="Arial"/>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color w:val="222222"/>
          <w:sz w:val="24"/>
          <w:szCs w:val="24"/>
          <w:highlight w:val="white"/>
        </w:rPr>
      </w:pPr>
      <w:r>
        <w:rPr>
          <w:rFonts w:hint="default" w:ascii="Arial" w:hAnsi="Arial" w:cs="Arial"/>
          <w:color w:val="222222"/>
          <w:sz w:val="24"/>
          <w:szCs w:val="24"/>
          <w:highlight w:val="white"/>
        </w:rPr>
        <w:t xml:space="preserve">Benzaghta, M.A., Elwalda, A., </w:t>
      </w:r>
      <w:r>
        <w:rPr>
          <w:rFonts w:hint="eastAsia" w:ascii="Arial" w:hAnsi="Arial" w:eastAsia="宋体" w:cs="Arial"/>
          <w:color w:val="222222"/>
          <w:sz w:val="24"/>
          <w:szCs w:val="24"/>
          <w:highlight w:val="white"/>
          <w:lang w:val="en-US" w:eastAsia="zh-CN"/>
        </w:rPr>
        <w:t xml:space="preserve">&amp; </w:t>
      </w:r>
      <w:r>
        <w:rPr>
          <w:rFonts w:hint="default" w:ascii="Arial" w:hAnsi="Arial" w:cs="Arial"/>
          <w:color w:val="222222"/>
          <w:sz w:val="24"/>
          <w:szCs w:val="24"/>
          <w:highlight w:val="white"/>
        </w:rPr>
        <w:t xml:space="preserve">Mousa, M.M., </w:t>
      </w:r>
      <w:r>
        <w:rPr>
          <w:rFonts w:hint="eastAsia" w:ascii="Arial" w:hAnsi="Arial" w:eastAsia="宋体" w:cs="Arial"/>
          <w:color w:val="222222"/>
          <w:sz w:val="24"/>
          <w:szCs w:val="24"/>
          <w:highlight w:val="white"/>
          <w:lang w:val="en-US" w:eastAsia="zh-CN"/>
        </w:rPr>
        <w:t>et al.</w:t>
      </w:r>
      <w:r>
        <w:rPr>
          <w:rFonts w:hint="default" w:ascii="Arial" w:hAnsi="Arial" w:cs="Arial"/>
          <w:color w:val="222222"/>
          <w:sz w:val="24"/>
          <w:szCs w:val="24"/>
          <w:highlight w:val="white"/>
        </w:rPr>
        <w:t xml:space="preserve"> </w:t>
      </w:r>
      <w:r>
        <w:rPr>
          <w:rFonts w:hint="eastAsia" w:ascii="Arial" w:hAnsi="Arial" w:eastAsia="宋体" w:cs="Arial"/>
          <w:color w:val="222222"/>
          <w:sz w:val="24"/>
          <w:szCs w:val="24"/>
          <w:highlight w:val="white"/>
          <w:lang w:val="en-US" w:eastAsia="zh-CN"/>
        </w:rPr>
        <w:t>(</w:t>
      </w:r>
      <w:r>
        <w:rPr>
          <w:rFonts w:hint="default" w:ascii="Arial" w:hAnsi="Arial" w:cs="Arial"/>
          <w:color w:val="222222"/>
          <w:sz w:val="24"/>
          <w:szCs w:val="24"/>
          <w:highlight w:val="white"/>
        </w:rPr>
        <w:t>2021</w:t>
      </w:r>
      <w:r>
        <w:rPr>
          <w:rFonts w:hint="eastAsia" w:ascii="Arial" w:hAnsi="Arial" w:eastAsia="宋体" w:cs="Arial"/>
          <w:color w:val="222222"/>
          <w:sz w:val="24"/>
          <w:szCs w:val="24"/>
          <w:highlight w:val="white"/>
          <w:lang w:val="en-US" w:eastAsia="zh-CN"/>
        </w:rPr>
        <w:t>)</w:t>
      </w:r>
      <w:r>
        <w:rPr>
          <w:rFonts w:hint="default" w:ascii="Arial" w:hAnsi="Arial" w:cs="Arial"/>
          <w:color w:val="222222"/>
          <w:sz w:val="24"/>
          <w:szCs w:val="24"/>
          <w:highlight w:val="white"/>
        </w:rPr>
        <w:t xml:space="preserve"> </w:t>
      </w:r>
      <w:r>
        <w:rPr>
          <w:rFonts w:hint="default" w:ascii="Arial" w:hAnsi="Arial" w:eastAsia="宋体" w:cs="Arial"/>
          <w:color w:val="222222"/>
          <w:sz w:val="24"/>
          <w:szCs w:val="24"/>
          <w:highlight w:val="white"/>
          <w:lang w:val="en-US" w:eastAsia="zh-CN"/>
        </w:rPr>
        <w:t>‘</w:t>
      </w:r>
      <w:r>
        <w:rPr>
          <w:rFonts w:hint="default" w:ascii="Arial" w:hAnsi="Arial" w:cs="Arial"/>
          <w:color w:val="222222"/>
          <w:sz w:val="24"/>
          <w:szCs w:val="24"/>
          <w:highlight w:val="white"/>
        </w:rPr>
        <w:t>SWOT</w:t>
      </w:r>
      <w:r>
        <w:rPr>
          <w:rFonts w:hint="eastAsia" w:ascii="Arial" w:hAnsi="Arial" w:eastAsia="宋体" w:cs="Arial"/>
          <w:color w:val="222222"/>
          <w:sz w:val="24"/>
          <w:szCs w:val="24"/>
          <w:highlight w:val="white"/>
          <w:lang w:val="en-US" w:eastAsia="zh-CN"/>
        </w:rPr>
        <w:t xml:space="preserve"> </w:t>
      </w:r>
      <w:r>
        <w:rPr>
          <w:rFonts w:hint="default" w:ascii="Arial" w:hAnsi="Arial" w:cs="Arial"/>
          <w:color w:val="222222"/>
          <w:sz w:val="24"/>
          <w:szCs w:val="24"/>
          <w:highlight w:val="white"/>
        </w:rPr>
        <w:t>analysis applications: An integrative literature review</w:t>
      </w:r>
      <w:r>
        <w:rPr>
          <w:rFonts w:hint="default" w:ascii="Arial" w:hAnsi="Arial" w:eastAsia="宋体" w:cs="Arial"/>
          <w:color w:val="222222"/>
          <w:sz w:val="24"/>
          <w:szCs w:val="24"/>
          <w:highlight w:val="white"/>
          <w:lang w:val="en-US" w:eastAsia="zh-CN"/>
        </w:rPr>
        <w:t>’</w:t>
      </w:r>
      <w:r>
        <w:rPr>
          <w:rFonts w:hint="eastAsia" w:ascii="Arial" w:hAnsi="Arial" w:eastAsia="宋体" w:cs="Arial"/>
          <w:color w:val="222222"/>
          <w:sz w:val="24"/>
          <w:szCs w:val="24"/>
          <w:highlight w:val="white"/>
          <w:lang w:val="en-US" w:eastAsia="zh-CN"/>
        </w:rPr>
        <w:t xml:space="preserve">, </w:t>
      </w:r>
      <w:r>
        <w:rPr>
          <w:rFonts w:hint="default" w:ascii="Arial" w:hAnsi="Arial" w:cs="Arial"/>
          <w:i/>
          <w:color w:val="222222"/>
          <w:sz w:val="24"/>
          <w:szCs w:val="24"/>
          <w:highlight w:val="white"/>
        </w:rPr>
        <w:t>Journal of Global Business Insights</w:t>
      </w:r>
      <w:r>
        <w:rPr>
          <w:rFonts w:hint="default" w:ascii="Arial" w:hAnsi="Arial" w:cs="Arial"/>
          <w:i w:val="0"/>
          <w:iCs w:val="0"/>
          <w:color w:val="222222"/>
          <w:sz w:val="24"/>
          <w:szCs w:val="24"/>
          <w:highlight w:val="white"/>
        </w:rPr>
        <w:t>,</w:t>
      </w:r>
      <w:r>
        <w:rPr>
          <w:rFonts w:hint="eastAsia" w:ascii="Arial" w:hAnsi="Arial" w:eastAsia="宋体" w:cs="Arial"/>
          <w:i w:val="0"/>
          <w:iCs w:val="0"/>
          <w:color w:val="222222"/>
          <w:sz w:val="24"/>
          <w:szCs w:val="24"/>
          <w:highlight w:val="white"/>
          <w:lang w:val="en-US" w:eastAsia="zh-CN"/>
        </w:rPr>
        <w:t xml:space="preserve"> </w:t>
      </w:r>
      <w:r>
        <w:rPr>
          <w:rFonts w:hint="default" w:ascii="Arial" w:hAnsi="Arial" w:cs="Arial"/>
          <w:i w:val="0"/>
          <w:iCs w:val="0"/>
          <w:color w:val="222222"/>
          <w:sz w:val="24"/>
          <w:szCs w:val="24"/>
          <w:highlight w:val="white"/>
        </w:rPr>
        <w:t>6(1)</w:t>
      </w:r>
      <w:r>
        <w:rPr>
          <w:rFonts w:hint="default" w:ascii="Arial" w:hAnsi="Arial" w:cs="Arial"/>
          <w:color w:val="222222"/>
          <w:sz w:val="24"/>
          <w:szCs w:val="24"/>
          <w:highlight w:val="white"/>
        </w:rPr>
        <w:t>, pp.55-73.</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222222"/>
          <w:sz w:val="24"/>
          <w:szCs w:val="24"/>
          <w:highlight w:val="white"/>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default" w:ascii="Arial" w:hAnsi="Arial" w:cs="Arial"/>
          <w:sz w:val="24"/>
          <w:szCs w:val="24"/>
          <w:highlight w:val="none"/>
          <w:lang w:val="en-US"/>
        </w:rPr>
      </w:pPr>
      <w:r>
        <w:rPr>
          <w:rFonts w:hint="default" w:ascii="Arial" w:hAnsi="Arial" w:cs="Arial"/>
          <w:spacing w:val="0"/>
          <w:sz w:val="24"/>
          <w:szCs w:val="24"/>
          <w:highlight w:val="none"/>
          <w:lang w:val="en-US"/>
        </w:rPr>
        <w:t>Bhushan, R. (2020)</w:t>
      </w:r>
      <w:r>
        <w:rPr>
          <w:rFonts w:hint="eastAsia" w:ascii="Arial" w:hAnsi="Arial" w:eastAsia="宋体" w:cs="Arial"/>
          <w:spacing w:val="0"/>
          <w:sz w:val="24"/>
          <w:szCs w:val="24"/>
          <w:highlight w:val="none"/>
          <w:lang w:val="en-US" w:eastAsia="zh-CN"/>
        </w:rPr>
        <w:t xml:space="preserve"> </w:t>
      </w:r>
      <w:r>
        <w:rPr>
          <w:rFonts w:hint="default" w:ascii="Arial" w:hAnsi="Arial" w:cs="Arial"/>
          <w:i/>
          <w:iCs/>
          <w:spacing w:val="0"/>
          <w:sz w:val="24"/>
          <w:szCs w:val="24"/>
          <w:highlight w:val="none"/>
          <w:lang w:val="en-US"/>
        </w:rPr>
        <w:t>KFC Q1 system sales decline 2%, Pizza Hut declines 6%:</w:t>
      </w:r>
      <w:r>
        <w:rPr>
          <w:rFonts w:hint="eastAsia" w:ascii="Arial" w:hAnsi="Arial" w:eastAsia="宋体" w:cs="Arial"/>
          <w:i/>
          <w:iCs/>
          <w:spacing w:val="0"/>
          <w:sz w:val="24"/>
          <w:szCs w:val="24"/>
          <w:highlight w:val="none"/>
          <w:lang w:val="en-US" w:eastAsia="zh-CN"/>
        </w:rPr>
        <w:t xml:space="preserve"> </w:t>
      </w:r>
      <w:r>
        <w:rPr>
          <w:rFonts w:hint="default" w:ascii="Arial" w:hAnsi="Arial" w:cs="Arial"/>
          <w:spacing w:val="0"/>
          <w:sz w:val="24"/>
          <w:szCs w:val="24"/>
          <w:highlight w:val="none"/>
          <w:lang w:val="en-US"/>
        </w:rPr>
        <w:t>[online] The</w:t>
      </w:r>
      <w:r>
        <w:rPr>
          <w:rFonts w:hint="eastAsia" w:ascii="Arial" w:hAnsi="Arial" w:eastAsia="宋体" w:cs="Arial"/>
          <w:spacing w:val="0"/>
          <w:sz w:val="24"/>
          <w:szCs w:val="24"/>
          <w:highlight w:val="none"/>
          <w:lang w:val="en-US" w:eastAsia="zh-CN"/>
        </w:rPr>
        <w:t xml:space="preserve"> </w:t>
      </w:r>
      <w:r>
        <w:rPr>
          <w:rFonts w:hint="default" w:ascii="Arial" w:hAnsi="Arial" w:cs="Arial"/>
          <w:spacing w:val="0"/>
          <w:sz w:val="24"/>
          <w:szCs w:val="24"/>
          <w:highlight w:val="none"/>
          <w:lang w:val="en-US"/>
        </w:rPr>
        <w:t>Economic Times. Available at: https://economictimes.indiatimes.com/news/international/business/kfc-operator-yums-first-quarter-profit-falls-68-3/articleshow/75449766.cms [Accessed 7 Mar</w:t>
      </w:r>
      <w:r>
        <w:rPr>
          <w:rFonts w:hint="eastAsia" w:ascii="Arial" w:hAnsi="Arial" w:eastAsia="宋体" w:cs="Arial"/>
          <w:spacing w:val="0"/>
          <w:sz w:val="24"/>
          <w:szCs w:val="24"/>
          <w:highlight w:val="none"/>
          <w:lang w:val="en-US" w:eastAsia="zh-CN"/>
        </w:rPr>
        <w:t>ch</w:t>
      </w:r>
      <w:r>
        <w:rPr>
          <w:rFonts w:hint="default" w:ascii="Arial" w:hAnsi="Arial" w:cs="Arial"/>
          <w:spacing w:val="0"/>
          <w:sz w:val="24"/>
          <w:szCs w:val="24"/>
          <w:highlight w:val="none"/>
          <w:lang w:val="en-US"/>
        </w:rPr>
        <w:t xml:space="preserve"> 2023].</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sz w:val="24"/>
          <w:szCs w:val="24"/>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Chang, H.H. </w:t>
      </w:r>
      <w:r>
        <w:rPr>
          <w:rFonts w:hint="eastAsia" w:ascii="Arial" w:hAnsi="Arial" w:eastAsia="宋体" w:cs="Arial"/>
          <w:sz w:val="24"/>
          <w:szCs w:val="24"/>
          <w:lang w:val="en-US" w:eastAsia="zh-CN"/>
        </w:rPr>
        <w:t xml:space="preserve">&amp; </w:t>
      </w:r>
      <w:r>
        <w:rPr>
          <w:rFonts w:hint="default" w:ascii="Arial" w:hAnsi="Arial" w:cs="Arial"/>
          <w:sz w:val="24"/>
          <w:szCs w:val="24"/>
        </w:rPr>
        <w:t xml:space="preserve">Meyerhoefer, C.D. </w:t>
      </w:r>
      <w:r>
        <w:rPr>
          <w:rFonts w:hint="eastAsia" w:ascii="Arial" w:hAnsi="Arial" w:eastAsia="宋体" w:cs="Arial"/>
          <w:sz w:val="24"/>
          <w:szCs w:val="24"/>
          <w:lang w:val="en-US" w:eastAsia="zh-CN"/>
        </w:rPr>
        <w:t>(</w:t>
      </w:r>
      <w:r>
        <w:rPr>
          <w:rFonts w:hint="default" w:ascii="Arial" w:hAnsi="Arial" w:cs="Arial"/>
          <w:sz w:val="24"/>
          <w:szCs w:val="24"/>
        </w:rPr>
        <w:t>2021</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COVID‐19 and the demand for online food shopping services: Empirical Evidence from Taiwan</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American Journal of Agricultural Economics</w:t>
      </w:r>
      <w:r>
        <w:rPr>
          <w:rFonts w:hint="default" w:ascii="Arial" w:hAnsi="Arial" w:cs="Arial"/>
          <w:sz w:val="24"/>
          <w:szCs w:val="24"/>
        </w:rPr>
        <w:t>,</w:t>
      </w:r>
      <w:r>
        <w:rPr>
          <w:rFonts w:hint="default" w:ascii="Arial" w:hAnsi="Arial" w:cs="Arial"/>
          <w:i w:val="0"/>
          <w:iCs/>
          <w:sz w:val="24"/>
          <w:szCs w:val="24"/>
        </w:rPr>
        <w:t>103</w:t>
      </w:r>
      <w:r>
        <w:rPr>
          <w:rFonts w:hint="default" w:ascii="Arial" w:hAnsi="Arial" w:cs="Arial"/>
          <w:sz w:val="24"/>
          <w:szCs w:val="24"/>
        </w:rPr>
        <w:t>(2), pp.448-465.</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Chen, M., Hu, M.</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eastAsia" w:ascii="Arial" w:hAnsi="Arial" w:eastAsia="宋体" w:cs="Arial"/>
          <w:sz w:val="24"/>
          <w:szCs w:val="24"/>
          <w:lang w:val="en-US" w:eastAsia="zh-CN"/>
        </w:rPr>
        <w:t>&amp;</w:t>
      </w:r>
      <w:r>
        <w:rPr>
          <w:rFonts w:hint="default" w:ascii="Arial" w:hAnsi="Arial" w:cs="Arial"/>
          <w:sz w:val="24"/>
          <w:szCs w:val="24"/>
        </w:rPr>
        <w:t xml:space="preserve"> Wang, J. </w:t>
      </w:r>
      <w:r>
        <w:rPr>
          <w:rFonts w:hint="eastAsia" w:ascii="Arial" w:hAnsi="Arial" w:eastAsia="宋体" w:cs="Arial"/>
          <w:sz w:val="24"/>
          <w:szCs w:val="24"/>
          <w:lang w:val="en-US" w:eastAsia="zh-CN"/>
        </w:rPr>
        <w:t>(</w:t>
      </w:r>
      <w:r>
        <w:rPr>
          <w:rFonts w:hint="default" w:ascii="Arial" w:hAnsi="Arial" w:cs="Arial"/>
          <w:sz w:val="24"/>
          <w:szCs w:val="24"/>
        </w:rPr>
        <w:t>2022</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Food delivery service and restaurant: Friend or foe?</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Management Science</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68</w:t>
      </w:r>
      <w:r>
        <w:rPr>
          <w:rFonts w:hint="default" w:ascii="Arial" w:hAnsi="Arial" w:cs="Arial"/>
          <w:sz w:val="24"/>
          <w:szCs w:val="24"/>
        </w:rPr>
        <w:t>(9), pp.6539-6551.</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Dalrymple, E. </w:t>
      </w:r>
      <w:r>
        <w:rPr>
          <w:rFonts w:hint="eastAsia" w:ascii="Arial" w:hAnsi="Arial" w:eastAsia="宋体" w:cs="Arial"/>
          <w:sz w:val="24"/>
          <w:szCs w:val="24"/>
          <w:lang w:val="en-US" w:eastAsia="zh-CN"/>
        </w:rPr>
        <w:t>(</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Would You Like Fries with That Non-Compete: Why Restrictive Covenants Should Not Be against Low Wage Workers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Wayne St. UJ Bus. L.</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3</w:t>
      </w:r>
      <w:r>
        <w:rPr>
          <w:rFonts w:hint="default" w:ascii="Arial" w:hAnsi="Arial" w:cs="Arial"/>
          <w:sz w:val="24"/>
          <w:szCs w:val="24"/>
        </w:rPr>
        <w:t>, p.69.</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Dobbs, M.E. </w:t>
      </w:r>
      <w:r>
        <w:rPr>
          <w:rFonts w:hint="eastAsia" w:ascii="Arial" w:hAnsi="Arial" w:eastAsia="宋体" w:cs="Arial"/>
          <w:sz w:val="24"/>
          <w:szCs w:val="24"/>
          <w:lang w:val="en-US" w:eastAsia="zh-CN"/>
        </w:rPr>
        <w:t>(</w:t>
      </w:r>
      <w:r>
        <w:rPr>
          <w:rFonts w:hint="default" w:ascii="Arial" w:hAnsi="Arial" w:cs="Arial"/>
          <w:sz w:val="24"/>
          <w:szCs w:val="24"/>
        </w:rPr>
        <w:t>2014</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Guidelines for applying Porter's five forces framework: a set of industry analysis templates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Competitiveness review</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24</w:t>
      </w:r>
      <w:r>
        <w:rPr>
          <w:rFonts w:hint="default" w:ascii="Arial" w:hAnsi="Arial" w:cs="Arial"/>
          <w:sz w:val="24"/>
          <w:szCs w:val="24"/>
        </w:rPr>
        <w:t>(1), pp.32-45.</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Emerson, R.W. </w:t>
      </w:r>
      <w:r>
        <w:rPr>
          <w:rFonts w:hint="eastAsia" w:ascii="Arial" w:hAnsi="Arial" w:eastAsia="宋体" w:cs="Arial"/>
          <w:sz w:val="24"/>
          <w:szCs w:val="24"/>
          <w:lang w:val="en-US" w:eastAsia="zh-CN"/>
        </w:rPr>
        <w:t xml:space="preserve">&amp; </w:t>
      </w:r>
      <w:r>
        <w:rPr>
          <w:rFonts w:hint="default" w:ascii="Arial" w:hAnsi="Arial" w:cs="Arial"/>
          <w:sz w:val="24"/>
          <w:szCs w:val="24"/>
        </w:rPr>
        <w:t xml:space="preserve">Trautman, L.J. </w:t>
      </w:r>
      <w:r>
        <w:rPr>
          <w:rFonts w:hint="eastAsia" w:ascii="Arial" w:hAnsi="Arial" w:eastAsia="宋体" w:cs="Arial"/>
          <w:sz w:val="24"/>
          <w:szCs w:val="24"/>
          <w:lang w:val="en-US" w:eastAsia="zh-CN"/>
        </w:rPr>
        <w:t>(</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Lessons About Franchise Risk From Yum Brands and Schlotzsky's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Lewis &amp; Clark L. Rev.</w:t>
      </w:r>
      <w:r>
        <w:rPr>
          <w:rFonts w:hint="default" w:ascii="Arial" w:hAnsi="Arial" w:cs="Arial"/>
          <w:i w:val="0"/>
          <w:iCs w:val="0"/>
          <w:sz w:val="24"/>
          <w:szCs w:val="24"/>
        </w:rPr>
        <w:t>,</w:t>
      </w:r>
      <w:r>
        <w:rPr>
          <w:rFonts w:hint="eastAsia" w:ascii="Arial" w:hAnsi="Arial" w:eastAsia="宋体" w:cs="Arial"/>
          <w:i w:val="0"/>
          <w:iCs w:val="0"/>
          <w:sz w:val="24"/>
          <w:szCs w:val="24"/>
          <w:lang w:val="en-US" w:eastAsia="zh-CN"/>
        </w:rPr>
        <w:t xml:space="preserve"> </w:t>
      </w:r>
      <w:r>
        <w:rPr>
          <w:rFonts w:hint="default" w:ascii="Arial" w:hAnsi="Arial" w:cs="Arial"/>
          <w:i w:val="0"/>
          <w:iCs w:val="0"/>
          <w:sz w:val="24"/>
          <w:szCs w:val="24"/>
        </w:rPr>
        <w:t>24</w:t>
      </w:r>
      <w:r>
        <w:rPr>
          <w:rFonts w:hint="default" w:ascii="Arial" w:hAnsi="Arial" w:cs="Arial"/>
          <w:sz w:val="24"/>
          <w:szCs w:val="24"/>
        </w:rPr>
        <w:t>, p</w:t>
      </w:r>
      <w:r>
        <w:rPr>
          <w:rFonts w:hint="eastAsia" w:ascii="Arial" w:hAnsi="Arial" w:eastAsia="宋体" w:cs="Arial"/>
          <w:sz w:val="24"/>
          <w:szCs w:val="24"/>
          <w:lang w:val="en-US" w:eastAsia="zh-CN"/>
        </w:rPr>
        <w:t>p</w:t>
      </w:r>
      <w:r>
        <w:rPr>
          <w:rFonts w:hint="default" w:ascii="Arial" w:hAnsi="Arial" w:cs="Arial"/>
          <w:sz w:val="24"/>
          <w:szCs w:val="24"/>
        </w:rPr>
        <w:t>.997.</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Fajar, M. </w:t>
      </w:r>
      <w:r>
        <w:rPr>
          <w:rFonts w:hint="eastAsia" w:ascii="Arial" w:hAnsi="Arial" w:eastAsia="宋体" w:cs="Arial"/>
          <w:sz w:val="24"/>
          <w:szCs w:val="24"/>
          <w:lang w:val="en-US" w:eastAsia="zh-CN"/>
        </w:rPr>
        <w:t>(</w:t>
      </w:r>
      <w:r>
        <w:rPr>
          <w:rFonts w:hint="default" w:ascii="Arial" w:hAnsi="Arial" w:cs="Arial"/>
          <w:sz w:val="24"/>
          <w:szCs w:val="24"/>
        </w:rPr>
        <w:t>2019</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w:t>
      </w:r>
      <w:r>
        <w:rPr>
          <w:rFonts w:hint="default" w:ascii="Arial" w:hAnsi="Arial" w:cs="Arial"/>
          <w:sz w:val="24"/>
          <w:szCs w:val="24"/>
        </w:rPr>
        <w:t>The Effect Of Intrinsic Motivation And Work Stress On Performance Of Employee Pizza Hut Merr Surabaya</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Journal of World Conference (JWC)</w:t>
      </w:r>
      <w:r>
        <w:rPr>
          <w:rFonts w:hint="eastAsia" w:ascii="Arial" w:hAnsi="Arial" w:eastAsia="宋体" w:cs="Arial"/>
          <w:i w:val="0"/>
          <w:iCs/>
          <w:sz w:val="24"/>
          <w:szCs w:val="24"/>
          <w:lang w:val="en-US" w:eastAsia="zh-CN"/>
        </w:rPr>
        <w:t>, 1(</w:t>
      </w:r>
      <w:r>
        <w:rPr>
          <w:rFonts w:hint="default" w:ascii="Arial" w:hAnsi="Arial" w:cs="Arial"/>
          <w:sz w:val="24"/>
          <w:szCs w:val="24"/>
        </w:rPr>
        <w:t>1</w:t>
      </w:r>
      <w:r>
        <w:rPr>
          <w:rFonts w:hint="eastAsia" w:ascii="Arial" w:hAnsi="Arial" w:eastAsia="宋体" w:cs="Arial"/>
          <w:sz w:val="24"/>
          <w:szCs w:val="24"/>
          <w:lang w:val="en-US" w:eastAsia="zh-CN"/>
        </w:rPr>
        <w:t>)</w:t>
      </w:r>
      <w:r>
        <w:rPr>
          <w:rFonts w:hint="default" w:ascii="Arial" w:hAnsi="Arial" w:cs="Arial"/>
          <w:sz w:val="24"/>
          <w:szCs w:val="24"/>
        </w:rPr>
        <w:t>, pp.185-193.</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Fisk, C.L. </w:t>
      </w:r>
      <w:r>
        <w:rPr>
          <w:rFonts w:hint="eastAsia" w:ascii="Arial" w:hAnsi="Arial" w:eastAsia="宋体" w:cs="Arial"/>
          <w:sz w:val="24"/>
          <w:szCs w:val="24"/>
          <w:lang w:val="en-US" w:eastAsia="zh-CN"/>
        </w:rPr>
        <w:t>&amp;</w:t>
      </w:r>
      <w:r>
        <w:rPr>
          <w:rFonts w:hint="default" w:ascii="Arial" w:hAnsi="Arial" w:cs="Arial"/>
          <w:sz w:val="24"/>
          <w:szCs w:val="24"/>
        </w:rPr>
        <w:t xml:space="preserve"> Reddy, D.S. </w:t>
      </w:r>
      <w:r>
        <w:rPr>
          <w:rFonts w:hint="eastAsia" w:ascii="Arial" w:hAnsi="Arial" w:eastAsia="宋体" w:cs="Arial"/>
          <w:sz w:val="24"/>
          <w:szCs w:val="24"/>
          <w:lang w:val="en-US" w:eastAsia="zh-CN"/>
        </w:rPr>
        <w:t>(</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Protection by Law, Repression by Law: Bringing Labor Back into the Study of Law and Social Movements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Emory L</w:t>
      </w:r>
      <w:r>
        <w:rPr>
          <w:rFonts w:hint="eastAsia" w:ascii="Arial" w:hAnsi="Arial" w:eastAsia="宋体" w:cs="Arial"/>
          <w:i/>
          <w:sz w:val="24"/>
          <w:szCs w:val="24"/>
          <w:lang w:val="en-US" w:eastAsia="zh-CN"/>
        </w:rPr>
        <w:t xml:space="preserve">aw </w:t>
      </w:r>
      <w:r>
        <w:rPr>
          <w:rFonts w:hint="default" w:ascii="Arial" w:hAnsi="Arial" w:cs="Arial"/>
          <w:i/>
          <w:sz w:val="24"/>
          <w:szCs w:val="24"/>
        </w:rPr>
        <w:t>J</w:t>
      </w:r>
      <w:r>
        <w:rPr>
          <w:rFonts w:hint="eastAsia" w:ascii="Arial" w:hAnsi="Arial" w:eastAsia="宋体" w:cs="Arial"/>
          <w:i/>
          <w:sz w:val="24"/>
          <w:szCs w:val="24"/>
          <w:lang w:val="en-US" w:eastAsia="zh-CN"/>
        </w:rPr>
        <w:t>ournal</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70</w:t>
      </w:r>
      <w:r>
        <w:rPr>
          <w:rFonts w:hint="eastAsia" w:ascii="Arial" w:hAnsi="Arial" w:eastAsia="宋体" w:cs="Arial"/>
          <w:i w:val="0"/>
          <w:iCs/>
          <w:sz w:val="24"/>
          <w:szCs w:val="24"/>
          <w:lang w:val="en-US" w:eastAsia="zh-CN"/>
        </w:rPr>
        <w:t>(1)</w:t>
      </w:r>
      <w:r>
        <w:rPr>
          <w:rFonts w:hint="default" w:ascii="Arial" w:hAnsi="Arial" w:cs="Arial"/>
          <w:sz w:val="24"/>
          <w:szCs w:val="24"/>
        </w:rPr>
        <w:t>, p</w:t>
      </w:r>
      <w:r>
        <w:rPr>
          <w:rFonts w:hint="eastAsia" w:ascii="Arial" w:hAnsi="Arial" w:eastAsia="宋体" w:cs="Arial"/>
          <w:sz w:val="24"/>
          <w:szCs w:val="24"/>
          <w:lang w:val="en-US" w:eastAsia="zh-CN"/>
        </w:rPr>
        <w:t>p</w:t>
      </w:r>
      <w:r>
        <w:rPr>
          <w:rFonts w:hint="default" w:ascii="Arial" w:hAnsi="Arial" w:cs="Arial"/>
          <w:sz w:val="24"/>
          <w:szCs w:val="24"/>
        </w:rPr>
        <w:t>.63</w:t>
      </w:r>
      <w:r>
        <w:rPr>
          <w:rFonts w:hint="eastAsia" w:ascii="Arial" w:hAnsi="Arial" w:eastAsia="宋体" w:cs="Arial"/>
          <w:sz w:val="24"/>
          <w:szCs w:val="24"/>
          <w:lang w:val="en-US" w:eastAsia="zh-CN"/>
        </w:rPr>
        <w:t>-152</w:t>
      </w:r>
      <w:r>
        <w:rPr>
          <w:rFonts w:hint="default" w:ascii="Arial" w:hAnsi="Arial" w:cs="Arial"/>
          <w:sz w:val="24"/>
          <w:szCs w:val="24"/>
        </w:rPr>
        <w:t>.</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Gogoi, B.J.</w:t>
      </w:r>
      <w:r>
        <w:rPr>
          <w:rFonts w:hint="eastAsia" w:ascii="Arial" w:hAnsi="Arial" w:eastAsia="宋体" w:cs="Arial"/>
          <w:sz w:val="24"/>
          <w:szCs w:val="24"/>
          <w:lang w:val="en-US" w:eastAsia="zh-CN"/>
        </w:rPr>
        <w:t xml:space="preserve"> (</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Changing consumer preferences: factors influencing choice of fast food outlet</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Academy of Marketing Studies Journal</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24</w:t>
      </w:r>
      <w:r>
        <w:rPr>
          <w:rFonts w:hint="default" w:ascii="Arial" w:hAnsi="Arial" w:cs="Arial"/>
          <w:sz w:val="24"/>
          <w:szCs w:val="24"/>
        </w:rPr>
        <w:t>(1), pp.1-17.</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Hanaysha, J. </w:t>
      </w:r>
      <w:r>
        <w:rPr>
          <w:rFonts w:hint="eastAsia" w:ascii="Arial" w:hAnsi="Arial" w:eastAsia="宋体" w:cs="Arial"/>
          <w:sz w:val="24"/>
          <w:szCs w:val="24"/>
          <w:lang w:val="en-US" w:eastAsia="zh-CN"/>
        </w:rPr>
        <w:t>(</w:t>
      </w:r>
      <w:r>
        <w:rPr>
          <w:rFonts w:hint="default" w:ascii="Arial" w:hAnsi="Arial" w:cs="Arial"/>
          <w:sz w:val="24"/>
          <w:szCs w:val="24"/>
        </w:rPr>
        <w:t>2016</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Testing the effects of food quality, price fairness, and physical environment on customer satisfaction in fast food restaurant industry</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Journal of Asian Business Strategy</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6</w:t>
      </w:r>
      <w:r>
        <w:rPr>
          <w:rFonts w:hint="default" w:ascii="Arial" w:hAnsi="Arial" w:cs="Arial"/>
          <w:sz w:val="24"/>
          <w:szCs w:val="24"/>
        </w:rPr>
        <w:t>(2), pp.31-40.</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Itani, O.S., Kassar, A.N.</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eastAsia" w:ascii="Arial" w:hAnsi="Arial" w:eastAsia="宋体" w:cs="Arial"/>
          <w:sz w:val="24"/>
          <w:szCs w:val="24"/>
          <w:lang w:val="en-US" w:eastAsia="zh-CN"/>
        </w:rPr>
        <w:t xml:space="preserve">&amp; </w:t>
      </w:r>
      <w:r>
        <w:rPr>
          <w:rFonts w:hint="default" w:ascii="Arial" w:hAnsi="Arial" w:cs="Arial"/>
          <w:sz w:val="24"/>
          <w:szCs w:val="24"/>
        </w:rPr>
        <w:t xml:space="preserve">Loureiro, S.M.C. </w:t>
      </w:r>
      <w:r>
        <w:rPr>
          <w:rFonts w:hint="eastAsia" w:ascii="Arial" w:hAnsi="Arial" w:eastAsia="宋体" w:cs="Arial"/>
          <w:sz w:val="24"/>
          <w:szCs w:val="24"/>
          <w:lang w:val="en-US" w:eastAsia="zh-CN"/>
        </w:rPr>
        <w:t>(</w:t>
      </w:r>
      <w:r>
        <w:rPr>
          <w:rFonts w:hint="default" w:ascii="Arial" w:hAnsi="Arial" w:cs="Arial"/>
          <w:sz w:val="24"/>
          <w:szCs w:val="24"/>
        </w:rPr>
        <w:t>2019</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Value get, value give: The relationships among perceived value, relationship quality, customer engagement, and value consciousness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International Journal of Hospitality Management</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80</w:t>
      </w:r>
      <w:r>
        <w:rPr>
          <w:rFonts w:hint="default" w:ascii="Arial" w:hAnsi="Arial" w:cs="Arial"/>
          <w:sz w:val="24"/>
          <w:szCs w:val="24"/>
        </w:rPr>
        <w:t>, pp.78-90.</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Iyer, G.R., Grewal, D., </w:t>
      </w:r>
      <w:r>
        <w:rPr>
          <w:rFonts w:hint="eastAsia" w:ascii="Arial" w:hAnsi="Arial" w:eastAsia="宋体" w:cs="Arial"/>
          <w:sz w:val="24"/>
          <w:szCs w:val="24"/>
          <w:lang w:val="en-US" w:eastAsia="zh-CN"/>
        </w:rPr>
        <w:t xml:space="preserve">&amp; </w:t>
      </w:r>
      <w:r>
        <w:rPr>
          <w:rFonts w:hint="default" w:ascii="Arial" w:hAnsi="Arial" w:cs="Arial"/>
          <w:sz w:val="24"/>
          <w:szCs w:val="24"/>
        </w:rPr>
        <w:t>Javalgi, R.</w:t>
      </w:r>
      <w:r>
        <w:rPr>
          <w:rFonts w:hint="eastAsia" w:ascii="Arial" w:hAnsi="Arial" w:eastAsia="宋体" w:cs="Arial"/>
          <w:sz w:val="24"/>
          <w:szCs w:val="24"/>
          <w:lang w:val="en-US" w:eastAsia="zh-CN"/>
        </w:rPr>
        <w:t>, et al. (</w:t>
      </w:r>
      <w:r>
        <w:rPr>
          <w:rFonts w:hint="default" w:ascii="Arial" w:hAnsi="Arial" w:cs="Arial"/>
          <w:sz w:val="24"/>
          <w:szCs w:val="24"/>
        </w:rPr>
        <w:t>2016</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Franchise Expansion into International Markets: The Role of Entrepreneurial Orientation and Knowledge Resources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iCs/>
          <w:sz w:val="24"/>
          <w:szCs w:val="24"/>
        </w:rPr>
        <w:t>In</w:t>
      </w:r>
      <w:r>
        <w:rPr>
          <w:rFonts w:hint="eastAsia" w:ascii="Arial" w:hAnsi="Arial" w:eastAsia="宋体" w:cs="Arial"/>
          <w:i/>
          <w:iCs/>
          <w:sz w:val="24"/>
          <w:szCs w:val="24"/>
          <w:lang w:val="en-US" w:eastAsia="zh-CN"/>
        </w:rPr>
        <w:t xml:space="preserve"> </w:t>
      </w:r>
      <w:r>
        <w:rPr>
          <w:rFonts w:hint="default" w:ascii="Arial" w:hAnsi="Arial" w:cs="Arial"/>
          <w:i/>
          <w:sz w:val="24"/>
          <w:szCs w:val="24"/>
        </w:rPr>
        <w:t>Cultural Perspectives in a Global Marketplace: Proceedings of the 2010 Cultural Perspectives in Marketing Conference</w:t>
      </w:r>
      <w:r>
        <w:rPr>
          <w:rFonts w:hint="eastAsia" w:ascii="Arial" w:hAnsi="Arial" w:eastAsia="宋体" w:cs="Arial"/>
          <w:i/>
          <w:sz w:val="24"/>
          <w:szCs w:val="24"/>
          <w:lang w:val="en-US" w:eastAsia="zh-CN"/>
        </w:rPr>
        <w:t xml:space="preserve">, </w:t>
      </w:r>
      <w:r>
        <w:rPr>
          <w:rFonts w:hint="default" w:ascii="Arial" w:hAnsi="Arial" w:cs="Arial"/>
          <w:sz w:val="24"/>
          <w:szCs w:val="24"/>
        </w:rPr>
        <w:t>pp. 120-121.</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222222"/>
          <w:sz w:val="24"/>
          <w:szCs w:val="24"/>
          <w:highlight w:val="white"/>
        </w:rPr>
      </w:pPr>
      <w:r>
        <w:rPr>
          <w:rFonts w:hint="default" w:ascii="Arial" w:hAnsi="Arial" w:cs="Arial"/>
          <w:color w:val="222222"/>
          <w:sz w:val="24"/>
          <w:szCs w:val="24"/>
          <w:highlight w:val="white"/>
        </w:rPr>
        <w:t xml:space="preserve">Janssen, H.G., Davies, I.G., </w:t>
      </w:r>
      <w:r>
        <w:rPr>
          <w:rFonts w:hint="eastAsia" w:ascii="Arial" w:hAnsi="Arial" w:eastAsia="宋体" w:cs="Arial"/>
          <w:color w:val="222222"/>
          <w:sz w:val="24"/>
          <w:szCs w:val="24"/>
          <w:highlight w:val="white"/>
          <w:lang w:val="en-US" w:eastAsia="zh-CN"/>
        </w:rPr>
        <w:t xml:space="preserve">&amp; </w:t>
      </w:r>
      <w:r>
        <w:rPr>
          <w:rFonts w:hint="default" w:ascii="Arial" w:hAnsi="Arial" w:cs="Arial"/>
          <w:color w:val="222222"/>
          <w:sz w:val="24"/>
          <w:szCs w:val="24"/>
          <w:highlight w:val="white"/>
        </w:rPr>
        <w:t>Richardson, L.D.</w:t>
      </w:r>
      <w:r>
        <w:rPr>
          <w:rFonts w:hint="eastAsia" w:ascii="Arial" w:hAnsi="Arial" w:eastAsia="宋体" w:cs="Arial"/>
          <w:color w:val="222222"/>
          <w:sz w:val="24"/>
          <w:szCs w:val="24"/>
          <w:highlight w:val="white"/>
          <w:lang w:val="en-US" w:eastAsia="zh-CN"/>
        </w:rPr>
        <w:t>, et al. (</w:t>
      </w:r>
      <w:r>
        <w:rPr>
          <w:rFonts w:hint="default" w:ascii="Arial" w:hAnsi="Arial" w:cs="Arial"/>
          <w:color w:val="222222"/>
          <w:sz w:val="24"/>
          <w:szCs w:val="24"/>
          <w:highlight w:val="white"/>
        </w:rPr>
        <w:t>2018</w:t>
      </w:r>
      <w:r>
        <w:rPr>
          <w:rFonts w:hint="eastAsia" w:ascii="Arial" w:hAnsi="Arial" w:eastAsia="宋体" w:cs="Arial"/>
          <w:color w:val="222222"/>
          <w:sz w:val="24"/>
          <w:szCs w:val="24"/>
          <w:highlight w:val="white"/>
          <w:lang w:val="en-US" w:eastAsia="zh-CN"/>
        </w:rPr>
        <w:t>)</w:t>
      </w:r>
      <w:r>
        <w:rPr>
          <w:rFonts w:hint="default" w:ascii="Arial" w:hAnsi="Arial" w:cs="Arial"/>
          <w:color w:val="222222"/>
          <w:sz w:val="24"/>
          <w:szCs w:val="24"/>
          <w:highlight w:val="white"/>
        </w:rPr>
        <w:t xml:space="preserve"> </w:t>
      </w:r>
      <w:r>
        <w:rPr>
          <w:rFonts w:hint="default" w:ascii="Arial" w:hAnsi="Arial" w:eastAsia="宋体" w:cs="Arial"/>
          <w:color w:val="222222"/>
          <w:sz w:val="24"/>
          <w:szCs w:val="24"/>
          <w:highlight w:val="white"/>
          <w:lang w:val="en-US" w:eastAsia="zh-CN"/>
        </w:rPr>
        <w:t>‘</w:t>
      </w:r>
      <w:r>
        <w:rPr>
          <w:rFonts w:hint="default" w:ascii="Arial" w:hAnsi="Arial" w:cs="Arial"/>
          <w:color w:val="222222"/>
          <w:sz w:val="24"/>
          <w:szCs w:val="24"/>
          <w:highlight w:val="white"/>
        </w:rPr>
        <w:t>Determinants of takeaway and fast food consumption: a narrative review</w:t>
      </w:r>
      <w:r>
        <w:rPr>
          <w:rFonts w:hint="default" w:ascii="Arial" w:hAnsi="Arial" w:eastAsia="宋体" w:cs="Arial"/>
          <w:color w:val="222222"/>
          <w:sz w:val="24"/>
          <w:szCs w:val="24"/>
          <w:highlight w:val="white"/>
          <w:lang w:val="en-US" w:eastAsia="zh-CN"/>
        </w:rPr>
        <w:t>’</w:t>
      </w:r>
      <w:r>
        <w:rPr>
          <w:rFonts w:hint="eastAsia" w:ascii="Arial" w:hAnsi="Arial" w:eastAsia="宋体" w:cs="Arial"/>
          <w:color w:val="222222"/>
          <w:sz w:val="24"/>
          <w:szCs w:val="24"/>
          <w:highlight w:val="white"/>
          <w:lang w:val="en-US" w:eastAsia="zh-CN"/>
        </w:rPr>
        <w:t xml:space="preserve">, </w:t>
      </w:r>
      <w:r>
        <w:rPr>
          <w:rFonts w:hint="default" w:ascii="Arial" w:hAnsi="Arial" w:cs="Arial"/>
          <w:i/>
          <w:color w:val="222222"/>
          <w:sz w:val="24"/>
          <w:szCs w:val="24"/>
          <w:highlight w:val="white"/>
        </w:rPr>
        <w:t>Nutrition research reviews</w:t>
      </w:r>
      <w:r>
        <w:rPr>
          <w:rFonts w:hint="default" w:ascii="Arial" w:hAnsi="Arial" w:cs="Arial"/>
          <w:color w:val="222222"/>
          <w:sz w:val="24"/>
          <w:szCs w:val="24"/>
          <w:highlight w:val="white"/>
        </w:rPr>
        <w:t>,</w:t>
      </w:r>
      <w:r>
        <w:rPr>
          <w:rFonts w:hint="eastAsia" w:ascii="Arial" w:hAnsi="Arial" w:eastAsia="宋体" w:cs="Arial"/>
          <w:color w:val="222222"/>
          <w:sz w:val="24"/>
          <w:szCs w:val="24"/>
          <w:highlight w:val="white"/>
          <w:lang w:val="en-US" w:eastAsia="zh-CN"/>
        </w:rPr>
        <w:t xml:space="preserve"> </w:t>
      </w:r>
      <w:r>
        <w:rPr>
          <w:rFonts w:hint="default" w:ascii="Arial" w:hAnsi="Arial" w:cs="Arial"/>
          <w:i w:val="0"/>
          <w:iCs/>
          <w:color w:val="222222"/>
          <w:sz w:val="24"/>
          <w:szCs w:val="24"/>
          <w:highlight w:val="white"/>
        </w:rPr>
        <w:t>31</w:t>
      </w:r>
      <w:r>
        <w:rPr>
          <w:rFonts w:hint="default" w:ascii="Arial" w:hAnsi="Arial" w:cs="Arial"/>
          <w:color w:val="222222"/>
          <w:sz w:val="24"/>
          <w:szCs w:val="24"/>
          <w:highlight w:val="white"/>
        </w:rPr>
        <w:t>(1), pp.16-34.</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222222"/>
          <w:sz w:val="24"/>
          <w:szCs w:val="24"/>
          <w:highlight w:val="white"/>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Jensen, M.L. </w:t>
      </w:r>
      <w:r>
        <w:rPr>
          <w:rFonts w:hint="eastAsia" w:ascii="Arial" w:hAnsi="Arial" w:eastAsia="宋体" w:cs="Arial"/>
          <w:sz w:val="24"/>
          <w:szCs w:val="24"/>
          <w:lang w:val="en-US" w:eastAsia="zh-CN"/>
        </w:rPr>
        <w:t>&amp;</w:t>
      </w:r>
      <w:r>
        <w:rPr>
          <w:rFonts w:hint="default" w:ascii="Arial" w:hAnsi="Arial" w:cs="Arial"/>
          <w:sz w:val="24"/>
          <w:szCs w:val="24"/>
        </w:rPr>
        <w:t xml:space="preserve"> Schwartz, M.B. </w:t>
      </w:r>
      <w:r>
        <w:rPr>
          <w:rFonts w:hint="eastAsia" w:ascii="Arial" w:hAnsi="Arial" w:eastAsia="宋体" w:cs="Arial"/>
          <w:sz w:val="24"/>
          <w:szCs w:val="24"/>
          <w:lang w:val="en-US" w:eastAsia="zh-CN"/>
        </w:rPr>
        <w:t>(</w:t>
      </w:r>
      <w:r>
        <w:rPr>
          <w:rFonts w:hint="default" w:ascii="Arial" w:hAnsi="Arial" w:cs="Arial"/>
          <w:sz w:val="24"/>
          <w:szCs w:val="24"/>
        </w:rPr>
        <w:t>2021</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Junk food consumption trends point to the need for retail policies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The American Journal of Clinical Nutrition</w:t>
      </w:r>
      <w:r>
        <w:rPr>
          <w:rFonts w:hint="default" w:ascii="Arial" w:hAnsi="Arial" w:cs="Arial"/>
          <w:i w:val="0"/>
          <w:iCs w:val="0"/>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114</w:t>
      </w:r>
      <w:r>
        <w:rPr>
          <w:rFonts w:hint="default" w:ascii="Arial" w:hAnsi="Arial" w:cs="Arial"/>
          <w:sz w:val="24"/>
          <w:szCs w:val="24"/>
        </w:rPr>
        <w:t>(3), pp.837-838.</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color w:val="222222"/>
          <w:sz w:val="24"/>
          <w:szCs w:val="24"/>
          <w:highlight w:val="white"/>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Kakani, V., Nguyen, V.H., </w:t>
      </w:r>
      <w:r>
        <w:rPr>
          <w:rFonts w:hint="eastAsia" w:ascii="Arial" w:hAnsi="Arial" w:eastAsia="宋体" w:cs="Arial"/>
          <w:sz w:val="24"/>
          <w:szCs w:val="24"/>
          <w:lang w:val="en-US" w:eastAsia="zh-CN"/>
        </w:rPr>
        <w:t xml:space="preserve">&amp; </w:t>
      </w:r>
      <w:r>
        <w:rPr>
          <w:rFonts w:hint="default" w:ascii="Arial" w:hAnsi="Arial" w:cs="Arial"/>
          <w:sz w:val="24"/>
          <w:szCs w:val="24"/>
        </w:rPr>
        <w:t xml:space="preserve">Kumar, B.P., </w:t>
      </w:r>
      <w:r>
        <w:rPr>
          <w:rFonts w:hint="eastAsia" w:ascii="Arial" w:hAnsi="Arial" w:eastAsia="宋体" w:cs="Arial"/>
          <w:sz w:val="24"/>
          <w:szCs w:val="24"/>
          <w:lang w:val="en-US" w:eastAsia="zh-CN"/>
        </w:rPr>
        <w:t>et al.</w:t>
      </w:r>
      <w:r>
        <w:rPr>
          <w:rFonts w:hint="default" w:ascii="Arial" w:hAnsi="Arial" w:cs="Arial"/>
          <w:sz w:val="24"/>
          <w:szCs w:val="24"/>
        </w:rPr>
        <w:t xml:space="preserve"> </w:t>
      </w:r>
      <w:r>
        <w:rPr>
          <w:rFonts w:hint="eastAsia" w:ascii="Arial" w:hAnsi="Arial" w:eastAsia="宋体" w:cs="Arial"/>
          <w:sz w:val="24"/>
          <w:szCs w:val="24"/>
          <w:lang w:val="en-US" w:eastAsia="zh-CN"/>
        </w:rPr>
        <w:t>(</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A critical review on computer vision and artificial intelligence in food industry</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Journal of Agriculture and Food Research</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2</w:t>
      </w:r>
      <w:r>
        <w:rPr>
          <w:rFonts w:hint="default" w:ascii="Arial" w:hAnsi="Arial" w:cs="Arial"/>
          <w:sz w:val="24"/>
          <w:szCs w:val="24"/>
        </w:rPr>
        <w:t>, p.100033.</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Kaung, A.A. </w:t>
      </w:r>
      <w:r>
        <w:rPr>
          <w:rFonts w:hint="eastAsia" w:ascii="Arial" w:hAnsi="Arial" w:eastAsia="宋体" w:cs="Arial"/>
          <w:sz w:val="24"/>
          <w:szCs w:val="24"/>
          <w:lang w:val="en-US" w:eastAsia="zh-CN"/>
        </w:rPr>
        <w:t>(</w:t>
      </w:r>
      <w:r>
        <w:rPr>
          <w:rFonts w:hint="default" w:ascii="Arial" w:hAnsi="Arial" w:cs="Arial"/>
          <w:sz w:val="24"/>
          <w:szCs w:val="24"/>
        </w:rPr>
        <w:t>2019</w:t>
      </w:r>
      <w:r>
        <w:rPr>
          <w:rFonts w:hint="eastAsia" w:ascii="Arial" w:hAnsi="Arial" w:eastAsia="宋体" w:cs="Arial"/>
          <w:sz w:val="24"/>
          <w:szCs w:val="24"/>
          <w:lang w:val="en-US" w:eastAsia="zh-CN"/>
        </w:rPr>
        <w:t xml:space="preserve">) </w:t>
      </w:r>
      <w:r>
        <w:rPr>
          <w:rFonts w:hint="default" w:ascii="Arial" w:hAnsi="Arial" w:cs="Arial"/>
          <w:i/>
          <w:sz w:val="24"/>
          <w:szCs w:val="24"/>
        </w:rPr>
        <w:t>T</w:t>
      </w:r>
      <w:r>
        <w:rPr>
          <w:rFonts w:hint="eastAsia" w:ascii="Arial" w:hAnsi="Arial" w:eastAsia="宋体" w:cs="Arial"/>
          <w:i/>
          <w:sz w:val="24"/>
          <w:szCs w:val="24"/>
          <w:lang w:val="en-US" w:eastAsia="zh-CN"/>
        </w:rPr>
        <w:t>he Effect of Customer Perceived Value on Customer Loyalty of Pizza Hut in Yangon</w:t>
      </w:r>
      <w:r>
        <w:rPr>
          <w:rFonts w:hint="eastAsia" w:ascii="Arial" w:hAnsi="Arial" w:eastAsia="宋体" w:cs="Arial"/>
          <w:i w:val="0"/>
          <w:iCs/>
          <w:sz w:val="24"/>
          <w:szCs w:val="24"/>
          <w:lang w:val="en-US" w:eastAsia="zh-CN"/>
        </w:rPr>
        <w:t>.</w:t>
      </w:r>
      <w:r>
        <w:rPr>
          <w:rFonts w:hint="eastAsia" w:ascii="Arial" w:hAnsi="Arial" w:eastAsia="宋体" w:cs="Arial"/>
          <w:i/>
          <w:sz w:val="24"/>
          <w:szCs w:val="24"/>
          <w:lang w:val="en-US" w:eastAsia="zh-CN"/>
        </w:rPr>
        <w:t xml:space="preserve"> </w:t>
      </w:r>
      <w:r>
        <w:rPr>
          <w:rFonts w:hint="default" w:ascii="Arial" w:hAnsi="Arial" w:cs="Arial"/>
          <w:sz w:val="24"/>
          <w:szCs w:val="24"/>
        </w:rPr>
        <w:t>Doctoral dissertation, MERAL Portal</w:t>
      </w:r>
      <w:r>
        <w:rPr>
          <w:rFonts w:hint="eastAsia" w:ascii="Arial" w:hAnsi="Arial" w:eastAsia="宋体" w:cs="Arial"/>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Köllen, T. </w:t>
      </w:r>
      <w:r>
        <w:rPr>
          <w:rFonts w:hint="eastAsia" w:ascii="Arial" w:hAnsi="Arial" w:eastAsia="宋体" w:cs="Arial"/>
          <w:sz w:val="24"/>
          <w:szCs w:val="24"/>
          <w:lang w:val="en-US" w:eastAsia="zh-CN"/>
        </w:rPr>
        <w:t>(</w:t>
      </w:r>
      <w:r>
        <w:rPr>
          <w:rFonts w:hint="default" w:ascii="Arial" w:hAnsi="Arial" w:cs="Arial"/>
          <w:sz w:val="24"/>
          <w:szCs w:val="24"/>
        </w:rPr>
        <w:t>2021</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Diversity management: A critical review and agenda for the future</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Journal of Management Inquiry</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30</w:t>
      </w:r>
      <w:r>
        <w:rPr>
          <w:rFonts w:hint="default" w:ascii="Arial" w:hAnsi="Arial" w:cs="Arial"/>
          <w:sz w:val="24"/>
          <w:szCs w:val="24"/>
        </w:rPr>
        <w:t>(3), pp.259-272.</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Kumar, R. </w:t>
      </w:r>
      <w:r>
        <w:rPr>
          <w:rFonts w:hint="eastAsia" w:ascii="Arial" w:hAnsi="Arial" w:eastAsia="宋体" w:cs="Arial"/>
          <w:sz w:val="24"/>
          <w:szCs w:val="24"/>
          <w:lang w:val="en-US" w:eastAsia="zh-CN"/>
        </w:rPr>
        <w:t>(</w:t>
      </w:r>
      <w:r>
        <w:rPr>
          <w:rFonts w:hint="default" w:ascii="Arial" w:hAnsi="Arial" w:cs="Arial"/>
          <w:sz w:val="24"/>
          <w:szCs w:val="24"/>
        </w:rPr>
        <w:t>2015</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A comparative study between on pizza hut and Domino's Pizza</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International Journal of Marketing and Technology</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5</w:t>
      </w:r>
      <w:r>
        <w:rPr>
          <w:rFonts w:hint="default" w:ascii="Arial" w:hAnsi="Arial" w:cs="Arial"/>
          <w:sz w:val="24"/>
          <w:szCs w:val="24"/>
        </w:rPr>
        <w:t>(9), pp.89-123.</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Laužikas, M., Miliūtė, A., </w:t>
      </w:r>
      <w:r>
        <w:rPr>
          <w:rFonts w:hint="eastAsia" w:ascii="Arial" w:hAnsi="Arial" w:eastAsia="宋体" w:cs="Arial"/>
          <w:sz w:val="24"/>
          <w:szCs w:val="24"/>
          <w:lang w:val="en-US" w:eastAsia="zh-CN"/>
        </w:rPr>
        <w:t xml:space="preserve">&amp; </w:t>
      </w:r>
      <w:r>
        <w:rPr>
          <w:rFonts w:hint="default" w:ascii="Arial" w:hAnsi="Arial" w:cs="Arial"/>
          <w:sz w:val="24"/>
          <w:szCs w:val="24"/>
        </w:rPr>
        <w:t>Tranavičius, L.</w:t>
      </w:r>
      <w:r>
        <w:rPr>
          <w:rFonts w:hint="eastAsia" w:ascii="Arial" w:hAnsi="Arial" w:eastAsia="宋体" w:cs="Arial"/>
          <w:sz w:val="24"/>
          <w:szCs w:val="24"/>
          <w:lang w:val="en-US" w:eastAsia="zh-CN"/>
        </w:rPr>
        <w:t>, et al.</w:t>
      </w:r>
      <w:r>
        <w:rPr>
          <w:rFonts w:hint="default" w:ascii="Arial" w:hAnsi="Arial" w:cs="Arial"/>
          <w:sz w:val="24"/>
          <w:szCs w:val="24"/>
        </w:rPr>
        <w:t xml:space="preserve"> </w:t>
      </w:r>
      <w:r>
        <w:rPr>
          <w:rFonts w:hint="eastAsia" w:ascii="Arial" w:hAnsi="Arial" w:eastAsia="宋体" w:cs="Arial"/>
          <w:sz w:val="24"/>
          <w:szCs w:val="24"/>
          <w:lang w:val="en-US" w:eastAsia="zh-CN"/>
        </w:rPr>
        <w:t>(</w:t>
      </w:r>
      <w:r>
        <w:rPr>
          <w:rFonts w:hint="default" w:ascii="Arial" w:hAnsi="Arial" w:cs="Arial"/>
          <w:sz w:val="24"/>
          <w:szCs w:val="24"/>
        </w:rPr>
        <w:t>2016</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Service innovation commercialisation factors in the fast food industry</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Entrepreneurship and sustainability issues</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4</w:t>
      </w:r>
      <w:r>
        <w:rPr>
          <w:rFonts w:hint="default" w:ascii="Arial" w:hAnsi="Arial" w:cs="Arial"/>
          <w:sz w:val="24"/>
          <w:szCs w:val="24"/>
        </w:rPr>
        <w:t>, pp.108-128.</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Liadze, I., Macchiarelli, C., </w:t>
      </w:r>
      <w:r>
        <w:rPr>
          <w:rFonts w:hint="eastAsia" w:ascii="Arial" w:hAnsi="Arial" w:eastAsia="宋体" w:cs="Arial"/>
          <w:sz w:val="24"/>
          <w:szCs w:val="24"/>
          <w:lang w:val="en-US" w:eastAsia="zh-CN"/>
        </w:rPr>
        <w:t xml:space="preserve">&amp; </w:t>
      </w:r>
      <w:r>
        <w:rPr>
          <w:rFonts w:hint="default" w:ascii="Arial" w:hAnsi="Arial" w:cs="Arial"/>
          <w:sz w:val="24"/>
          <w:szCs w:val="24"/>
        </w:rPr>
        <w:t>Mortimer-Lee, P.</w:t>
      </w:r>
      <w:r>
        <w:rPr>
          <w:rFonts w:hint="eastAsia" w:ascii="Arial" w:hAnsi="Arial" w:eastAsia="宋体" w:cs="Arial"/>
          <w:sz w:val="24"/>
          <w:szCs w:val="24"/>
          <w:lang w:val="en-US" w:eastAsia="zh-CN"/>
        </w:rPr>
        <w:t>, et al.</w:t>
      </w:r>
      <w:r>
        <w:rPr>
          <w:rFonts w:hint="default" w:ascii="Arial" w:hAnsi="Arial" w:cs="Arial"/>
          <w:sz w:val="24"/>
          <w:szCs w:val="24"/>
        </w:rPr>
        <w:t xml:space="preserve"> </w:t>
      </w:r>
      <w:r>
        <w:rPr>
          <w:rFonts w:hint="eastAsia" w:ascii="Arial" w:hAnsi="Arial" w:eastAsia="宋体" w:cs="Arial"/>
          <w:sz w:val="24"/>
          <w:szCs w:val="24"/>
          <w:lang w:val="en-US" w:eastAsia="zh-CN"/>
        </w:rPr>
        <w:t>(</w:t>
      </w:r>
      <w:r>
        <w:rPr>
          <w:rFonts w:hint="default" w:ascii="Arial" w:hAnsi="Arial" w:cs="Arial"/>
          <w:sz w:val="24"/>
          <w:szCs w:val="24"/>
        </w:rPr>
        <w:t>2022</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The economic costs of the Russia-Ukraine conflict</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eastAsia" w:ascii="Arial" w:hAnsi="Arial" w:eastAsia="宋体" w:cs="Arial"/>
          <w:i/>
          <w:iCs/>
          <w:sz w:val="24"/>
          <w:szCs w:val="24"/>
          <w:lang w:val="en-US" w:eastAsia="zh-CN"/>
        </w:rPr>
        <w:t>National Institute of Economic and Social Research</w:t>
      </w:r>
      <w:r>
        <w:rPr>
          <w:rFonts w:hint="eastAsia" w:ascii="Arial" w:hAnsi="Arial" w:eastAsia="宋体" w:cs="Arial"/>
          <w:sz w:val="24"/>
          <w:szCs w:val="24"/>
          <w:lang w:val="en-US" w:eastAsia="zh-CN"/>
        </w:rPr>
        <w:t>, pp.1-10.</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Markus, S. </w:t>
      </w:r>
      <w:r>
        <w:rPr>
          <w:rFonts w:hint="eastAsia" w:ascii="Arial" w:hAnsi="Arial" w:eastAsia="宋体" w:cs="Arial"/>
          <w:sz w:val="24"/>
          <w:szCs w:val="24"/>
          <w:lang w:val="en-US" w:eastAsia="zh-CN"/>
        </w:rPr>
        <w:t>(</w:t>
      </w:r>
      <w:r>
        <w:rPr>
          <w:rFonts w:hint="default" w:ascii="Arial" w:hAnsi="Arial" w:cs="Arial"/>
          <w:sz w:val="24"/>
          <w:szCs w:val="24"/>
        </w:rPr>
        <w:t>2022</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Long-term business implications of Russia’s war in Ukraine</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iCs/>
          <w:sz w:val="24"/>
          <w:szCs w:val="24"/>
        </w:rPr>
        <w:t>Asian Business &amp; Management</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val="0"/>
          <w:sz w:val="24"/>
          <w:szCs w:val="24"/>
        </w:rPr>
        <w:t>21</w:t>
      </w:r>
      <w:r>
        <w:rPr>
          <w:rFonts w:hint="default" w:ascii="Arial" w:hAnsi="Arial" w:cs="Arial"/>
          <w:sz w:val="24"/>
          <w:szCs w:val="24"/>
        </w:rPr>
        <w:t>(4), pp.483-487.</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Matejowsky, T. </w:t>
      </w:r>
      <w:r>
        <w:rPr>
          <w:rFonts w:hint="eastAsia" w:ascii="Arial" w:hAnsi="Arial" w:eastAsia="宋体" w:cs="Arial"/>
          <w:sz w:val="24"/>
          <w:szCs w:val="24"/>
          <w:lang w:val="en-US" w:eastAsia="zh-CN"/>
        </w:rPr>
        <w:t>(</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What’s all the buzz about? Jollibee, diaspora marketing, and next-stage fast food globalisation</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Food and Foodways</w:t>
      </w:r>
      <w:r>
        <w:rPr>
          <w:rFonts w:hint="default" w:ascii="Arial" w:hAnsi="Arial" w:cs="Arial"/>
          <w:sz w:val="24"/>
          <w:szCs w:val="24"/>
        </w:rPr>
        <w:t>,</w:t>
      </w:r>
      <w:r>
        <w:rPr>
          <w:rFonts w:hint="default" w:ascii="Arial" w:hAnsi="Arial" w:cs="Arial"/>
          <w:i w:val="0"/>
          <w:iCs/>
          <w:sz w:val="24"/>
          <w:szCs w:val="24"/>
        </w:rPr>
        <w:t>28</w:t>
      </w:r>
      <w:r>
        <w:rPr>
          <w:rFonts w:hint="default" w:ascii="Arial" w:hAnsi="Arial" w:cs="Arial"/>
          <w:sz w:val="24"/>
          <w:szCs w:val="24"/>
        </w:rPr>
        <w:t>(4), pp.274-296.</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Mukucha, P., Mushanyuri, B.E.</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eastAsia" w:ascii="Arial" w:hAnsi="Arial" w:eastAsia="宋体" w:cs="Arial"/>
          <w:sz w:val="24"/>
          <w:szCs w:val="24"/>
          <w:lang w:val="en-US" w:eastAsia="zh-CN"/>
        </w:rPr>
        <w:t>&amp;</w:t>
      </w:r>
      <w:r>
        <w:rPr>
          <w:rFonts w:hint="default" w:ascii="Arial" w:hAnsi="Arial" w:cs="Arial"/>
          <w:sz w:val="24"/>
          <w:szCs w:val="24"/>
        </w:rPr>
        <w:t xml:space="preserve"> Jaravaza, D.C.</w:t>
      </w:r>
      <w:r>
        <w:rPr>
          <w:rFonts w:hint="eastAsia" w:ascii="Arial" w:hAnsi="Arial" w:eastAsia="宋体" w:cs="Arial"/>
          <w:sz w:val="24"/>
          <w:szCs w:val="24"/>
          <w:lang w:val="en-US" w:eastAsia="zh-CN"/>
        </w:rPr>
        <w:t xml:space="preserve"> (</w:t>
      </w:r>
      <w:r>
        <w:rPr>
          <w:rFonts w:hint="default" w:ascii="Arial" w:hAnsi="Arial" w:cs="Arial"/>
          <w:sz w:val="24"/>
          <w:szCs w:val="24"/>
        </w:rPr>
        <w:t>2021</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Green Sourcing: Effects on Supplier Performance Metrics in Fast Food Restaurants in Frontier Markets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Logistics, Supply Chain, Sustainability and Global Challenges</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12</w:t>
      </w:r>
      <w:r>
        <w:rPr>
          <w:rFonts w:hint="default" w:ascii="Arial" w:hAnsi="Arial" w:cs="Arial"/>
          <w:sz w:val="24"/>
          <w:szCs w:val="24"/>
        </w:rPr>
        <w:t>(1), pp.47-59.</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Namin, A. </w:t>
      </w:r>
      <w:r>
        <w:rPr>
          <w:rFonts w:hint="eastAsia" w:ascii="Arial" w:hAnsi="Arial" w:eastAsia="宋体" w:cs="Arial"/>
          <w:sz w:val="24"/>
          <w:szCs w:val="24"/>
          <w:lang w:val="en-US" w:eastAsia="zh-CN"/>
        </w:rPr>
        <w:t>(</w:t>
      </w:r>
      <w:r>
        <w:rPr>
          <w:rFonts w:hint="default" w:ascii="Arial" w:hAnsi="Arial" w:cs="Arial"/>
          <w:sz w:val="24"/>
          <w:szCs w:val="24"/>
        </w:rPr>
        <w:t>2017</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Revisiting customers' perception of service quality in fast food restaurants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Journal of Retailing and Consumer Services</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34</w:t>
      </w:r>
      <w:r>
        <w:rPr>
          <w:rFonts w:hint="default" w:ascii="Arial" w:hAnsi="Arial" w:cs="Arial"/>
          <w:sz w:val="24"/>
          <w:szCs w:val="24"/>
        </w:rPr>
        <w:t>, pp.70-81.</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Nayak, R. </w:t>
      </w:r>
      <w:r>
        <w:rPr>
          <w:rFonts w:hint="eastAsia" w:ascii="Arial" w:hAnsi="Arial" w:eastAsia="宋体" w:cs="Arial"/>
          <w:sz w:val="24"/>
          <w:szCs w:val="24"/>
          <w:lang w:val="en-US" w:eastAsia="zh-CN"/>
        </w:rPr>
        <w:t>&amp;</w:t>
      </w:r>
      <w:r>
        <w:rPr>
          <w:rFonts w:hint="default" w:ascii="Arial" w:hAnsi="Arial" w:cs="Arial"/>
          <w:sz w:val="24"/>
          <w:szCs w:val="24"/>
        </w:rPr>
        <w:t xml:space="preserve"> Waterson, P. </w:t>
      </w:r>
      <w:r>
        <w:rPr>
          <w:rFonts w:hint="eastAsia" w:ascii="Arial" w:hAnsi="Arial" w:eastAsia="宋体" w:cs="Arial"/>
          <w:sz w:val="24"/>
          <w:szCs w:val="24"/>
          <w:lang w:val="en-US" w:eastAsia="zh-CN"/>
        </w:rPr>
        <w:t>(</w:t>
      </w:r>
      <w:r>
        <w:rPr>
          <w:rFonts w:hint="default" w:ascii="Arial" w:hAnsi="Arial" w:cs="Arial"/>
          <w:sz w:val="24"/>
          <w:szCs w:val="24"/>
        </w:rPr>
        <w:t>2019</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Global food safety as a complex adaptive system: Key concepts and future prospects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Trends in Food Science &amp; Technology</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91</w:t>
      </w:r>
      <w:r>
        <w:rPr>
          <w:rFonts w:hint="default" w:ascii="Arial" w:hAnsi="Arial" w:cs="Arial"/>
          <w:sz w:val="24"/>
          <w:szCs w:val="24"/>
        </w:rPr>
        <w:t>, pp.409-425.</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Nugraha, I., Hisjam, M.</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eastAsia" w:ascii="Arial" w:hAnsi="Arial" w:eastAsia="宋体" w:cs="Arial"/>
          <w:sz w:val="24"/>
          <w:szCs w:val="24"/>
          <w:lang w:val="en-US" w:eastAsia="zh-CN"/>
        </w:rPr>
        <w:t>&amp;</w:t>
      </w:r>
      <w:r>
        <w:rPr>
          <w:rFonts w:hint="default" w:ascii="Arial" w:hAnsi="Arial" w:cs="Arial"/>
          <w:sz w:val="24"/>
          <w:szCs w:val="24"/>
        </w:rPr>
        <w:t xml:space="preserve"> Sutopo, W</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eastAsia" w:ascii="Arial" w:hAnsi="Arial" w:eastAsia="宋体" w:cs="Arial"/>
          <w:sz w:val="24"/>
          <w:szCs w:val="24"/>
          <w:lang w:val="en-US" w:eastAsia="zh-CN"/>
        </w:rPr>
        <w:t>(2019)</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Sustainable criteria in supplier evaluation of the food industry</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iCs/>
          <w:sz w:val="24"/>
          <w:szCs w:val="24"/>
        </w:rPr>
        <w:t>In</w:t>
      </w:r>
      <w:r>
        <w:rPr>
          <w:rFonts w:hint="eastAsia" w:ascii="Arial" w:hAnsi="Arial" w:eastAsia="宋体" w:cs="Arial"/>
          <w:i/>
          <w:iCs/>
          <w:sz w:val="24"/>
          <w:szCs w:val="24"/>
          <w:lang w:val="en-US" w:eastAsia="zh-CN"/>
        </w:rPr>
        <w:t xml:space="preserve"> </w:t>
      </w:r>
      <w:r>
        <w:rPr>
          <w:rFonts w:hint="default" w:ascii="Arial" w:hAnsi="Arial" w:cs="Arial"/>
          <w:i/>
          <w:sz w:val="24"/>
          <w:szCs w:val="24"/>
        </w:rPr>
        <w:t>IOP Conference Series: Materials Science and Engineering</w:t>
      </w:r>
      <w:r>
        <w:rPr>
          <w:rFonts w:hint="eastAsia" w:ascii="Arial" w:hAnsi="Arial" w:eastAsia="宋体" w:cs="Arial"/>
          <w:i/>
          <w:sz w:val="24"/>
          <w:szCs w:val="24"/>
          <w:lang w:val="en-US" w:eastAsia="zh-CN"/>
        </w:rPr>
        <w:t>,</w:t>
      </w:r>
      <w:r>
        <w:rPr>
          <w:rFonts w:hint="eastAsia" w:ascii="Arial" w:hAnsi="Arial" w:eastAsia="宋体" w:cs="Arial"/>
          <w:i/>
          <w:sz w:val="24"/>
          <w:szCs w:val="24"/>
          <w:highlight w:val="none"/>
          <w:lang w:val="en-US" w:eastAsia="zh-CN"/>
        </w:rPr>
        <w:t xml:space="preserve"> </w:t>
      </w:r>
      <w:r>
        <w:rPr>
          <w:rFonts w:hint="eastAsia" w:ascii="Arial" w:hAnsi="Arial" w:eastAsia="宋体" w:cs="Arial"/>
          <w:sz w:val="24"/>
          <w:szCs w:val="24"/>
          <w:highlight w:val="none"/>
          <w:lang w:val="en-US" w:eastAsia="zh-CN"/>
        </w:rPr>
        <w:t>598(1)</w:t>
      </w:r>
      <w:r>
        <w:rPr>
          <w:rFonts w:hint="default" w:ascii="Arial" w:hAnsi="Arial" w:cs="Arial"/>
          <w:sz w:val="24"/>
          <w:szCs w:val="24"/>
          <w:highlight w:val="none"/>
        </w:rPr>
        <w:t xml:space="preserve">, </w:t>
      </w:r>
      <w:r>
        <w:rPr>
          <w:rFonts w:hint="eastAsia" w:ascii="Arial" w:hAnsi="Arial" w:eastAsia="宋体" w:cs="Arial"/>
          <w:sz w:val="24"/>
          <w:szCs w:val="24"/>
          <w:highlight w:val="none"/>
          <w:lang w:val="en-US" w:eastAsia="zh-CN"/>
        </w:rPr>
        <w:t>p</w:t>
      </w:r>
      <w:r>
        <w:rPr>
          <w:rFonts w:hint="default" w:ascii="Arial" w:hAnsi="Arial" w:cs="Arial"/>
          <w:sz w:val="24"/>
          <w:szCs w:val="24"/>
          <w:highlight w:val="none"/>
        </w:rPr>
        <w:t>p.</w:t>
      </w:r>
      <w:r>
        <w:rPr>
          <w:rFonts w:hint="eastAsia" w:ascii="Arial" w:hAnsi="Arial" w:eastAsia="宋体" w:cs="Arial"/>
          <w:sz w:val="24"/>
          <w:szCs w:val="24"/>
          <w:highlight w:val="none"/>
          <w:lang w:val="en-US" w:eastAsia="zh-CN"/>
        </w:rPr>
        <w:t>012006</w:t>
      </w:r>
      <w:r>
        <w:rPr>
          <w:rFonts w:hint="default" w:ascii="Arial" w:hAnsi="Arial" w:cs="Arial"/>
          <w:sz w:val="24"/>
          <w:szCs w:val="24"/>
          <w:highlight w:val="none"/>
        </w:rPr>
        <w:t>.</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Panzone, L.A., Larcom, S.</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eastAsia" w:ascii="Arial" w:hAnsi="Arial" w:eastAsia="宋体" w:cs="Arial"/>
          <w:sz w:val="24"/>
          <w:szCs w:val="24"/>
          <w:lang w:val="en-US" w:eastAsia="zh-CN"/>
        </w:rPr>
        <w:t>&amp;</w:t>
      </w:r>
      <w:r>
        <w:rPr>
          <w:rFonts w:hint="default" w:ascii="Arial" w:hAnsi="Arial" w:cs="Arial"/>
          <w:sz w:val="24"/>
          <w:szCs w:val="24"/>
        </w:rPr>
        <w:t xml:space="preserve"> She, P.W. </w:t>
      </w:r>
      <w:r>
        <w:rPr>
          <w:rFonts w:hint="eastAsia" w:ascii="Arial" w:hAnsi="Arial" w:eastAsia="宋体" w:cs="Arial"/>
          <w:sz w:val="24"/>
          <w:szCs w:val="24"/>
          <w:lang w:val="en-US" w:eastAsia="zh-CN"/>
        </w:rPr>
        <w:t>(</w:t>
      </w:r>
      <w:r>
        <w:rPr>
          <w:rFonts w:hint="default" w:ascii="Arial" w:hAnsi="Arial" w:cs="Arial"/>
          <w:sz w:val="24"/>
          <w:szCs w:val="24"/>
        </w:rPr>
        <w:t>2021</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Estimating the impact of the first COVID-19 lockdown on U.K. food retailers and the restaurant sector</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Global Food Security</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28</w:t>
      </w:r>
      <w:r>
        <w:rPr>
          <w:rFonts w:hint="default" w:ascii="Arial" w:hAnsi="Arial" w:cs="Arial"/>
          <w:sz w:val="24"/>
          <w:szCs w:val="24"/>
        </w:rPr>
        <w:t xml:space="preserve">, </w:t>
      </w:r>
      <w:r>
        <w:rPr>
          <w:rFonts w:hint="eastAsia" w:ascii="Arial" w:hAnsi="Arial" w:eastAsia="宋体" w:cs="Arial"/>
          <w:sz w:val="24"/>
          <w:szCs w:val="24"/>
          <w:lang w:val="en-US" w:eastAsia="zh-CN"/>
        </w:rPr>
        <w:t>p</w:t>
      </w:r>
      <w:r>
        <w:rPr>
          <w:rFonts w:hint="default" w:ascii="Arial" w:hAnsi="Arial" w:cs="Arial"/>
          <w:sz w:val="24"/>
          <w:szCs w:val="24"/>
        </w:rPr>
        <w:t>p.100495.</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Pollin, R.</w:t>
      </w:r>
      <w:r>
        <w:rPr>
          <w:rFonts w:hint="eastAsia" w:ascii="Arial" w:hAnsi="Arial" w:eastAsia="宋体" w:cs="Arial"/>
          <w:sz w:val="24"/>
          <w:szCs w:val="24"/>
          <w:lang w:val="en-US" w:eastAsia="zh-CN"/>
        </w:rPr>
        <w:t xml:space="preserve"> &amp; </w:t>
      </w:r>
      <w:r>
        <w:rPr>
          <w:rFonts w:hint="default" w:ascii="Arial" w:hAnsi="Arial" w:cs="Arial"/>
          <w:sz w:val="24"/>
          <w:szCs w:val="24"/>
        </w:rPr>
        <w:t xml:space="preserve">Wicks-Lim, J. </w:t>
      </w:r>
      <w:r>
        <w:rPr>
          <w:rFonts w:hint="eastAsia" w:ascii="Arial" w:hAnsi="Arial" w:eastAsia="宋体" w:cs="Arial"/>
          <w:sz w:val="24"/>
          <w:szCs w:val="24"/>
          <w:lang w:val="en-US" w:eastAsia="zh-CN"/>
        </w:rPr>
        <w:t>(</w:t>
      </w:r>
      <w:r>
        <w:rPr>
          <w:rFonts w:hint="default" w:ascii="Arial" w:hAnsi="Arial" w:cs="Arial"/>
          <w:sz w:val="24"/>
          <w:szCs w:val="24"/>
        </w:rPr>
        <w:t>2016</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A $15 U.S. minimum wage: How the fast-food industry could adjust without shedding jobs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Journal of Economic Issues</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50</w:t>
      </w:r>
      <w:r>
        <w:rPr>
          <w:rFonts w:hint="default" w:ascii="Arial" w:hAnsi="Arial" w:cs="Arial"/>
          <w:sz w:val="24"/>
          <w:szCs w:val="24"/>
        </w:rPr>
        <w:t>(3), pp.716-744.</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Rajput, A. </w:t>
      </w:r>
      <w:r>
        <w:rPr>
          <w:rFonts w:hint="eastAsia" w:ascii="Arial" w:hAnsi="Arial" w:eastAsia="宋体" w:cs="Arial"/>
          <w:sz w:val="24"/>
          <w:szCs w:val="24"/>
          <w:lang w:val="en-US" w:eastAsia="zh-CN"/>
        </w:rPr>
        <w:t>&amp;</w:t>
      </w:r>
      <w:r>
        <w:rPr>
          <w:rFonts w:hint="default" w:ascii="Arial" w:hAnsi="Arial" w:cs="Arial"/>
          <w:sz w:val="24"/>
          <w:szCs w:val="24"/>
        </w:rPr>
        <w:t xml:space="preserve"> Gahfoor, R.Z. </w:t>
      </w:r>
      <w:r>
        <w:rPr>
          <w:rFonts w:hint="eastAsia" w:ascii="Arial" w:hAnsi="Arial" w:eastAsia="宋体" w:cs="Arial"/>
          <w:sz w:val="24"/>
          <w:szCs w:val="24"/>
          <w:lang w:val="en-US" w:eastAsia="zh-CN"/>
        </w:rPr>
        <w:t>(</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Satisfaction and revisit intentions at fast food restaurants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Future Business Journal</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6</w:t>
      </w:r>
      <w:r>
        <w:rPr>
          <w:rFonts w:hint="default" w:ascii="Arial" w:hAnsi="Arial" w:cs="Arial"/>
          <w:sz w:val="24"/>
          <w:szCs w:val="24"/>
        </w:rPr>
        <w:t>, pp.1-12.</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Senduk, I.F., Tulung, J.E.</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eastAsia" w:ascii="Arial" w:hAnsi="Arial" w:eastAsia="宋体" w:cs="Arial"/>
          <w:sz w:val="24"/>
          <w:szCs w:val="24"/>
          <w:lang w:val="en-US" w:eastAsia="zh-CN"/>
        </w:rPr>
        <w:t>&amp;</w:t>
      </w:r>
      <w:r>
        <w:rPr>
          <w:rFonts w:hint="default" w:ascii="Arial" w:hAnsi="Arial" w:cs="Arial"/>
          <w:sz w:val="24"/>
          <w:szCs w:val="24"/>
        </w:rPr>
        <w:t xml:space="preserve"> Arie, F.V. </w:t>
      </w:r>
      <w:r>
        <w:rPr>
          <w:rFonts w:hint="eastAsia" w:ascii="Arial" w:hAnsi="Arial" w:eastAsia="宋体" w:cs="Arial"/>
          <w:sz w:val="24"/>
          <w:szCs w:val="24"/>
          <w:lang w:val="en-US" w:eastAsia="zh-CN"/>
        </w:rPr>
        <w:t>(</w:t>
      </w:r>
      <w:r>
        <w:rPr>
          <w:rFonts w:hint="default" w:ascii="Arial" w:hAnsi="Arial" w:cs="Arial"/>
          <w:sz w:val="24"/>
          <w:szCs w:val="24"/>
        </w:rPr>
        <w:t>2021</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The Effect of Brand Image, Price Perception, and Promotion on Purchase Decision at Pizza Hut in Manado</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Jurnal EMBA: Jurnal Riset Ekonomi, Manajemen, Bisnis Dan Akuntansi</w:t>
      </w:r>
      <w:r>
        <w:rPr>
          <w:rFonts w:hint="default" w:ascii="Arial" w:hAnsi="Arial" w:cs="Arial"/>
          <w:sz w:val="24"/>
          <w:szCs w:val="24"/>
        </w:rPr>
        <w:t>,</w:t>
      </w:r>
      <w:r>
        <w:rPr>
          <w:rFonts w:hint="eastAsia" w:ascii="Arial" w:hAnsi="Arial" w:eastAsia="宋体" w:cs="Arial"/>
          <w:i w:val="0"/>
          <w:iCs w:val="0"/>
          <w:sz w:val="24"/>
          <w:szCs w:val="24"/>
          <w:lang w:val="en-US" w:eastAsia="zh-CN"/>
        </w:rPr>
        <w:t xml:space="preserve"> </w:t>
      </w:r>
      <w:r>
        <w:rPr>
          <w:rFonts w:hint="default" w:ascii="Arial" w:hAnsi="Arial" w:cs="Arial"/>
          <w:i w:val="0"/>
          <w:iCs w:val="0"/>
          <w:sz w:val="24"/>
          <w:szCs w:val="24"/>
        </w:rPr>
        <w:t>9(4</w:t>
      </w:r>
      <w:r>
        <w:rPr>
          <w:rFonts w:hint="default" w:ascii="Arial" w:hAnsi="Arial" w:cs="Arial"/>
          <w:sz w:val="24"/>
          <w:szCs w:val="24"/>
        </w:rPr>
        <w:t>), pp.1134-1143.</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Shaikh, A.R. </w:t>
      </w:r>
      <w:r>
        <w:rPr>
          <w:rFonts w:hint="eastAsia" w:ascii="Arial" w:hAnsi="Arial" w:eastAsia="宋体" w:cs="Arial"/>
          <w:sz w:val="24"/>
          <w:szCs w:val="24"/>
          <w:lang w:val="en-US" w:eastAsia="zh-CN"/>
        </w:rPr>
        <w:t>&amp;</w:t>
      </w:r>
      <w:r>
        <w:rPr>
          <w:rFonts w:hint="default" w:ascii="Arial" w:hAnsi="Arial" w:cs="Arial"/>
          <w:sz w:val="24"/>
          <w:szCs w:val="24"/>
        </w:rPr>
        <w:t xml:space="preserve"> Qazi, A.A. </w:t>
      </w:r>
      <w:r>
        <w:rPr>
          <w:rFonts w:hint="eastAsia" w:ascii="Arial" w:hAnsi="Arial" w:eastAsia="宋体" w:cs="Arial"/>
          <w:sz w:val="24"/>
          <w:szCs w:val="24"/>
          <w:lang w:val="en-US" w:eastAsia="zh-CN"/>
        </w:rPr>
        <w:t>(</w:t>
      </w:r>
      <w:r>
        <w:rPr>
          <w:rFonts w:hint="default" w:ascii="Arial" w:hAnsi="Arial" w:cs="Arial"/>
          <w:sz w:val="24"/>
          <w:szCs w:val="24"/>
        </w:rPr>
        <w:t>2019</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Centralised supply chain</w:t>
      </w:r>
      <w:r>
        <w:rPr>
          <w:rFonts w:hint="eastAsia" w:ascii="Arial" w:hAnsi="Arial" w:eastAsia="宋体" w:cs="Arial"/>
          <w:sz w:val="24"/>
          <w:szCs w:val="24"/>
          <w:lang w:val="en-US" w:eastAsia="zh-CN"/>
        </w:rPr>
        <w:t>-</w:t>
      </w:r>
      <w:r>
        <w:rPr>
          <w:rFonts w:hint="default" w:ascii="Arial" w:hAnsi="Arial" w:cs="Arial"/>
          <w:sz w:val="24"/>
          <w:szCs w:val="24"/>
        </w:rPr>
        <w:t>Food Lord</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Emerald Emerging Markets Case Studies</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9</w:t>
      </w:r>
      <w:r>
        <w:rPr>
          <w:rFonts w:hint="default" w:ascii="Arial" w:hAnsi="Arial" w:cs="Arial"/>
          <w:sz w:val="24"/>
          <w:szCs w:val="24"/>
        </w:rPr>
        <w:t>(2), pp.1-19.</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Singh, R. </w:t>
      </w:r>
      <w:r>
        <w:rPr>
          <w:rFonts w:hint="eastAsia" w:ascii="Arial" w:hAnsi="Arial" w:eastAsia="宋体" w:cs="Arial"/>
          <w:sz w:val="24"/>
          <w:szCs w:val="24"/>
          <w:lang w:val="en-US" w:eastAsia="zh-CN"/>
        </w:rPr>
        <w:t>&amp;</w:t>
      </w:r>
      <w:r>
        <w:rPr>
          <w:rFonts w:hint="default" w:ascii="Arial" w:hAnsi="Arial" w:cs="Arial"/>
          <w:sz w:val="24"/>
          <w:szCs w:val="24"/>
        </w:rPr>
        <w:t xml:space="preserve"> Sarangal, R.K. </w:t>
      </w:r>
      <w:r>
        <w:rPr>
          <w:rFonts w:hint="eastAsia" w:ascii="Arial" w:hAnsi="Arial" w:eastAsia="宋体" w:cs="Arial"/>
          <w:sz w:val="24"/>
          <w:szCs w:val="24"/>
          <w:lang w:val="en-US" w:eastAsia="zh-CN"/>
        </w:rPr>
        <w:t>(</w:t>
      </w:r>
      <w:r>
        <w:rPr>
          <w:rFonts w:hint="default" w:ascii="Arial" w:hAnsi="Arial" w:cs="Arial"/>
          <w:sz w:val="24"/>
          <w:szCs w:val="24"/>
        </w:rPr>
        <w:t>2021</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Innovation in Quick Service Restaurants (QSRs): A Future Perspective</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European Journal of Tourism, Hospitality and Recreation</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11</w:t>
      </w:r>
      <w:r>
        <w:rPr>
          <w:rFonts w:hint="default" w:ascii="Arial" w:hAnsi="Arial" w:cs="Arial"/>
          <w:sz w:val="24"/>
          <w:szCs w:val="24"/>
        </w:rPr>
        <w:t>(2), pp.210-218.</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Slack, N.J., Singh, G., </w:t>
      </w:r>
      <w:r>
        <w:rPr>
          <w:rFonts w:hint="eastAsia" w:ascii="Arial" w:hAnsi="Arial" w:eastAsia="宋体" w:cs="Arial"/>
          <w:sz w:val="24"/>
          <w:szCs w:val="24"/>
          <w:lang w:val="en-US" w:eastAsia="zh-CN"/>
        </w:rPr>
        <w:t xml:space="preserve">&amp; </w:t>
      </w:r>
      <w:r>
        <w:rPr>
          <w:rFonts w:hint="default" w:ascii="Arial" w:hAnsi="Arial" w:cs="Arial"/>
          <w:sz w:val="24"/>
          <w:szCs w:val="24"/>
        </w:rPr>
        <w:t xml:space="preserve">Ali, J., </w:t>
      </w:r>
      <w:r>
        <w:rPr>
          <w:rFonts w:hint="eastAsia" w:ascii="Arial" w:hAnsi="Arial" w:eastAsia="宋体" w:cs="Arial"/>
          <w:sz w:val="24"/>
          <w:szCs w:val="24"/>
          <w:lang w:val="en-US" w:eastAsia="zh-CN"/>
        </w:rPr>
        <w:t>et al.</w:t>
      </w:r>
      <w:r>
        <w:rPr>
          <w:rFonts w:hint="default" w:ascii="Arial" w:hAnsi="Arial" w:cs="Arial"/>
          <w:sz w:val="24"/>
          <w:szCs w:val="24"/>
        </w:rPr>
        <w:t xml:space="preserve"> </w:t>
      </w:r>
      <w:r>
        <w:rPr>
          <w:rFonts w:hint="eastAsia" w:ascii="Arial" w:hAnsi="Arial" w:eastAsia="宋体" w:cs="Arial"/>
          <w:sz w:val="24"/>
          <w:szCs w:val="24"/>
          <w:lang w:val="en-US" w:eastAsia="zh-CN"/>
        </w:rPr>
        <w:t>(</w:t>
      </w:r>
      <w:r>
        <w:rPr>
          <w:rFonts w:hint="default" w:ascii="Arial" w:hAnsi="Arial" w:cs="Arial"/>
          <w:sz w:val="24"/>
          <w:szCs w:val="24"/>
        </w:rPr>
        <w:t>2021</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Influence of fast-food restaurant service quality and its dimensions on customer perceived value, satisfaction and behavioural intentions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British Food Journal</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123</w:t>
      </w:r>
      <w:r>
        <w:rPr>
          <w:rFonts w:hint="default" w:ascii="Arial" w:hAnsi="Arial" w:cs="Arial"/>
          <w:sz w:val="24"/>
          <w:szCs w:val="24"/>
        </w:rPr>
        <w:t>(4), pp.1324-1344.</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Thamagasorn, M. </w:t>
      </w:r>
      <w:r>
        <w:rPr>
          <w:rFonts w:hint="eastAsia" w:ascii="Arial" w:hAnsi="Arial" w:eastAsia="宋体" w:cs="Arial"/>
          <w:sz w:val="24"/>
          <w:szCs w:val="24"/>
          <w:lang w:val="en-US" w:eastAsia="zh-CN"/>
        </w:rPr>
        <w:t>&amp;</w:t>
      </w:r>
      <w:r>
        <w:rPr>
          <w:rFonts w:hint="default" w:ascii="Arial" w:hAnsi="Arial" w:cs="Arial"/>
          <w:sz w:val="24"/>
          <w:szCs w:val="24"/>
        </w:rPr>
        <w:t xml:space="preserve"> Pharino, C. </w:t>
      </w:r>
      <w:r>
        <w:rPr>
          <w:rFonts w:hint="eastAsia" w:ascii="Arial" w:hAnsi="Arial" w:eastAsia="宋体" w:cs="Arial"/>
          <w:sz w:val="24"/>
          <w:szCs w:val="24"/>
          <w:lang w:val="en-US" w:eastAsia="zh-CN"/>
        </w:rPr>
        <w:t>(</w:t>
      </w:r>
      <w:r>
        <w:rPr>
          <w:rFonts w:hint="default" w:ascii="Arial" w:hAnsi="Arial" w:cs="Arial"/>
          <w:sz w:val="24"/>
          <w:szCs w:val="24"/>
        </w:rPr>
        <w:t>2019</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An analysis of food waste from a flight catering business for sustainable food waste management: A case study of halal food production process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Journal of Cleaner Production</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228</w:t>
      </w:r>
      <w:r>
        <w:rPr>
          <w:rFonts w:hint="default" w:ascii="Arial" w:hAnsi="Arial" w:cs="Arial"/>
          <w:sz w:val="24"/>
          <w:szCs w:val="24"/>
        </w:rPr>
        <w:t>, pp.845-855.</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Thampapillai, D. </w:t>
      </w:r>
      <w:r>
        <w:rPr>
          <w:rFonts w:hint="eastAsia" w:ascii="Arial" w:hAnsi="Arial" w:eastAsia="宋体" w:cs="Arial"/>
          <w:sz w:val="24"/>
          <w:szCs w:val="24"/>
          <w:lang w:val="en-US" w:eastAsia="zh-CN"/>
        </w:rPr>
        <w:t>(</w:t>
      </w:r>
      <w:r>
        <w:rPr>
          <w:rFonts w:hint="default" w:ascii="Arial" w:hAnsi="Arial" w:cs="Arial"/>
          <w:sz w:val="24"/>
          <w:szCs w:val="24"/>
        </w:rPr>
        <w:t>2015</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The Food and Agricultural Organization and Food Security in the Context of International Intellectual Property Rights Protection</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iCs/>
          <w:sz w:val="24"/>
          <w:szCs w:val="24"/>
        </w:rPr>
        <w:t>Legal Perspectives on Security Institutions</w:t>
      </w:r>
      <w:r>
        <w:rPr>
          <w:rFonts w:hint="default" w:ascii="Arial" w:hAnsi="Arial" w:cs="Arial"/>
          <w:i w:val="0"/>
          <w:iCs w:val="0"/>
          <w:sz w:val="24"/>
          <w:szCs w:val="24"/>
        </w:rPr>
        <w:t>,</w:t>
      </w:r>
      <w:r>
        <w:rPr>
          <w:rFonts w:hint="default" w:ascii="Arial" w:hAnsi="Arial" w:cs="Arial"/>
          <w:i/>
          <w:iCs/>
          <w:sz w:val="24"/>
          <w:szCs w:val="24"/>
        </w:rPr>
        <w:t xml:space="preserve"> </w:t>
      </w:r>
      <w:r>
        <w:rPr>
          <w:rFonts w:hint="default" w:ascii="Arial" w:hAnsi="Arial" w:cs="Arial"/>
          <w:sz w:val="24"/>
          <w:szCs w:val="24"/>
        </w:rPr>
        <w:t>pp.269-291</w:t>
      </w:r>
      <w:r>
        <w:rPr>
          <w:rFonts w:hint="eastAsia" w:ascii="Arial" w:hAnsi="Arial" w:eastAsia="宋体" w:cs="Arial"/>
          <w:i w:val="0"/>
          <w:iCs w:val="0"/>
          <w:sz w:val="24"/>
          <w:szCs w:val="24"/>
          <w:lang w:val="en-US" w:eastAsia="zh-CN"/>
        </w:rPr>
        <w:t xml:space="preserve">, </w:t>
      </w:r>
      <w:r>
        <w:rPr>
          <w:rFonts w:hint="default" w:ascii="Arial" w:hAnsi="Arial" w:cs="Arial"/>
          <w:i w:val="0"/>
          <w:iCs w:val="0"/>
          <w:sz w:val="24"/>
          <w:szCs w:val="24"/>
        </w:rPr>
        <w:t>Cambridge University Press</w:t>
      </w:r>
      <w:r>
        <w:rPr>
          <w:rFonts w:hint="eastAsia" w:ascii="Arial" w:hAnsi="Arial" w:eastAsia="宋体" w:cs="Arial"/>
          <w:i w:val="0"/>
          <w:iCs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Tiwari, A.K., Nasreen, S., </w:t>
      </w:r>
      <w:r>
        <w:rPr>
          <w:rFonts w:hint="eastAsia" w:ascii="Arial" w:hAnsi="Arial" w:eastAsia="宋体" w:cs="Arial"/>
          <w:sz w:val="24"/>
          <w:szCs w:val="24"/>
          <w:lang w:val="en-US" w:eastAsia="zh-CN"/>
        </w:rPr>
        <w:t xml:space="preserve">&amp; </w:t>
      </w:r>
      <w:r>
        <w:rPr>
          <w:rFonts w:hint="default" w:ascii="Arial" w:hAnsi="Arial" w:cs="Arial"/>
          <w:sz w:val="24"/>
          <w:szCs w:val="24"/>
        </w:rPr>
        <w:t>Shahbaz, M.</w:t>
      </w:r>
      <w:r>
        <w:rPr>
          <w:rFonts w:hint="eastAsia" w:ascii="Arial" w:hAnsi="Arial" w:eastAsia="宋体" w:cs="Arial"/>
          <w:sz w:val="24"/>
          <w:szCs w:val="24"/>
          <w:lang w:val="en-US" w:eastAsia="zh-CN"/>
        </w:rPr>
        <w:t>, et al. (</w:t>
      </w:r>
      <w:r>
        <w:rPr>
          <w:rFonts w:hint="default" w:ascii="Arial" w:hAnsi="Arial" w:cs="Arial"/>
          <w:sz w:val="24"/>
          <w:szCs w:val="24"/>
        </w:rPr>
        <w:t>2020</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Time-frequency causality and connectedness between international prices of energy, food, industry, agriculture and metals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sz w:val="24"/>
          <w:szCs w:val="24"/>
        </w:rPr>
        <w:t>Energy Economics</w:t>
      </w:r>
      <w:r>
        <w:rPr>
          <w:rFonts w:hint="default" w:ascii="Arial" w:hAnsi="Arial" w:cs="Arial"/>
          <w:sz w:val="24"/>
          <w:szCs w:val="24"/>
        </w:rPr>
        <w:t>,</w:t>
      </w:r>
      <w:r>
        <w:rPr>
          <w:rFonts w:hint="eastAsia" w:ascii="Arial" w:hAnsi="Arial" w:eastAsia="宋体" w:cs="Arial"/>
          <w:sz w:val="24"/>
          <w:szCs w:val="24"/>
          <w:lang w:val="en-US" w:eastAsia="zh-CN"/>
        </w:rPr>
        <w:t xml:space="preserve"> </w:t>
      </w:r>
      <w:r>
        <w:rPr>
          <w:rFonts w:hint="default" w:ascii="Arial" w:hAnsi="Arial" w:cs="Arial"/>
          <w:i w:val="0"/>
          <w:iCs/>
          <w:sz w:val="24"/>
          <w:szCs w:val="24"/>
        </w:rPr>
        <w:t>85</w:t>
      </w:r>
      <w:r>
        <w:rPr>
          <w:rFonts w:hint="default" w:ascii="Arial" w:hAnsi="Arial" w:cs="Arial"/>
          <w:sz w:val="24"/>
          <w:szCs w:val="24"/>
        </w:rPr>
        <w:t>, p</w:t>
      </w:r>
      <w:r>
        <w:rPr>
          <w:rFonts w:hint="eastAsia" w:ascii="Arial" w:hAnsi="Arial" w:eastAsia="宋体" w:cs="Arial"/>
          <w:sz w:val="24"/>
          <w:szCs w:val="24"/>
          <w:lang w:val="en-US" w:eastAsia="zh-CN"/>
        </w:rPr>
        <w:t>p</w:t>
      </w:r>
      <w:r>
        <w:rPr>
          <w:rFonts w:hint="default" w:ascii="Arial" w:hAnsi="Arial" w:cs="Arial"/>
          <w:sz w:val="24"/>
          <w:szCs w:val="24"/>
        </w:rPr>
        <w:t>.104529.</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lang w:val="en-US"/>
        </w:rPr>
      </w:pPr>
      <w:r>
        <w:rPr>
          <w:rFonts w:hint="default" w:ascii="Arial" w:hAnsi="Arial" w:cs="Arial"/>
          <w:sz w:val="24"/>
          <w:szCs w:val="24"/>
          <w:lang w:val="en-US"/>
        </w:rPr>
        <w:t>Pizza Hut Brand Blog (2022)</w:t>
      </w:r>
      <w:r>
        <w:rPr>
          <w:rFonts w:hint="eastAsia" w:ascii="Arial" w:hAnsi="Arial" w:eastAsia="宋体" w:cs="Arial"/>
          <w:sz w:val="24"/>
          <w:szCs w:val="24"/>
          <w:lang w:val="en-US" w:eastAsia="zh-CN"/>
        </w:rPr>
        <w:t xml:space="preserve"> </w:t>
      </w:r>
      <w:r>
        <w:rPr>
          <w:rFonts w:hint="default" w:ascii="Arial" w:hAnsi="Arial" w:cs="Arial"/>
          <w:i/>
          <w:iCs/>
          <w:sz w:val="24"/>
          <w:szCs w:val="24"/>
          <w:lang w:val="en-US"/>
        </w:rPr>
        <w:t>Hut Life – Official Pizza Hut Blog</w:t>
      </w:r>
      <w:r>
        <w:rPr>
          <w:rFonts w:hint="default" w:ascii="Arial" w:hAnsi="Arial" w:cs="Arial"/>
          <w:sz w:val="24"/>
          <w:szCs w:val="24"/>
          <w:lang w:val="en-US"/>
        </w:rPr>
        <w:t>. [online] Available at: https://blog.pizzahut.com/our-story/ [Accessed 7 Mar</w:t>
      </w:r>
      <w:r>
        <w:rPr>
          <w:rFonts w:hint="eastAsia" w:ascii="Arial" w:hAnsi="Arial" w:eastAsia="宋体" w:cs="Arial"/>
          <w:sz w:val="24"/>
          <w:szCs w:val="24"/>
          <w:lang w:val="en-US" w:eastAsia="zh-CN"/>
        </w:rPr>
        <w:t>ch</w:t>
      </w:r>
      <w:r>
        <w:rPr>
          <w:rFonts w:hint="default" w:ascii="Arial" w:hAnsi="Arial" w:cs="Arial"/>
          <w:sz w:val="24"/>
          <w:szCs w:val="24"/>
          <w:lang w:val="en-US"/>
        </w:rPr>
        <w:t xml:space="preserve"> 2023].</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rPr>
      </w:pPr>
      <w:r>
        <w:rPr>
          <w:rFonts w:hint="default" w:ascii="Arial" w:hAnsi="Arial" w:cs="Arial"/>
          <w:sz w:val="24"/>
          <w:szCs w:val="24"/>
        </w:rPr>
        <w:t xml:space="preserve">Wolfson, J.A., Musicus, A.A., </w:t>
      </w:r>
      <w:r>
        <w:rPr>
          <w:rFonts w:hint="eastAsia" w:ascii="Arial" w:hAnsi="Arial" w:eastAsia="宋体" w:cs="Arial"/>
          <w:sz w:val="24"/>
          <w:szCs w:val="24"/>
          <w:lang w:val="en-US" w:eastAsia="zh-CN"/>
        </w:rPr>
        <w:t xml:space="preserve">&amp; </w:t>
      </w:r>
      <w:r>
        <w:rPr>
          <w:rFonts w:hint="default" w:ascii="Arial" w:hAnsi="Arial" w:cs="Arial"/>
          <w:sz w:val="24"/>
          <w:szCs w:val="24"/>
        </w:rPr>
        <w:t xml:space="preserve">Leung, C.W., </w:t>
      </w:r>
      <w:r>
        <w:rPr>
          <w:rFonts w:hint="eastAsia" w:ascii="Arial" w:hAnsi="Arial" w:eastAsia="宋体" w:cs="Arial"/>
          <w:sz w:val="24"/>
          <w:szCs w:val="24"/>
          <w:lang w:val="en-US" w:eastAsia="zh-CN"/>
        </w:rPr>
        <w:t>et al. (</w:t>
      </w:r>
      <w:r>
        <w:rPr>
          <w:rFonts w:hint="default" w:ascii="Arial" w:hAnsi="Arial" w:cs="Arial"/>
          <w:sz w:val="24"/>
          <w:szCs w:val="24"/>
        </w:rPr>
        <w:t>2022</w:t>
      </w:r>
      <w:r>
        <w:rPr>
          <w:rFonts w:hint="eastAsia" w:ascii="Arial" w:hAnsi="Arial" w:eastAsia="宋体" w:cs="Arial"/>
          <w:sz w:val="24"/>
          <w:szCs w:val="24"/>
          <w:lang w:val="en-US" w:eastAsia="zh-CN"/>
        </w:rPr>
        <w:t>)</w:t>
      </w:r>
      <w:r>
        <w:rPr>
          <w:rFonts w:hint="default" w:ascii="Arial" w:hAnsi="Arial" w:cs="Arial"/>
          <w:sz w:val="24"/>
          <w:szCs w:val="24"/>
        </w:rPr>
        <w:t xml:space="preserve"> </w:t>
      </w:r>
      <w:r>
        <w:rPr>
          <w:rFonts w:hint="default" w:ascii="Arial" w:hAnsi="Arial" w:eastAsia="宋体" w:cs="Arial"/>
          <w:sz w:val="24"/>
          <w:szCs w:val="24"/>
          <w:lang w:val="en-US" w:eastAsia="zh-CN"/>
        </w:rPr>
        <w:t>‘</w:t>
      </w:r>
      <w:r>
        <w:rPr>
          <w:rFonts w:hint="default" w:ascii="Arial" w:hAnsi="Arial" w:cs="Arial"/>
          <w:sz w:val="24"/>
          <w:szCs w:val="24"/>
        </w:rPr>
        <w:t>Effect of Climate Change Impact Menu Labels on Fast Food Ordering Choices Among U.S. Adults: A Randomised Clinical Trial</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cs="Arial"/>
          <w:i/>
          <w:iCs/>
          <w:sz w:val="24"/>
          <w:szCs w:val="24"/>
        </w:rPr>
        <w:t>JAMA Network Open</w:t>
      </w:r>
      <w:r>
        <w:rPr>
          <w:rFonts w:hint="default" w:ascii="Arial" w:hAnsi="Arial" w:cs="Arial"/>
          <w:sz w:val="24"/>
          <w:szCs w:val="24"/>
        </w:rPr>
        <w:t>, 5(12), pp.e2248320-e2248320.</w:t>
      </w:r>
    </w:p>
    <w:p>
      <w:pPr>
        <w:keepNext w:val="0"/>
        <w:keepLines w:val="0"/>
        <w:pageBreakBefore w:val="0"/>
        <w:widowControl/>
        <w:kinsoku/>
        <w:wordWrap/>
        <w:overflowPunct/>
        <w:topLinePunct w:val="0"/>
        <w:autoSpaceDE/>
        <w:autoSpaceDN/>
        <w:bidi w:val="0"/>
        <w:adjustRightInd/>
        <w:snapToGrid/>
        <w:spacing w:line="360" w:lineRule="auto"/>
        <w:ind w:left="720" w:hanging="720"/>
        <w:textAlignment w:val="auto"/>
        <w:rPr>
          <w:rFonts w:hint="default" w:ascii="Arial" w:hAnsi="Arial"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u w:val="single"/>
        </w:rPr>
      </w:pPr>
      <w:r>
        <w:rPr>
          <w:rFonts w:hint="default" w:ascii="Arial" w:hAnsi="Arial" w:cs="Arial"/>
          <w:sz w:val="24"/>
          <w:szCs w:val="24"/>
        </w:rPr>
        <w:t>Yum (2020)</w:t>
      </w:r>
      <w:r>
        <w:rPr>
          <w:rFonts w:hint="eastAsia" w:ascii="Arial" w:hAnsi="Arial" w:eastAsia="宋体" w:cs="Arial"/>
          <w:sz w:val="24"/>
          <w:szCs w:val="24"/>
          <w:lang w:val="en-US" w:eastAsia="zh-CN"/>
        </w:rPr>
        <w:t xml:space="preserve"> </w:t>
      </w:r>
      <w:r>
        <w:rPr>
          <w:rFonts w:hint="default" w:ascii="Arial" w:hAnsi="Arial" w:cs="Arial"/>
          <w:i/>
          <w:sz w:val="24"/>
          <w:szCs w:val="24"/>
        </w:rPr>
        <w:t>Financial Reports - Yum! Brands</w:t>
      </w:r>
      <w:r>
        <w:rPr>
          <w:rFonts w:hint="default" w:ascii="Arial" w:hAnsi="Arial" w:cs="Arial"/>
          <w:sz w:val="24"/>
          <w:szCs w:val="24"/>
        </w:rPr>
        <w:t xml:space="preserve">. [online] Available at: </w:t>
      </w: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"https://investors.yum.com/financial-information/financial-reports/" \h </w:instrText>
      </w:r>
      <w:r>
        <w:rPr>
          <w:rFonts w:hint="default" w:ascii="Arial" w:hAnsi="Arial" w:cs="Arial"/>
          <w:color w:val="auto"/>
          <w:sz w:val="24"/>
          <w:szCs w:val="24"/>
        </w:rPr>
        <w:fldChar w:fldCharType="separate"/>
      </w:r>
      <w:r>
        <w:rPr>
          <w:rFonts w:hint="default" w:ascii="Arial" w:hAnsi="Arial" w:cs="Arial"/>
          <w:color w:val="auto"/>
          <w:sz w:val="24"/>
          <w:szCs w:val="24"/>
          <w:u w:val="none"/>
        </w:rPr>
        <w:t>https://investors.yum.com/financial-information/financial-reports/</w:t>
      </w:r>
      <w:r>
        <w:rPr>
          <w:rFonts w:hint="default" w:ascii="Arial" w:hAnsi="Arial" w:cs="Arial"/>
          <w:color w:val="auto"/>
          <w:sz w:val="24"/>
          <w:szCs w:val="24"/>
          <w:u w:val="single"/>
        </w:rPr>
        <w:fldChar w:fldCharType="end"/>
      </w:r>
      <w:r>
        <w:rPr>
          <w:rFonts w:hint="eastAsia" w:ascii="Arial" w:hAnsi="Arial" w:eastAsia="宋体" w:cs="Arial"/>
          <w:color w:val="auto"/>
          <w:sz w:val="24"/>
          <w:szCs w:val="24"/>
          <w:u w:val="none"/>
          <w:lang w:val="en-US" w:eastAsia="zh-CN"/>
        </w:rPr>
        <w:t xml:space="preserve"> </w:t>
      </w:r>
      <w:r>
        <w:rPr>
          <w:rFonts w:hint="default" w:ascii="Arial" w:hAnsi="Arial" w:cs="Arial"/>
          <w:sz w:val="24"/>
          <w:szCs w:val="24"/>
          <w:lang w:val="en-US"/>
        </w:rPr>
        <w:t xml:space="preserve">[Accessed </w:t>
      </w:r>
      <w:r>
        <w:rPr>
          <w:rFonts w:hint="eastAsia" w:ascii="Arial" w:hAnsi="Arial" w:eastAsia="宋体" w:cs="Arial"/>
          <w:sz w:val="24"/>
          <w:szCs w:val="24"/>
          <w:lang w:val="en-US" w:eastAsia="zh-CN"/>
        </w:rPr>
        <w:t>10</w:t>
      </w:r>
      <w:r>
        <w:rPr>
          <w:rFonts w:hint="default" w:ascii="Arial" w:hAnsi="Arial" w:cs="Arial"/>
          <w:sz w:val="24"/>
          <w:szCs w:val="24"/>
          <w:lang w:val="en-US"/>
        </w:rPr>
        <w:t xml:space="preserve"> Mar</w:t>
      </w:r>
      <w:r>
        <w:rPr>
          <w:rFonts w:hint="eastAsia" w:ascii="Arial" w:hAnsi="Arial" w:eastAsia="宋体" w:cs="Arial"/>
          <w:sz w:val="24"/>
          <w:szCs w:val="24"/>
          <w:lang w:val="en-US" w:eastAsia="zh-CN"/>
        </w:rPr>
        <w:t>ch</w:t>
      </w:r>
      <w:r>
        <w:rPr>
          <w:rFonts w:hint="default" w:ascii="Arial" w:hAnsi="Arial" w:cs="Arial"/>
          <w:sz w:val="24"/>
          <w:szCs w:val="24"/>
          <w:lang w:val="en-US"/>
        </w:rPr>
        <w:t xml:space="preserve"> 2023].</w:t>
      </w:r>
    </w:p>
    <w:p>
      <w:pPr>
        <w:ind w:left="720" w:hanging="720"/>
        <w:rPr>
          <w:color w:val="0563C1"/>
          <w:u w:val="single"/>
        </w:rPr>
      </w:pPr>
    </w:p>
    <w:sectPr>
      <w:footerReference r:id="rId7" w:type="default"/>
      <w:pgSz w:w="12240" w:h="15840"/>
      <w:pgMar w:top="1440" w:right="1440" w:bottom="1440" w:left="1440" w:header="720" w:footer="7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Georgia">
    <w:panose1 w:val="02040502050405020303"/>
    <w:charset w:val="00"/>
    <w:family w:val="roman"/>
    <w:pitch w:val="default"/>
    <w:sig w:usb0="000002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Noto Sans Symbols">
    <w:altName w:val="Calibri"/>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default" w:ascii="Arial" w:hAnsi="Arial" w:cs="Arial"/>
                            </w:rPr>
                          </w:pPr>
                          <w:r>
                            <w:rPr>
                              <w:rFonts w:hint="default" w:ascii="Arial" w:hAnsi="Arial" w:cs="Arial"/>
                            </w:rPr>
                            <w:fldChar w:fldCharType="begin"/>
                          </w:r>
                          <w:r>
                            <w:rPr>
                              <w:rFonts w:hint="default" w:ascii="Arial" w:hAnsi="Arial" w:cs="Arial"/>
                            </w:rPr>
                            <w:instrText xml:space="preserve"> PAGE  \* MERGEFORMAT </w:instrText>
                          </w:r>
                          <w:r>
                            <w:rPr>
                              <w:rFonts w:hint="default" w:ascii="Arial" w:hAnsi="Arial" w:cs="Arial"/>
                            </w:rPr>
                            <w:fldChar w:fldCharType="separate"/>
                          </w:r>
                          <w:r>
                            <w:rPr>
                              <w:rFonts w:hint="default" w:ascii="Arial" w:hAnsi="Arial" w:cs="Arial"/>
                            </w:rPr>
                            <w:t>1</w:t>
                          </w:r>
                          <w:r>
                            <w:rPr>
                              <w:rFonts w:hint="default" w:ascii="Arial" w:hAnsi="Arial" w:cs="Arial"/>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default" w:ascii="Arial" w:hAnsi="Arial" w:cs="Arial"/>
                      </w:rPr>
                    </w:pPr>
                    <w:r>
                      <w:rPr>
                        <w:rFonts w:hint="default" w:ascii="Arial" w:hAnsi="Arial" w:cs="Arial"/>
                      </w:rPr>
                      <w:fldChar w:fldCharType="begin"/>
                    </w:r>
                    <w:r>
                      <w:rPr>
                        <w:rFonts w:hint="default" w:ascii="Arial" w:hAnsi="Arial" w:cs="Arial"/>
                      </w:rPr>
                      <w:instrText xml:space="preserve"> PAGE  \* MERGEFORMAT </w:instrText>
                    </w:r>
                    <w:r>
                      <w:rPr>
                        <w:rFonts w:hint="default" w:ascii="Arial" w:hAnsi="Arial" w:cs="Arial"/>
                      </w:rPr>
                      <w:fldChar w:fldCharType="separate"/>
                    </w:r>
                    <w:r>
                      <w:rPr>
                        <w:rFonts w:hint="default" w:ascii="Arial" w:hAnsi="Arial" w:cs="Arial"/>
                      </w:rPr>
                      <w:t>1</w:t>
                    </w:r>
                    <w:r>
                      <w:rPr>
                        <w:rFonts w:hint="default" w:ascii="Arial" w:hAnsi="Arial" w:cs="Arial"/>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default" w:ascii="Arial" w:hAnsi="Arial" w:cs="Arial"/>
                            </w:rPr>
                          </w:pPr>
                          <w:r>
                            <w:rPr>
                              <w:rFonts w:hint="default" w:ascii="Arial" w:hAnsi="Arial" w:cs="Arial"/>
                            </w:rPr>
                            <w:fldChar w:fldCharType="begin"/>
                          </w:r>
                          <w:r>
                            <w:rPr>
                              <w:rFonts w:hint="default" w:ascii="Arial" w:hAnsi="Arial" w:cs="Arial"/>
                            </w:rPr>
                            <w:instrText xml:space="preserve"> PAGE  \* MERGEFORMAT </w:instrText>
                          </w:r>
                          <w:r>
                            <w:rPr>
                              <w:rFonts w:hint="default" w:ascii="Arial" w:hAnsi="Arial" w:cs="Arial"/>
                            </w:rPr>
                            <w:fldChar w:fldCharType="separate"/>
                          </w:r>
                          <w:r>
                            <w:rPr>
                              <w:rFonts w:hint="default" w:ascii="Arial" w:hAnsi="Arial" w:cs="Arial"/>
                            </w:rPr>
                            <w:t>1</w:t>
                          </w:r>
                          <w:r>
                            <w:rPr>
                              <w:rFonts w:hint="default" w:ascii="Arial" w:hAnsi="Arial" w:cs="Arial"/>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default" w:ascii="Arial" w:hAnsi="Arial" w:cs="Arial"/>
                      </w:rPr>
                    </w:pPr>
                    <w:r>
                      <w:rPr>
                        <w:rFonts w:hint="default" w:ascii="Arial" w:hAnsi="Arial" w:cs="Arial"/>
                      </w:rPr>
                      <w:fldChar w:fldCharType="begin"/>
                    </w:r>
                    <w:r>
                      <w:rPr>
                        <w:rFonts w:hint="default" w:ascii="Arial" w:hAnsi="Arial" w:cs="Arial"/>
                      </w:rPr>
                      <w:instrText xml:space="preserve"> PAGE  \* MERGEFORMAT </w:instrText>
                    </w:r>
                    <w:r>
                      <w:rPr>
                        <w:rFonts w:hint="default" w:ascii="Arial" w:hAnsi="Arial" w:cs="Arial"/>
                      </w:rPr>
                      <w:fldChar w:fldCharType="separate"/>
                    </w:r>
                    <w:r>
                      <w:rPr>
                        <w:rFonts w:hint="default" w:ascii="Arial" w:hAnsi="Arial" w:cs="Arial"/>
                      </w:rPr>
                      <w:t>1</w:t>
                    </w:r>
                    <w:r>
                      <w:rPr>
                        <w:rFonts w:hint="default" w:ascii="Arial" w:hAnsi="Arial" w:cs="Arial"/>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8A8506"/>
    <w:multiLevelType w:val="multilevel"/>
    <w:tmpl w:val="A88A8506"/>
    <w:lvl w:ilvl="0" w:tentative="0">
      <w:start w:val="4"/>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ascii="Arial" w:hAnsi="Arial" w:eastAsia="Arial" w:cs="宋体"/>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00E81CFB"/>
    <w:multiLevelType w:val="multilevel"/>
    <w:tmpl w:val="00E81CFB"/>
    <w:lvl w:ilvl="0" w:tentative="0">
      <w:start w:val="2"/>
      <w:numFmt w:val="decimal"/>
      <w:lvlText w:val="%1."/>
      <w:lvlJc w:val="left"/>
      <w:pPr>
        <w:ind w:left="425" w:hanging="425"/>
      </w:pPr>
      <w:rPr>
        <w:rFonts w:hint="default" w:ascii="Arial" w:hAnsi="Arial" w:eastAsia="宋体" w:cs="宋体"/>
        <w:b/>
        <w:sz w:val="28"/>
        <w:szCs w:val="24"/>
      </w:rPr>
    </w:lvl>
    <w:lvl w:ilvl="1" w:tentative="0">
      <w:start w:val="1"/>
      <w:numFmt w:val="decimal"/>
      <w:lvlText w:val="%1.%2"/>
      <w:lvlJc w:val="left"/>
      <w:pPr>
        <w:ind w:left="567" w:hanging="567"/>
      </w:pPr>
      <w:rPr>
        <w:rFonts w:hint="default" w:ascii="Arial" w:hAnsi="Arial" w:eastAsia="宋体" w:cs="宋体"/>
        <w:b/>
        <w:sz w:val="28"/>
        <w:szCs w:val="24"/>
      </w:rPr>
    </w:lvl>
    <w:lvl w:ilvl="2" w:tentative="0">
      <w:start w:val="1"/>
      <w:numFmt w:val="decimal"/>
      <w:lvlText w:val="%1.%2.%3"/>
      <w:lvlJc w:val="left"/>
      <w:pPr>
        <w:ind w:left="709" w:hanging="709"/>
      </w:pPr>
      <w:rPr>
        <w:rFonts w:hint="default" w:ascii="Arial" w:hAnsi="Arial" w:eastAsia="宋体" w:cs="宋体"/>
        <w:b/>
        <w:sz w:val="28"/>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4481450F"/>
    <w:multiLevelType w:val="multilevel"/>
    <w:tmpl w:val="4481450F"/>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45C21B53"/>
    <w:multiLevelType w:val="multilevel"/>
    <w:tmpl w:val="45C21B53"/>
    <w:lvl w:ilvl="0" w:tentative="0">
      <w:start w:val="1"/>
      <w:numFmt w:val="decimal"/>
      <w:suff w:val="space"/>
      <w:lvlText w:val="%1"/>
      <w:lvlJc w:val="left"/>
      <w:pPr>
        <w:tabs>
          <w:tab w:val="left" w:pos="0"/>
        </w:tabs>
      </w:pPr>
      <w:rPr>
        <w:rFonts w:hint="default" w:ascii="Arial" w:hAnsi="Arial" w:eastAsia="Arial" w:cs="Arial"/>
        <w:b/>
        <w:sz w:val="32"/>
        <w:szCs w:val="24"/>
      </w:rPr>
    </w:lvl>
    <w:lvl w:ilvl="1" w:tentative="0">
      <w:start w:val="1"/>
      <w:numFmt w:val="decimal"/>
      <w:suff w:val="space"/>
      <w:lvlText w:val="%1.%2"/>
      <w:lvlJc w:val="left"/>
      <w:pPr>
        <w:ind w:left="0" w:leftChars="0" w:firstLine="0" w:firstLineChars="0"/>
      </w:pPr>
      <w:rPr>
        <w:rFonts w:hint="default" w:ascii="宋体" w:hAnsi="宋体" w:eastAsia="宋体" w:cs="宋体"/>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IzMTMwtzAwNTYztTBV0lEKTi0uzszPAykwqQUA00GTfCwAAAA="/>
    <w:docVar w:name="commondata" w:val="eyJoZGlkIjoiMzAzYzA0YzhiYTE1ZmRlMWI0NWE5OTRjMzNkMWRlMmYifQ=="/>
  </w:docVars>
  <w:rsids>
    <w:rsidRoot w:val="00861D0E"/>
    <w:rsid w:val="00026F57"/>
    <w:rsid w:val="000C7475"/>
    <w:rsid w:val="000D31C9"/>
    <w:rsid w:val="000D4CAA"/>
    <w:rsid w:val="001068A7"/>
    <w:rsid w:val="00124EDB"/>
    <w:rsid w:val="00143A30"/>
    <w:rsid w:val="001A0794"/>
    <w:rsid w:val="001B07A5"/>
    <w:rsid w:val="002663B7"/>
    <w:rsid w:val="002708A9"/>
    <w:rsid w:val="00337504"/>
    <w:rsid w:val="00356F05"/>
    <w:rsid w:val="00366B3E"/>
    <w:rsid w:val="003D5EE9"/>
    <w:rsid w:val="004114E8"/>
    <w:rsid w:val="004359B4"/>
    <w:rsid w:val="00450F4C"/>
    <w:rsid w:val="004F3376"/>
    <w:rsid w:val="005C18F8"/>
    <w:rsid w:val="005C700B"/>
    <w:rsid w:val="005D57F2"/>
    <w:rsid w:val="005E2D63"/>
    <w:rsid w:val="00605FD0"/>
    <w:rsid w:val="00611120"/>
    <w:rsid w:val="0064699F"/>
    <w:rsid w:val="006725D1"/>
    <w:rsid w:val="006A68FD"/>
    <w:rsid w:val="006B3ED5"/>
    <w:rsid w:val="006F6133"/>
    <w:rsid w:val="0070571F"/>
    <w:rsid w:val="007072FD"/>
    <w:rsid w:val="00714219"/>
    <w:rsid w:val="007533C7"/>
    <w:rsid w:val="007D6F9C"/>
    <w:rsid w:val="007F78FA"/>
    <w:rsid w:val="00843486"/>
    <w:rsid w:val="00861D0E"/>
    <w:rsid w:val="0087523A"/>
    <w:rsid w:val="008777FE"/>
    <w:rsid w:val="0088569E"/>
    <w:rsid w:val="00890755"/>
    <w:rsid w:val="008A28E7"/>
    <w:rsid w:val="00931BDD"/>
    <w:rsid w:val="009346DA"/>
    <w:rsid w:val="0098105E"/>
    <w:rsid w:val="00A5742B"/>
    <w:rsid w:val="00A706D1"/>
    <w:rsid w:val="00A9514D"/>
    <w:rsid w:val="00AD1336"/>
    <w:rsid w:val="00B02E23"/>
    <w:rsid w:val="00B25F0C"/>
    <w:rsid w:val="00B41B7A"/>
    <w:rsid w:val="00B64DA2"/>
    <w:rsid w:val="00B769B8"/>
    <w:rsid w:val="00BD55E0"/>
    <w:rsid w:val="00C730C8"/>
    <w:rsid w:val="00C75F8E"/>
    <w:rsid w:val="00CA0EAF"/>
    <w:rsid w:val="00D02FD9"/>
    <w:rsid w:val="00D05868"/>
    <w:rsid w:val="00D22F40"/>
    <w:rsid w:val="00DA52A4"/>
    <w:rsid w:val="00DB04E1"/>
    <w:rsid w:val="00DF4A2C"/>
    <w:rsid w:val="00E06276"/>
    <w:rsid w:val="00E325D2"/>
    <w:rsid w:val="00E6123A"/>
    <w:rsid w:val="00E62A4A"/>
    <w:rsid w:val="00EC31A6"/>
    <w:rsid w:val="00ED025D"/>
    <w:rsid w:val="00ED5004"/>
    <w:rsid w:val="00F0106A"/>
    <w:rsid w:val="00F2709B"/>
    <w:rsid w:val="00F36F68"/>
    <w:rsid w:val="00F4380B"/>
    <w:rsid w:val="00FD0DBC"/>
    <w:rsid w:val="08E61E86"/>
    <w:rsid w:val="0A36039E"/>
    <w:rsid w:val="15821A30"/>
    <w:rsid w:val="1B9F38C9"/>
    <w:rsid w:val="1DB138D0"/>
    <w:rsid w:val="208A1BD5"/>
    <w:rsid w:val="2C972AC7"/>
    <w:rsid w:val="30DF1214"/>
    <w:rsid w:val="310423B7"/>
    <w:rsid w:val="364F7F6E"/>
    <w:rsid w:val="3705360F"/>
    <w:rsid w:val="40A33793"/>
    <w:rsid w:val="40EF554A"/>
    <w:rsid w:val="43D353AE"/>
    <w:rsid w:val="45B47DEE"/>
    <w:rsid w:val="4678706D"/>
    <w:rsid w:val="4AA20B5D"/>
    <w:rsid w:val="4E880069"/>
    <w:rsid w:val="53917463"/>
    <w:rsid w:val="54866DF9"/>
    <w:rsid w:val="5D0C00B7"/>
    <w:rsid w:val="5E7E4EC5"/>
    <w:rsid w:val="62127F1E"/>
    <w:rsid w:val="625C73EB"/>
    <w:rsid w:val="64CC36DC"/>
    <w:rsid w:val="64F92C6C"/>
    <w:rsid w:val="6E511DCE"/>
    <w:rsid w:val="72B666A4"/>
    <w:rsid w:val="7C471115"/>
    <w:rsid w:val="7C701FB9"/>
    <w:rsid w:val="7FE752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ind w:firstLine="720"/>
      <w:jc w:val="both"/>
    </w:pPr>
    <w:rPr>
      <w:rFonts w:ascii="Times New Roman" w:hAnsi="Times New Roman" w:eastAsia="Times New Roman" w:cs="Times New Roman"/>
      <w:sz w:val="24"/>
      <w:szCs w:val="24"/>
      <w:lang w:val="en-GB" w:eastAsia="en-US" w:bidi="ar-SA"/>
    </w:rPr>
  </w:style>
  <w:style w:type="paragraph" w:styleId="2">
    <w:name w:val="heading 1"/>
    <w:basedOn w:val="1"/>
    <w:next w:val="1"/>
    <w:link w:val="37"/>
    <w:qFormat/>
    <w:uiPriority w:val="0"/>
    <w:pPr>
      <w:keepNext/>
      <w:keepLines/>
      <w:numPr>
        <w:ilvl w:val="0"/>
        <w:numId w:val="1"/>
      </w:numPr>
      <w:spacing w:before="480" w:after="120"/>
      <w:ind w:left="432" w:hanging="432"/>
      <w:outlineLvl w:val="0"/>
    </w:pPr>
    <w:rPr>
      <w:b/>
      <w:sz w:val="48"/>
      <w:szCs w:val="48"/>
    </w:rPr>
  </w:style>
  <w:style w:type="paragraph" w:styleId="3">
    <w:name w:val="heading 2"/>
    <w:basedOn w:val="1"/>
    <w:next w:val="1"/>
    <w:link w:val="36"/>
    <w:unhideWhenUsed/>
    <w:qFormat/>
    <w:uiPriority w:val="0"/>
    <w:pPr>
      <w:keepNext/>
      <w:keepLines/>
      <w:numPr>
        <w:ilvl w:val="1"/>
        <w:numId w:val="1"/>
      </w:numPr>
      <w:spacing w:before="360" w:after="80"/>
      <w:ind w:left="575" w:hanging="575"/>
      <w:outlineLvl w:val="1"/>
    </w:pPr>
    <w:rPr>
      <w:b/>
      <w:sz w:val="36"/>
      <w:szCs w:val="36"/>
    </w:rPr>
  </w:style>
  <w:style w:type="paragraph" w:styleId="4">
    <w:name w:val="heading 3"/>
    <w:basedOn w:val="1"/>
    <w:next w:val="1"/>
    <w:unhideWhenUsed/>
    <w:qFormat/>
    <w:uiPriority w:val="0"/>
    <w:pPr>
      <w:keepNext/>
      <w:keepLines/>
      <w:numPr>
        <w:ilvl w:val="2"/>
        <w:numId w:val="1"/>
      </w:numPr>
      <w:spacing w:before="280" w:after="80"/>
      <w:ind w:left="720" w:hanging="720"/>
      <w:outlineLvl w:val="2"/>
    </w:pPr>
    <w:rPr>
      <w:b/>
      <w:sz w:val="28"/>
      <w:szCs w:val="28"/>
    </w:rPr>
  </w:style>
  <w:style w:type="paragraph" w:styleId="5">
    <w:name w:val="heading 4"/>
    <w:basedOn w:val="1"/>
    <w:next w:val="1"/>
    <w:semiHidden/>
    <w:unhideWhenUsed/>
    <w:qFormat/>
    <w:uiPriority w:val="0"/>
    <w:pPr>
      <w:keepNext/>
      <w:keepLines/>
      <w:numPr>
        <w:ilvl w:val="3"/>
        <w:numId w:val="1"/>
      </w:numPr>
      <w:spacing w:before="240" w:after="40"/>
      <w:ind w:left="864" w:hanging="864"/>
      <w:outlineLvl w:val="3"/>
    </w:pPr>
    <w:rPr>
      <w:b/>
    </w:rPr>
  </w:style>
  <w:style w:type="paragraph" w:styleId="6">
    <w:name w:val="heading 5"/>
    <w:basedOn w:val="1"/>
    <w:next w:val="1"/>
    <w:semiHidden/>
    <w:unhideWhenUsed/>
    <w:qFormat/>
    <w:uiPriority w:val="0"/>
    <w:pPr>
      <w:keepNext/>
      <w:keepLines/>
      <w:numPr>
        <w:ilvl w:val="4"/>
        <w:numId w:val="1"/>
      </w:numPr>
      <w:spacing w:before="220" w:after="40"/>
      <w:ind w:left="1008" w:hanging="1008"/>
      <w:outlineLvl w:val="4"/>
    </w:pPr>
    <w:rPr>
      <w:b/>
      <w:sz w:val="22"/>
      <w:szCs w:val="22"/>
    </w:rPr>
  </w:style>
  <w:style w:type="paragraph" w:styleId="7">
    <w:name w:val="heading 6"/>
    <w:basedOn w:val="1"/>
    <w:next w:val="1"/>
    <w:semiHidden/>
    <w:unhideWhenUsed/>
    <w:qFormat/>
    <w:uiPriority w:val="0"/>
    <w:pPr>
      <w:keepNext/>
      <w:keepLines/>
      <w:numPr>
        <w:ilvl w:val="5"/>
        <w:numId w:val="1"/>
      </w:numPr>
      <w:spacing w:before="200" w:after="40"/>
      <w:ind w:left="1151" w:hanging="1151"/>
      <w:outlineLvl w:val="5"/>
    </w:pPr>
    <w:rPr>
      <w:b/>
      <w:sz w:val="20"/>
      <w:szCs w:val="20"/>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annotation text"/>
    <w:basedOn w:val="1"/>
    <w:link w:val="29"/>
    <w:qFormat/>
    <w:uiPriority w:val="0"/>
    <w:pPr>
      <w:spacing w:line="240" w:lineRule="auto"/>
    </w:pPr>
    <w:rPr>
      <w:sz w:val="20"/>
      <w:szCs w:val="20"/>
    </w:rPr>
  </w:style>
  <w:style w:type="paragraph" w:styleId="12">
    <w:name w:val="toc 3"/>
    <w:basedOn w:val="1"/>
    <w:next w:val="1"/>
    <w:qFormat/>
    <w:uiPriority w:val="0"/>
    <w:pPr>
      <w:ind w:left="840" w:leftChars="400"/>
    </w:pPr>
  </w:style>
  <w:style w:type="paragraph" w:styleId="13">
    <w:name w:val="Balloon Text"/>
    <w:basedOn w:val="1"/>
    <w:link w:val="33"/>
    <w:qFormat/>
    <w:uiPriority w:val="0"/>
    <w:pPr>
      <w:spacing w:line="240" w:lineRule="auto"/>
    </w:pPr>
    <w:rPr>
      <w:rFonts w:ascii="Segoe UI" w:hAnsi="Segoe UI" w:cs="Segoe UI"/>
      <w:sz w:val="18"/>
      <w:szCs w:val="18"/>
    </w:rPr>
  </w:style>
  <w:style w:type="paragraph" w:styleId="14">
    <w:name w:val="footer"/>
    <w:basedOn w:val="1"/>
    <w:link w:val="32"/>
    <w:qFormat/>
    <w:uiPriority w:val="0"/>
    <w:pPr>
      <w:tabs>
        <w:tab w:val="center" w:pos="4680"/>
        <w:tab w:val="right" w:pos="9360"/>
      </w:tabs>
      <w:spacing w:line="240" w:lineRule="auto"/>
    </w:pPr>
  </w:style>
  <w:style w:type="paragraph" w:styleId="15">
    <w:name w:val="header"/>
    <w:basedOn w:val="1"/>
    <w:link w:val="31"/>
    <w:qFormat/>
    <w:uiPriority w:val="0"/>
    <w:pPr>
      <w:tabs>
        <w:tab w:val="center" w:pos="4680"/>
        <w:tab w:val="right" w:pos="9360"/>
      </w:tabs>
      <w:spacing w:line="240" w:lineRule="auto"/>
    </w:pPr>
  </w:style>
  <w:style w:type="paragraph" w:styleId="16">
    <w:name w:val="toc 1"/>
    <w:basedOn w:val="1"/>
    <w:next w:val="1"/>
    <w:qFormat/>
    <w:uiPriority w:val="0"/>
    <w:pPr>
      <w:spacing w:after="100"/>
    </w:pPr>
  </w:style>
  <w:style w:type="paragraph" w:styleId="17">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18">
    <w:name w:val="toc 2"/>
    <w:basedOn w:val="1"/>
    <w:next w:val="1"/>
    <w:unhideWhenUsed/>
    <w:qFormat/>
    <w:uiPriority w:val="39"/>
    <w:pPr>
      <w:spacing w:after="100"/>
      <w:ind w:left="240"/>
    </w:pPr>
  </w:style>
  <w:style w:type="paragraph" w:styleId="19">
    <w:name w:val="Normal (Web)"/>
    <w:basedOn w:val="1"/>
    <w:qFormat/>
    <w:uiPriority w:val="0"/>
  </w:style>
  <w:style w:type="paragraph" w:styleId="20">
    <w:name w:val="Title"/>
    <w:basedOn w:val="1"/>
    <w:next w:val="1"/>
    <w:qFormat/>
    <w:uiPriority w:val="0"/>
    <w:pPr>
      <w:keepNext/>
      <w:keepLines/>
      <w:spacing w:before="480" w:after="120"/>
    </w:pPr>
    <w:rPr>
      <w:b/>
      <w:sz w:val="72"/>
      <w:szCs w:val="72"/>
    </w:rPr>
  </w:style>
  <w:style w:type="paragraph" w:styleId="21">
    <w:name w:val="annotation subject"/>
    <w:basedOn w:val="11"/>
    <w:next w:val="11"/>
    <w:link w:val="30"/>
    <w:qFormat/>
    <w:uiPriority w:val="0"/>
    <w:rPr>
      <w:b/>
      <w:bCs/>
    </w:rPr>
  </w:style>
  <w:style w:type="table" w:styleId="23">
    <w:name w:val="Table Grid"/>
    <w:basedOn w:val="22"/>
    <w:qFormat/>
    <w:uiPriority w:val="0"/>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FollowedHyperlink"/>
    <w:basedOn w:val="24"/>
    <w:qFormat/>
    <w:uiPriority w:val="0"/>
    <w:rPr>
      <w:color w:val="954F72" w:themeColor="followedHyperlink"/>
      <w:u w:val="single"/>
      <w14:textFill>
        <w14:solidFill>
          <w14:schemeClr w14:val="folHlink"/>
        </w14:solidFill>
      </w14:textFill>
    </w:rPr>
  </w:style>
  <w:style w:type="character" w:styleId="26">
    <w:name w:val="Hyperlink"/>
    <w:basedOn w:val="24"/>
    <w:uiPriority w:val="0"/>
    <w:rPr>
      <w:color w:val="0563C1" w:themeColor="hyperlink"/>
      <w:u w:val="single"/>
      <w14:textFill>
        <w14:solidFill>
          <w14:schemeClr w14:val="hlink"/>
        </w14:solidFill>
      </w14:textFill>
    </w:rPr>
  </w:style>
  <w:style w:type="character" w:styleId="27">
    <w:name w:val="annotation reference"/>
    <w:basedOn w:val="24"/>
    <w:qFormat/>
    <w:uiPriority w:val="0"/>
    <w:rPr>
      <w:sz w:val="16"/>
      <w:szCs w:val="16"/>
    </w:rPr>
  </w:style>
  <w:style w:type="character" w:customStyle="1" w:styleId="28">
    <w:name w:val="Unresolved Mention1"/>
    <w:basedOn w:val="24"/>
    <w:semiHidden/>
    <w:unhideWhenUsed/>
    <w:qFormat/>
    <w:uiPriority w:val="99"/>
    <w:rPr>
      <w:color w:val="605E5C"/>
      <w:shd w:val="clear" w:color="auto" w:fill="E1DFDD"/>
    </w:rPr>
  </w:style>
  <w:style w:type="character" w:customStyle="1" w:styleId="29">
    <w:name w:val="Comment Text Char"/>
    <w:basedOn w:val="24"/>
    <w:link w:val="11"/>
    <w:semiHidden/>
    <w:qFormat/>
    <w:uiPriority w:val="99"/>
    <w:rPr>
      <w:rFonts w:ascii="Times New Roman" w:hAnsi="Times New Roman"/>
      <w:sz w:val="20"/>
      <w:szCs w:val="20"/>
    </w:rPr>
  </w:style>
  <w:style w:type="character" w:customStyle="1" w:styleId="30">
    <w:name w:val="Comment Subject Char"/>
    <w:basedOn w:val="29"/>
    <w:link w:val="21"/>
    <w:semiHidden/>
    <w:qFormat/>
    <w:uiPriority w:val="99"/>
    <w:rPr>
      <w:rFonts w:ascii="Times New Roman" w:hAnsi="Times New Roman"/>
      <w:b/>
      <w:bCs/>
      <w:sz w:val="20"/>
      <w:szCs w:val="20"/>
    </w:rPr>
  </w:style>
  <w:style w:type="character" w:customStyle="1" w:styleId="31">
    <w:name w:val="Header Char"/>
    <w:basedOn w:val="24"/>
    <w:link w:val="15"/>
    <w:qFormat/>
    <w:uiPriority w:val="99"/>
    <w:rPr>
      <w:rFonts w:ascii="Times New Roman" w:hAnsi="Times New Roman"/>
      <w:sz w:val="24"/>
      <w:szCs w:val="24"/>
    </w:rPr>
  </w:style>
  <w:style w:type="character" w:customStyle="1" w:styleId="32">
    <w:name w:val="Footer Char"/>
    <w:basedOn w:val="24"/>
    <w:link w:val="14"/>
    <w:qFormat/>
    <w:uiPriority w:val="99"/>
    <w:rPr>
      <w:rFonts w:ascii="Times New Roman" w:hAnsi="Times New Roman"/>
      <w:sz w:val="24"/>
      <w:szCs w:val="24"/>
    </w:rPr>
  </w:style>
  <w:style w:type="character" w:customStyle="1" w:styleId="33">
    <w:name w:val="Balloon Text Char"/>
    <w:basedOn w:val="24"/>
    <w:link w:val="13"/>
    <w:semiHidden/>
    <w:qFormat/>
    <w:uiPriority w:val="99"/>
    <w:rPr>
      <w:rFonts w:ascii="Segoe UI" w:hAnsi="Segoe UI" w:cs="Segoe UI"/>
      <w:sz w:val="18"/>
      <w:szCs w:val="18"/>
    </w:rPr>
  </w:style>
  <w:style w:type="paragraph" w:styleId="34">
    <w:name w:val="List Paragraph"/>
    <w:basedOn w:val="1"/>
    <w:qFormat/>
    <w:uiPriority w:val="34"/>
    <w:pPr>
      <w:ind w:left="720"/>
      <w:contextualSpacing/>
    </w:pPr>
  </w:style>
  <w:style w:type="table" w:customStyle="1" w:styleId="35">
    <w:name w:val="_Style 28"/>
    <w:basedOn w:val="22"/>
    <w:qFormat/>
    <w:uiPriority w:val="0"/>
    <w:pPr>
      <w:spacing w:line="240" w:lineRule="auto"/>
    </w:pPr>
  </w:style>
  <w:style w:type="character" w:customStyle="1" w:styleId="36">
    <w:name w:val="标题 2 Char"/>
    <w:link w:val="3"/>
    <w:qFormat/>
    <w:uiPriority w:val="9"/>
    <w:rPr>
      <w:b/>
      <w:sz w:val="36"/>
      <w:szCs w:val="36"/>
    </w:rPr>
  </w:style>
  <w:style w:type="character" w:customStyle="1" w:styleId="37">
    <w:name w:val="标题 1 Char"/>
    <w:link w:val="2"/>
    <w:qFormat/>
    <w:uiPriority w:val="9"/>
    <w:rPr>
      <w:b/>
      <w:sz w:val="48"/>
      <w:szCs w:val="48"/>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IvY1M32tAzWxNY4L3/UULwNBR4A==">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</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4100</Words>
  <Characters>24368</Characters>
  <Lines>0</Lines>
  <Paragraphs>0</Paragraphs>
  <TotalTime>2</TotalTime>
  <ScaleCrop>false</ScaleCrop>
  <LinksUpToDate>false</LinksUpToDate>
  <CharactersWithSpaces>28342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咕咕</dc:creator>
  <cp:lastModifiedBy>J.PENG</cp:lastModifiedBy>
  <dcterms:modified xsi:type="dcterms:W3CDTF">2023-03-21T08:51:58Z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4F7CF66133E948D7A6EF26E345195A2C</vt:lpwstr>
  </property>
</Properties>
</file>