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15FC0" w14:textId="77777777" w:rsidR="00E51CEA" w:rsidRDefault="00E51CEA" w:rsidP="00E51CEA">
      <w:pPr>
        <w:jc w:val="center"/>
        <w:rPr>
          <w:rFonts w:ascii="Arial" w:hAnsi="Arial" w:cs="Arial"/>
          <w:b/>
          <w:bCs/>
          <w:sz w:val="24"/>
          <w:szCs w:val="24"/>
        </w:rPr>
      </w:pPr>
    </w:p>
    <w:p w14:paraId="12266F3F" w14:textId="77777777" w:rsidR="00E51CEA" w:rsidRDefault="00E51CEA" w:rsidP="00E51CEA">
      <w:pPr>
        <w:jc w:val="center"/>
        <w:rPr>
          <w:rFonts w:ascii="Arial" w:hAnsi="Arial" w:cs="Arial"/>
          <w:b/>
          <w:bCs/>
          <w:sz w:val="24"/>
          <w:szCs w:val="24"/>
        </w:rPr>
      </w:pPr>
    </w:p>
    <w:p w14:paraId="72970E43" w14:textId="6A532103" w:rsidR="00E51CEA" w:rsidRDefault="00E51CEA" w:rsidP="00E51CEA">
      <w:pPr>
        <w:jc w:val="center"/>
        <w:rPr>
          <w:rFonts w:ascii="Arial" w:hAnsi="Arial" w:cs="Arial"/>
          <w:b/>
          <w:bCs/>
          <w:sz w:val="24"/>
          <w:szCs w:val="24"/>
        </w:rPr>
      </w:pPr>
      <w:r w:rsidRPr="00E51CEA">
        <w:rPr>
          <w:rFonts w:ascii="Arial" w:hAnsi="Arial" w:cs="Arial"/>
          <w:b/>
          <w:bCs/>
          <w:sz w:val="24"/>
          <w:szCs w:val="24"/>
        </w:rPr>
        <w:t>Comparative Financial Management Analysis of Mandarin Oriental Hotel Group and Premier Inn</w:t>
      </w:r>
    </w:p>
    <w:p w14:paraId="2E054C4B" w14:textId="77777777" w:rsidR="00E51CEA" w:rsidRPr="00E51CEA" w:rsidRDefault="00E51CEA" w:rsidP="00E51CEA">
      <w:pPr>
        <w:jc w:val="center"/>
        <w:rPr>
          <w:rFonts w:ascii="Arial" w:hAnsi="Arial" w:cs="Arial"/>
          <w:b/>
          <w:bCs/>
          <w:sz w:val="24"/>
          <w:szCs w:val="24"/>
        </w:rPr>
      </w:pPr>
    </w:p>
    <w:p w14:paraId="280B20FE" w14:textId="30688BDE" w:rsidR="00E51CEA" w:rsidRPr="00E51CEA" w:rsidRDefault="00E51CEA" w:rsidP="00E51CEA">
      <w:pPr>
        <w:jc w:val="center"/>
        <w:rPr>
          <w:rFonts w:ascii="Arial" w:hAnsi="Arial" w:cs="Arial"/>
          <w:sz w:val="24"/>
          <w:szCs w:val="24"/>
        </w:rPr>
      </w:pPr>
      <w:r w:rsidRPr="00E51CEA">
        <w:rPr>
          <w:rFonts w:ascii="Arial" w:hAnsi="Arial" w:cs="Arial"/>
          <w:sz w:val="24"/>
          <w:szCs w:val="24"/>
        </w:rPr>
        <w:t>Student Number: 2015310</w:t>
      </w:r>
    </w:p>
    <w:p w14:paraId="4DFD8577" w14:textId="457D0F2F" w:rsidR="00E51CEA" w:rsidRPr="00E51CEA" w:rsidRDefault="00E51CEA" w:rsidP="00E51CEA">
      <w:pPr>
        <w:jc w:val="center"/>
        <w:rPr>
          <w:rFonts w:ascii="Arial" w:hAnsi="Arial" w:cs="Arial"/>
          <w:sz w:val="24"/>
          <w:szCs w:val="24"/>
        </w:rPr>
      </w:pPr>
      <w:r w:rsidRPr="00E51CEA">
        <w:rPr>
          <w:rFonts w:ascii="Arial" w:hAnsi="Arial" w:cs="Arial"/>
          <w:sz w:val="24"/>
          <w:szCs w:val="24"/>
        </w:rPr>
        <w:t>Name: Nuri Begum</w:t>
      </w:r>
    </w:p>
    <w:p w14:paraId="37E06942" w14:textId="77777777" w:rsidR="00E82FAB" w:rsidRDefault="00E51CEA" w:rsidP="00E82FAB">
      <w:pPr>
        <w:jc w:val="center"/>
        <w:rPr>
          <w:rFonts w:ascii="Arial" w:hAnsi="Arial" w:cs="Arial"/>
          <w:sz w:val="24"/>
          <w:szCs w:val="24"/>
        </w:rPr>
      </w:pPr>
      <w:r w:rsidRPr="00E51CEA">
        <w:rPr>
          <w:rFonts w:ascii="Arial" w:hAnsi="Arial" w:cs="Arial"/>
          <w:sz w:val="24"/>
          <w:szCs w:val="24"/>
        </w:rPr>
        <w:t>Lecturer: Tristian Hawkings</w:t>
      </w:r>
    </w:p>
    <w:p w14:paraId="57D78B80" w14:textId="38CFD267" w:rsidR="00E51CEA" w:rsidRPr="00E82FAB" w:rsidRDefault="00E82FAB" w:rsidP="00E82FAB">
      <w:pPr>
        <w:jc w:val="center"/>
        <w:rPr>
          <w:rFonts w:ascii="Arial" w:hAnsi="Arial" w:cs="Arial"/>
          <w:sz w:val="24"/>
          <w:szCs w:val="24"/>
        </w:rPr>
      </w:pPr>
      <w:r>
        <w:rPr>
          <w:rFonts w:ascii="Arial" w:hAnsi="Arial" w:cs="Arial"/>
          <w:sz w:val="24"/>
          <w:szCs w:val="24"/>
        </w:rPr>
        <w:t xml:space="preserve">Word count: </w:t>
      </w:r>
      <w:r w:rsidR="007419A8">
        <w:rPr>
          <w:rFonts w:ascii="Arial" w:hAnsi="Arial" w:cs="Arial"/>
          <w:sz w:val="24"/>
          <w:szCs w:val="24"/>
        </w:rPr>
        <w:t>1823</w:t>
      </w:r>
      <w:r w:rsidR="00EA52B7">
        <w:rPr>
          <w:rFonts w:ascii="Arial" w:hAnsi="Arial" w:cs="Arial"/>
          <w:sz w:val="24"/>
          <w:szCs w:val="24"/>
        </w:rPr>
        <w:t xml:space="preserve"> words</w:t>
      </w:r>
      <w:r w:rsidR="00E51CEA">
        <w:br w:type="page"/>
      </w:r>
    </w:p>
    <w:sdt>
      <w:sdtPr>
        <w:rPr>
          <w:rFonts w:asciiTheme="minorHAnsi" w:eastAsiaTheme="minorHAnsi" w:hAnsiTheme="minorHAnsi" w:cstheme="minorBidi"/>
          <w:b w:val="0"/>
          <w:kern w:val="2"/>
          <w:sz w:val="22"/>
          <w:szCs w:val="22"/>
          <w:lang w:val="en-GB"/>
          <w14:ligatures w14:val="standardContextual"/>
        </w:rPr>
        <w:id w:val="-44140099"/>
        <w:docPartObj>
          <w:docPartGallery w:val="Table of Contents"/>
          <w:docPartUnique/>
        </w:docPartObj>
      </w:sdtPr>
      <w:sdtEndPr>
        <w:rPr>
          <w:bCs/>
          <w:noProof/>
        </w:rPr>
      </w:sdtEndPr>
      <w:sdtContent>
        <w:p w14:paraId="5B1F3D72" w14:textId="3BF808BC" w:rsidR="00E82FAB" w:rsidRPr="00D024AF" w:rsidRDefault="00E82FAB">
          <w:pPr>
            <w:pStyle w:val="TOCHeading"/>
            <w:rPr>
              <w:rFonts w:cs="Arial"/>
              <w:szCs w:val="24"/>
              <w:u w:val="single"/>
            </w:rPr>
          </w:pPr>
          <w:r w:rsidRPr="00D024AF">
            <w:rPr>
              <w:rFonts w:cs="Arial"/>
              <w:szCs w:val="24"/>
              <w:u w:val="single"/>
            </w:rPr>
            <w:t>Contents</w:t>
          </w:r>
        </w:p>
        <w:p w14:paraId="2425AE7A" w14:textId="77777777" w:rsidR="00E82FAB" w:rsidRPr="00E82FAB" w:rsidRDefault="00E82FAB" w:rsidP="00E82FAB">
          <w:pPr>
            <w:rPr>
              <w:lang w:val="en-US"/>
            </w:rPr>
          </w:pPr>
        </w:p>
        <w:p w14:paraId="7C57B4E9" w14:textId="409DB1D6" w:rsidR="00D024AF" w:rsidRPr="00D024AF" w:rsidRDefault="00E82FAB">
          <w:pPr>
            <w:pStyle w:val="TOC1"/>
            <w:tabs>
              <w:tab w:val="right" w:leader="dot" w:pos="9016"/>
            </w:tabs>
            <w:rPr>
              <w:rFonts w:ascii="Arial" w:eastAsiaTheme="minorEastAsia" w:hAnsi="Arial" w:cs="Arial"/>
              <w:noProof/>
              <w:lang w:eastAsia="en-GB"/>
            </w:rPr>
          </w:pPr>
          <w:r w:rsidRPr="00D024AF">
            <w:rPr>
              <w:rFonts w:ascii="Arial" w:hAnsi="Arial" w:cs="Arial"/>
            </w:rPr>
            <w:fldChar w:fldCharType="begin"/>
          </w:r>
          <w:r w:rsidRPr="00D024AF">
            <w:rPr>
              <w:rFonts w:ascii="Arial" w:hAnsi="Arial" w:cs="Arial"/>
            </w:rPr>
            <w:instrText xml:space="preserve"> TOC \o "1-3" \h \z \u </w:instrText>
          </w:r>
          <w:r w:rsidRPr="00D024AF">
            <w:rPr>
              <w:rFonts w:ascii="Arial" w:hAnsi="Arial" w:cs="Arial"/>
            </w:rPr>
            <w:fldChar w:fldCharType="separate"/>
          </w:r>
          <w:hyperlink w:anchor="_Toc148623395" w:history="1">
            <w:r w:rsidR="00D024AF" w:rsidRPr="00D024AF">
              <w:rPr>
                <w:rStyle w:val="Hyperlink"/>
                <w:rFonts w:ascii="Arial" w:hAnsi="Arial" w:cs="Arial"/>
                <w:noProof/>
              </w:rPr>
              <w:t>Executive Summary</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_Toc148623395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2</w:t>
            </w:r>
            <w:r w:rsidR="00D024AF" w:rsidRPr="00D024AF">
              <w:rPr>
                <w:rFonts w:ascii="Arial" w:hAnsi="Arial" w:cs="Arial"/>
                <w:noProof/>
                <w:webHidden/>
              </w:rPr>
              <w:fldChar w:fldCharType="end"/>
            </w:r>
          </w:hyperlink>
        </w:p>
        <w:p w14:paraId="4BC43E70" w14:textId="286739B5" w:rsidR="00D024AF" w:rsidRPr="00D024AF" w:rsidRDefault="00000000">
          <w:pPr>
            <w:pStyle w:val="TOC1"/>
            <w:tabs>
              <w:tab w:val="right" w:leader="dot" w:pos="9016"/>
            </w:tabs>
            <w:rPr>
              <w:rFonts w:ascii="Arial" w:eastAsiaTheme="minorEastAsia" w:hAnsi="Arial" w:cs="Arial"/>
              <w:noProof/>
              <w:lang w:eastAsia="en-GB"/>
            </w:rPr>
          </w:pPr>
          <w:hyperlink w:anchor="_Toc148623396" w:history="1">
            <w:r w:rsidR="00D024AF" w:rsidRPr="00D024AF">
              <w:rPr>
                <w:rStyle w:val="Hyperlink"/>
                <w:rFonts w:ascii="Arial" w:hAnsi="Arial" w:cs="Arial"/>
                <w:noProof/>
              </w:rPr>
              <w:t>Introduction</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_Toc148623396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3</w:t>
            </w:r>
            <w:r w:rsidR="00D024AF" w:rsidRPr="00D024AF">
              <w:rPr>
                <w:rFonts w:ascii="Arial" w:hAnsi="Arial" w:cs="Arial"/>
                <w:noProof/>
                <w:webHidden/>
              </w:rPr>
              <w:fldChar w:fldCharType="end"/>
            </w:r>
          </w:hyperlink>
        </w:p>
        <w:p w14:paraId="429C28D4" w14:textId="010CF762" w:rsidR="00D024AF" w:rsidRPr="00D024AF" w:rsidRDefault="00000000">
          <w:pPr>
            <w:pStyle w:val="TOC1"/>
            <w:tabs>
              <w:tab w:val="right" w:leader="dot" w:pos="9016"/>
            </w:tabs>
            <w:rPr>
              <w:rFonts w:ascii="Arial" w:eastAsiaTheme="minorEastAsia" w:hAnsi="Arial" w:cs="Arial"/>
              <w:noProof/>
              <w:lang w:eastAsia="en-GB"/>
            </w:rPr>
          </w:pPr>
          <w:hyperlink w:anchor="_Toc148623397" w:history="1">
            <w:r w:rsidR="00D024AF" w:rsidRPr="00D024AF">
              <w:rPr>
                <w:rStyle w:val="Hyperlink"/>
                <w:rFonts w:ascii="Arial" w:hAnsi="Arial" w:cs="Arial"/>
                <w:noProof/>
              </w:rPr>
              <w:t>Discussion</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_Toc148623397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3</w:t>
            </w:r>
            <w:r w:rsidR="00D024AF" w:rsidRPr="00D024AF">
              <w:rPr>
                <w:rFonts w:ascii="Arial" w:hAnsi="Arial" w:cs="Arial"/>
                <w:noProof/>
                <w:webHidden/>
              </w:rPr>
              <w:fldChar w:fldCharType="end"/>
            </w:r>
          </w:hyperlink>
        </w:p>
        <w:p w14:paraId="7BD71432" w14:textId="6D85C6D9" w:rsidR="00D024AF" w:rsidRPr="00D024AF" w:rsidRDefault="00000000">
          <w:pPr>
            <w:pStyle w:val="TOC2"/>
            <w:tabs>
              <w:tab w:val="right" w:leader="dot" w:pos="9016"/>
            </w:tabs>
            <w:rPr>
              <w:rFonts w:ascii="Arial" w:eastAsiaTheme="minorEastAsia" w:hAnsi="Arial" w:cs="Arial"/>
              <w:noProof/>
              <w:lang w:eastAsia="en-GB"/>
            </w:rPr>
          </w:pPr>
          <w:hyperlink w:anchor="_Toc148623398" w:history="1">
            <w:r w:rsidR="00D024AF" w:rsidRPr="00D024AF">
              <w:rPr>
                <w:rStyle w:val="Hyperlink"/>
                <w:rFonts w:ascii="Arial" w:hAnsi="Arial" w:cs="Arial"/>
                <w:noProof/>
              </w:rPr>
              <w:t>Total Revenue</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_Toc148623398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3</w:t>
            </w:r>
            <w:r w:rsidR="00D024AF" w:rsidRPr="00D024AF">
              <w:rPr>
                <w:rFonts w:ascii="Arial" w:hAnsi="Arial" w:cs="Arial"/>
                <w:noProof/>
                <w:webHidden/>
              </w:rPr>
              <w:fldChar w:fldCharType="end"/>
            </w:r>
          </w:hyperlink>
        </w:p>
        <w:p w14:paraId="052EB170" w14:textId="7B10CC87" w:rsidR="00D024AF" w:rsidRPr="00D024AF" w:rsidRDefault="00000000">
          <w:pPr>
            <w:pStyle w:val="TOC2"/>
            <w:tabs>
              <w:tab w:val="right" w:leader="dot" w:pos="9016"/>
            </w:tabs>
            <w:rPr>
              <w:rFonts w:ascii="Arial" w:eastAsiaTheme="minorEastAsia" w:hAnsi="Arial" w:cs="Arial"/>
              <w:noProof/>
              <w:lang w:eastAsia="en-GB"/>
            </w:rPr>
          </w:pPr>
          <w:hyperlink w:anchor="_Toc148623399" w:history="1">
            <w:r w:rsidR="00D024AF" w:rsidRPr="00D024AF">
              <w:rPr>
                <w:rStyle w:val="Hyperlink"/>
                <w:rFonts w:ascii="Arial" w:hAnsi="Arial" w:cs="Arial"/>
                <w:noProof/>
              </w:rPr>
              <w:t>Market Position</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_Toc148623399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4</w:t>
            </w:r>
            <w:r w:rsidR="00D024AF" w:rsidRPr="00D024AF">
              <w:rPr>
                <w:rFonts w:ascii="Arial" w:hAnsi="Arial" w:cs="Arial"/>
                <w:noProof/>
                <w:webHidden/>
              </w:rPr>
              <w:fldChar w:fldCharType="end"/>
            </w:r>
          </w:hyperlink>
        </w:p>
        <w:p w14:paraId="6B59BF1F" w14:textId="6CE09EC4" w:rsidR="00D024AF" w:rsidRPr="00D024AF" w:rsidRDefault="00000000">
          <w:pPr>
            <w:pStyle w:val="TOC2"/>
            <w:tabs>
              <w:tab w:val="right" w:leader="dot" w:pos="9016"/>
            </w:tabs>
            <w:rPr>
              <w:rFonts w:ascii="Arial" w:eastAsiaTheme="minorEastAsia" w:hAnsi="Arial" w:cs="Arial"/>
              <w:noProof/>
              <w:lang w:eastAsia="en-GB"/>
            </w:rPr>
          </w:pPr>
          <w:hyperlink w:anchor="_Toc148623400" w:history="1">
            <w:r w:rsidR="00D024AF" w:rsidRPr="00D024AF">
              <w:rPr>
                <w:rStyle w:val="Hyperlink"/>
                <w:rFonts w:ascii="Arial" w:hAnsi="Arial" w:cs="Arial"/>
                <w:noProof/>
              </w:rPr>
              <w:t>Growth Potential</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_Toc148623400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4</w:t>
            </w:r>
            <w:r w:rsidR="00D024AF" w:rsidRPr="00D024AF">
              <w:rPr>
                <w:rFonts w:ascii="Arial" w:hAnsi="Arial" w:cs="Arial"/>
                <w:noProof/>
                <w:webHidden/>
              </w:rPr>
              <w:fldChar w:fldCharType="end"/>
            </w:r>
          </w:hyperlink>
        </w:p>
        <w:p w14:paraId="6D05F342" w14:textId="5B84072F" w:rsidR="00D024AF" w:rsidRPr="00D024AF" w:rsidRDefault="00000000">
          <w:pPr>
            <w:pStyle w:val="TOC2"/>
            <w:tabs>
              <w:tab w:val="right" w:leader="dot" w:pos="9016"/>
            </w:tabs>
            <w:rPr>
              <w:rFonts w:ascii="Arial" w:eastAsiaTheme="minorEastAsia" w:hAnsi="Arial" w:cs="Arial"/>
              <w:noProof/>
              <w:lang w:eastAsia="en-GB"/>
            </w:rPr>
          </w:pPr>
          <w:hyperlink w:anchor="_Toc148623401" w:history="1">
            <w:r w:rsidR="00D024AF" w:rsidRPr="00D024AF">
              <w:rPr>
                <w:rStyle w:val="Hyperlink"/>
                <w:rFonts w:ascii="Arial" w:hAnsi="Arial" w:cs="Arial"/>
                <w:noProof/>
              </w:rPr>
              <w:t>Financial Commitment to CSR</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_Toc148623401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5</w:t>
            </w:r>
            <w:r w:rsidR="00D024AF" w:rsidRPr="00D024AF">
              <w:rPr>
                <w:rFonts w:ascii="Arial" w:hAnsi="Arial" w:cs="Arial"/>
                <w:noProof/>
                <w:webHidden/>
              </w:rPr>
              <w:fldChar w:fldCharType="end"/>
            </w:r>
          </w:hyperlink>
        </w:p>
        <w:p w14:paraId="18521381" w14:textId="66E2DE9F" w:rsidR="00D024AF" w:rsidRPr="00D024AF" w:rsidRDefault="00000000">
          <w:pPr>
            <w:pStyle w:val="TOC1"/>
            <w:tabs>
              <w:tab w:val="right" w:leader="dot" w:pos="9016"/>
            </w:tabs>
            <w:rPr>
              <w:rFonts w:ascii="Arial" w:eastAsiaTheme="minorEastAsia" w:hAnsi="Arial" w:cs="Arial"/>
              <w:noProof/>
              <w:lang w:eastAsia="en-GB"/>
            </w:rPr>
          </w:pPr>
          <w:hyperlink w:anchor="_Toc148623402" w:history="1">
            <w:r w:rsidR="00D024AF" w:rsidRPr="00D024AF">
              <w:rPr>
                <w:rStyle w:val="Hyperlink"/>
                <w:rFonts w:ascii="Arial" w:hAnsi="Arial" w:cs="Arial"/>
                <w:noProof/>
              </w:rPr>
              <w:t>Recommendations</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_Toc148623402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6</w:t>
            </w:r>
            <w:r w:rsidR="00D024AF" w:rsidRPr="00D024AF">
              <w:rPr>
                <w:rFonts w:ascii="Arial" w:hAnsi="Arial" w:cs="Arial"/>
                <w:noProof/>
                <w:webHidden/>
              </w:rPr>
              <w:fldChar w:fldCharType="end"/>
            </w:r>
          </w:hyperlink>
        </w:p>
        <w:p w14:paraId="1FC2FE54" w14:textId="16305BAF" w:rsidR="00D024AF" w:rsidRPr="00D024AF" w:rsidRDefault="00000000">
          <w:pPr>
            <w:pStyle w:val="TOC1"/>
            <w:tabs>
              <w:tab w:val="right" w:leader="dot" w:pos="9016"/>
            </w:tabs>
            <w:rPr>
              <w:rFonts w:ascii="Arial" w:eastAsiaTheme="minorEastAsia" w:hAnsi="Arial" w:cs="Arial"/>
              <w:noProof/>
              <w:lang w:eastAsia="en-GB"/>
            </w:rPr>
          </w:pPr>
          <w:hyperlink w:anchor="_Toc148623403" w:history="1">
            <w:r w:rsidR="00D024AF" w:rsidRPr="00D024AF">
              <w:rPr>
                <w:rStyle w:val="Hyperlink"/>
                <w:rFonts w:ascii="Arial" w:hAnsi="Arial" w:cs="Arial"/>
                <w:noProof/>
              </w:rPr>
              <w:t>Conclusion</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_Toc148623403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6</w:t>
            </w:r>
            <w:r w:rsidR="00D024AF" w:rsidRPr="00D024AF">
              <w:rPr>
                <w:rFonts w:ascii="Arial" w:hAnsi="Arial" w:cs="Arial"/>
                <w:noProof/>
                <w:webHidden/>
              </w:rPr>
              <w:fldChar w:fldCharType="end"/>
            </w:r>
          </w:hyperlink>
        </w:p>
        <w:p w14:paraId="16A3946A" w14:textId="46552B6C" w:rsidR="00D024AF" w:rsidRPr="00D024AF" w:rsidRDefault="00000000">
          <w:pPr>
            <w:pStyle w:val="TOC1"/>
            <w:tabs>
              <w:tab w:val="right" w:leader="dot" w:pos="9016"/>
            </w:tabs>
            <w:rPr>
              <w:rFonts w:ascii="Arial" w:eastAsiaTheme="minorEastAsia" w:hAnsi="Arial" w:cs="Arial"/>
              <w:noProof/>
              <w:lang w:eastAsia="en-GB"/>
            </w:rPr>
          </w:pPr>
          <w:hyperlink w:anchor="_Toc148623404" w:history="1">
            <w:r w:rsidR="00D024AF" w:rsidRPr="00D024AF">
              <w:rPr>
                <w:rStyle w:val="Hyperlink"/>
                <w:rFonts w:ascii="Arial" w:hAnsi="Arial" w:cs="Arial"/>
                <w:noProof/>
              </w:rPr>
              <w:t>References</w:t>
            </w:r>
            <w:r w:rsidR="00D024AF" w:rsidRPr="00D024AF">
              <w:rPr>
                <w:rFonts w:ascii="Arial" w:hAnsi="Arial" w:cs="Arial"/>
                <w:noProof/>
                <w:webHidden/>
              </w:rPr>
              <w:tab/>
            </w:r>
            <w:r w:rsidR="00D024AF" w:rsidRPr="00D024AF">
              <w:rPr>
                <w:rFonts w:ascii="Arial" w:hAnsi="Arial" w:cs="Arial"/>
                <w:noProof/>
                <w:webHidden/>
              </w:rPr>
              <w:fldChar w:fldCharType="begin"/>
            </w:r>
            <w:r w:rsidR="00D024AF" w:rsidRPr="00D024AF">
              <w:rPr>
                <w:rFonts w:ascii="Arial" w:hAnsi="Arial" w:cs="Arial"/>
                <w:noProof/>
                <w:webHidden/>
              </w:rPr>
              <w:instrText xml:space="preserve"> PAGEREF _Toc148623404 \h </w:instrText>
            </w:r>
            <w:r w:rsidR="00D024AF" w:rsidRPr="00D024AF">
              <w:rPr>
                <w:rFonts w:ascii="Arial" w:hAnsi="Arial" w:cs="Arial"/>
                <w:noProof/>
                <w:webHidden/>
              </w:rPr>
            </w:r>
            <w:r w:rsidR="00D024AF" w:rsidRPr="00D024AF">
              <w:rPr>
                <w:rFonts w:ascii="Arial" w:hAnsi="Arial" w:cs="Arial"/>
                <w:noProof/>
                <w:webHidden/>
              </w:rPr>
              <w:fldChar w:fldCharType="separate"/>
            </w:r>
            <w:r w:rsidR="00D024AF" w:rsidRPr="00D024AF">
              <w:rPr>
                <w:rFonts w:ascii="Arial" w:hAnsi="Arial" w:cs="Arial"/>
                <w:noProof/>
                <w:webHidden/>
              </w:rPr>
              <w:t>7</w:t>
            </w:r>
            <w:r w:rsidR="00D024AF" w:rsidRPr="00D024AF">
              <w:rPr>
                <w:rFonts w:ascii="Arial" w:hAnsi="Arial" w:cs="Arial"/>
                <w:noProof/>
                <w:webHidden/>
              </w:rPr>
              <w:fldChar w:fldCharType="end"/>
            </w:r>
          </w:hyperlink>
        </w:p>
        <w:p w14:paraId="47912FD0" w14:textId="1C816D51" w:rsidR="00E82FAB" w:rsidRPr="00E82FAB" w:rsidRDefault="00E82FAB" w:rsidP="00E51CEA">
          <w:r w:rsidRPr="00D024AF">
            <w:rPr>
              <w:rFonts w:ascii="Arial" w:hAnsi="Arial" w:cs="Arial"/>
              <w:b/>
              <w:bCs/>
              <w:noProof/>
            </w:rPr>
            <w:fldChar w:fldCharType="end"/>
          </w:r>
        </w:p>
      </w:sdtContent>
    </w:sdt>
    <w:p w14:paraId="4B4DD558" w14:textId="4AE730DC" w:rsidR="00E82FAB" w:rsidRDefault="00E82FAB">
      <w:pPr>
        <w:rPr>
          <w:rFonts w:asciiTheme="majorHAnsi" w:eastAsiaTheme="majorEastAsia" w:hAnsiTheme="majorHAnsi" w:cstheme="majorBidi"/>
          <w:color w:val="2F5496" w:themeColor="accent1" w:themeShade="BF"/>
          <w:sz w:val="32"/>
          <w:szCs w:val="32"/>
        </w:rPr>
      </w:pPr>
    </w:p>
    <w:p w14:paraId="64711E4F" w14:textId="77777777" w:rsidR="00EF4F74" w:rsidRDefault="00EF4F74" w:rsidP="00D37C62">
      <w:pPr>
        <w:pStyle w:val="Heading1"/>
      </w:pPr>
      <w:bookmarkStart w:id="0" w:name="_Toc148623395"/>
      <w:r w:rsidRPr="008151F6">
        <w:t>Executive Summary</w:t>
      </w:r>
      <w:bookmarkEnd w:id="0"/>
    </w:p>
    <w:p w14:paraId="5FEFF9A6" w14:textId="77777777" w:rsidR="00D37C62" w:rsidRPr="00D37C62" w:rsidRDefault="00D37C62" w:rsidP="00D37C62"/>
    <w:p w14:paraId="0EBADFA3" w14:textId="65B6ECD4" w:rsidR="008151F6" w:rsidRPr="008151F6" w:rsidRDefault="008151F6" w:rsidP="008151F6">
      <w:pPr>
        <w:rPr>
          <w:rFonts w:ascii="Arial" w:hAnsi="Arial" w:cs="Arial"/>
        </w:rPr>
      </w:pPr>
      <w:r w:rsidRPr="008151F6">
        <w:rPr>
          <w:rFonts w:ascii="Arial" w:hAnsi="Arial" w:cs="Arial"/>
        </w:rPr>
        <w:t>This report provides an insightful analysis into the distinct financial and operational strategies of Mandarin Oriental and Premier Inn, two renowned entities in the global hospitality sector. Mandarin Oriental, epitomising luxury and exclusivity, has been assessed on its revenue generation, market positioning, and adaptive strategies to an upscale market. In contrast, the report evaluates Premier Inn's strategies of affordability and efficiency in the competitive budget hotel market. It unveils Mandarin Oriental's revenue fluctuations linked to global economic changes and Premier Inn's consistent earnings due to its wide appeal. Both brands are depicted confronting unique challenges; Mandarin Oriental strives to balance luxury and innovation, while Premier Inn aims for distinctiveness amidst competition. In terms of growth, Mandarin Oriental’s meticulous expansion contrasts Premier Inn’s rapid spread. Corporate Social Responsibility (CSR) engagement sees Mandarin Oriental blending luxury with ethics and Premier Inn enhancing visibility of its efforts. The report culminates in tailored recommendations, suggesting enhanced digital engagement for Mandarin Oriental and a fusion of efficiency with enriched experiences for Premier Inn. The conclusion encapsulates their distinct paths, illuminating adaptability and challenges in the multifaceted hospitality landscape.</w:t>
      </w:r>
    </w:p>
    <w:p w14:paraId="64A4FEF3" w14:textId="77777777" w:rsidR="00EF4F74" w:rsidRPr="00EF4F74" w:rsidRDefault="00EF4F74" w:rsidP="00EF4F74">
      <w:pPr>
        <w:rPr>
          <w:rFonts w:ascii="Arial" w:hAnsi="Arial" w:cs="Arial"/>
        </w:rPr>
      </w:pPr>
    </w:p>
    <w:p w14:paraId="141D5AC9" w14:textId="77777777" w:rsidR="00D024AF" w:rsidRDefault="00D024AF">
      <w:pPr>
        <w:rPr>
          <w:rFonts w:ascii="Arial" w:eastAsiaTheme="majorEastAsia" w:hAnsi="Arial" w:cstheme="majorBidi"/>
          <w:b/>
          <w:sz w:val="24"/>
          <w:szCs w:val="32"/>
        </w:rPr>
      </w:pPr>
      <w:r>
        <w:br w:type="page"/>
      </w:r>
    </w:p>
    <w:p w14:paraId="28D5A817" w14:textId="224A3699" w:rsidR="00EF4F74" w:rsidRDefault="00EF4F74" w:rsidP="00D37C62">
      <w:pPr>
        <w:pStyle w:val="Heading1"/>
      </w:pPr>
      <w:bookmarkStart w:id="1" w:name="_Toc148623396"/>
      <w:r w:rsidRPr="0076169C">
        <w:lastRenderedPageBreak/>
        <w:t>Introduction</w:t>
      </w:r>
      <w:bookmarkEnd w:id="1"/>
    </w:p>
    <w:p w14:paraId="59102789" w14:textId="77777777" w:rsidR="00D37C62" w:rsidRPr="00D37C62" w:rsidRDefault="00D37C62" w:rsidP="00D37C62"/>
    <w:p w14:paraId="2E8A0D1E" w14:textId="6FED2E8F" w:rsidR="00A36246" w:rsidRPr="00A36246" w:rsidRDefault="00A36246" w:rsidP="00A36246">
      <w:pPr>
        <w:rPr>
          <w:rFonts w:ascii="Arial" w:hAnsi="Arial" w:cs="Arial"/>
        </w:rPr>
      </w:pPr>
      <w:r w:rsidRPr="00A36246">
        <w:rPr>
          <w:rFonts w:ascii="Arial" w:hAnsi="Arial" w:cs="Arial"/>
        </w:rPr>
        <w:t xml:space="preserve">This report conducts a comprehensive analysis of the financial strategies of the Mandarin Oriental and Premier Inn. Drawing insights from their latest annual reports (Mandarin, </w:t>
      </w:r>
      <w:r w:rsidR="00326655">
        <w:rPr>
          <w:rFonts w:ascii="Arial" w:hAnsi="Arial" w:cs="Arial"/>
        </w:rPr>
        <w:t>2023</w:t>
      </w:r>
      <w:r w:rsidRPr="00A36246">
        <w:rPr>
          <w:rFonts w:ascii="Arial" w:hAnsi="Arial" w:cs="Arial"/>
        </w:rPr>
        <w:t xml:space="preserve">; </w:t>
      </w:r>
      <w:r w:rsidR="00326655">
        <w:rPr>
          <w:rFonts w:ascii="Arial" w:hAnsi="Arial" w:cs="Arial"/>
        </w:rPr>
        <w:t>Whitbread</w:t>
      </w:r>
      <w:r w:rsidRPr="00A36246">
        <w:rPr>
          <w:rFonts w:ascii="Arial" w:hAnsi="Arial" w:cs="Arial"/>
        </w:rPr>
        <w:t xml:space="preserve">, 2022), an evaluative assessment is made of their operational efficacy and financial health. Mandarin Oriental, a symbol of luxury and exclusivity, is analysed based on its income, market positioning, and financial adaptations to cater to an upscale clientele </w:t>
      </w:r>
      <w:r w:rsidR="00326655" w:rsidRPr="00326655">
        <w:rPr>
          <w:rFonts w:ascii="Arial" w:hAnsi="Arial" w:cs="Arial"/>
        </w:rPr>
        <w:t>(</w:t>
      </w:r>
      <w:proofErr w:type="spellStart"/>
      <w:r w:rsidR="00326655" w:rsidRPr="00326655">
        <w:rPr>
          <w:rFonts w:ascii="Arial" w:hAnsi="Arial" w:cs="Arial"/>
        </w:rPr>
        <w:t>Saltor</w:t>
      </w:r>
      <w:proofErr w:type="spellEnd"/>
      <w:r w:rsidR="00326655" w:rsidRPr="00326655">
        <w:rPr>
          <w:rFonts w:ascii="Arial" w:hAnsi="Arial" w:cs="Arial"/>
        </w:rPr>
        <w:t xml:space="preserve"> Clavero and </w:t>
      </w:r>
      <w:proofErr w:type="spellStart"/>
      <w:r w:rsidR="00326655" w:rsidRPr="00326655">
        <w:rPr>
          <w:rFonts w:ascii="Arial" w:hAnsi="Arial" w:cs="Arial"/>
        </w:rPr>
        <w:t>Kukushkina</w:t>
      </w:r>
      <w:proofErr w:type="spellEnd"/>
      <w:r w:rsidR="00326655" w:rsidRPr="00326655">
        <w:rPr>
          <w:rFonts w:ascii="Arial" w:hAnsi="Arial" w:cs="Arial"/>
        </w:rPr>
        <w:t>, 2019)</w:t>
      </w:r>
      <w:r w:rsidRPr="00A36246">
        <w:rPr>
          <w:rFonts w:ascii="Arial" w:hAnsi="Arial" w:cs="Arial"/>
        </w:rPr>
        <w:t xml:space="preserve">. In contrast, Premier Inn’s affordability and efficiency are dissected, considering its expansive reach and revenue generation strategies in a competitive budget hotel market </w:t>
      </w:r>
      <w:r w:rsidR="00326655" w:rsidRPr="00326655">
        <w:rPr>
          <w:rFonts w:ascii="Arial" w:hAnsi="Arial" w:cs="Arial"/>
        </w:rPr>
        <w:t>(</w:t>
      </w:r>
      <w:proofErr w:type="spellStart"/>
      <w:r w:rsidR="00326655" w:rsidRPr="00326655">
        <w:rPr>
          <w:rFonts w:ascii="Arial" w:hAnsi="Arial" w:cs="Arial"/>
        </w:rPr>
        <w:t>Mccaskey</w:t>
      </w:r>
      <w:proofErr w:type="spellEnd"/>
      <w:r w:rsidR="00326655" w:rsidRPr="00326655">
        <w:rPr>
          <w:rFonts w:ascii="Arial" w:hAnsi="Arial" w:cs="Arial"/>
        </w:rPr>
        <w:t>, 2008)</w:t>
      </w:r>
      <w:r w:rsidRPr="00A36246">
        <w:rPr>
          <w:rFonts w:ascii="Arial" w:hAnsi="Arial" w:cs="Arial"/>
        </w:rPr>
        <w:t xml:space="preserve">. A critical analysis of both entities aims to offer a well-rounded perspective on their financial performance and strategic approaches in the rapidly evolving global hospitality sector. This includes an in-depth examination of their revenue models, market positioning, growth prospects, and financial commitments to </w:t>
      </w:r>
      <w:r w:rsidR="007419A8">
        <w:rPr>
          <w:rFonts w:ascii="Arial" w:hAnsi="Arial" w:cs="Arial"/>
        </w:rPr>
        <w:t xml:space="preserve">CSR </w:t>
      </w:r>
      <w:r w:rsidR="0048591C" w:rsidRPr="0048591C">
        <w:rPr>
          <w:rFonts w:ascii="Arial" w:hAnsi="Arial" w:cs="Arial"/>
        </w:rPr>
        <w:t xml:space="preserve">(Tate, </w:t>
      </w:r>
      <w:proofErr w:type="spellStart"/>
      <w:r w:rsidR="0048591C" w:rsidRPr="0048591C">
        <w:rPr>
          <w:rFonts w:ascii="Arial" w:hAnsi="Arial" w:cs="Arial"/>
        </w:rPr>
        <w:t>Ellram</w:t>
      </w:r>
      <w:proofErr w:type="spellEnd"/>
      <w:r w:rsidR="0048591C" w:rsidRPr="0048591C">
        <w:rPr>
          <w:rFonts w:ascii="Arial" w:hAnsi="Arial" w:cs="Arial"/>
        </w:rPr>
        <w:t xml:space="preserve"> </w:t>
      </w:r>
      <w:r w:rsidR="0048591C">
        <w:rPr>
          <w:rFonts w:ascii="Arial" w:hAnsi="Arial" w:cs="Arial"/>
        </w:rPr>
        <w:t>a</w:t>
      </w:r>
      <w:r w:rsidR="0048591C" w:rsidRPr="0048591C">
        <w:rPr>
          <w:rFonts w:ascii="Arial" w:hAnsi="Arial" w:cs="Arial"/>
        </w:rPr>
        <w:t>nd Kirchoff, 2010)</w:t>
      </w:r>
      <w:r w:rsidRPr="00A36246">
        <w:rPr>
          <w:rFonts w:ascii="Arial" w:hAnsi="Arial" w:cs="Arial"/>
        </w:rPr>
        <w:t>. This approach ensures that the subsequent discussions and analyses are rooted in factual, up-to-date information and contributes to a detailed, data-driven comparative assessment of these renowned hotel chains.</w:t>
      </w:r>
      <w:r w:rsidR="00D37C62" w:rsidRPr="00D37C62">
        <w:t xml:space="preserve"> </w:t>
      </w:r>
      <w:r w:rsidR="00D37C62">
        <w:rPr>
          <w:rFonts w:ascii="Arial" w:hAnsi="Arial" w:cs="Arial"/>
        </w:rPr>
        <w:t>This</w:t>
      </w:r>
      <w:r w:rsidR="00D37C62" w:rsidRPr="00D37C62">
        <w:rPr>
          <w:rFonts w:ascii="Arial" w:hAnsi="Arial" w:cs="Arial"/>
        </w:rPr>
        <w:t xml:space="preserve"> report clearly explains the balance between luxury and affordability, and between exclusivity and wide accessibility, giving readers a complete, easy-to-grasp overview of the distinct yet related worlds these two famous hotel brands occupy.</w:t>
      </w:r>
    </w:p>
    <w:p w14:paraId="24A2D81E" w14:textId="77777777" w:rsidR="00A36246" w:rsidRDefault="00A36246" w:rsidP="00EF4F74">
      <w:pPr>
        <w:rPr>
          <w:rFonts w:ascii="Arial" w:hAnsi="Arial" w:cs="Arial"/>
        </w:rPr>
      </w:pPr>
    </w:p>
    <w:p w14:paraId="1A4FEB97" w14:textId="5EB984C2" w:rsidR="008151F6" w:rsidRDefault="008151F6" w:rsidP="008151F6">
      <w:pPr>
        <w:pStyle w:val="Heading1"/>
      </w:pPr>
      <w:bookmarkStart w:id="2" w:name="_Toc148623397"/>
      <w:r>
        <w:t>Discussion</w:t>
      </w:r>
      <w:bookmarkEnd w:id="2"/>
    </w:p>
    <w:p w14:paraId="2BD3A22C" w14:textId="77777777" w:rsidR="00D37C62" w:rsidRPr="00D37C62" w:rsidRDefault="00D37C62" w:rsidP="00D37C62"/>
    <w:p w14:paraId="5C37AF4B" w14:textId="7382E8F6" w:rsidR="00EF4F74" w:rsidRDefault="00EF4F74" w:rsidP="008151F6">
      <w:pPr>
        <w:pStyle w:val="Heading2"/>
      </w:pPr>
      <w:bookmarkStart w:id="3" w:name="_Toc148623398"/>
      <w:r w:rsidRPr="0076169C">
        <w:t>Total Revenue</w:t>
      </w:r>
      <w:bookmarkEnd w:id="3"/>
    </w:p>
    <w:p w14:paraId="5503B8BF" w14:textId="77777777" w:rsidR="00D024AF" w:rsidRPr="00D024AF" w:rsidRDefault="00D024AF" w:rsidP="00D024AF"/>
    <w:p w14:paraId="6EB7DF08" w14:textId="6E54D251" w:rsidR="00D15D5C" w:rsidRPr="00D15D5C" w:rsidRDefault="00D15D5C" w:rsidP="00D15D5C">
      <w:pPr>
        <w:rPr>
          <w:rFonts w:ascii="Arial" w:hAnsi="Arial" w:cs="Arial"/>
        </w:rPr>
      </w:pPr>
      <w:r w:rsidRPr="00D15D5C">
        <w:rPr>
          <w:rFonts w:ascii="Arial" w:hAnsi="Arial" w:cs="Arial"/>
        </w:rPr>
        <w:t>Mandarin Oriental’s financial standing is heavily influenced by its focus on luxury and exclusivity. Financial data from FY2021 shows a rise in revenue, a direct result of the hotel chain's bespoke services and expansive global presence (</w:t>
      </w:r>
      <w:r w:rsidR="00852DCB" w:rsidRPr="00A36246">
        <w:rPr>
          <w:rFonts w:ascii="Arial" w:hAnsi="Arial" w:cs="Arial"/>
        </w:rPr>
        <w:t xml:space="preserve">Mandarin Oriental, </w:t>
      </w:r>
      <w:r w:rsidR="00A52A95">
        <w:rPr>
          <w:rFonts w:ascii="Arial" w:hAnsi="Arial" w:cs="Arial"/>
        </w:rPr>
        <w:t>2023</w:t>
      </w:r>
      <w:r w:rsidRPr="00D15D5C">
        <w:rPr>
          <w:rFonts w:ascii="Arial" w:hAnsi="Arial" w:cs="Arial"/>
        </w:rPr>
        <w:t xml:space="preserve">). Every hotel under this brand is designed as a haven of luxury, drawing in guests who are on the lookout for exceptional experiences. However, this focus on a niche market also means that the hotel’s financial health is tethered to economic trends. When the economy is buoyant, affluent customers are more inclined to indulge, boosting the hotel’s earnings. But in less prosperous times, luxury spending is often the first to be cut back, impacting the hotel’s revenue </w:t>
      </w:r>
      <w:r w:rsidR="00A52A95" w:rsidRPr="00A52A95">
        <w:rPr>
          <w:rFonts w:ascii="Arial" w:hAnsi="Arial" w:cs="Arial"/>
        </w:rPr>
        <w:t>(Timothy and Teye, 2009)</w:t>
      </w:r>
      <w:r w:rsidRPr="00D15D5C">
        <w:rPr>
          <w:rFonts w:ascii="Arial" w:hAnsi="Arial" w:cs="Arial"/>
        </w:rPr>
        <w:t>.</w:t>
      </w:r>
    </w:p>
    <w:p w14:paraId="239E137E" w14:textId="227ADB60" w:rsidR="00EF4F74" w:rsidRPr="00EF4F74" w:rsidRDefault="00D15D5C" w:rsidP="00D15D5C">
      <w:pPr>
        <w:rPr>
          <w:rFonts w:ascii="Arial" w:hAnsi="Arial" w:cs="Arial"/>
        </w:rPr>
      </w:pPr>
      <w:r w:rsidRPr="00D15D5C">
        <w:rPr>
          <w:rFonts w:ascii="Arial" w:hAnsi="Arial" w:cs="Arial"/>
        </w:rPr>
        <w:t xml:space="preserve">Contrastingly, Premier Inn operates on a model anchored in accessibility and volume. It has consistently seen an uptick in revenue, thanks in part to its appeal to a wide-ranging demographic drawn by the brand’s combination of quality and affordability </w:t>
      </w:r>
      <w:r w:rsidR="00A52A95" w:rsidRPr="00A52A95">
        <w:rPr>
          <w:rFonts w:ascii="Arial" w:hAnsi="Arial" w:cs="Arial"/>
        </w:rPr>
        <w:t>(Bower, 2017)</w:t>
      </w:r>
      <w:r w:rsidRPr="00D15D5C">
        <w:rPr>
          <w:rFonts w:ascii="Arial" w:hAnsi="Arial" w:cs="Arial"/>
        </w:rPr>
        <w:t xml:space="preserve">. Being in a sector that is highly competitive, the challenge for Premier Inn lies in maintaining and amplifying its appeal amidst a sea of alternatives. Consistent innovation and distinctive offerings are central to keeping its revenue growth trajectory on an upward climb </w:t>
      </w:r>
      <w:r w:rsidR="00A52A95" w:rsidRPr="00A52A95">
        <w:rPr>
          <w:rFonts w:ascii="Arial" w:hAnsi="Arial" w:cs="Arial"/>
        </w:rPr>
        <w:t>(Hudson and Hudson, 2022)</w:t>
      </w:r>
      <w:r w:rsidRPr="00D15D5C">
        <w:rPr>
          <w:rFonts w:ascii="Arial" w:hAnsi="Arial" w:cs="Arial"/>
        </w:rPr>
        <w:t>.</w:t>
      </w:r>
    </w:p>
    <w:p w14:paraId="4C134861" w14:textId="472E4394" w:rsidR="00D15D5C" w:rsidRPr="00D15D5C" w:rsidRDefault="00D15D5C" w:rsidP="00D15D5C">
      <w:pPr>
        <w:rPr>
          <w:rFonts w:ascii="Arial" w:hAnsi="Arial" w:cs="Arial"/>
        </w:rPr>
      </w:pPr>
      <w:r w:rsidRPr="00D15D5C">
        <w:rPr>
          <w:rFonts w:ascii="Arial" w:hAnsi="Arial" w:cs="Arial"/>
        </w:rPr>
        <w:t xml:space="preserve">Mandarin Oriental and Premier Inn have distinct financial characteristics influenced by their targeted market segments. Mandarin Oriental, with its luxurious offerings, experiences revenue fluctuations aligning with global economic changes. Its affluent clientele tends to adjust spending on high-end accommodations in response to the economic atmosphere (Mandarin, </w:t>
      </w:r>
      <w:r w:rsidR="00A52A95">
        <w:rPr>
          <w:rFonts w:ascii="Arial" w:hAnsi="Arial" w:cs="Arial"/>
        </w:rPr>
        <w:t>2023</w:t>
      </w:r>
      <w:r w:rsidRPr="00D15D5C">
        <w:rPr>
          <w:rFonts w:ascii="Arial" w:hAnsi="Arial" w:cs="Arial"/>
        </w:rPr>
        <w:t xml:space="preserve">). On the other hand, Premier Inn's appeal to a broader demographic ensures a more stable financial performance. The affordability and diverse income sources </w:t>
      </w:r>
      <w:r w:rsidRPr="00D15D5C">
        <w:rPr>
          <w:rFonts w:ascii="Arial" w:hAnsi="Arial" w:cs="Arial"/>
        </w:rPr>
        <w:lastRenderedPageBreak/>
        <w:t>make the hotel chain resilient to economic shifts, maintaining a consistent guest influx and revenue stream (</w:t>
      </w:r>
      <w:r w:rsidR="00A52A95">
        <w:rPr>
          <w:rFonts w:ascii="Arial" w:hAnsi="Arial" w:cs="Arial"/>
        </w:rPr>
        <w:t>Whitbread</w:t>
      </w:r>
      <w:r w:rsidRPr="00D15D5C">
        <w:rPr>
          <w:rFonts w:ascii="Arial" w:hAnsi="Arial" w:cs="Arial"/>
        </w:rPr>
        <w:t>, 202</w:t>
      </w:r>
      <w:r w:rsidR="00A52A95">
        <w:rPr>
          <w:rFonts w:ascii="Arial" w:hAnsi="Arial" w:cs="Arial"/>
        </w:rPr>
        <w:t>3</w:t>
      </w:r>
      <w:r w:rsidRPr="00D15D5C">
        <w:rPr>
          <w:rFonts w:ascii="Arial" w:hAnsi="Arial" w:cs="Arial"/>
        </w:rPr>
        <w:t>). Consequently, Mandarin Oriental’s revenue acts as an economic barometer, while Premier Inn enjoys more consistent earnings. This scenario underscores the varied financial dynamics in the luxury and budget sectors of the hospitality industry, highlighting the specific challenges and strengths inherent to each segment. The strategies adopted by each chain reflect their adaptability and responses to these diverse economic and market forces, illustrating the complex, multifaceted nature of the hotel business.</w:t>
      </w:r>
    </w:p>
    <w:p w14:paraId="2A2C094F" w14:textId="77777777" w:rsidR="00EF4F74" w:rsidRPr="00EF4F74" w:rsidRDefault="00EF4F74" w:rsidP="00EF4F74">
      <w:pPr>
        <w:rPr>
          <w:rFonts w:ascii="Arial" w:hAnsi="Arial" w:cs="Arial"/>
        </w:rPr>
      </w:pPr>
    </w:p>
    <w:p w14:paraId="15341F6C" w14:textId="0D605657" w:rsidR="00D15D5C" w:rsidRDefault="00D15D5C" w:rsidP="00D37C62">
      <w:pPr>
        <w:pStyle w:val="Heading2"/>
      </w:pPr>
      <w:bookmarkStart w:id="4" w:name="_Toc148623399"/>
      <w:r w:rsidRPr="0076169C">
        <w:t>Market Position</w:t>
      </w:r>
      <w:bookmarkEnd w:id="4"/>
    </w:p>
    <w:p w14:paraId="25C65500" w14:textId="77777777" w:rsidR="00D024AF" w:rsidRPr="00D024AF" w:rsidRDefault="00D024AF" w:rsidP="00D024AF"/>
    <w:p w14:paraId="65AE9E75" w14:textId="74A155BB" w:rsidR="00D15D5C" w:rsidRPr="00D15D5C" w:rsidRDefault="00D15D5C" w:rsidP="00D15D5C">
      <w:pPr>
        <w:rPr>
          <w:rFonts w:ascii="Arial" w:hAnsi="Arial" w:cs="Arial"/>
        </w:rPr>
      </w:pPr>
      <w:r w:rsidRPr="00D15D5C">
        <w:rPr>
          <w:rFonts w:ascii="Arial" w:hAnsi="Arial" w:cs="Arial"/>
        </w:rPr>
        <w:t>Mandarin Oriental stands out for its luxury and exclusivity. It has earned loyalty from high-end clients, with impressive customer retention rates showing that people keep coming back for the unique, lavish experiences it offers</w:t>
      </w:r>
      <w:r w:rsidR="00A52A95">
        <w:rPr>
          <w:rFonts w:ascii="Arial" w:hAnsi="Arial" w:cs="Arial"/>
        </w:rPr>
        <w:t xml:space="preserve"> </w:t>
      </w:r>
      <w:r w:rsidR="00A52A95" w:rsidRPr="00A52A95">
        <w:rPr>
          <w:rFonts w:ascii="Arial" w:hAnsi="Arial" w:cs="Arial"/>
        </w:rPr>
        <w:t xml:space="preserve">(Jeong and </w:t>
      </w:r>
      <w:proofErr w:type="spellStart"/>
      <w:r w:rsidR="00A52A95" w:rsidRPr="00A52A95">
        <w:rPr>
          <w:rFonts w:ascii="Arial" w:hAnsi="Arial" w:cs="Arial"/>
        </w:rPr>
        <w:t>Kubickova</w:t>
      </w:r>
      <w:proofErr w:type="spellEnd"/>
      <w:r w:rsidR="00A52A95" w:rsidRPr="00A52A95">
        <w:rPr>
          <w:rFonts w:ascii="Arial" w:hAnsi="Arial" w:cs="Arial"/>
        </w:rPr>
        <w:t>, 2020)</w:t>
      </w:r>
      <w:r w:rsidRPr="00D15D5C">
        <w:rPr>
          <w:rFonts w:ascii="Arial" w:hAnsi="Arial" w:cs="Arial"/>
        </w:rPr>
        <w:t>. The brand is known for its stunning design and top-notch service. However, keeping up with the changing tastes of luxury-loving guests is a constant challenge. It requires ongoing creativity and innovation to keep the brand exciting and appealing.</w:t>
      </w:r>
    </w:p>
    <w:p w14:paraId="67A98AB4" w14:textId="45A366D1" w:rsidR="0076169C" w:rsidRPr="00EF4F74" w:rsidRDefault="00D15D5C" w:rsidP="00D15D5C">
      <w:pPr>
        <w:rPr>
          <w:rFonts w:ascii="Arial" w:hAnsi="Arial" w:cs="Arial"/>
        </w:rPr>
      </w:pPr>
      <w:r w:rsidRPr="00D15D5C">
        <w:rPr>
          <w:rFonts w:ascii="Arial" w:hAnsi="Arial" w:cs="Arial"/>
        </w:rPr>
        <w:t xml:space="preserve">Premier Inn, on the other hand, is popular for offering good quality at affordable prices. It draws in a wide range of guests, thanks to its budget-friendly yet comfortable accommodations </w:t>
      </w:r>
      <w:r w:rsidR="00A52A95" w:rsidRPr="00A52A95">
        <w:rPr>
          <w:rFonts w:ascii="Arial" w:hAnsi="Arial" w:cs="Arial"/>
        </w:rPr>
        <w:t>(</w:t>
      </w:r>
      <w:proofErr w:type="spellStart"/>
      <w:r w:rsidR="00A52A95" w:rsidRPr="00A52A95">
        <w:rPr>
          <w:rFonts w:ascii="Arial" w:hAnsi="Arial" w:cs="Arial"/>
        </w:rPr>
        <w:t>Piriyakul</w:t>
      </w:r>
      <w:proofErr w:type="spellEnd"/>
      <w:r w:rsidR="00A52A95" w:rsidRPr="00A52A95">
        <w:rPr>
          <w:rFonts w:ascii="Arial" w:hAnsi="Arial" w:cs="Arial"/>
        </w:rPr>
        <w:t>, 2023)</w:t>
      </w:r>
      <w:r w:rsidR="00A52A95">
        <w:rPr>
          <w:rFonts w:ascii="Arial" w:hAnsi="Arial" w:cs="Arial"/>
        </w:rPr>
        <w:t>.</w:t>
      </w:r>
      <w:r w:rsidRPr="00D15D5C">
        <w:rPr>
          <w:rFonts w:ascii="Arial" w:hAnsi="Arial" w:cs="Arial"/>
        </w:rPr>
        <w:t xml:space="preserve"> The hotel’s reputation for value has helped it stand firm in a crowded and competitive market. Still, there's always a push to innovate and improve to stay ahead of other budget hotels and keep attracting guests.</w:t>
      </w:r>
    </w:p>
    <w:p w14:paraId="3AC3C300" w14:textId="6EE7A94C" w:rsidR="00641315" w:rsidRDefault="008F62EE" w:rsidP="00641315">
      <w:pPr>
        <w:rPr>
          <w:rFonts w:ascii="Arial" w:hAnsi="Arial" w:cs="Arial"/>
        </w:rPr>
      </w:pPr>
      <w:r w:rsidRPr="008F62EE">
        <w:rPr>
          <w:rFonts w:ascii="Arial" w:hAnsi="Arial" w:cs="Arial"/>
        </w:rPr>
        <w:t xml:space="preserve">Mandarin Oriental and Premier Inn face distinct challenges rooted in their individual market positions. Mandarin Oriental is tasked with continuously reinventing its offerings to meet the high and ever-changing expectations of luxury travellers </w:t>
      </w:r>
      <w:r w:rsidR="00A52A95" w:rsidRPr="00A52A95">
        <w:rPr>
          <w:rFonts w:ascii="Arial" w:hAnsi="Arial" w:cs="Arial"/>
        </w:rPr>
        <w:t>(Carmo, 2015)</w:t>
      </w:r>
      <w:r w:rsidRPr="008F62EE">
        <w:rPr>
          <w:rFonts w:ascii="Arial" w:hAnsi="Arial" w:cs="Arial"/>
        </w:rPr>
        <w:t xml:space="preserve">. Each detail, from service to ambiance, must exude opulence and innovation to retain its elite clientele. Premier Inn, meanwhile, operates in the highly competitive budget accommodation space. Its challenge is to consistently offer value while distinguishing itself from a multitude of similar options </w:t>
      </w:r>
      <w:r w:rsidR="00A52A95" w:rsidRPr="00A52A95">
        <w:rPr>
          <w:rFonts w:ascii="Arial" w:hAnsi="Arial" w:cs="Arial"/>
        </w:rPr>
        <w:t>(Camilleri, 2018)</w:t>
      </w:r>
      <w:r w:rsidRPr="008F62EE">
        <w:rPr>
          <w:rFonts w:ascii="Arial" w:hAnsi="Arial" w:cs="Arial"/>
        </w:rPr>
        <w:t xml:space="preserve">. Although its offerings are appreciated for affordability and quality, the brand must innovate to remain a top choice for budget-conscious travellers. Thus, while Mandarin Oriental focuses on the evolving landscape of luxury, Premier Inn is </w:t>
      </w:r>
      <w:proofErr w:type="gramStart"/>
      <w:r w:rsidRPr="008F62EE">
        <w:rPr>
          <w:rFonts w:ascii="Arial" w:hAnsi="Arial" w:cs="Arial"/>
        </w:rPr>
        <w:t>honed in</w:t>
      </w:r>
      <w:proofErr w:type="gramEnd"/>
      <w:r w:rsidRPr="008F62EE">
        <w:rPr>
          <w:rFonts w:ascii="Arial" w:hAnsi="Arial" w:cs="Arial"/>
        </w:rPr>
        <w:t xml:space="preserve"> on standing out in a crowded, value-driven market. Both scenarios highlight the specific adaptations required to thrive in distinct segments of the hospitality industry, making the sector a complex and diverse field.</w:t>
      </w:r>
    </w:p>
    <w:p w14:paraId="4D797919" w14:textId="77777777" w:rsidR="00D37C62" w:rsidRPr="00641315" w:rsidRDefault="00D37C62" w:rsidP="00641315">
      <w:pPr>
        <w:rPr>
          <w:rFonts w:ascii="Arial" w:hAnsi="Arial" w:cs="Arial"/>
        </w:rPr>
      </w:pPr>
    </w:p>
    <w:p w14:paraId="031CA7C7" w14:textId="19E10400" w:rsidR="00641315" w:rsidRPr="0076169C" w:rsidRDefault="00641315" w:rsidP="00D37C62">
      <w:pPr>
        <w:pStyle w:val="Heading2"/>
      </w:pPr>
      <w:bookmarkStart w:id="5" w:name="_Toc148623400"/>
      <w:r w:rsidRPr="0076169C">
        <w:t>Growth Potential</w:t>
      </w:r>
      <w:bookmarkEnd w:id="5"/>
    </w:p>
    <w:p w14:paraId="5841ED56" w14:textId="77777777" w:rsidR="00D024AF" w:rsidRDefault="00D024AF" w:rsidP="00D024AF">
      <w:pPr>
        <w:rPr>
          <w:rFonts w:ascii="Arial" w:hAnsi="Arial" w:cs="Arial"/>
        </w:rPr>
      </w:pPr>
    </w:p>
    <w:p w14:paraId="288108E2" w14:textId="07C96F77" w:rsidR="00D024AF" w:rsidRPr="00D024AF" w:rsidRDefault="00D024AF" w:rsidP="00D024AF">
      <w:pPr>
        <w:rPr>
          <w:rFonts w:ascii="Arial" w:hAnsi="Arial" w:cs="Arial"/>
        </w:rPr>
      </w:pPr>
      <w:r w:rsidRPr="00D024AF">
        <w:rPr>
          <w:rFonts w:ascii="Arial" w:hAnsi="Arial" w:cs="Arial"/>
        </w:rPr>
        <w:t xml:space="preserve">Mandarin Oriental is all about careful selection and expansion. Each hotel is like a gem added to a crown, chosen for its ability to uphold and elevate the brand’s luxury image. They focus on opening new hotels in places with wealthy customers, and they carefully consider long-term trends to ensure their luxury appeal stays strong over time </w:t>
      </w:r>
      <w:r w:rsidR="00A52A95" w:rsidRPr="00A52A95">
        <w:rPr>
          <w:rFonts w:ascii="Arial" w:hAnsi="Arial" w:cs="Arial"/>
        </w:rPr>
        <w:t xml:space="preserve">(Kiessling, </w:t>
      </w:r>
      <w:proofErr w:type="spellStart"/>
      <w:r w:rsidR="00A52A95" w:rsidRPr="00A52A95">
        <w:rPr>
          <w:rFonts w:ascii="Arial" w:hAnsi="Arial" w:cs="Arial"/>
        </w:rPr>
        <w:t>Balekjian</w:t>
      </w:r>
      <w:proofErr w:type="spellEnd"/>
      <w:r w:rsidR="00A52A95" w:rsidRPr="00A52A95">
        <w:rPr>
          <w:rFonts w:ascii="Arial" w:hAnsi="Arial" w:cs="Arial"/>
        </w:rPr>
        <w:t xml:space="preserve"> and </w:t>
      </w:r>
      <w:proofErr w:type="spellStart"/>
      <w:r w:rsidR="00A52A95" w:rsidRPr="00A52A95">
        <w:rPr>
          <w:rFonts w:ascii="Arial" w:hAnsi="Arial" w:cs="Arial"/>
        </w:rPr>
        <w:t>Oehmichen</w:t>
      </w:r>
      <w:proofErr w:type="spellEnd"/>
      <w:r w:rsidR="00A52A95" w:rsidRPr="00A52A95">
        <w:rPr>
          <w:rFonts w:ascii="Arial" w:hAnsi="Arial" w:cs="Arial"/>
        </w:rPr>
        <w:t>, 2009)</w:t>
      </w:r>
      <w:r w:rsidRPr="00D024AF">
        <w:rPr>
          <w:rFonts w:ascii="Arial" w:hAnsi="Arial" w:cs="Arial"/>
        </w:rPr>
        <w:t>. Mandarin Oriental collaborates with luxury brands and uses the latest technology to make each guest's experience unique and personalised. They always look for ways to mix tradition with new trends to make sure every hotel is a work of art in luxury (Mandarin, 202</w:t>
      </w:r>
      <w:r w:rsidR="00A52A95">
        <w:rPr>
          <w:rFonts w:ascii="Arial" w:hAnsi="Arial" w:cs="Arial"/>
        </w:rPr>
        <w:t>3</w:t>
      </w:r>
      <w:r w:rsidRPr="00D024AF">
        <w:rPr>
          <w:rFonts w:ascii="Arial" w:hAnsi="Arial" w:cs="Arial"/>
        </w:rPr>
        <w:t>).</w:t>
      </w:r>
    </w:p>
    <w:p w14:paraId="5166A2C7" w14:textId="200676F2" w:rsidR="00D024AF" w:rsidRPr="00EF4F74" w:rsidRDefault="00D024AF" w:rsidP="00D024AF">
      <w:pPr>
        <w:rPr>
          <w:rFonts w:ascii="Arial" w:hAnsi="Arial" w:cs="Arial"/>
        </w:rPr>
      </w:pPr>
      <w:r w:rsidRPr="00D024AF">
        <w:rPr>
          <w:rFonts w:ascii="Arial" w:hAnsi="Arial" w:cs="Arial"/>
        </w:rPr>
        <w:lastRenderedPageBreak/>
        <w:t xml:space="preserve">Premier Inn, on the other hand, is known for growing quickly. They’ve got hotels in many locations thanks to their franchising approach, allowing them to open new ones at a fast pace. Their challenge is making sure that every hotel, no matter where it’s located, offers the same level of quality and value. To do this, they have standard procedures to make sure guests always know the kind of service and quality they’ll get </w:t>
      </w:r>
      <w:r w:rsidR="002C26D2" w:rsidRPr="002C26D2">
        <w:rPr>
          <w:rFonts w:ascii="Arial" w:hAnsi="Arial" w:cs="Arial"/>
        </w:rPr>
        <w:t>(Rothschild and White, 1995)</w:t>
      </w:r>
      <w:r w:rsidRPr="00D024AF">
        <w:rPr>
          <w:rFonts w:ascii="Arial" w:hAnsi="Arial" w:cs="Arial"/>
        </w:rPr>
        <w:t>. Premier Inn, on the other side, focuses on making sure their hotels are available everywhere and affordable. They use technology to make staying at their hotels convenient and use data to decide the best places to open new locations (</w:t>
      </w:r>
      <w:r w:rsidR="002C26D2">
        <w:rPr>
          <w:rFonts w:ascii="Arial" w:hAnsi="Arial" w:cs="Arial"/>
        </w:rPr>
        <w:t>Whitbread</w:t>
      </w:r>
      <w:r w:rsidRPr="00D024AF">
        <w:rPr>
          <w:rFonts w:ascii="Arial" w:hAnsi="Arial" w:cs="Arial"/>
        </w:rPr>
        <w:t>, 202</w:t>
      </w:r>
      <w:r w:rsidR="002C26D2">
        <w:rPr>
          <w:rFonts w:ascii="Arial" w:hAnsi="Arial" w:cs="Arial"/>
        </w:rPr>
        <w:t>3</w:t>
      </w:r>
      <w:r w:rsidRPr="00D024AF">
        <w:rPr>
          <w:rFonts w:ascii="Arial" w:hAnsi="Arial" w:cs="Arial"/>
        </w:rPr>
        <w:t>).</w:t>
      </w:r>
    </w:p>
    <w:p w14:paraId="7AAA1A8B" w14:textId="69C9308B" w:rsidR="00641315" w:rsidRDefault="00641315" w:rsidP="00641315">
      <w:pPr>
        <w:rPr>
          <w:rFonts w:ascii="Arial" w:hAnsi="Arial" w:cs="Arial"/>
        </w:rPr>
      </w:pPr>
      <w:r w:rsidRPr="00641315">
        <w:rPr>
          <w:rFonts w:ascii="Arial" w:hAnsi="Arial" w:cs="Arial"/>
        </w:rPr>
        <w:t xml:space="preserve">Mandarin Oriental and Premier Inn face distinct growth challenges, each echoing their brand ethos. Mandarin Oriental adopts a measured approach, meticulously selecting each new location to ensure it aligns with the brand’s aura of exclusivity and luxury. Each expansion is not just about adding numbers but enriching an esteemed portfolio. It’s a careful dance that ensures quality but also necessitates constant evolution to meet the dynamic tastes of the luxury market </w:t>
      </w:r>
      <w:r w:rsidR="002C26D2" w:rsidRPr="002C26D2">
        <w:rPr>
          <w:rFonts w:ascii="Arial" w:hAnsi="Arial" w:cs="Arial"/>
        </w:rPr>
        <w:t>(Morrison, 2022)</w:t>
      </w:r>
      <w:r w:rsidRPr="00641315">
        <w:rPr>
          <w:rFonts w:ascii="Arial" w:hAnsi="Arial" w:cs="Arial"/>
        </w:rPr>
        <w:t>. In the world of Premier Inn, growth is a fast-paced affair. Its brand echoes in numerous locations, thanks to a franchising model that favours rapid expansion. But with swift growth comes the test of consistency - ensuring every new hotel upholds the brand’s celebrated standards of quality and affordability. Every door opened is a testament to growth and a challenge to maintain the brand’s identity. In essence, Mandarin Oriental is weaving a narrative of exquisite, careful expansion, while Premier Inn is scripting a story of rapid growth tempered by the quest for quality. These distinct paths highlight a dance between the meticulous curation of luxury and the agile spread of affordability, painting a rich tapestry of the diverse growth narratives within the hospitality industry.</w:t>
      </w:r>
    </w:p>
    <w:p w14:paraId="4AC09663" w14:textId="77777777" w:rsidR="00641315" w:rsidRPr="00EF4F74" w:rsidRDefault="00641315" w:rsidP="00EF4F74">
      <w:pPr>
        <w:rPr>
          <w:rFonts w:ascii="Arial" w:hAnsi="Arial" w:cs="Arial"/>
        </w:rPr>
      </w:pPr>
    </w:p>
    <w:p w14:paraId="19AB7509" w14:textId="4D076B05" w:rsidR="00EF4F74" w:rsidRDefault="00EF4F74" w:rsidP="00D37C62">
      <w:pPr>
        <w:pStyle w:val="Heading2"/>
      </w:pPr>
      <w:bookmarkStart w:id="6" w:name="_Toc148623401"/>
      <w:r w:rsidRPr="0076169C">
        <w:t>Financial Commitment to CSR</w:t>
      </w:r>
      <w:bookmarkEnd w:id="6"/>
    </w:p>
    <w:p w14:paraId="0F78DDB6" w14:textId="77777777" w:rsidR="00D024AF" w:rsidRPr="00D024AF" w:rsidRDefault="00D024AF" w:rsidP="00D024AF"/>
    <w:p w14:paraId="28834575" w14:textId="4981D6C6" w:rsidR="00E80B35" w:rsidRPr="00E80B35" w:rsidRDefault="00E80B35" w:rsidP="00E80B35">
      <w:pPr>
        <w:rPr>
          <w:rFonts w:ascii="Arial" w:hAnsi="Arial" w:cs="Arial"/>
        </w:rPr>
      </w:pPr>
      <w:r w:rsidRPr="00E80B35">
        <w:rPr>
          <w:rFonts w:ascii="Arial" w:hAnsi="Arial" w:cs="Arial"/>
        </w:rPr>
        <w:t>Mandarin Oriental has made significant strides in CSR, blending ethical practices with its luxury image. The hotel dedicates resources to eco-friendly initiatives and community engagement, as highlighted in their recent reports (Mandarin, 2022). However, the challenge is aligning these contributions seamlessly with the brand's premium image. It's about making sure the guests and public see both the luxury and the responsibility together.</w:t>
      </w:r>
    </w:p>
    <w:p w14:paraId="7469E0B0" w14:textId="10820B2E" w:rsidR="00EF4F74" w:rsidRPr="00EF4F74" w:rsidRDefault="00E80B35" w:rsidP="00EF4F74">
      <w:pPr>
        <w:rPr>
          <w:rFonts w:ascii="Arial" w:hAnsi="Arial" w:cs="Arial"/>
        </w:rPr>
      </w:pPr>
      <w:r w:rsidRPr="00E80B35">
        <w:rPr>
          <w:rFonts w:ascii="Arial" w:hAnsi="Arial" w:cs="Arial"/>
        </w:rPr>
        <w:t xml:space="preserve">Premier Inn’s approach to CSR is more direct and built into its everyday operations. The hotel is committed to being responsible, but it faces a hurdle in making these efforts more visible. There is a need for a stronger narrative that tells the story of their practical yet impactful contributions to society and the environment, ensuring it resonates with its broad customer base </w:t>
      </w:r>
      <w:r w:rsidR="002C26D2" w:rsidRPr="002C26D2">
        <w:rPr>
          <w:rFonts w:ascii="Arial" w:hAnsi="Arial" w:cs="Arial"/>
        </w:rPr>
        <w:t>(Aronczyk, 2013)</w:t>
      </w:r>
      <w:r w:rsidRPr="00E80B35">
        <w:rPr>
          <w:rFonts w:ascii="Arial" w:hAnsi="Arial" w:cs="Arial"/>
        </w:rPr>
        <w:t>.</w:t>
      </w:r>
    </w:p>
    <w:p w14:paraId="06DB8942" w14:textId="60156ED0" w:rsidR="00EF4F74" w:rsidRDefault="00E80B35" w:rsidP="00EF4F74">
      <w:pPr>
        <w:rPr>
          <w:rFonts w:ascii="Arial" w:hAnsi="Arial" w:cs="Arial"/>
        </w:rPr>
      </w:pPr>
      <w:r w:rsidRPr="00E80B35">
        <w:rPr>
          <w:rFonts w:ascii="Arial" w:hAnsi="Arial" w:cs="Arial"/>
        </w:rPr>
        <w:t xml:space="preserve">Mandarin Oriental and Premier Inn face distinct challenges in showcasing their commitment to CSR. Mandarin Oriental, known for its luxury, is working to </w:t>
      </w:r>
      <w:r w:rsidR="00D37C62" w:rsidRPr="00E80B35">
        <w:rPr>
          <w:rFonts w:ascii="Arial" w:hAnsi="Arial" w:cs="Arial"/>
        </w:rPr>
        <w:t>intertwine</w:t>
      </w:r>
      <w:r w:rsidRPr="00E80B35">
        <w:rPr>
          <w:rFonts w:ascii="Arial" w:hAnsi="Arial" w:cs="Arial"/>
        </w:rPr>
        <w:t xml:space="preserve"> display its ethical and sustainable initiatives as core to the guest experience, making them as prominent as their upscale offerings </w:t>
      </w:r>
      <w:r w:rsidR="002C26D2" w:rsidRPr="002C26D2">
        <w:rPr>
          <w:rFonts w:ascii="Arial" w:hAnsi="Arial" w:cs="Arial"/>
        </w:rPr>
        <w:t>(Becker, 2009)</w:t>
      </w:r>
      <w:r w:rsidRPr="00E80B35">
        <w:rPr>
          <w:rFonts w:ascii="Arial" w:hAnsi="Arial" w:cs="Arial"/>
        </w:rPr>
        <w:t>. On the other side, Premier Inn is rooted in offering value and has practical, tangible CSR efforts. The challenge for Premier Inn lies in amplifying the visibility of these efforts to resonate deeply with guests and the public (</w:t>
      </w:r>
      <w:r w:rsidR="002C26D2">
        <w:rPr>
          <w:rFonts w:ascii="Arial" w:hAnsi="Arial" w:cs="Arial"/>
        </w:rPr>
        <w:t>Whitbread</w:t>
      </w:r>
      <w:r w:rsidRPr="00E80B35">
        <w:rPr>
          <w:rFonts w:ascii="Arial" w:hAnsi="Arial" w:cs="Arial"/>
        </w:rPr>
        <w:t>, 202</w:t>
      </w:r>
      <w:r w:rsidR="002C26D2">
        <w:rPr>
          <w:rFonts w:ascii="Arial" w:hAnsi="Arial" w:cs="Arial"/>
        </w:rPr>
        <w:t>3</w:t>
      </w:r>
      <w:r w:rsidRPr="00E80B35">
        <w:rPr>
          <w:rFonts w:ascii="Arial" w:hAnsi="Arial" w:cs="Arial"/>
        </w:rPr>
        <w:t xml:space="preserve">). Both brands are on a journey where effective communication is central. They aim to underline their distinct but substantial commitments to societal and environmental welfare, ensuring these efforts align harmoniously with their brand identities and are clearly visible to the world </w:t>
      </w:r>
      <w:r w:rsidR="002C26D2" w:rsidRPr="002C26D2">
        <w:rPr>
          <w:rFonts w:ascii="Arial" w:hAnsi="Arial" w:cs="Arial"/>
        </w:rPr>
        <w:t>(Innes, Dobreva and Innes, 2019)</w:t>
      </w:r>
      <w:r w:rsidRPr="00E80B35">
        <w:rPr>
          <w:rFonts w:ascii="Arial" w:hAnsi="Arial" w:cs="Arial"/>
        </w:rPr>
        <w:t>. Each hotel group's approach to CSR is as different as their market positions, yet both are pivotal in defining their contemporary brand narratives.</w:t>
      </w:r>
    </w:p>
    <w:p w14:paraId="4BDD1033" w14:textId="77777777" w:rsidR="00D37C62" w:rsidRPr="00EF4F74" w:rsidRDefault="00D37C62" w:rsidP="00EF4F74">
      <w:pPr>
        <w:rPr>
          <w:rFonts w:ascii="Arial" w:hAnsi="Arial" w:cs="Arial"/>
        </w:rPr>
      </w:pPr>
    </w:p>
    <w:p w14:paraId="70B8F10C" w14:textId="77777777" w:rsidR="0076169C" w:rsidRPr="0076169C" w:rsidRDefault="0076169C" w:rsidP="00D37C62">
      <w:pPr>
        <w:pStyle w:val="Heading1"/>
      </w:pPr>
      <w:bookmarkStart w:id="7" w:name="_Toc148623402"/>
      <w:r w:rsidRPr="0076169C">
        <w:t>Recommendations</w:t>
      </w:r>
      <w:bookmarkEnd w:id="7"/>
    </w:p>
    <w:p w14:paraId="5AAEFA2E" w14:textId="77777777" w:rsidR="00D37C62" w:rsidRDefault="00D37C62" w:rsidP="0076169C">
      <w:pPr>
        <w:rPr>
          <w:rFonts w:ascii="Arial" w:hAnsi="Arial" w:cs="Arial"/>
        </w:rPr>
      </w:pPr>
    </w:p>
    <w:p w14:paraId="18A6151A" w14:textId="7CF370DD" w:rsidR="0076169C" w:rsidRPr="0076169C" w:rsidRDefault="0076169C" w:rsidP="0076169C">
      <w:pPr>
        <w:rPr>
          <w:rFonts w:ascii="Arial" w:hAnsi="Arial" w:cs="Arial"/>
        </w:rPr>
      </w:pPr>
      <w:r w:rsidRPr="0076169C">
        <w:rPr>
          <w:rFonts w:ascii="Arial" w:hAnsi="Arial" w:cs="Arial"/>
        </w:rPr>
        <w:t>A focus on enhancing the digital experience and expanding the range of services offered could significantly benefit Mandarin Oriental. The modern traveller is seeking a seamless online interaction and a broader array of tailored offerings</w:t>
      </w:r>
      <w:r w:rsidR="002C26D2">
        <w:rPr>
          <w:rFonts w:ascii="Arial" w:hAnsi="Arial" w:cs="Arial"/>
        </w:rPr>
        <w:t xml:space="preserve"> </w:t>
      </w:r>
      <w:r w:rsidR="002C26D2" w:rsidRPr="002C26D2">
        <w:rPr>
          <w:rFonts w:ascii="Arial" w:hAnsi="Arial" w:cs="Arial"/>
        </w:rPr>
        <w:t xml:space="preserve">(And </w:t>
      </w:r>
      <w:proofErr w:type="spellStart"/>
      <w:r w:rsidR="002C26D2" w:rsidRPr="002C26D2">
        <w:rPr>
          <w:rFonts w:ascii="Arial" w:hAnsi="Arial" w:cs="Arial"/>
        </w:rPr>
        <w:t>and</w:t>
      </w:r>
      <w:proofErr w:type="spellEnd"/>
      <w:r w:rsidR="002C26D2" w:rsidRPr="002C26D2">
        <w:rPr>
          <w:rFonts w:ascii="Arial" w:hAnsi="Arial" w:cs="Arial"/>
        </w:rPr>
        <w:t xml:space="preserve"> Westbrook, 2020)</w:t>
      </w:r>
      <w:r w:rsidRPr="0076169C">
        <w:rPr>
          <w:rFonts w:ascii="Arial" w:hAnsi="Arial" w:cs="Arial"/>
        </w:rPr>
        <w:t>. By investing in a robust digital platform and diversifying the services, Mandarin Oriental could cater to these evolving needs, thus fostering customer loyalty and increasing revenue. Innovative online features and an extended menu of personalised services could make guests’ experience more memorable and distinct.</w:t>
      </w:r>
    </w:p>
    <w:p w14:paraId="0FE4911A" w14:textId="01DE0E14" w:rsidR="0076169C" w:rsidRDefault="0076169C" w:rsidP="0076169C">
      <w:pPr>
        <w:rPr>
          <w:rFonts w:ascii="Arial" w:hAnsi="Arial" w:cs="Arial"/>
        </w:rPr>
      </w:pPr>
      <w:r w:rsidRPr="0076169C">
        <w:rPr>
          <w:rFonts w:ascii="Arial" w:hAnsi="Arial" w:cs="Arial"/>
        </w:rPr>
        <w:t xml:space="preserve">For Premier Inn, a combination of operational efficiency and enriched guest experiences is crucial. Incorporating small, personalised touches can elevate the guest experience, leading to improved customer satisfaction </w:t>
      </w:r>
      <w:r w:rsidR="002C26D2" w:rsidRPr="002C26D2">
        <w:rPr>
          <w:rFonts w:ascii="Arial" w:hAnsi="Arial" w:cs="Arial"/>
        </w:rPr>
        <w:t>(Pearlman and Chacko, 2012)</w:t>
      </w:r>
      <w:r w:rsidRPr="0076169C">
        <w:rPr>
          <w:rFonts w:ascii="Arial" w:hAnsi="Arial" w:cs="Arial"/>
        </w:rPr>
        <w:t>. By maintaining its hallmark efficiency while adding elements that cater to individual guest preferences, Premier Inn can enhance its brand appeal. Implementing this strategy could attract a broader customer base and encourage repeat stays, positively impacting revenue and market share.</w:t>
      </w:r>
    </w:p>
    <w:p w14:paraId="51300A8D" w14:textId="77777777" w:rsidR="0076169C" w:rsidRDefault="0076169C" w:rsidP="0076169C">
      <w:pPr>
        <w:rPr>
          <w:rFonts w:ascii="Arial" w:hAnsi="Arial" w:cs="Arial"/>
        </w:rPr>
      </w:pPr>
    </w:p>
    <w:p w14:paraId="56A09C27" w14:textId="4E9F5295" w:rsidR="00EF4F74" w:rsidRDefault="00EF4F74" w:rsidP="00D024AF">
      <w:pPr>
        <w:pStyle w:val="Heading1"/>
      </w:pPr>
      <w:bookmarkStart w:id="8" w:name="_Toc148623403"/>
      <w:r w:rsidRPr="0076169C">
        <w:t>Conclusion</w:t>
      </w:r>
      <w:bookmarkEnd w:id="8"/>
    </w:p>
    <w:p w14:paraId="2B8554B4" w14:textId="77777777" w:rsidR="00D024AF" w:rsidRPr="00D024AF" w:rsidRDefault="00D024AF" w:rsidP="00D024AF"/>
    <w:p w14:paraId="328D2445" w14:textId="350F43C0" w:rsidR="00EF4F74" w:rsidRDefault="0076169C" w:rsidP="00EF4F74">
      <w:pPr>
        <w:rPr>
          <w:rFonts w:ascii="Arial" w:hAnsi="Arial" w:cs="Arial"/>
        </w:rPr>
      </w:pPr>
      <w:r w:rsidRPr="0076169C">
        <w:rPr>
          <w:rFonts w:ascii="Arial" w:hAnsi="Arial" w:cs="Arial"/>
        </w:rPr>
        <w:t>This analysis of Mandarin Oriental and Premier Inn underscores distinct paths within the hospitality sector. Mandarin Oriental focuses on exclusivity and luxury, while Premier Inn is anchored in affordability and efficiency. Both have showcased adaptability, facing unique challenges. Mandarin Oriental must continually innovate to align with evolving luxury trends, whereas Premier Inn’s objective is to maintain quality amidst rapid expansion. The insights gleaned are instrumental for stakeholders and offer a detailed overview of each brand’s trajectory, further illuminating the intricate dynamics of the global hospitality landscape.</w:t>
      </w:r>
    </w:p>
    <w:p w14:paraId="580A26E2" w14:textId="77777777" w:rsidR="00D024AF" w:rsidRDefault="00D024AF" w:rsidP="00E82FAB">
      <w:pPr>
        <w:pStyle w:val="Heading1"/>
        <w:rPr>
          <w:u w:val="single"/>
        </w:rPr>
      </w:pPr>
    </w:p>
    <w:p w14:paraId="65501E14" w14:textId="77777777" w:rsidR="00D024AF" w:rsidRDefault="00D024AF">
      <w:pPr>
        <w:rPr>
          <w:rFonts w:ascii="Arial" w:eastAsiaTheme="majorEastAsia" w:hAnsi="Arial" w:cstheme="majorBidi"/>
          <w:b/>
          <w:sz w:val="24"/>
          <w:szCs w:val="32"/>
          <w:u w:val="single"/>
        </w:rPr>
      </w:pPr>
      <w:r>
        <w:rPr>
          <w:u w:val="single"/>
        </w:rPr>
        <w:br w:type="page"/>
      </w:r>
    </w:p>
    <w:p w14:paraId="25F647BA" w14:textId="188299B9" w:rsidR="005651CB" w:rsidRPr="00E82FAB" w:rsidRDefault="002A0CFB" w:rsidP="00E82FAB">
      <w:pPr>
        <w:pStyle w:val="Heading1"/>
        <w:rPr>
          <w:u w:val="single"/>
        </w:rPr>
      </w:pPr>
      <w:bookmarkStart w:id="9" w:name="_Toc148623404"/>
      <w:r w:rsidRPr="00E82FAB">
        <w:rPr>
          <w:u w:val="single"/>
        </w:rPr>
        <w:lastRenderedPageBreak/>
        <w:t>References</w:t>
      </w:r>
      <w:bookmarkEnd w:id="9"/>
    </w:p>
    <w:p w14:paraId="48F501E8" w14:textId="77777777" w:rsidR="00E82FAB" w:rsidRPr="00E82FAB" w:rsidRDefault="00E82FAB" w:rsidP="00E82FAB"/>
    <w:p w14:paraId="2DFBEC49"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And, A. and Westbrook, G. (2020). </w:t>
      </w:r>
      <w:r w:rsidRPr="002C26D2">
        <w:rPr>
          <w:rFonts w:ascii="Arial" w:hAnsi="Arial" w:cs="Arial"/>
          <w:i/>
          <w:iCs/>
          <w:sz w:val="22"/>
          <w:szCs w:val="22"/>
        </w:rPr>
        <w:t>Top 10 Global Consumer Trends 2020</w:t>
      </w:r>
      <w:r w:rsidRPr="002C26D2">
        <w:rPr>
          <w:rFonts w:ascii="Arial" w:hAnsi="Arial" w:cs="Arial"/>
          <w:sz w:val="22"/>
          <w:szCs w:val="22"/>
        </w:rPr>
        <w:t>. [online] Available at: https://is.muni.cz/do/econ/sm/management_rozvoje/media/literatura/TOP_10_Global_Consumer_megatrends_2020_Euromonitor.pdf.</w:t>
      </w:r>
    </w:p>
    <w:p w14:paraId="34A483AA"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Aronczyk, M. (2013). </w:t>
      </w:r>
      <w:r w:rsidRPr="002C26D2">
        <w:rPr>
          <w:rFonts w:ascii="Arial" w:hAnsi="Arial" w:cs="Arial"/>
          <w:i/>
          <w:iCs/>
          <w:sz w:val="22"/>
          <w:szCs w:val="22"/>
        </w:rPr>
        <w:t>Branding the Nation: The Global Business of National Identity</w:t>
      </w:r>
      <w:r w:rsidRPr="002C26D2">
        <w:rPr>
          <w:rFonts w:ascii="Arial" w:hAnsi="Arial" w:cs="Arial"/>
          <w:sz w:val="22"/>
          <w:szCs w:val="22"/>
        </w:rPr>
        <w:t xml:space="preserve">. [online] </w:t>
      </w:r>
      <w:r w:rsidRPr="002C26D2">
        <w:rPr>
          <w:rFonts w:ascii="Arial" w:hAnsi="Arial" w:cs="Arial"/>
          <w:i/>
          <w:iCs/>
          <w:sz w:val="22"/>
          <w:szCs w:val="22"/>
        </w:rPr>
        <w:t>Google Books</w:t>
      </w:r>
      <w:r w:rsidRPr="002C26D2">
        <w:rPr>
          <w:rFonts w:ascii="Arial" w:hAnsi="Arial" w:cs="Arial"/>
          <w:sz w:val="22"/>
          <w:szCs w:val="22"/>
        </w:rPr>
        <w:t>. OUP USA. Available at: https://www.google.co.uk/books/edition/Branding_the_Nation/FQ8oAAAAQBAJ?hl=en&amp;gbpv=1&amp;dq=Premier+Inn+There+is+a+need+for+a+stronger+narrative+that+tells+the+story+of+their+practical+yet+impactful+contributions+to+society+and+the+environment [Accessed 19 Oct. 2023].</w:t>
      </w:r>
    </w:p>
    <w:p w14:paraId="265BCDC0"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Becker, E. (2009). </w:t>
      </w:r>
      <w:r w:rsidRPr="002C26D2">
        <w:rPr>
          <w:rFonts w:ascii="Arial" w:hAnsi="Arial" w:cs="Arial"/>
          <w:i/>
          <w:iCs/>
          <w:sz w:val="22"/>
          <w:szCs w:val="22"/>
        </w:rPr>
        <w:t>The Proximity Hotel: A case study on guest satisfaction of sustainable luxury environments - ProQuest</w:t>
      </w:r>
      <w:r w:rsidRPr="002C26D2">
        <w:rPr>
          <w:rFonts w:ascii="Arial" w:hAnsi="Arial" w:cs="Arial"/>
          <w:sz w:val="22"/>
          <w:szCs w:val="22"/>
        </w:rPr>
        <w:t>. [online] www.proquest.com. Available at: https://www.proquest.com/openview/6318fa92b86162d5aa39c287866a0012/1?pq-origsite=gscholar&amp;cbl=18750 [Accessed 19 Oct. 2023].</w:t>
      </w:r>
    </w:p>
    <w:p w14:paraId="2AF1130C"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Bower, J. (2017). Whitbread: routines and resource building on the path from brewer to retailer. </w:t>
      </w:r>
      <w:r w:rsidRPr="002C26D2">
        <w:rPr>
          <w:rFonts w:ascii="Arial" w:hAnsi="Arial" w:cs="Arial"/>
          <w:i/>
          <w:iCs/>
          <w:sz w:val="22"/>
          <w:szCs w:val="22"/>
        </w:rPr>
        <w:t>Management &amp; Organizational History</w:t>
      </w:r>
      <w:r w:rsidRPr="002C26D2">
        <w:rPr>
          <w:rFonts w:ascii="Arial" w:hAnsi="Arial" w:cs="Arial"/>
          <w:sz w:val="22"/>
          <w:szCs w:val="22"/>
        </w:rPr>
        <w:t xml:space="preserve">, 13(1), pp.1–23. </w:t>
      </w:r>
      <w:proofErr w:type="spellStart"/>
      <w:proofErr w:type="gramStart"/>
      <w:r w:rsidRPr="002C26D2">
        <w:rPr>
          <w:rFonts w:ascii="Arial" w:hAnsi="Arial" w:cs="Arial"/>
          <w:sz w:val="22"/>
          <w:szCs w:val="22"/>
        </w:rPr>
        <w:t>doi:https</w:t>
      </w:r>
      <w:proofErr w:type="spellEnd"/>
      <w:r w:rsidRPr="002C26D2">
        <w:rPr>
          <w:rFonts w:ascii="Arial" w:hAnsi="Arial" w:cs="Arial"/>
          <w:sz w:val="22"/>
          <w:szCs w:val="22"/>
        </w:rPr>
        <w:t>://doi.org/10.1080/17449359.2017.1408471</w:t>
      </w:r>
      <w:proofErr w:type="gramEnd"/>
      <w:r w:rsidRPr="002C26D2">
        <w:rPr>
          <w:rFonts w:ascii="Arial" w:hAnsi="Arial" w:cs="Arial"/>
          <w:sz w:val="22"/>
          <w:szCs w:val="22"/>
        </w:rPr>
        <w:t>.</w:t>
      </w:r>
    </w:p>
    <w:p w14:paraId="7D747418"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Camilleri, M.A. (2018). The Tourism Industry: An Overview. </w:t>
      </w:r>
      <w:r w:rsidRPr="002C26D2">
        <w:rPr>
          <w:rFonts w:ascii="Arial" w:hAnsi="Arial" w:cs="Arial"/>
          <w:i/>
          <w:iCs/>
          <w:sz w:val="22"/>
          <w:szCs w:val="22"/>
        </w:rPr>
        <w:t>Tourism, Hospitality &amp; Event Management</w:t>
      </w:r>
      <w:r w:rsidRPr="002C26D2">
        <w:rPr>
          <w:rFonts w:ascii="Arial" w:hAnsi="Arial" w:cs="Arial"/>
          <w:sz w:val="22"/>
          <w:szCs w:val="22"/>
        </w:rPr>
        <w:t>, [online] pp.3–27. Available at: https://link.springer.com/chapter/10.1007/978-3-319-49849-2_1.</w:t>
      </w:r>
    </w:p>
    <w:p w14:paraId="7796BA85"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Carmo, D.M.A.N. e (2015). </w:t>
      </w:r>
      <w:r w:rsidRPr="002C26D2">
        <w:rPr>
          <w:rFonts w:ascii="Arial" w:hAnsi="Arial" w:cs="Arial"/>
          <w:i/>
          <w:iCs/>
          <w:sz w:val="22"/>
          <w:szCs w:val="22"/>
        </w:rPr>
        <w:t>Hotel industry: an answer to the emerging trends on the global demand side of tourism</w:t>
      </w:r>
      <w:r w:rsidRPr="002C26D2">
        <w:rPr>
          <w:rFonts w:ascii="Arial" w:hAnsi="Arial" w:cs="Arial"/>
          <w:sz w:val="22"/>
          <w:szCs w:val="22"/>
        </w:rPr>
        <w:t>. [online] run.unl.pt. Available at: https://run.unl.pt/handle/10362/15594 [Accessed 19 Oct. 2023].</w:t>
      </w:r>
    </w:p>
    <w:p w14:paraId="6C7E7F9E"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Hudson, S. and Hudson, L. (2022). </w:t>
      </w:r>
      <w:r w:rsidRPr="002C26D2">
        <w:rPr>
          <w:rFonts w:ascii="Arial" w:hAnsi="Arial" w:cs="Arial"/>
          <w:i/>
          <w:iCs/>
          <w:sz w:val="22"/>
          <w:szCs w:val="22"/>
        </w:rPr>
        <w:t>Customer Service for Hospitality and Tourism</w:t>
      </w:r>
      <w:r w:rsidRPr="002C26D2">
        <w:rPr>
          <w:rFonts w:ascii="Arial" w:hAnsi="Arial" w:cs="Arial"/>
          <w:sz w:val="22"/>
          <w:szCs w:val="22"/>
        </w:rPr>
        <w:t xml:space="preserve">. [online] </w:t>
      </w:r>
      <w:r w:rsidRPr="002C26D2">
        <w:rPr>
          <w:rFonts w:ascii="Arial" w:hAnsi="Arial" w:cs="Arial"/>
          <w:i/>
          <w:iCs/>
          <w:sz w:val="22"/>
          <w:szCs w:val="22"/>
        </w:rPr>
        <w:t>Google Books</w:t>
      </w:r>
      <w:r w:rsidRPr="002C26D2">
        <w:rPr>
          <w:rFonts w:ascii="Arial" w:hAnsi="Arial" w:cs="Arial"/>
          <w:sz w:val="22"/>
          <w:szCs w:val="22"/>
        </w:rPr>
        <w:t>. Goodfellow Publishers Ltd. Available at: https://www.google.co.uk/books/edition/Customer_Service_for_Hospitality_and_Tou/POxeEAAAQBAJ?hl=en&amp;gbpv=1&amp;dq=Premier+Inn+Consistent+innovation+and+distinctive+offerings+are+central+to+keeping+its+revenue+growth+trajectory+on+an+upward+climb+&amp;pg=PP1&amp;printsec=frontcover [Accessed 19 Oct. 2023].</w:t>
      </w:r>
    </w:p>
    <w:p w14:paraId="4BF2C19D"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lastRenderedPageBreak/>
        <w:t xml:space="preserve">Innes, M., Dobreva, D. and Innes, H. (2019). Disinformation and digital influencing after terrorism: spoofing, truthing and social proofing. </w:t>
      </w:r>
      <w:r w:rsidRPr="002C26D2">
        <w:rPr>
          <w:rFonts w:ascii="Arial" w:hAnsi="Arial" w:cs="Arial"/>
          <w:i/>
          <w:iCs/>
          <w:sz w:val="22"/>
          <w:szCs w:val="22"/>
        </w:rPr>
        <w:t>Contemporary Social Science</w:t>
      </w:r>
      <w:r w:rsidRPr="002C26D2">
        <w:rPr>
          <w:rFonts w:ascii="Arial" w:hAnsi="Arial" w:cs="Arial"/>
          <w:sz w:val="22"/>
          <w:szCs w:val="22"/>
        </w:rPr>
        <w:t xml:space="preserve">, 16(2), pp.1–15. </w:t>
      </w:r>
      <w:proofErr w:type="spellStart"/>
      <w:proofErr w:type="gramStart"/>
      <w:r w:rsidRPr="002C26D2">
        <w:rPr>
          <w:rFonts w:ascii="Arial" w:hAnsi="Arial" w:cs="Arial"/>
          <w:sz w:val="22"/>
          <w:szCs w:val="22"/>
        </w:rPr>
        <w:t>doi:https</w:t>
      </w:r>
      <w:proofErr w:type="spellEnd"/>
      <w:r w:rsidRPr="002C26D2">
        <w:rPr>
          <w:rFonts w:ascii="Arial" w:hAnsi="Arial" w:cs="Arial"/>
          <w:sz w:val="22"/>
          <w:szCs w:val="22"/>
        </w:rPr>
        <w:t>://doi.org/10.1080/21582041.2019.1569714</w:t>
      </w:r>
      <w:proofErr w:type="gramEnd"/>
      <w:r w:rsidRPr="002C26D2">
        <w:rPr>
          <w:rFonts w:ascii="Arial" w:hAnsi="Arial" w:cs="Arial"/>
          <w:sz w:val="22"/>
          <w:szCs w:val="22"/>
        </w:rPr>
        <w:t>.</w:t>
      </w:r>
    </w:p>
    <w:p w14:paraId="3AFA8F8F"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Jeong, M. and </w:t>
      </w:r>
      <w:proofErr w:type="spellStart"/>
      <w:r w:rsidRPr="002C26D2">
        <w:rPr>
          <w:rFonts w:ascii="Arial" w:hAnsi="Arial" w:cs="Arial"/>
          <w:sz w:val="22"/>
          <w:szCs w:val="22"/>
        </w:rPr>
        <w:t>Kubickova</w:t>
      </w:r>
      <w:proofErr w:type="spellEnd"/>
      <w:r w:rsidRPr="002C26D2">
        <w:rPr>
          <w:rFonts w:ascii="Arial" w:hAnsi="Arial" w:cs="Arial"/>
          <w:sz w:val="22"/>
          <w:szCs w:val="22"/>
        </w:rPr>
        <w:t xml:space="preserve">, M. (2020). Do the brand and packaging matter? The case of hotel bathroom amenities. </w:t>
      </w:r>
      <w:r w:rsidRPr="002C26D2">
        <w:rPr>
          <w:rFonts w:ascii="Arial" w:hAnsi="Arial" w:cs="Arial"/>
          <w:i/>
          <w:iCs/>
          <w:sz w:val="22"/>
          <w:szCs w:val="22"/>
        </w:rPr>
        <w:t>Journal of Hospitality and Tourism Insights</w:t>
      </w:r>
      <w:r w:rsidRPr="002C26D2">
        <w:rPr>
          <w:rFonts w:ascii="Arial" w:hAnsi="Arial" w:cs="Arial"/>
          <w:sz w:val="22"/>
          <w:szCs w:val="22"/>
        </w:rPr>
        <w:t xml:space="preserve">, ahead-of-print(ahead-of-print). </w:t>
      </w:r>
      <w:proofErr w:type="spellStart"/>
      <w:proofErr w:type="gramStart"/>
      <w:r w:rsidRPr="002C26D2">
        <w:rPr>
          <w:rFonts w:ascii="Arial" w:hAnsi="Arial" w:cs="Arial"/>
          <w:sz w:val="22"/>
          <w:szCs w:val="22"/>
        </w:rPr>
        <w:t>doi:https</w:t>
      </w:r>
      <w:proofErr w:type="spellEnd"/>
      <w:r w:rsidRPr="002C26D2">
        <w:rPr>
          <w:rFonts w:ascii="Arial" w:hAnsi="Arial" w:cs="Arial"/>
          <w:sz w:val="22"/>
          <w:szCs w:val="22"/>
        </w:rPr>
        <w:t>://doi.org/10.1108/jhti-03-2020-0030</w:t>
      </w:r>
      <w:proofErr w:type="gramEnd"/>
      <w:r w:rsidRPr="002C26D2">
        <w:rPr>
          <w:rFonts w:ascii="Arial" w:hAnsi="Arial" w:cs="Arial"/>
          <w:sz w:val="22"/>
          <w:szCs w:val="22"/>
        </w:rPr>
        <w:t>.</w:t>
      </w:r>
    </w:p>
    <w:p w14:paraId="39622D87"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Kiessling, G., </w:t>
      </w:r>
      <w:proofErr w:type="spellStart"/>
      <w:r w:rsidRPr="002C26D2">
        <w:rPr>
          <w:rFonts w:ascii="Arial" w:hAnsi="Arial" w:cs="Arial"/>
          <w:sz w:val="22"/>
          <w:szCs w:val="22"/>
        </w:rPr>
        <w:t>Balekjian</w:t>
      </w:r>
      <w:proofErr w:type="spellEnd"/>
      <w:r w:rsidRPr="002C26D2">
        <w:rPr>
          <w:rFonts w:ascii="Arial" w:hAnsi="Arial" w:cs="Arial"/>
          <w:sz w:val="22"/>
          <w:szCs w:val="22"/>
        </w:rPr>
        <w:t xml:space="preserve">, C. and </w:t>
      </w:r>
      <w:proofErr w:type="spellStart"/>
      <w:r w:rsidRPr="002C26D2">
        <w:rPr>
          <w:rFonts w:ascii="Arial" w:hAnsi="Arial" w:cs="Arial"/>
          <w:sz w:val="22"/>
          <w:szCs w:val="22"/>
        </w:rPr>
        <w:t>Oehmichen</w:t>
      </w:r>
      <w:proofErr w:type="spellEnd"/>
      <w:r w:rsidRPr="002C26D2">
        <w:rPr>
          <w:rFonts w:ascii="Arial" w:hAnsi="Arial" w:cs="Arial"/>
          <w:sz w:val="22"/>
          <w:szCs w:val="22"/>
        </w:rPr>
        <w:t xml:space="preserve">, A. (2009). What credit crunch? More luxury for new money: European rising stars &amp; established markets. </w:t>
      </w:r>
      <w:r w:rsidRPr="002C26D2">
        <w:rPr>
          <w:rFonts w:ascii="Arial" w:hAnsi="Arial" w:cs="Arial"/>
          <w:i/>
          <w:iCs/>
          <w:sz w:val="22"/>
          <w:szCs w:val="22"/>
        </w:rPr>
        <w:t>Journal of Retail &amp; Leisure Property</w:t>
      </w:r>
      <w:r w:rsidRPr="002C26D2">
        <w:rPr>
          <w:rFonts w:ascii="Arial" w:hAnsi="Arial" w:cs="Arial"/>
          <w:sz w:val="22"/>
          <w:szCs w:val="22"/>
        </w:rPr>
        <w:t xml:space="preserve">, 8(1), pp.3–23. </w:t>
      </w:r>
      <w:proofErr w:type="spellStart"/>
      <w:proofErr w:type="gramStart"/>
      <w:r w:rsidRPr="002C26D2">
        <w:rPr>
          <w:rFonts w:ascii="Arial" w:hAnsi="Arial" w:cs="Arial"/>
          <w:sz w:val="22"/>
          <w:szCs w:val="22"/>
        </w:rPr>
        <w:t>doi:https</w:t>
      </w:r>
      <w:proofErr w:type="spellEnd"/>
      <w:r w:rsidRPr="002C26D2">
        <w:rPr>
          <w:rFonts w:ascii="Arial" w:hAnsi="Arial" w:cs="Arial"/>
          <w:sz w:val="22"/>
          <w:szCs w:val="22"/>
        </w:rPr>
        <w:t>://doi.org/10.1057/rlp.2008.26</w:t>
      </w:r>
      <w:proofErr w:type="gramEnd"/>
      <w:r w:rsidRPr="002C26D2">
        <w:rPr>
          <w:rFonts w:ascii="Arial" w:hAnsi="Arial" w:cs="Arial"/>
          <w:sz w:val="22"/>
          <w:szCs w:val="22"/>
        </w:rPr>
        <w:t>.</w:t>
      </w:r>
    </w:p>
    <w:p w14:paraId="06795FF3"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Mandarin (2023). </w:t>
      </w:r>
      <w:r w:rsidRPr="002C26D2">
        <w:rPr>
          <w:rFonts w:ascii="Arial" w:hAnsi="Arial" w:cs="Arial"/>
          <w:i/>
          <w:iCs/>
          <w:sz w:val="22"/>
          <w:szCs w:val="22"/>
        </w:rPr>
        <w:t>Financial Reports</w:t>
      </w:r>
      <w:r w:rsidRPr="002C26D2">
        <w:rPr>
          <w:rFonts w:ascii="Arial" w:hAnsi="Arial" w:cs="Arial"/>
          <w:sz w:val="22"/>
          <w:szCs w:val="22"/>
        </w:rPr>
        <w:t>. [online] Corporate Site. Available at: https://www.mandarinoriental.com/en/investors/financial-reports.</w:t>
      </w:r>
    </w:p>
    <w:p w14:paraId="7962A0D3"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Martin, A. (2017). An investigation into contemporary hotel general managers behaviour and activity in the context of private, franchise and chain ownership/business models. </w:t>
      </w:r>
      <w:r w:rsidRPr="002C26D2">
        <w:rPr>
          <w:rFonts w:ascii="Arial" w:hAnsi="Arial" w:cs="Arial"/>
          <w:i/>
          <w:iCs/>
          <w:sz w:val="22"/>
          <w:szCs w:val="22"/>
        </w:rPr>
        <w:t>rgu-repository.worktribe.com</w:t>
      </w:r>
      <w:r w:rsidRPr="002C26D2">
        <w:rPr>
          <w:rFonts w:ascii="Arial" w:hAnsi="Arial" w:cs="Arial"/>
          <w:sz w:val="22"/>
          <w:szCs w:val="22"/>
        </w:rPr>
        <w:t>. [online] Available at: https://rgu-repository.worktribe.com/output/248931/an-investigation-into-contemporary-hotel-general-managers-behaviour-and-activity-in-the-context-of-private-franchise-and-chain-ownershipbusiness-models [Accessed 19 Oct. 2023].</w:t>
      </w:r>
    </w:p>
    <w:p w14:paraId="57C0BDA8"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proofErr w:type="spellStart"/>
      <w:r w:rsidRPr="002C26D2">
        <w:rPr>
          <w:rFonts w:ascii="Arial" w:hAnsi="Arial" w:cs="Arial"/>
          <w:sz w:val="22"/>
          <w:szCs w:val="22"/>
        </w:rPr>
        <w:t>Mccaskey</w:t>
      </w:r>
      <w:proofErr w:type="spellEnd"/>
      <w:r w:rsidRPr="002C26D2">
        <w:rPr>
          <w:rFonts w:ascii="Arial" w:hAnsi="Arial" w:cs="Arial"/>
          <w:sz w:val="22"/>
          <w:szCs w:val="22"/>
        </w:rPr>
        <w:t xml:space="preserve">, D. (2008). </w:t>
      </w:r>
      <w:r w:rsidRPr="002C26D2">
        <w:rPr>
          <w:rFonts w:ascii="Arial" w:hAnsi="Arial" w:cs="Arial"/>
          <w:i/>
          <w:iCs/>
          <w:sz w:val="22"/>
          <w:szCs w:val="22"/>
        </w:rPr>
        <w:t>Striving to be the Best Guest Feedback Programme in the World</w:t>
      </w:r>
      <w:r w:rsidRPr="002C26D2">
        <w:rPr>
          <w:rFonts w:ascii="Arial" w:hAnsi="Arial" w:cs="Arial"/>
          <w:sz w:val="22"/>
          <w:szCs w:val="22"/>
        </w:rPr>
        <w:t>. [online] Available at: https://wivencyclopedia.org/people/McCaskey/DM-feedback-may08.pdf.</w:t>
      </w:r>
    </w:p>
    <w:p w14:paraId="1838AB61"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Morrison, A.M. (2022). </w:t>
      </w:r>
      <w:r w:rsidRPr="002C26D2">
        <w:rPr>
          <w:rFonts w:ascii="Arial" w:hAnsi="Arial" w:cs="Arial"/>
          <w:i/>
          <w:iCs/>
          <w:sz w:val="22"/>
          <w:szCs w:val="22"/>
        </w:rPr>
        <w:t>Hospitality and Travel Marketing</w:t>
      </w:r>
      <w:r w:rsidRPr="002C26D2">
        <w:rPr>
          <w:rFonts w:ascii="Arial" w:hAnsi="Arial" w:cs="Arial"/>
          <w:sz w:val="22"/>
          <w:szCs w:val="22"/>
        </w:rPr>
        <w:t xml:space="preserve">. [online] </w:t>
      </w:r>
      <w:r w:rsidRPr="002C26D2">
        <w:rPr>
          <w:rFonts w:ascii="Arial" w:hAnsi="Arial" w:cs="Arial"/>
          <w:i/>
          <w:iCs/>
          <w:sz w:val="22"/>
          <w:szCs w:val="22"/>
        </w:rPr>
        <w:t>Google Books</w:t>
      </w:r>
      <w:r w:rsidRPr="002C26D2">
        <w:rPr>
          <w:rFonts w:ascii="Arial" w:hAnsi="Arial" w:cs="Arial"/>
          <w:sz w:val="22"/>
          <w:szCs w:val="22"/>
        </w:rPr>
        <w:t>. Taylor &amp; Francis. Available at: https://www.google.co.uk/books/edition/Hospitality_and_Travel_Marketing/N6iIEAAAQBAJ?hl=en&amp;gbpv=1&amp;dq=It%E2%80%99s+a+careful+dance+that+ensures+quality+but+also+necessitates+constant+evolution+to+meet+the+dynamic+tastes+of+the+luxury+market+&amp;pg=PT18&amp;printsec=frontcover [Accessed 19 Oct. 2023].</w:t>
      </w:r>
    </w:p>
    <w:p w14:paraId="51135771"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Pearlman, D.M. and Chacko, H. (2012). The Quest for Quality Improvement: Using Six Sigma at Starwood Hotels and Resorts. </w:t>
      </w:r>
      <w:r w:rsidRPr="002C26D2">
        <w:rPr>
          <w:rFonts w:ascii="Arial" w:hAnsi="Arial" w:cs="Arial"/>
          <w:i/>
          <w:iCs/>
          <w:sz w:val="22"/>
          <w:szCs w:val="22"/>
        </w:rPr>
        <w:t>International Journal of Hospitality &amp; Tourism Administration</w:t>
      </w:r>
      <w:r w:rsidRPr="002C26D2">
        <w:rPr>
          <w:rFonts w:ascii="Arial" w:hAnsi="Arial" w:cs="Arial"/>
          <w:sz w:val="22"/>
          <w:szCs w:val="22"/>
        </w:rPr>
        <w:t xml:space="preserve">, 13(1), pp.48–66. </w:t>
      </w:r>
      <w:proofErr w:type="spellStart"/>
      <w:proofErr w:type="gramStart"/>
      <w:r w:rsidRPr="002C26D2">
        <w:rPr>
          <w:rFonts w:ascii="Arial" w:hAnsi="Arial" w:cs="Arial"/>
          <w:sz w:val="22"/>
          <w:szCs w:val="22"/>
        </w:rPr>
        <w:t>doi:https</w:t>
      </w:r>
      <w:proofErr w:type="spellEnd"/>
      <w:r w:rsidRPr="002C26D2">
        <w:rPr>
          <w:rFonts w:ascii="Arial" w:hAnsi="Arial" w:cs="Arial"/>
          <w:sz w:val="22"/>
          <w:szCs w:val="22"/>
        </w:rPr>
        <w:t>://doi.org/10.1080/15256480.2012.640212</w:t>
      </w:r>
      <w:proofErr w:type="gramEnd"/>
      <w:r w:rsidRPr="002C26D2">
        <w:rPr>
          <w:rFonts w:ascii="Arial" w:hAnsi="Arial" w:cs="Arial"/>
          <w:sz w:val="22"/>
          <w:szCs w:val="22"/>
        </w:rPr>
        <w:t>.</w:t>
      </w:r>
    </w:p>
    <w:p w14:paraId="6E0E7485"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proofErr w:type="spellStart"/>
      <w:r w:rsidRPr="002C26D2">
        <w:rPr>
          <w:rFonts w:ascii="Arial" w:hAnsi="Arial" w:cs="Arial"/>
          <w:sz w:val="22"/>
          <w:szCs w:val="22"/>
        </w:rPr>
        <w:t>Piriyakul</w:t>
      </w:r>
      <w:proofErr w:type="spellEnd"/>
      <w:r w:rsidRPr="002C26D2">
        <w:rPr>
          <w:rFonts w:ascii="Arial" w:hAnsi="Arial" w:cs="Arial"/>
          <w:sz w:val="22"/>
          <w:szCs w:val="22"/>
        </w:rPr>
        <w:t xml:space="preserve">, I. (2023). </w:t>
      </w:r>
      <w:r w:rsidRPr="002C26D2">
        <w:rPr>
          <w:rFonts w:ascii="Arial" w:hAnsi="Arial" w:cs="Arial"/>
          <w:i/>
          <w:iCs/>
          <w:sz w:val="22"/>
          <w:szCs w:val="22"/>
        </w:rPr>
        <w:t>Automated Analysis of Causal Relationships in Customer Reviews</w:t>
      </w:r>
      <w:r w:rsidRPr="002C26D2">
        <w:rPr>
          <w:rFonts w:ascii="Arial" w:hAnsi="Arial" w:cs="Arial"/>
          <w:sz w:val="22"/>
          <w:szCs w:val="22"/>
        </w:rPr>
        <w:t>. [online] www.researchsquare.com. Available at: https://www.researchsquare.com/article/rs-2944732/v1.</w:t>
      </w:r>
    </w:p>
    <w:p w14:paraId="3B9916CA"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lastRenderedPageBreak/>
        <w:t xml:space="preserve">Rothschild, M. and White, L.J. (1995). The Analytics of the Pricing of Higher Education and Other Services in Which the Customers Are Inputs. </w:t>
      </w:r>
      <w:r w:rsidRPr="002C26D2">
        <w:rPr>
          <w:rFonts w:ascii="Arial" w:hAnsi="Arial" w:cs="Arial"/>
          <w:i/>
          <w:iCs/>
          <w:sz w:val="22"/>
          <w:szCs w:val="22"/>
        </w:rPr>
        <w:t>Journal of Political Economy</w:t>
      </w:r>
      <w:r w:rsidRPr="002C26D2">
        <w:rPr>
          <w:rFonts w:ascii="Arial" w:hAnsi="Arial" w:cs="Arial"/>
          <w:sz w:val="22"/>
          <w:szCs w:val="22"/>
        </w:rPr>
        <w:t xml:space="preserve">, 103(3), pp.573–586. </w:t>
      </w:r>
      <w:proofErr w:type="spellStart"/>
      <w:proofErr w:type="gramStart"/>
      <w:r w:rsidRPr="002C26D2">
        <w:rPr>
          <w:rFonts w:ascii="Arial" w:hAnsi="Arial" w:cs="Arial"/>
          <w:sz w:val="22"/>
          <w:szCs w:val="22"/>
        </w:rPr>
        <w:t>doi:https</w:t>
      </w:r>
      <w:proofErr w:type="spellEnd"/>
      <w:r w:rsidRPr="002C26D2">
        <w:rPr>
          <w:rFonts w:ascii="Arial" w:hAnsi="Arial" w:cs="Arial"/>
          <w:sz w:val="22"/>
          <w:szCs w:val="22"/>
        </w:rPr>
        <w:t>://doi.org/10.1086/261995</w:t>
      </w:r>
      <w:proofErr w:type="gramEnd"/>
      <w:r w:rsidRPr="002C26D2">
        <w:rPr>
          <w:rFonts w:ascii="Arial" w:hAnsi="Arial" w:cs="Arial"/>
          <w:sz w:val="22"/>
          <w:szCs w:val="22"/>
        </w:rPr>
        <w:t>.</w:t>
      </w:r>
    </w:p>
    <w:p w14:paraId="7B0C229D"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proofErr w:type="spellStart"/>
      <w:r w:rsidRPr="002C26D2">
        <w:rPr>
          <w:rFonts w:ascii="Arial" w:hAnsi="Arial" w:cs="Arial"/>
          <w:sz w:val="22"/>
          <w:szCs w:val="22"/>
        </w:rPr>
        <w:t>Saltor</w:t>
      </w:r>
      <w:proofErr w:type="spellEnd"/>
      <w:r w:rsidRPr="002C26D2">
        <w:rPr>
          <w:rFonts w:ascii="Arial" w:hAnsi="Arial" w:cs="Arial"/>
          <w:sz w:val="22"/>
          <w:szCs w:val="22"/>
        </w:rPr>
        <w:t xml:space="preserve"> Clavero, M. and </w:t>
      </w:r>
      <w:proofErr w:type="spellStart"/>
      <w:r w:rsidRPr="002C26D2">
        <w:rPr>
          <w:rFonts w:ascii="Arial" w:hAnsi="Arial" w:cs="Arial"/>
          <w:sz w:val="22"/>
          <w:szCs w:val="22"/>
        </w:rPr>
        <w:t>Kukushkina</w:t>
      </w:r>
      <w:proofErr w:type="spellEnd"/>
      <w:r w:rsidRPr="002C26D2">
        <w:rPr>
          <w:rFonts w:ascii="Arial" w:hAnsi="Arial" w:cs="Arial"/>
          <w:sz w:val="22"/>
          <w:szCs w:val="22"/>
        </w:rPr>
        <w:t xml:space="preserve">, D. (2019). Financial Analysis of the Luxury Hotel Segment in Spain. </w:t>
      </w:r>
      <w:r w:rsidRPr="002C26D2">
        <w:rPr>
          <w:rFonts w:ascii="Arial" w:hAnsi="Arial" w:cs="Arial"/>
          <w:i/>
          <w:iCs/>
          <w:sz w:val="22"/>
          <w:szCs w:val="22"/>
        </w:rPr>
        <w:t>RECERCAT (</w:t>
      </w:r>
      <w:proofErr w:type="spellStart"/>
      <w:r w:rsidRPr="002C26D2">
        <w:rPr>
          <w:rFonts w:ascii="Arial" w:hAnsi="Arial" w:cs="Arial"/>
          <w:i/>
          <w:iCs/>
          <w:sz w:val="22"/>
          <w:szCs w:val="22"/>
        </w:rPr>
        <w:t>Dipòsit</w:t>
      </w:r>
      <w:proofErr w:type="spellEnd"/>
      <w:r w:rsidRPr="002C26D2">
        <w:rPr>
          <w:rFonts w:ascii="Arial" w:hAnsi="Arial" w:cs="Arial"/>
          <w:i/>
          <w:iCs/>
          <w:sz w:val="22"/>
          <w:szCs w:val="22"/>
        </w:rPr>
        <w:t xml:space="preserve"> de la </w:t>
      </w:r>
      <w:proofErr w:type="spellStart"/>
      <w:r w:rsidRPr="002C26D2">
        <w:rPr>
          <w:rFonts w:ascii="Arial" w:hAnsi="Arial" w:cs="Arial"/>
          <w:i/>
          <w:iCs/>
          <w:sz w:val="22"/>
          <w:szCs w:val="22"/>
        </w:rPr>
        <w:t>Recerca</w:t>
      </w:r>
      <w:proofErr w:type="spellEnd"/>
      <w:r w:rsidRPr="002C26D2">
        <w:rPr>
          <w:rFonts w:ascii="Arial" w:hAnsi="Arial" w:cs="Arial"/>
          <w:i/>
          <w:iCs/>
          <w:sz w:val="22"/>
          <w:szCs w:val="22"/>
        </w:rPr>
        <w:t xml:space="preserve"> de Catalunya)</w:t>
      </w:r>
      <w:r w:rsidRPr="002C26D2">
        <w:rPr>
          <w:rFonts w:ascii="Arial" w:hAnsi="Arial" w:cs="Arial"/>
          <w:sz w:val="22"/>
          <w:szCs w:val="22"/>
        </w:rPr>
        <w:t>, [online] 1(1). Available at: https://www.recercat.cat/handle/2072/358017 [Accessed 19 Oct. 2023].</w:t>
      </w:r>
    </w:p>
    <w:p w14:paraId="1B98DC12"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TATE, W.L., ELLRAM, L.M. and KIRCHOFF, J.F. (2010). CORPORATE SOCIAL RESPONSIBILITY REPORTS: A THEMATIC ANALYSIS RELATED TO SUPPLY CHAIN MANAGEMENT. </w:t>
      </w:r>
      <w:r w:rsidRPr="002C26D2">
        <w:rPr>
          <w:rFonts w:ascii="Arial" w:hAnsi="Arial" w:cs="Arial"/>
          <w:i/>
          <w:iCs/>
          <w:sz w:val="22"/>
          <w:szCs w:val="22"/>
        </w:rPr>
        <w:t>Journal of Supply Chain Management</w:t>
      </w:r>
      <w:r w:rsidRPr="002C26D2">
        <w:rPr>
          <w:rFonts w:ascii="Arial" w:hAnsi="Arial" w:cs="Arial"/>
          <w:sz w:val="22"/>
          <w:szCs w:val="22"/>
        </w:rPr>
        <w:t xml:space="preserve">, 46(1), pp.19–44. </w:t>
      </w:r>
      <w:proofErr w:type="spellStart"/>
      <w:proofErr w:type="gramStart"/>
      <w:r w:rsidRPr="002C26D2">
        <w:rPr>
          <w:rFonts w:ascii="Arial" w:hAnsi="Arial" w:cs="Arial"/>
          <w:sz w:val="22"/>
          <w:szCs w:val="22"/>
        </w:rPr>
        <w:t>doi:https</w:t>
      </w:r>
      <w:proofErr w:type="spellEnd"/>
      <w:r w:rsidRPr="002C26D2">
        <w:rPr>
          <w:rFonts w:ascii="Arial" w:hAnsi="Arial" w:cs="Arial"/>
          <w:sz w:val="22"/>
          <w:szCs w:val="22"/>
        </w:rPr>
        <w:t>://doi.org/10.1111/j.1745-493x.2009.03184.x</w:t>
      </w:r>
      <w:proofErr w:type="gramEnd"/>
      <w:r w:rsidRPr="002C26D2">
        <w:rPr>
          <w:rFonts w:ascii="Arial" w:hAnsi="Arial" w:cs="Arial"/>
          <w:sz w:val="22"/>
          <w:szCs w:val="22"/>
        </w:rPr>
        <w:t>.</w:t>
      </w:r>
    </w:p>
    <w:p w14:paraId="523F5BE8" w14:textId="77777777" w:rsidR="002C26D2" w:rsidRPr="002C26D2" w:rsidRDefault="002C26D2" w:rsidP="002C26D2">
      <w:pPr>
        <w:pStyle w:val="NormalWeb"/>
        <w:spacing w:before="0" w:beforeAutospacing="0" w:after="240" w:afterAutospacing="0" w:line="360" w:lineRule="auto"/>
        <w:rPr>
          <w:rFonts w:ascii="Arial" w:hAnsi="Arial" w:cs="Arial"/>
          <w:sz w:val="22"/>
          <w:szCs w:val="22"/>
        </w:rPr>
      </w:pPr>
      <w:r w:rsidRPr="002C26D2">
        <w:rPr>
          <w:rFonts w:ascii="Arial" w:hAnsi="Arial" w:cs="Arial"/>
          <w:sz w:val="22"/>
          <w:szCs w:val="22"/>
        </w:rPr>
        <w:t xml:space="preserve">Timothy, D. and Teye, V. (2009). </w:t>
      </w:r>
      <w:r w:rsidRPr="002C26D2">
        <w:rPr>
          <w:rFonts w:ascii="Arial" w:hAnsi="Arial" w:cs="Arial"/>
          <w:i/>
          <w:iCs/>
          <w:sz w:val="22"/>
          <w:szCs w:val="22"/>
        </w:rPr>
        <w:t>Tourism and the Lodging Sector</w:t>
      </w:r>
      <w:r w:rsidRPr="002C26D2">
        <w:rPr>
          <w:rFonts w:ascii="Arial" w:hAnsi="Arial" w:cs="Arial"/>
          <w:sz w:val="22"/>
          <w:szCs w:val="22"/>
        </w:rPr>
        <w:t xml:space="preserve">. [online] </w:t>
      </w:r>
      <w:r w:rsidRPr="002C26D2">
        <w:rPr>
          <w:rFonts w:ascii="Arial" w:hAnsi="Arial" w:cs="Arial"/>
          <w:i/>
          <w:iCs/>
          <w:sz w:val="22"/>
          <w:szCs w:val="22"/>
        </w:rPr>
        <w:t>Google Books</w:t>
      </w:r>
      <w:r w:rsidRPr="002C26D2">
        <w:rPr>
          <w:rFonts w:ascii="Arial" w:hAnsi="Arial" w:cs="Arial"/>
          <w:sz w:val="22"/>
          <w:szCs w:val="22"/>
        </w:rPr>
        <w:t>. Routledge. Available at: https://www.google.co.uk/books/edition/Tourism_and_the_Lodging_Sector/v8ssBgAAQBAJ?hl=en&amp;gbpv=1&amp;dq=Hotels+But+in+less+prosperous+times [Accessed 19 Oct. 2023].</w:t>
      </w:r>
    </w:p>
    <w:p w14:paraId="63B5A40D" w14:textId="77777777" w:rsidR="002C26D2" w:rsidRDefault="002C26D2" w:rsidP="002C26D2">
      <w:pPr>
        <w:pStyle w:val="NormalWeb"/>
        <w:spacing w:before="0" w:beforeAutospacing="0" w:after="240" w:afterAutospacing="0" w:line="360" w:lineRule="auto"/>
      </w:pPr>
      <w:r w:rsidRPr="002C26D2">
        <w:rPr>
          <w:rFonts w:ascii="Arial" w:hAnsi="Arial" w:cs="Arial"/>
          <w:sz w:val="22"/>
          <w:szCs w:val="22"/>
        </w:rPr>
        <w:t xml:space="preserve">Whitbread (2023). </w:t>
      </w:r>
      <w:r w:rsidRPr="002C26D2">
        <w:rPr>
          <w:rFonts w:ascii="Arial" w:hAnsi="Arial" w:cs="Arial"/>
          <w:i/>
          <w:iCs/>
          <w:sz w:val="22"/>
          <w:szCs w:val="22"/>
        </w:rPr>
        <w:t>Results, reports and presentations</w:t>
      </w:r>
      <w:r w:rsidRPr="002C26D2">
        <w:rPr>
          <w:rFonts w:ascii="Arial" w:hAnsi="Arial" w:cs="Arial"/>
          <w:sz w:val="22"/>
          <w:szCs w:val="22"/>
        </w:rPr>
        <w:t>. [online] Whitbread PLC. Available at: https://www.whitbread.co.uk/investors/results-reports-and-presentations</w:t>
      </w:r>
      <w:r>
        <w:t>/.</w:t>
      </w:r>
    </w:p>
    <w:p w14:paraId="3E0F927F" w14:textId="2D1D6AAD" w:rsidR="00AE37CB" w:rsidRPr="00E82FAB" w:rsidRDefault="00AE37CB" w:rsidP="005651CB">
      <w:pPr>
        <w:rPr>
          <w:rFonts w:ascii="Arial" w:hAnsi="Arial" w:cs="Arial"/>
        </w:rPr>
      </w:pPr>
    </w:p>
    <w:sectPr w:rsidR="00AE37CB" w:rsidRPr="00E82F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7D6BD" w14:textId="77777777" w:rsidR="00CC78D9" w:rsidRDefault="00CC78D9" w:rsidP="00187FA1">
      <w:pPr>
        <w:spacing w:after="0" w:line="240" w:lineRule="auto"/>
      </w:pPr>
      <w:r>
        <w:separator/>
      </w:r>
    </w:p>
  </w:endnote>
  <w:endnote w:type="continuationSeparator" w:id="0">
    <w:p w14:paraId="0631331A" w14:textId="77777777" w:rsidR="00CC78D9" w:rsidRDefault="00CC78D9" w:rsidP="00187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B3B41" w14:textId="77777777" w:rsidR="00CC78D9" w:rsidRDefault="00CC78D9" w:rsidP="00187FA1">
      <w:pPr>
        <w:spacing w:after="0" w:line="240" w:lineRule="auto"/>
      </w:pPr>
      <w:r>
        <w:separator/>
      </w:r>
    </w:p>
  </w:footnote>
  <w:footnote w:type="continuationSeparator" w:id="0">
    <w:p w14:paraId="780EFC4E" w14:textId="77777777" w:rsidR="00CC78D9" w:rsidRDefault="00CC78D9" w:rsidP="00187F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CEA"/>
    <w:rsid w:val="00187FA1"/>
    <w:rsid w:val="00262B4C"/>
    <w:rsid w:val="0029541C"/>
    <w:rsid w:val="002A0CFB"/>
    <w:rsid w:val="002C26D2"/>
    <w:rsid w:val="00326655"/>
    <w:rsid w:val="0048591C"/>
    <w:rsid w:val="005651CB"/>
    <w:rsid w:val="005C1CD5"/>
    <w:rsid w:val="00641315"/>
    <w:rsid w:val="00644B95"/>
    <w:rsid w:val="00703193"/>
    <w:rsid w:val="007419A8"/>
    <w:rsid w:val="0076169C"/>
    <w:rsid w:val="008151F6"/>
    <w:rsid w:val="00852DCB"/>
    <w:rsid w:val="008547CC"/>
    <w:rsid w:val="008F3FB0"/>
    <w:rsid w:val="008F62EE"/>
    <w:rsid w:val="00A36246"/>
    <w:rsid w:val="00A52A95"/>
    <w:rsid w:val="00A53C62"/>
    <w:rsid w:val="00AE37CB"/>
    <w:rsid w:val="00BB0944"/>
    <w:rsid w:val="00C30F7B"/>
    <w:rsid w:val="00CC78D9"/>
    <w:rsid w:val="00D024AF"/>
    <w:rsid w:val="00D15D5C"/>
    <w:rsid w:val="00D37C62"/>
    <w:rsid w:val="00D65EF3"/>
    <w:rsid w:val="00D90852"/>
    <w:rsid w:val="00E51CEA"/>
    <w:rsid w:val="00E80B35"/>
    <w:rsid w:val="00E82FAB"/>
    <w:rsid w:val="00EA52B7"/>
    <w:rsid w:val="00EF4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0AB7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FAB"/>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8151F6"/>
    <w:pPr>
      <w:keepNext/>
      <w:keepLines/>
      <w:spacing w:before="40" w:after="0"/>
      <w:outlineLvl w:val="1"/>
    </w:pPr>
    <w:rPr>
      <w:rFonts w:ascii="Arial" w:eastAsiaTheme="majorEastAsia" w:hAnsi="Arial" w:cstheme="majorBidi"/>
      <w:b/>
      <w:i/>
      <w:szCs w:val="26"/>
    </w:rPr>
  </w:style>
  <w:style w:type="paragraph" w:styleId="Heading3">
    <w:name w:val="heading 3"/>
    <w:basedOn w:val="Normal"/>
    <w:next w:val="Normal"/>
    <w:link w:val="Heading3Char"/>
    <w:uiPriority w:val="9"/>
    <w:semiHidden/>
    <w:unhideWhenUsed/>
    <w:qFormat/>
    <w:rsid w:val="00EF4F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2F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E82FAB"/>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E82FAB"/>
    <w:pPr>
      <w:outlineLvl w:val="9"/>
    </w:pPr>
    <w:rPr>
      <w:kern w:val="0"/>
      <w:lang w:val="en-US"/>
      <w14:ligatures w14:val="none"/>
    </w:rPr>
  </w:style>
  <w:style w:type="paragraph" w:styleId="TOC1">
    <w:name w:val="toc 1"/>
    <w:basedOn w:val="Normal"/>
    <w:next w:val="Normal"/>
    <w:autoRedefine/>
    <w:uiPriority w:val="39"/>
    <w:unhideWhenUsed/>
    <w:rsid w:val="00E82FAB"/>
    <w:pPr>
      <w:spacing w:after="100"/>
    </w:pPr>
  </w:style>
  <w:style w:type="character" w:styleId="Hyperlink">
    <w:name w:val="Hyperlink"/>
    <w:basedOn w:val="DefaultParagraphFont"/>
    <w:uiPriority w:val="99"/>
    <w:unhideWhenUsed/>
    <w:rsid w:val="00E82FAB"/>
    <w:rPr>
      <w:color w:val="0563C1" w:themeColor="hyperlink"/>
      <w:u w:val="single"/>
    </w:rPr>
  </w:style>
  <w:style w:type="character" w:customStyle="1" w:styleId="Heading3Char">
    <w:name w:val="Heading 3 Char"/>
    <w:basedOn w:val="DefaultParagraphFont"/>
    <w:link w:val="Heading3"/>
    <w:uiPriority w:val="9"/>
    <w:semiHidden/>
    <w:rsid w:val="00EF4F74"/>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8151F6"/>
    <w:rPr>
      <w:rFonts w:ascii="Arial" w:eastAsiaTheme="majorEastAsia" w:hAnsi="Arial" w:cstheme="majorBidi"/>
      <w:b/>
      <w:i/>
      <w:szCs w:val="26"/>
    </w:rPr>
  </w:style>
  <w:style w:type="paragraph" w:styleId="Title">
    <w:name w:val="Title"/>
    <w:basedOn w:val="Normal"/>
    <w:next w:val="Normal"/>
    <w:link w:val="TitleChar"/>
    <w:uiPriority w:val="10"/>
    <w:qFormat/>
    <w:rsid w:val="008151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1F6"/>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D024AF"/>
    <w:pPr>
      <w:spacing w:after="100"/>
      <w:ind w:left="220"/>
    </w:pPr>
  </w:style>
  <w:style w:type="paragraph" w:styleId="Header">
    <w:name w:val="header"/>
    <w:basedOn w:val="Normal"/>
    <w:link w:val="HeaderChar"/>
    <w:uiPriority w:val="99"/>
    <w:unhideWhenUsed/>
    <w:rsid w:val="00187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FA1"/>
  </w:style>
  <w:style w:type="paragraph" w:styleId="Footer">
    <w:name w:val="footer"/>
    <w:basedOn w:val="Normal"/>
    <w:link w:val="FooterChar"/>
    <w:uiPriority w:val="99"/>
    <w:unhideWhenUsed/>
    <w:rsid w:val="00187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F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11034">
      <w:bodyDiv w:val="1"/>
      <w:marLeft w:val="0"/>
      <w:marRight w:val="0"/>
      <w:marTop w:val="0"/>
      <w:marBottom w:val="0"/>
      <w:divBdr>
        <w:top w:val="none" w:sz="0" w:space="0" w:color="auto"/>
        <w:left w:val="none" w:sz="0" w:space="0" w:color="auto"/>
        <w:bottom w:val="none" w:sz="0" w:space="0" w:color="auto"/>
        <w:right w:val="none" w:sz="0" w:space="0" w:color="auto"/>
      </w:divBdr>
    </w:div>
    <w:div w:id="486555792">
      <w:bodyDiv w:val="1"/>
      <w:marLeft w:val="0"/>
      <w:marRight w:val="0"/>
      <w:marTop w:val="0"/>
      <w:marBottom w:val="0"/>
      <w:divBdr>
        <w:top w:val="none" w:sz="0" w:space="0" w:color="auto"/>
        <w:left w:val="none" w:sz="0" w:space="0" w:color="auto"/>
        <w:bottom w:val="none" w:sz="0" w:space="0" w:color="auto"/>
        <w:right w:val="none" w:sz="0" w:space="0" w:color="auto"/>
      </w:divBdr>
    </w:div>
    <w:div w:id="759377544">
      <w:bodyDiv w:val="1"/>
      <w:marLeft w:val="0"/>
      <w:marRight w:val="0"/>
      <w:marTop w:val="0"/>
      <w:marBottom w:val="0"/>
      <w:divBdr>
        <w:top w:val="none" w:sz="0" w:space="0" w:color="auto"/>
        <w:left w:val="none" w:sz="0" w:space="0" w:color="auto"/>
        <w:bottom w:val="none" w:sz="0" w:space="0" w:color="auto"/>
        <w:right w:val="none" w:sz="0" w:space="0" w:color="auto"/>
      </w:divBdr>
      <w:divsChild>
        <w:div w:id="1090852777">
          <w:marLeft w:val="0"/>
          <w:marRight w:val="0"/>
          <w:marTop w:val="0"/>
          <w:marBottom w:val="0"/>
          <w:divBdr>
            <w:top w:val="none" w:sz="0" w:space="0" w:color="auto"/>
            <w:left w:val="none" w:sz="0" w:space="0" w:color="auto"/>
            <w:bottom w:val="none" w:sz="0" w:space="0" w:color="auto"/>
            <w:right w:val="none" w:sz="0" w:space="0" w:color="auto"/>
          </w:divBdr>
        </w:div>
      </w:divsChild>
    </w:div>
    <w:div w:id="1044447552">
      <w:bodyDiv w:val="1"/>
      <w:marLeft w:val="0"/>
      <w:marRight w:val="0"/>
      <w:marTop w:val="0"/>
      <w:marBottom w:val="0"/>
      <w:divBdr>
        <w:top w:val="none" w:sz="0" w:space="0" w:color="auto"/>
        <w:left w:val="none" w:sz="0" w:space="0" w:color="auto"/>
        <w:bottom w:val="none" w:sz="0" w:space="0" w:color="auto"/>
        <w:right w:val="none" w:sz="0" w:space="0" w:color="auto"/>
      </w:divBdr>
      <w:divsChild>
        <w:div w:id="1466317353">
          <w:marLeft w:val="0"/>
          <w:marRight w:val="0"/>
          <w:marTop w:val="0"/>
          <w:marBottom w:val="0"/>
          <w:divBdr>
            <w:top w:val="single" w:sz="2" w:space="0" w:color="auto"/>
            <w:left w:val="single" w:sz="2" w:space="0" w:color="auto"/>
            <w:bottom w:val="single" w:sz="6" w:space="0" w:color="auto"/>
            <w:right w:val="single" w:sz="2" w:space="0" w:color="auto"/>
          </w:divBdr>
          <w:divsChild>
            <w:div w:id="1460032987">
              <w:marLeft w:val="0"/>
              <w:marRight w:val="0"/>
              <w:marTop w:val="100"/>
              <w:marBottom w:val="100"/>
              <w:divBdr>
                <w:top w:val="single" w:sz="2" w:space="0" w:color="D9D9E3"/>
                <w:left w:val="single" w:sz="2" w:space="0" w:color="D9D9E3"/>
                <w:bottom w:val="single" w:sz="2" w:space="0" w:color="D9D9E3"/>
                <w:right w:val="single" w:sz="2" w:space="0" w:color="D9D9E3"/>
              </w:divBdr>
              <w:divsChild>
                <w:div w:id="757138808">
                  <w:marLeft w:val="0"/>
                  <w:marRight w:val="0"/>
                  <w:marTop w:val="0"/>
                  <w:marBottom w:val="0"/>
                  <w:divBdr>
                    <w:top w:val="single" w:sz="2" w:space="0" w:color="D9D9E3"/>
                    <w:left w:val="single" w:sz="2" w:space="0" w:color="D9D9E3"/>
                    <w:bottom w:val="single" w:sz="2" w:space="0" w:color="D9D9E3"/>
                    <w:right w:val="single" w:sz="2" w:space="0" w:color="D9D9E3"/>
                  </w:divBdr>
                  <w:divsChild>
                    <w:div w:id="6872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21071">
                          <w:marLeft w:val="0"/>
                          <w:marRight w:val="0"/>
                          <w:marTop w:val="0"/>
                          <w:marBottom w:val="0"/>
                          <w:divBdr>
                            <w:top w:val="single" w:sz="2" w:space="0" w:color="D9D9E3"/>
                            <w:left w:val="single" w:sz="2" w:space="0" w:color="D9D9E3"/>
                            <w:bottom w:val="single" w:sz="2" w:space="0" w:color="D9D9E3"/>
                            <w:right w:val="single" w:sz="2" w:space="0" w:color="D9D9E3"/>
                          </w:divBdr>
                          <w:divsChild>
                            <w:div w:id="1604000279">
                              <w:marLeft w:val="0"/>
                              <w:marRight w:val="0"/>
                              <w:marTop w:val="0"/>
                              <w:marBottom w:val="0"/>
                              <w:divBdr>
                                <w:top w:val="single" w:sz="2" w:space="0" w:color="D9D9E3"/>
                                <w:left w:val="single" w:sz="2" w:space="0" w:color="D9D9E3"/>
                                <w:bottom w:val="single" w:sz="2" w:space="0" w:color="D9D9E3"/>
                                <w:right w:val="single" w:sz="2" w:space="0" w:color="D9D9E3"/>
                              </w:divBdr>
                              <w:divsChild>
                                <w:div w:id="351033372">
                                  <w:marLeft w:val="0"/>
                                  <w:marRight w:val="0"/>
                                  <w:marTop w:val="0"/>
                                  <w:marBottom w:val="0"/>
                                  <w:divBdr>
                                    <w:top w:val="single" w:sz="2" w:space="0" w:color="D9D9E3"/>
                                    <w:left w:val="single" w:sz="2" w:space="0" w:color="D9D9E3"/>
                                    <w:bottom w:val="single" w:sz="2" w:space="0" w:color="D9D9E3"/>
                                    <w:right w:val="single" w:sz="2" w:space="0" w:color="D9D9E3"/>
                                  </w:divBdr>
                                  <w:divsChild>
                                    <w:div w:id="645552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267105">
      <w:bodyDiv w:val="1"/>
      <w:marLeft w:val="0"/>
      <w:marRight w:val="0"/>
      <w:marTop w:val="0"/>
      <w:marBottom w:val="0"/>
      <w:divBdr>
        <w:top w:val="none" w:sz="0" w:space="0" w:color="auto"/>
        <w:left w:val="none" w:sz="0" w:space="0" w:color="auto"/>
        <w:bottom w:val="none" w:sz="0" w:space="0" w:color="auto"/>
        <w:right w:val="none" w:sz="0" w:space="0" w:color="auto"/>
      </w:divBdr>
      <w:divsChild>
        <w:div w:id="1574390828">
          <w:marLeft w:val="0"/>
          <w:marRight w:val="0"/>
          <w:marTop w:val="0"/>
          <w:marBottom w:val="0"/>
          <w:divBdr>
            <w:top w:val="single" w:sz="2" w:space="0" w:color="auto"/>
            <w:left w:val="single" w:sz="2" w:space="0" w:color="auto"/>
            <w:bottom w:val="single" w:sz="6" w:space="0" w:color="auto"/>
            <w:right w:val="single" w:sz="2" w:space="0" w:color="auto"/>
          </w:divBdr>
          <w:divsChild>
            <w:div w:id="1416853581">
              <w:marLeft w:val="0"/>
              <w:marRight w:val="0"/>
              <w:marTop w:val="100"/>
              <w:marBottom w:val="100"/>
              <w:divBdr>
                <w:top w:val="single" w:sz="2" w:space="0" w:color="D9D9E3"/>
                <w:left w:val="single" w:sz="2" w:space="0" w:color="D9D9E3"/>
                <w:bottom w:val="single" w:sz="2" w:space="0" w:color="D9D9E3"/>
                <w:right w:val="single" w:sz="2" w:space="0" w:color="D9D9E3"/>
              </w:divBdr>
              <w:divsChild>
                <w:div w:id="655837615">
                  <w:marLeft w:val="0"/>
                  <w:marRight w:val="0"/>
                  <w:marTop w:val="0"/>
                  <w:marBottom w:val="0"/>
                  <w:divBdr>
                    <w:top w:val="single" w:sz="2" w:space="0" w:color="D9D9E3"/>
                    <w:left w:val="single" w:sz="2" w:space="0" w:color="D9D9E3"/>
                    <w:bottom w:val="single" w:sz="2" w:space="0" w:color="D9D9E3"/>
                    <w:right w:val="single" w:sz="2" w:space="0" w:color="D9D9E3"/>
                  </w:divBdr>
                  <w:divsChild>
                    <w:div w:id="705759007">
                      <w:marLeft w:val="0"/>
                      <w:marRight w:val="0"/>
                      <w:marTop w:val="0"/>
                      <w:marBottom w:val="0"/>
                      <w:divBdr>
                        <w:top w:val="single" w:sz="2" w:space="0" w:color="D9D9E3"/>
                        <w:left w:val="single" w:sz="2" w:space="0" w:color="D9D9E3"/>
                        <w:bottom w:val="single" w:sz="2" w:space="0" w:color="D9D9E3"/>
                        <w:right w:val="single" w:sz="2" w:space="0" w:color="D9D9E3"/>
                      </w:divBdr>
                      <w:divsChild>
                        <w:div w:id="344942994">
                          <w:marLeft w:val="0"/>
                          <w:marRight w:val="0"/>
                          <w:marTop w:val="0"/>
                          <w:marBottom w:val="0"/>
                          <w:divBdr>
                            <w:top w:val="single" w:sz="2" w:space="0" w:color="D9D9E3"/>
                            <w:left w:val="single" w:sz="2" w:space="0" w:color="D9D9E3"/>
                            <w:bottom w:val="single" w:sz="2" w:space="0" w:color="D9D9E3"/>
                            <w:right w:val="single" w:sz="2" w:space="0" w:color="D9D9E3"/>
                          </w:divBdr>
                          <w:divsChild>
                            <w:div w:id="1462461501">
                              <w:marLeft w:val="0"/>
                              <w:marRight w:val="0"/>
                              <w:marTop w:val="0"/>
                              <w:marBottom w:val="0"/>
                              <w:divBdr>
                                <w:top w:val="single" w:sz="2" w:space="0" w:color="D9D9E3"/>
                                <w:left w:val="single" w:sz="2" w:space="0" w:color="D9D9E3"/>
                                <w:bottom w:val="single" w:sz="2" w:space="0" w:color="D9D9E3"/>
                                <w:right w:val="single" w:sz="2" w:space="0" w:color="D9D9E3"/>
                              </w:divBdr>
                              <w:divsChild>
                                <w:div w:id="1724258001">
                                  <w:marLeft w:val="0"/>
                                  <w:marRight w:val="0"/>
                                  <w:marTop w:val="0"/>
                                  <w:marBottom w:val="0"/>
                                  <w:divBdr>
                                    <w:top w:val="single" w:sz="2" w:space="0" w:color="D9D9E3"/>
                                    <w:left w:val="single" w:sz="2" w:space="0" w:color="D9D9E3"/>
                                    <w:bottom w:val="single" w:sz="2" w:space="0" w:color="D9D9E3"/>
                                    <w:right w:val="single" w:sz="2" w:space="0" w:color="D9D9E3"/>
                                  </w:divBdr>
                                  <w:divsChild>
                                    <w:div w:id="320237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92035140">
      <w:bodyDiv w:val="1"/>
      <w:marLeft w:val="0"/>
      <w:marRight w:val="0"/>
      <w:marTop w:val="0"/>
      <w:marBottom w:val="0"/>
      <w:divBdr>
        <w:top w:val="none" w:sz="0" w:space="0" w:color="auto"/>
        <w:left w:val="none" w:sz="0" w:space="0" w:color="auto"/>
        <w:bottom w:val="none" w:sz="0" w:space="0" w:color="auto"/>
        <w:right w:val="none" w:sz="0" w:space="0" w:color="auto"/>
      </w:divBdr>
      <w:divsChild>
        <w:div w:id="1729717574">
          <w:marLeft w:val="0"/>
          <w:marRight w:val="0"/>
          <w:marTop w:val="0"/>
          <w:marBottom w:val="0"/>
          <w:divBdr>
            <w:top w:val="none" w:sz="0" w:space="0" w:color="auto"/>
            <w:left w:val="none" w:sz="0" w:space="0" w:color="auto"/>
            <w:bottom w:val="none" w:sz="0" w:space="0" w:color="auto"/>
            <w:right w:val="none" w:sz="0" w:space="0" w:color="auto"/>
          </w:divBdr>
        </w:div>
      </w:divsChild>
    </w:div>
    <w:div w:id="1267615525">
      <w:bodyDiv w:val="1"/>
      <w:marLeft w:val="0"/>
      <w:marRight w:val="0"/>
      <w:marTop w:val="0"/>
      <w:marBottom w:val="0"/>
      <w:divBdr>
        <w:top w:val="none" w:sz="0" w:space="0" w:color="auto"/>
        <w:left w:val="none" w:sz="0" w:space="0" w:color="auto"/>
        <w:bottom w:val="none" w:sz="0" w:space="0" w:color="auto"/>
        <w:right w:val="none" w:sz="0" w:space="0" w:color="auto"/>
      </w:divBdr>
    </w:div>
    <w:div w:id="1305087142">
      <w:bodyDiv w:val="1"/>
      <w:marLeft w:val="0"/>
      <w:marRight w:val="0"/>
      <w:marTop w:val="0"/>
      <w:marBottom w:val="0"/>
      <w:divBdr>
        <w:top w:val="none" w:sz="0" w:space="0" w:color="auto"/>
        <w:left w:val="none" w:sz="0" w:space="0" w:color="auto"/>
        <w:bottom w:val="none" w:sz="0" w:space="0" w:color="auto"/>
        <w:right w:val="none" w:sz="0" w:space="0" w:color="auto"/>
      </w:divBdr>
    </w:div>
    <w:div w:id="1511487349">
      <w:bodyDiv w:val="1"/>
      <w:marLeft w:val="0"/>
      <w:marRight w:val="0"/>
      <w:marTop w:val="0"/>
      <w:marBottom w:val="0"/>
      <w:divBdr>
        <w:top w:val="none" w:sz="0" w:space="0" w:color="auto"/>
        <w:left w:val="none" w:sz="0" w:space="0" w:color="auto"/>
        <w:bottom w:val="none" w:sz="0" w:space="0" w:color="auto"/>
        <w:right w:val="none" w:sz="0" w:space="0" w:color="auto"/>
      </w:divBdr>
    </w:div>
    <w:div w:id="1564951802">
      <w:bodyDiv w:val="1"/>
      <w:marLeft w:val="0"/>
      <w:marRight w:val="0"/>
      <w:marTop w:val="0"/>
      <w:marBottom w:val="0"/>
      <w:divBdr>
        <w:top w:val="none" w:sz="0" w:space="0" w:color="auto"/>
        <w:left w:val="none" w:sz="0" w:space="0" w:color="auto"/>
        <w:bottom w:val="none" w:sz="0" w:space="0" w:color="auto"/>
        <w:right w:val="none" w:sz="0" w:space="0" w:color="auto"/>
      </w:divBdr>
      <w:divsChild>
        <w:div w:id="1517231435">
          <w:marLeft w:val="0"/>
          <w:marRight w:val="0"/>
          <w:marTop w:val="0"/>
          <w:marBottom w:val="0"/>
          <w:divBdr>
            <w:top w:val="none" w:sz="0" w:space="0" w:color="auto"/>
            <w:left w:val="none" w:sz="0" w:space="0" w:color="auto"/>
            <w:bottom w:val="none" w:sz="0" w:space="0" w:color="auto"/>
            <w:right w:val="none" w:sz="0" w:space="0" w:color="auto"/>
          </w:divBdr>
        </w:div>
      </w:divsChild>
    </w:div>
    <w:div w:id="1864516326">
      <w:bodyDiv w:val="1"/>
      <w:marLeft w:val="0"/>
      <w:marRight w:val="0"/>
      <w:marTop w:val="0"/>
      <w:marBottom w:val="0"/>
      <w:divBdr>
        <w:top w:val="none" w:sz="0" w:space="0" w:color="auto"/>
        <w:left w:val="none" w:sz="0" w:space="0" w:color="auto"/>
        <w:bottom w:val="none" w:sz="0" w:space="0" w:color="auto"/>
        <w:right w:val="none" w:sz="0" w:space="0" w:color="auto"/>
      </w:divBdr>
      <w:divsChild>
        <w:div w:id="1954088316">
          <w:marLeft w:val="0"/>
          <w:marRight w:val="0"/>
          <w:marTop w:val="0"/>
          <w:marBottom w:val="0"/>
          <w:divBdr>
            <w:top w:val="none" w:sz="0" w:space="0" w:color="auto"/>
            <w:left w:val="none" w:sz="0" w:space="0" w:color="auto"/>
            <w:bottom w:val="none" w:sz="0" w:space="0" w:color="auto"/>
            <w:right w:val="none" w:sz="0" w:space="0" w:color="auto"/>
          </w:divBdr>
        </w:div>
      </w:divsChild>
    </w:div>
    <w:div w:id="204416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04E2E-8165-4C21-9401-60BEF7338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3021</Words>
  <Characters>17221</Characters>
  <Application>Microsoft Office Word</Application>
  <DocSecurity>0</DocSecurity>
  <Lines>143</Lines>
  <Paragraphs>40</Paragraphs>
  <ScaleCrop>false</ScaleCrop>
  <Company/>
  <LinksUpToDate>false</LinksUpToDate>
  <CharactersWithSpaces>20202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2023-10-20T00:02:00Z</dcterms:created>
  <dcterms:modified xsi:type="dcterms:W3CDTF">2023-10-20T00:02:00Z</dcterms:modified>
</cp:coreProperties>
</file>