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C62C0" w14:textId="77777777" w:rsidR="002C6652" w:rsidRPr="008B1BF8" w:rsidRDefault="002C6652" w:rsidP="008B1BF8">
      <w:pPr>
        <w:spacing w:after="0" w:line="276" w:lineRule="auto"/>
        <w:ind w:firstLine="567"/>
        <w:jc w:val="center"/>
        <w:rPr>
          <w:rFonts w:ascii="Arial" w:eastAsia="Times New Roman" w:hAnsi="Arial" w:cs="Arial"/>
          <w:sz w:val="20"/>
          <w:szCs w:val="20"/>
          <w:lang w:eastAsia="en-GB"/>
        </w:rPr>
      </w:pPr>
      <w:r w:rsidRPr="008B1BF8">
        <w:rPr>
          <w:rFonts w:ascii="Arial" w:eastAsia="Times New Roman" w:hAnsi="Arial" w:cs="Arial"/>
          <w:color w:val="000000"/>
          <w:sz w:val="20"/>
          <w:szCs w:val="20"/>
          <w:lang w:eastAsia="en-GB"/>
        </w:rPr>
        <w:t>University of Wales Trinity Saint David Birmingham</w:t>
      </w:r>
    </w:p>
    <w:p w14:paraId="3A455457" w14:textId="670E225B" w:rsidR="002C6652" w:rsidRPr="008B1BF8" w:rsidRDefault="002C6652" w:rsidP="008B1BF8">
      <w:pPr>
        <w:spacing w:after="0" w:line="276" w:lineRule="auto"/>
        <w:ind w:firstLine="567"/>
        <w:jc w:val="center"/>
        <w:rPr>
          <w:rFonts w:ascii="Arial" w:hAnsi="Arial" w:cs="Arial"/>
          <w:sz w:val="20"/>
          <w:szCs w:val="20"/>
        </w:rPr>
      </w:pPr>
      <w:r w:rsidRPr="008B1BF8">
        <w:rPr>
          <w:rFonts w:ascii="Arial" w:hAnsi="Arial" w:cs="Arial"/>
          <w:sz w:val="20"/>
          <w:szCs w:val="20"/>
        </w:rPr>
        <w:t>BA</w:t>
      </w:r>
      <w:r w:rsidR="0065158B" w:rsidRPr="008B1BF8">
        <w:rPr>
          <w:rFonts w:ascii="Arial" w:hAnsi="Arial" w:cs="Arial"/>
          <w:sz w:val="20"/>
          <w:szCs w:val="20"/>
        </w:rPr>
        <w:t xml:space="preserve"> </w:t>
      </w:r>
      <w:r w:rsidRPr="008B1BF8">
        <w:rPr>
          <w:rFonts w:ascii="Arial" w:hAnsi="Arial" w:cs="Arial"/>
          <w:sz w:val="20"/>
          <w:szCs w:val="20"/>
        </w:rPr>
        <w:t xml:space="preserve"> Business Management</w:t>
      </w:r>
    </w:p>
    <w:p w14:paraId="10C1595C" w14:textId="77777777" w:rsidR="002C6652" w:rsidRPr="008B1BF8" w:rsidRDefault="002C6652" w:rsidP="008B1BF8">
      <w:pPr>
        <w:spacing w:after="0" w:line="276" w:lineRule="auto"/>
        <w:ind w:firstLine="567"/>
        <w:jc w:val="center"/>
        <w:rPr>
          <w:rFonts w:ascii="Arial" w:hAnsi="Arial" w:cs="Arial"/>
          <w:sz w:val="20"/>
          <w:szCs w:val="20"/>
        </w:rPr>
      </w:pPr>
      <w:r w:rsidRPr="008B1BF8">
        <w:rPr>
          <w:rFonts w:ascii="Arial" w:hAnsi="Arial" w:cs="Arial"/>
          <w:sz w:val="20"/>
          <w:szCs w:val="20"/>
        </w:rPr>
        <w:t>LCBB5000 Data Handling and Business Intelligence</w:t>
      </w:r>
    </w:p>
    <w:p w14:paraId="648DEA66" w14:textId="77777777" w:rsidR="002C6652" w:rsidRPr="008B1BF8" w:rsidRDefault="002C6652" w:rsidP="008B1BF8">
      <w:pPr>
        <w:spacing w:after="0" w:line="276" w:lineRule="auto"/>
        <w:ind w:firstLine="567"/>
        <w:jc w:val="center"/>
        <w:rPr>
          <w:rFonts w:ascii="Arial" w:eastAsia="Times New Roman" w:hAnsi="Arial" w:cs="Arial"/>
          <w:lang w:eastAsia="en-GB"/>
        </w:rPr>
      </w:pPr>
    </w:p>
    <w:p w14:paraId="33662BF0" w14:textId="77777777" w:rsidR="002C6652" w:rsidRPr="008B1BF8" w:rsidRDefault="002C6652" w:rsidP="008B1BF8">
      <w:pPr>
        <w:spacing w:after="0" w:line="276" w:lineRule="auto"/>
        <w:ind w:firstLine="567"/>
        <w:jc w:val="center"/>
        <w:rPr>
          <w:rFonts w:ascii="Arial" w:eastAsia="Times New Roman" w:hAnsi="Arial" w:cs="Arial"/>
          <w:lang w:eastAsia="en-GB"/>
        </w:rPr>
      </w:pPr>
    </w:p>
    <w:p w14:paraId="71B06AB4" w14:textId="77777777" w:rsidR="002C6652" w:rsidRPr="008B1BF8" w:rsidRDefault="002C6652" w:rsidP="008B1BF8">
      <w:pPr>
        <w:spacing w:after="0" w:line="276" w:lineRule="auto"/>
        <w:ind w:firstLine="567"/>
        <w:jc w:val="center"/>
        <w:rPr>
          <w:rFonts w:ascii="Arial" w:eastAsia="Times New Roman" w:hAnsi="Arial" w:cs="Arial"/>
          <w:lang w:eastAsia="en-GB"/>
        </w:rPr>
      </w:pPr>
    </w:p>
    <w:p w14:paraId="17FA7766" w14:textId="77777777" w:rsidR="002C6652" w:rsidRPr="008B1BF8" w:rsidRDefault="002C6652" w:rsidP="008B1BF8">
      <w:pPr>
        <w:spacing w:after="0" w:line="276" w:lineRule="auto"/>
        <w:ind w:firstLine="567"/>
        <w:jc w:val="center"/>
        <w:rPr>
          <w:rFonts w:ascii="Arial" w:eastAsia="Times New Roman" w:hAnsi="Arial" w:cs="Arial"/>
          <w:lang w:eastAsia="en-GB"/>
        </w:rPr>
      </w:pPr>
    </w:p>
    <w:p w14:paraId="7EC34F34" w14:textId="77777777" w:rsidR="002C6652" w:rsidRDefault="002C6652" w:rsidP="008B1BF8">
      <w:pPr>
        <w:spacing w:after="0" w:line="276" w:lineRule="auto"/>
        <w:ind w:firstLine="567"/>
        <w:jc w:val="center"/>
        <w:rPr>
          <w:rFonts w:ascii="Arial" w:eastAsia="Times New Roman" w:hAnsi="Arial" w:cs="Arial"/>
          <w:lang w:eastAsia="en-GB"/>
        </w:rPr>
      </w:pPr>
    </w:p>
    <w:p w14:paraId="232AFF3B" w14:textId="77777777" w:rsidR="008B1BF8" w:rsidRPr="008B1BF8" w:rsidRDefault="008B1BF8" w:rsidP="008B1BF8">
      <w:pPr>
        <w:spacing w:after="0" w:line="276" w:lineRule="auto"/>
        <w:ind w:firstLine="567"/>
        <w:jc w:val="center"/>
        <w:rPr>
          <w:rFonts w:ascii="Arial" w:eastAsia="Times New Roman" w:hAnsi="Arial" w:cs="Arial"/>
          <w:lang w:eastAsia="en-GB"/>
        </w:rPr>
      </w:pPr>
    </w:p>
    <w:p w14:paraId="25C28537" w14:textId="77777777" w:rsidR="002C6652" w:rsidRPr="008B1BF8" w:rsidRDefault="002C6652" w:rsidP="008B1BF8">
      <w:pPr>
        <w:spacing w:after="0" w:line="276" w:lineRule="auto"/>
        <w:ind w:firstLine="567"/>
        <w:jc w:val="center"/>
        <w:rPr>
          <w:rFonts w:ascii="Arial" w:eastAsia="Times New Roman" w:hAnsi="Arial" w:cs="Arial"/>
          <w:lang w:eastAsia="en-GB"/>
        </w:rPr>
      </w:pPr>
    </w:p>
    <w:p w14:paraId="327D4441" w14:textId="15799369" w:rsidR="002C6652" w:rsidRPr="008B1BF8" w:rsidRDefault="004E45E4" w:rsidP="008B1BF8">
      <w:pPr>
        <w:spacing w:after="0" w:line="276" w:lineRule="auto"/>
        <w:ind w:firstLine="567"/>
        <w:jc w:val="center"/>
        <w:rPr>
          <w:rFonts w:ascii="Arial" w:hAnsi="Arial" w:cs="Arial"/>
          <w:b/>
        </w:rPr>
      </w:pPr>
      <w:r w:rsidRPr="008B1BF8">
        <w:rPr>
          <w:rFonts w:ascii="Arial" w:hAnsi="Arial" w:cs="Arial"/>
          <w:b/>
          <w:sz w:val="36"/>
          <w:szCs w:val="36"/>
        </w:rPr>
        <w:t>Coursework (Written Report</w:t>
      </w:r>
      <w:r w:rsidRPr="001C0C58">
        <w:rPr>
          <w:rFonts w:ascii="Arial" w:hAnsi="Arial" w:cs="Arial"/>
          <w:b/>
          <w:sz w:val="36"/>
          <w:szCs w:val="36"/>
        </w:rPr>
        <w:t>)</w:t>
      </w:r>
      <w:r w:rsidR="002C6652" w:rsidRPr="008B1BF8">
        <w:rPr>
          <w:rFonts w:ascii="Arial" w:hAnsi="Arial" w:cs="Arial"/>
        </w:rPr>
        <w:br/>
      </w:r>
      <w:r w:rsidR="007F6DD2" w:rsidRPr="008B1BF8">
        <w:rPr>
          <w:rFonts w:ascii="Arial" w:hAnsi="Arial" w:cs="Arial"/>
          <w:b/>
        </w:rPr>
        <w:t xml:space="preserve">Part </w:t>
      </w:r>
      <w:r w:rsidR="00DE5C46" w:rsidRPr="008B1BF8">
        <w:rPr>
          <w:rFonts w:ascii="Arial" w:hAnsi="Arial" w:cs="Arial"/>
          <w:b/>
        </w:rPr>
        <w:t>2</w:t>
      </w:r>
    </w:p>
    <w:p w14:paraId="4AFE7F68" w14:textId="2C8F8A0B" w:rsidR="00CA5EC8" w:rsidRPr="008B1BF8" w:rsidRDefault="00A41D4C" w:rsidP="008B1BF8">
      <w:pPr>
        <w:spacing w:after="0" w:line="276" w:lineRule="auto"/>
        <w:ind w:firstLine="567"/>
        <w:jc w:val="center"/>
        <w:rPr>
          <w:rFonts w:ascii="Arial" w:hAnsi="Arial" w:cs="Arial"/>
          <w:b/>
        </w:rPr>
      </w:pPr>
      <w:r>
        <w:rPr>
          <w:rFonts w:ascii="Arial" w:hAnsi="Arial" w:cs="Arial"/>
          <w:b/>
        </w:rPr>
        <w:t>A</w:t>
      </w:r>
      <w:r w:rsidR="00CA5EC8" w:rsidRPr="008B1BF8">
        <w:rPr>
          <w:rFonts w:ascii="Arial" w:hAnsi="Arial" w:cs="Arial"/>
          <w:b/>
        </w:rPr>
        <w:t>dvantages and disadvantages of using SPSS, Excel or Tableau</w:t>
      </w:r>
      <w:r>
        <w:rPr>
          <w:rFonts w:ascii="Arial" w:hAnsi="Arial" w:cs="Arial"/>
          <w:b/>
        </w:rPr>
        <w:t>;</w:t>
      </w:r>
    </w:p>
    <w:p w14:paraId="22331F64" w14:textId="0738C49B" w:rsidR="00303672" w:rsidRPr="008B1BF8" w:rsidRDefault="00963DBA" w:rsidP="008B1BF8">
      <w:pPr>
        <w:spacing w:after="0" w:line="276" w:lineRule="auto"/>
        <w:ind w:firstLine="567"/>
        <w:jc w:val="center"/>
        <w:rPr>
          <w:rFonts w:ascii="Arial" w:hAnsi="Arial" w:cs="Arial"/>
          <w:b/>
        </w:rPr>
      </w:pPr>
      <w:r w:rsidRPr="008B1BF8">
        <w:rPr>
          <w:rFonts w:ascii="Arial" w:hAnsi="Arial" w:cs="Arial"/>
          <w:b/>
        </w:rPr>
        <w:t>Data Governance</w:t>
      </w:r>
    </w:p>
    <w:p w14:paraId="0AB05113" w14:textId="77777777" w:rsidR="002C6652" w:rsidRPr="008B1BF8" w:rsidRDefault="002C6652" w:rsidP="008B1BF8">
      <w:pPr>
        <w:spacing w:after="0" w:line="276" w:lineRule="auto"/>
        <w:ind w:firstLine="567"/>
        <w:jc w:val="center"/>
        <w:rPr>
          <w:rFonts w:ascii="Arial" w:eastAsia="Times New Roman" w:hAnsi="Arial" w:cs="Arial"/>
          <w:i/>
          <w:iCs/>
          <w:color w:val="000000"/>
          <w:lang w:eastAsia="en-GB"/>
        </w:rPr>
      </w:pPr>
    </w:p>
    <w:p w14:paraId="2923091D" w14:textId="77777777" w:rsidR="002C6652" w:rsidRPr="008B1BF8" w:rsidRDefault="002C6652" w:rsidP="008B1BF8">
      <w:pPr>
        <w:spacing w:after="0" w:line="276" w:lineRule="auto"/>
        <w:ind w:firstLine="567"/>
        <w:jc w:val="center"/>
        <w:rPr>
          <w:rFonts w:ascii="Arial" w:eastAsia="Times New Roman" w:hAnsi="Arial" w:cs="Arial"/>
          <w:i/>
          <w:iCs/>
          <w:color w:val="000000"/>
          <w:lang w:eastAsia="en-GB"/>
        </w:rPr>
      </w:pPr>
    </w:p>
    <w:p w14:paraId="402174C1" w14:textId="77777777" w:rsidR="002C6652" w:rsidRPr="008B1BF8" w:rsidRDefault="002C6652" w:rsidP="008B1BF8">
      <w:pPr>
        <w:spacing w:after="0" w:line="276" w:lineRule="auto"/>
        <w:ind w:firstLine="567"/>
        <w:jc w:val="center"/>
        <w:rPr>
          <w:rFonts w:ascii="Arial" w:eastAsia="Times New Roman" w:hAnsi="Arial" w:cs="Arial"/>
          <w:i/>
          <w:iCs/>
          <w:color w:val="000000"/>
          <w:lang w:eastAsia="en-GB"/>
        </w:rPr>
      </w:pPr>
    </w:p>
    <w:p w14:paraId="5E88D412" w14:textId="77777777" w:rsidR="002C6652" w:rsidRPr="008B1BF8" w:rsidRDefault="002C6652" w:rsidP="008B1BF8">
      <w:pPr>
        <w:spacing w:after="0" w:line="276" w:lineRule="auto"/>
        <w:ind w:firstLine="567"/>
        <w:jc w:val="center"/>
        <w:rPr>
          <w:rFonts w:ascii="Arial" w:eastAsia="Times New Roman" w:hAnsi="Arial" w:cs="Arial"/>
          <w:i/>
          <w:iCs/>
          <w:color w:val="000000"/>
          <w:lang w:eastAsia="en-GB"/>
        </w:rPr>
      </w:pPr>
    </w:p>
    <w:p w14:paraId="423CAD13" w14:textId="77777777" w:rsidR="002C6652" w:rsidRPr="008B1BF8" w:rsidRDefault="002C6652" w:rsidP="008B1BF8">
      <w:pPr>
        <w:spacing w:after="0" w:line="276" w:lineRule="auto"/>
        <w:ind w:firstLine="567"/>
        <w:jc w:val="center"/>
        <w:rPr>
          <w:rFonts w:ascii="Arial" w:eastAsia="Times New Roman" w:hAnsi="Arial" w:cs="Arial"/>
          <w:i/>
          <w:iCs/>
          <w:color w:val="000000"/>
          <w:lang w:eastAsia="en-GB"/>
        </w:rPr>
      </w:pPr>
    </w:p>
    <w:p w14:paraId="2CC89961" w14:textId="77777777" w:rsidR="002C6652" w:rsidRPr="008B1BF8" w:rsidRDefault="002C6652" w:rsidP="008B1BF8">
      <w:pPr>
        <w:spacing w:after="0" w:line="276" w:lineRule="auto"/>
        <w:ind w:firstLine="567"/>
        <w:jc w:val="center"/>
        <w:rPr>
          <w:rFonts w:ascii="Arial" w:eastAsia="Times New Roman" w:hAnsi="Arial" w:cs="Arial"/>
          <w:color w:val="000000"/>
          <w:lang w:eastAsia="en-GB"/>
        </w:rPr>
      </w:pPr>
    </w:p>
    <w:p w14:paraId="26B0F229" w14:textId="77777777" w:rsidR="002C6652" w:rsidRPr="008B1BF8" w:rsidRDefault="002C6652" w:rsidP="008B1BF8">
      <w:pPr>
        <w:spacing w:after="0" w:line="276" w:lineRule="auto"/>
        <w:ind w:firstLine="567"/>
        <w:jc w:val="center"/>
        <w:rPr>
          <w:rFonts w:ascii="Arial" w:eastAsia="Times New Roman" w:hAnsi="Arial" w:cs="Arial"/>
          <w:color w:val="000000"/>
          <w:lang w:eastAsia="en-GB"/>
        </w:rPr>
      </w:pPr>
    </w:p>
    <w:p w14:paraId="6D46D327" w14:textId="77777777" w:rsidR="002C6652" w:rsidRPr="008B1BF8" w:rsidRDefault="002C6652" w:rsidP="008B1BF8">
      <w:pPr>
        <w:spacing w:after="0" w:line="276" w:lineRule="auto"/>
        <w:ind w:firstLine="567"/>
        <w:jc w:val="center"/>
        <w:rPr>
          <w:rFonts w:ascii="Arial" w:eastAsia="Times New Roman" w:hAnsi="Arial" w:cs="Arial"/>
          <w:color w:val="000000"/>
          <w:lang w:eastAsia="en-GB"/>
        </w:rPr>
      </w:pPr>
    </w:p>
    <w:p w14:paraId="511F6B37" w14:textId="77777777" w:rsidR="002C6652" w:rsidRPr="008B1BF8" w:rsidRDefault="002C6652" w:rsidP="008B1BF8">
      <w:pPr>
        <w:spacing w:after="0" w:line="276" w:lineRule="auto"/>
        <w:ind w:firstLine="567"/>
        <w:jc w:val="center"/>
        <w:rPr>
          <w:rFonts w:ascii="Arial" w:eastAsia="Times New Roman" w:hAnsi="Arial" w:cs="Arial"/>
          <w:color w:val="000000"/>
          <w:lang w:eastAsia="en-GB"/>
        </w:rPr>
      </w:pPr>
    </w:p>
    <w:p w14:paraId="3D60F41F" w14:textId="77777777" w:rsidR="002C6652" w:rsidRPr="008B1BF8" w:rsidRDefault="002C6652" w:rsidP="008B1BF8">
      <w:pPr>
        <w:spacing w:after="0" w:line="276" w:lineRule="auto"/>
        <w:ind w:firstLine="567"/>
        <w:jc w:val="center"/>
        <w:rPr>
          <w:rFonts w:ascii="Arial" w:eastAsia="Times New Roman" w:hAnsi="Arial" w:cs="Arial"/>
          <w:color w:val="000000"/>
          <w:lang w:eastAsia="en-GB"/>
        </w:rPr>
      </w:pPr>
    </w:p>
    <w:p w14:paraId="3D504316"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3540A8DE"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33C201E1"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02DFA737"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0761FACD"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141EBC07"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3DC9E756"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3343AB63"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57642B3C" w14:textId="77777777" w:rsidR="008B1BF8" w:rsidRPr="008B1BF8" w:rsidRDefault="008B1BF8" w:rsidP="008B1BF8">
      <w:pPr>
        <w:spacing w:after="0" w:line="276" w:lineRule="auto"/>
        <w:ind w:firstLine="567"/>
        <w:jc w:val="center"/>
        <w:rPr>
          <w:rFonts w:ascii="Arial" w:eastAsia="Times New Roman" w:hAnsi="Arial" w:cs="Arial"/>
          <w:color w:val="000000"/>
          <w:lang w:eastAsia="en-GB"/>
        </w:rPr>
      </w:pPr>
    </w:p>
    <w:p w14:paraId="593D3C09" w14:textId="77777777" w:rsidR="008B1BF8" w:rsidRDefault="008B1BF8" w:rsidP="008B1BF8">
      <w:pPr>
        <w:spacing w:after="0" w:line="276" w:lineRule="auto"/>
        <w:ind w:firstLine="567"/>
        <w:jc w:val="center"/>
        <w:rPr>
          <w:rFonts w:ascii="Arial" w:eastAsia="Times New Roman" w:hAnsi="Arial" w:cs="Arial"/>
          <w:color w:val="000000"/>
          <w:lang w:eastAsia="en-GB"/>
        </w:rPr>
      </w:pPr>
    </w:p>
    <w:p w14:paraId="00C3CD39" w14:textId="77777777" w:rsidR="00A41D4C" w:rsidRPr="008B1BF8" w:rsidRDefault="00A41D4C" w:rsidP="008B1BF8">
      <w:pPr>
        <w:spacing w:after="0" w:line="276" w:lineRule="auto"/>
        <w:ind w:firstLine="567"/>
        <w:jc w:val="center"/>
        <w:rPr>
          <w:rFonts w:ascii="Arial" w:eastAsia="Times New Roman" w:hAnsi="Arial" w:cs="Arial"/>
          <w:color w:val="000000"/>
          <w:lang w:eastAsia="en-GB"/>
        </w:rPr>
      </w:pPr>
    </w:p>
    <w:p w14:paraId="1936784A" w14:textId="77777777" w:rsidR="008B1BF8" w:rsidRPr="00A41D4C" w:rsidRDefault="008B1BF8" w:rsidP="008B1BF8">
      <w:pPr>
        <w:spacing w:after="0" w:line="276" w:lineRule="auto"/>
        <w:ind w:firstLine="567"/>
        <w:jc w:val="center"/>
        <w:rPr>
          <w:rFonts w:ascii="Arial" w:eastAsia="Times New Roman" w:hAnsi="Arial" w:cs="Arial"/>
          <w:bCs/>
          <w:color w:val="000000"/>
          <w:lang w:eastAsia="en-GB"/>
        </w:rPr>
      </w:pPr>
    </w:p>
    <w:p w14:paraId="4B822C9E" w14:textId="77777777" w:rsidR="002C6652" w:rsidRPr="00A41D4C" w:rsidRDefault="002C6652" w:rsidP="008B1BF8">
      <w:pPr>
        <w:spacing w:after="0" w:line="276" w:lineRule="auto"/>
        <w:ind w:firstLine="567"/>
        <w:jc w:val="center"/>
        <w:rPr>
          <w:rFonts w:ascii="Arial" w:hAnsi="Arial" w:cs="Arial"/>
          <w:bCs/>
        </w:rPr>
      </w:pPr>
      <w:r w:rsidRPr="00A41D4C">
        <w:rPr>
          <w:rFonts w:ascii="Arial" w:hAnsi="Arial" w:cs="Arial"/>
          <w:bCs/>
        </w:rPr>
        <w:t>Author:   Vasile Turcanu, Student nr 2127548</w:t>
      </w:r>
    </w:p>
    <w:p w14:paraId="5BF67DB1" w14:textId="77777777" w:rsidR="002C6652" w:rsidRPr="008B1BF8" w:rsidRDefault="002C6652" w:rsidP="008B1BF8">
      <w:pPr>
        <w:spacing w:after="0" w:line="276" w:lineRule="auto"/>
        <w:ind w:firstLine="567"/>
        <w:jc w:val="center"/>
        <w:rPr>
          <w:rFonts w:ascii="Arial" w:hAnsi="Arial" w:cs="Arial"/>
          <w:bCs/>
        </w:rPr>
      </w:pPr>
      <w:r w:rsidRPr="008B1BF8">
        <w:rPr>
          <w:rFonts w:ascii="Arial" w:hAnsi="Arial" w:cs="Arial"/>
          <w:bCs/>
        </w:rPr>
        <w:t xml:space="preserve">Lecturer: Zahra </w:t>
      </w:r>
      <w:proofErr w:type="spellStart"/>
      <w:r w:rsidRPr="008B1BF8">
        <w:rPr>
          <w:rFonts w:ascii="Arial" w:hAnsi="Arial" w:cs="Arial"/>
          <w:bCs/>
        </w:rPr>
        <w:t>Mohammadnazari</w:t>
      </w:r>
      <w:proofErr w:type="spellEnd"/>
    </w:p>
    <w:p w14:paraId="42FE3FF1" w14:textId="5CC3107E" w:rsidR="008B1BF8" w:rsidRPr="008B1BF8" w:rsidRDefault="008B1BF8" w:rsidP="008B1BF8">
      <w:pPr>
        <w:spacing w:after="0" w:line="276" w:lineRule="auto"/>
        <w:ind w:firstLine="567"/>
        <w:jc w:val="center"/>
        <w:rPr>
          <w:rFonts w:ascii="Arial" w:hAnsi="Arial" w:cs="Arial"/>
          <w:b/>
        </w:rPr>
      </w:pPr>
    </w:p>
    <w:p w14:paraId="0CC3C1C2" w14:textId="77777777" w:rsidR="008B1BF8" w:rsidRPr="008B1BF8" w:rsidRDefault="008B1BF8" w:rsidP="008B1BF8">
      <w:pPr>
        <w:spacing w:after="0" w:line="276" w:lineRule="auto"/>
        <w:ind w:firstLine="567"/>
        <w:jc w:val="both"/>
        <w:rPr>
          <w:rFonts w:ascii="Arial" w:hAnsi="Arial" w:cs="Arial"/>
          <w:b/>
        </w:rPr>
      </w:pPr>
    </w:p>
    <w:p w14:paraId="36F0DAA2" w14:textId="77777777" w:rsidR="008B1BF8" w:rsidRPr="008B1BF8" w:rsidRDefault="008B1BF8" w:rsidP="008B1BF8">
      <w:pPr>
        <w:spacing w:after="0" w:line="276" w:lineRule="auto"/>
        <w:ind w:firstLine="567"/>
        <w:jc w:val="both"/>
        <w:rPr>
          <w:rFonts w:ascii="Arial" w:hAnsi="Arial" w:cs="Arial"/>
          <w:b/>
        </w:rPr>
      </w:pPr>
    </w:p>
    <w:p w14:paraId="12185D01" w14:textId="77777777" w:rsidR="008B1BF8" w:rsidRPr="008B1BF8" w:rsidRDefault="008B1BF8" w:rsidP="008B1BF8">
      <w:pPr>
        <w:spacing w:after="0" w:line="276" w:lineRule="auto"/>
        <w:ind w:firstLine="567"/>
        <w:jc w:val="both"/>
        <w:rPr>
          <w:rFonts w:ascii="Arial" w:hAnsi="Arial" w:cs="Arial"/>
          <w:b/>
        </w:rPr>
      </w:pPr>
    </w:p>
    <w:p w14:paraId="6E5EA6AD" w14:textId="77777777" w:rsidR="008B1BF8" w:rsidRPr="008B1BF8" w:rsidRDefault="008B1BF8" w:rsidP="008B1BF8">
      <w:pPr>
        <w:spacing w:after="0" w:line="276" w:lineRule="auto"/>
        <w:ind w:firstLine="567"/>
        <w:jc w:val="both"/>
        <w:rPr>
          <w:rFonts w:ascii="Arial" w:hAnsi="Arial" w:cs="Arial"/>
          <w:b/>
        </w:rPr>
      </w:pPr>
    </w:p>
    <w:p w14:paraId="2133DF93" w14:textId="77777777" w:rsidR="008B1BF8" w:rsidRPr="008B1BF8" w:rsidRDefault="008B1BF8" w:rsidP="008B1BF8">
      <w:pPr>
        <w:spacing w:after="0" w:line="276" w:lineRule="auto"/>
        <w:ind w:firstLine="567"/>
        <w:jc w:val="both"/>
        <w:rPr>
          <w:rFonts w:ascii="Arial" w:hAnsi="Arial" w:cs="Arial"/>
          <w:b/>
        </w:rPr>
      </w:pPr>
    </w:p>
    <w:p w14:paraId="5EBC3BC7" w14:textId="77777777" w:rsidR="008B1BF8" w:rsidRPr="008B1BF8" w:rsidRDefault="008B1BF8" w:rsidP="008B1BF8">
      <w:pPr>
        <w:spacing w:after="0" w:line="276" w:lineRule="auto"/>
        <w:ind w:firstLine="567"/>
        <w:jc w:val="both"/>
        <w:rPr>
          <w:rFonts w:ascii="Arial" w:hAnsi="Arial" w:cs="Arial"/>
          <w:b/>
        </w:rPr>
      </w:pPr>
    </w:p>
    <w:p w14:paraId="2E8A8C7B" w14:textId="77777777" w:rsidR="008B1BF8" w:rsidRPr="008B1BF8" w:rsidRDefault="008B1BF8" w:rsidP="008B1BF8">
      <w:pPr>
        <w:spacing w:after="0" w:line="276" w:lineRule="auto"/>
        <w:ind w:firstLine="567"/>
        <w:jc w:val="both"/>
        <w:rPr>
          <w:rFonts w:ascii="Arial" w:hAnsi="Arial" w:cs="Arial"/>
          <w:b/>
        </w:rPr>
      </w:pPr>
    </w:p>
    <w:p w14:paraId="74D5EACE" w14:textId="77777777" w:rsidR="008B1BF8" w:rsidRPr="008B1BF8" w:rsidRDefault="008B1BF8" w:rsidP="008B1BF8">
      <w:pPr>
        <w:spacing w:after="0" w:line="276" w:lineRule="auto"/>
        <w:jc w:val="both"/>
        <w:rPr>
          <w:rFonts w:ascii="Arial" w:eastAsia="Times New Roman" w:hAnsi="Arial" w:cs="Arial"/>
          <w:color w:val="000000"/>
          <w:lang w:eastAsia="en-GB"/>
        </w:rPr>
      </w:pPr>
    </w:p>
    <w:p w14:paraId="1D9FA515" w14:textId="77777777" w:rsidR="008B1BF8" w:rsidRPr="008B1BF8" w:rsidRDefault="008B1BF8"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lastRenderedPageBreak/>
        <w:t>Introduction:</w:t>
      </w:r>
    </w:p>
    <w:p w14:paraId="108CE408" w14:textId="77777777" w:rsidR="008B1BF8" w:rsidRPr="008B1BF8" w:rsidRDefault="008B1BF8"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In the ever-evolving landscape of data analysis and visualization, the choice of tools is paramount to the success of any organization. This discussion delves into the advantages and disadvantages of three widely used tools: SPSS, Excel, and Tableau, drawing insights from practical examples to illuminate their distinct functionalities and limitations.</w:t>
      </w:r>
    </w:p>
    <w:p w14:paraId="0814D2BD" w14:textId="77777777" w:rsidR="008B1BF8" w:rsidRPr="008B1BF8" w:rsidRDefault="008B1BF8"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Additionally, we explore the critical realm of Data Governance, shedding light on its importance in the context of managing and utilizing vast datasets. Through practical examples, we aim to underscore how robust Data Governance practices are pivotal for ensuring data quality, compliance, and effective decision-making within organizations. Together, these topics provide a comprehensive understanding of the tools and practices that shape the data landscape in today's dynamic business environment.</w:t>
      </w:r>
    </w:p>
    <w:p w14:paraId="3DFCC3B0" w14:textId="77777777" w:rsidR="008B1BF8" w:rsidRPr="008B1BF8" w:rsidRDefault="008B1BF8" w:rsidP="008B1BF8">
      <w:pPr>
        <w:spacing w:after="0" w:line="276" w:lineRule="auto"/>
        <w:ind w:firstLine="567"/>
        <w:jc w:val="both"/>
        <w:rPr>
          <w:rFonts w:ascii="Arial" w:eastAsia="Times New Roman" w:hAnsi="Arial" w:cs="Arial"/>
          <w:color w:val="000000"/>
          <w:lang w:eastAsia="en-GB"/>
        </w:rPr>
      </w:pPr>
    </w:p>
    <w:p w14:paraId="30720FA2" w14:textId="1F62A67C" w:rsidR="008B1BF8" w:rsidRPr="008B1BF8" w:rsidRDefault="008B1BF8" w:rsidP="008B1BF8">
      <w:pPr>
        <w:pStyle w:val="ListParagraph"/>
        <w:numPr>
          <w:ilvl w:val="0"/>
          <w:numId w:val="10"/>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First we are going to analyse SPSS, with both advantages and disadvantages</w:t>
      </w:r>
    </w:p>
    <w:p w14:paraId="6D1A8CAC" w14:textId="47695F19" w:rsidR="00BC5982" w:rsidRPr="008B1BF8" w:rsidRDefault="00BC5982" w:rsidP="008B1BF8">
      <w:pPr>
        <w:pStyle w:val="ListParagraph"/>
        <w:numPr>
          <w:ilvl w:val="0"/>
          <w:numId w:val="9"/>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Advantages:</w:t>
      </w:r>
    </w:p>
    <w:p w14:paraId="6D1A8CAD"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Advanced Statistical Analysis:</w:t>
      </w:r>
      <w:r w:rsidRPr="008B1BF8">
        <w:rPr>
          <w:rFonts w:ascii="Arial" w:eastAsia="Times New Roman" w:hAnsi="Arial" w:cs="Arial"/>
          <w:color w:val="000000"/>
          <w:lang w:eastAsia="en-GB"/>
        </w:rPr>
        <w:t xml:space="preserve"> SPSS is renowned for its advanced statistical analysis capabilities. It can perform complex statistical tests, regression analysis, factor analysis, and more. For example, in healthcare, SPSS can be used to </w:t>
      </w:r>
      <w:proofErr w:type="spellStart"/>
      <w:r w:rsidRPr="008B1BF8">
        <w:rPr>
          <w:rFonts w:ascii="Arial" w:eastAsia="Times New Roman" w:hAnsi="Arial" w:cs="Arial"/>
          <w:color w:val="000000"/>
          <w:lang w:eastAsia="en-GB"/>
        </w:rPr>
        <w:t>analyze</w:t>
      </w:r>
      <w:proofErr w:type="spellEnd"/>
      <w:r w:rsidRPr="008B1BF8">
        <w:rPr>
          <w:rFonts w:ascii="Arial" w:eastAsia="Times New Roman" w:hAnsi="Arial" w:cs="Arial"/>
          <w:color w:val="000000"/>
          <w:lang w:eastAsia="en-GB"/>
        </w:rPr>
        <w:t xml:space="preserve"> patient outcomes, conduct clinical trials, and assess the effectiveness of treatments.</w:t>
      </w:r>
    </w:p>
    <w:p w14:paraId="6D1A8CAE"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Data Visualization:</w:t>
      </w:r>
      <w:r w:rsidRPr="008B1BF8">
        <w:rPr>
          <w:rFonts w:ascii="Arial" w:eastAsia="Times New Roman" w:hAnsi="Arial" w:cs="Arial"/>
          <w:color w:val="000000"/>
          <w:lang w:eastAsia="en-GB"/>
        </w:rPr>
        <w:t xml:space="preserve"> SPSS allows for basic data visualization, including histograms, box plots, and scatterplots. This can help healthcare professionals understand data distributions and relationships. For instance, it can visualize patient data to identify trends and correlations between variables.</w:t>
      </w:r>
    </w:p>
    <w:p w14:paraId="6D1A8CAF"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Data Management:</w:t>
      </w:r>
      <w:r w:rsidRPr="008B1BF8">
        <w:rPr>
          <w:rFonts w:ascii="Arial" w:eastAsia="Times New Roman" w:hAnsi="Arial" w:cs="Arial"/>
          <w:color w:val="000000"/>
          <w:lang w:eastAsia="en-GB"/>
        </w:rPr>
        <w:t xml:space="preserve"> SPSS provides robust data management tools. It is ideal for organizing and cleaning large datasets, which is common in healthcare research. It can handle data entry, transformation, and data merging efficiently.</w:t>
      </w:r>
    </w:p>
    <w:p w14:paraId="6D1A8CB0" w14:textId="77777777" w:rsidR="00BC5982" w:rsidRPr="008B1BF8" w:rsidRDefault="00BC5982" w:rsidP="008B1BF8">
      <w:pPr>
        <w:pStyle w:val="ListParagraph"/>
        <w:numPr>
          <w:ilvl w:val="0"/>
          <w:numId w:val="9"/>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Disadvantages:</w:t>
      </w:r>
    </w:p>
    <w:p w14:paraId="6D1A8CB1"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Complexity:</w:t>
      </w:r>
      <w:r w:rsidRPr="008B1BF8">
        <w:rPr>
          <w:rFonts w:ascii="Arial" w:eastAsia="Times New Roman" w:hAnsi="Arial" w:cs="Arial"/>
          <w:color w:val="000000"/>
          <w:lang w:eastAsia="en-GB"/>
        </w:rPr>
        <w:t xml:space="preserve"> SPSS can be complex for beginners. Healthcare professionals without a background in statistics may find it challenging to use. Moreover, its interface is less intuitive compared to other tools.</w:t>
      </w:r>
    </w:p>
    <w:p w14:paraId="6D1A8CB2"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Cost:</w:t>
      </w:r>
      <w:r w:rsidRPr="008B1BF8">
        <w:rPr>
          <w:rFonts w:ascii="Arial" w:eastAsia="Times New Roman" w:hAnsi="Arial" w:cs="Arial"/>
          <w:color w:val="000000"/>
          <w:lang w:eastAsia="en-GB"/>
        </w:rPr>
        <w:t xml:space="preserve"> SPSS is a paid software, and licenses can be expensive. Smaller healthcare organizations may find it cost-prohibitive.</w:t>
      </w:r>
    </w:p>
    <w:p w14:paraId="4E3FA9FD" w14:textId="77777777" w:rsidR="008B1BF8" w:rsidRPr="008B1BF8" w:rsidRDefault="008B1BF8" w:rsidP="008B1BF8">
      <w:pPr>
        <w:pStyle w:val="ListParagraph"/>
        <w:numPr>
          <w:ilvl w:val="0"/>
          <w:numId w:val="10"/>
        </w:numPr>
        <w:spacing w:after="0" w:line="276" w:lineRule="auto"/>
        <w:ind w:left="0" w:hanging="76"/>
        <w:jc w:val="both"/>
        <w:rPr>
          <w:rFonts w:ascii="Arial" w:eastAsia="Times New Roman" w:hAnsi="Arial" w:cs="Arial"/>
          <w:color w:val="000000"/>
          <w:lang w:eastAsia="en-GB"/>
        </w:rPr>
      </w:pPr>
      <w:r w:rsidRPr="008B1BF8">
        <w:rPr>
          <w:rFonts w:ascii="Arial" w:eastAsia="Times New Roman" w:hAnsi="Arial" w:cs="Arial"/>
          <w:color w:val="000000"/>
          <w:lang w:eastAsia="en-GB"/>
        </w:rPr>
        <w:t xml:space="preserve">Microsoft Excel is a spreadsheet software program developed by Microsoft. It is part of the Microsoft Office suite, which also includes applications like Word, PowerPoint, and Outlook. Excel is primarily designed for tasks involving numerical data, calculations, and data analysis. </w:t>
      </w:r>
    </w:p>
    <w:p w14:paraId="6D1A8CB4" w14:textId="3F5C2D39" w:rsidR="00BC5982" w:rsidRPr="008B1BF8" w:rsidRDefault="00BC5982" w:rsidP="008B1BF8">
      <w:pPr>
        <w:pStyle w:val="ListParagraph"/>
        <w:numPr>
          <w:ilvl w:val="0"/>
          <w:numId w:val="9"/>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Advantages:</w:t>
      </w:r>
    </w:p>
    <w:p w14:paraId="6D1A8CB5"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Ease of Use:</w:t>
      </w:r>
      <w:r w:rsidRPr="008B1BF8">
        <w:rPr>
          <w:rFonts w:ascii="Arial" w:eastAsia="Times New Roman" w:hAnsi="Arial" w:cs="Arial"/>
          <w:color w:val="000000"/>
          <w:lang w:eastAsia="en-GB"/>
        </w:rPr>
        <w:t xml:space="preserve"> Excel is widely used and familiar to many healthcare professionals. It's easy to learn and offers basic data analysis and visualization capabilities. For example, it can be used to track patient data, manage schedules, and create simple charts for visualizing trends.</w:t>
      </w:r>
    </w:p>
    <w:p w14:paraId="6D1A8CB6"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Versatility:</w:t>
      </w:r>
      <w:r w:rsidRPr="008B1BF8">
        <w:rPr>
          <w:rFonts w:ascii="Arial" w:eastAsia="Times New Roman" w:hAnsi="Arial" w:cs="Arial"/>
          <w:color w:val="000000"/>
          <w:lang w:eastAsia="en-GB"/>
        </w:rPr>
        <w:t xml:space="preserve"> Excel is versatile, serving various functions from data entry to financial </w:t>
      </w:r>
      <w:proofErr w:type="spellStart"/>
      <w:r w:rsidRPr="008B1BF8">
        <w:rPr>
          <w:rFonts w:ascii="Arial" w:eastAsia="Times New Roman" w:hAnsi="Arial" w:cs="Arial"/>
          <w:color w:val="000000"/>
          <w:lang w:eastAsia="en-GB"/>
        </w:rPr>
        <w:t>modeling</w:t>
      </w:r>
      <w:proofErr w:type="spellEnd"/>
      <w:r w:rsidRPr="008B1BF8">
        <w:rPr>
          <w:rFonts w:ascii="Arial" w:eastAsia="Times New Roman" w:hAnsi="Arial" w:cs="Arial"/>
          <w:color w:val="000000"/>
          <w:lang w:eastAsia="en-GB"/>
        </w:rPr>
        <w:t>. It can handle a wide range of healthcare-related tasks, such as managing hospital budgets or creating patient schedules.</w:t>
      </w:r>
    </w:p>
    <w:p w14:paraId="6D1A8CB7"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Integration:</w:t>
      </w:r>
      <w:r w:rsidRPr="008B1BF8">
        <w:rPr>
          <w:rFonts w:ascii="Arial" w:eastAsia="Times New Roman" w:hAnsi="Arial" w:cs="Arial"/>
          <w:color w:val="000000"/>
          <w:lang w:eastAsia="en-GB"/>
        </w:rPr>
        <w:t xml:space="preserve"> Excel easily integrates with other Microsoft Office applications like Word and PowerPoint, making it seamless to create comprehensive healthcare reports and documents.</w:t>
      </w:r>
    </w:p>
    <w:p w14:paraId="6D1A8CB8" w14:textId="77777777" w:rsidR="00BC5982" w:rsidRPr="008B1BF8" w:rsidRDefault="00BC5982" w:rsidP="008B1BF8">
      <w:pPr>
        <w:pStyle w:val="ListParagraph"/>
        <w:numPr>
          <w:ilvl w:val="0"/>
          <w:numId w:val="9"/>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Disadvantages:</w:t>
      </w:r>
    </w:p>
    <w:p w14:paraId="6D1A8CB9"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lastRenderedPageBreak/>
        <w:t>Limited Statistical Analysis:</w:t>
      </w:r>
      <w:r w:rsidRPr="008B1BF8">
        <w:rPr>
          <w:rFonts w:ascii="Arial" w:eastAsia="Times New Roman" w:hAnsi="Arial" w:cs="Arial"/>
          <w:color w:val="000000"/>
          <w:lang w:eastAsia="en-GB"/>
        </w:rPr>
        <w:t xml:space="preserve"> Excel has limited statistical capabilities compared to dedicated statistical software like SPSS. It may not be suitable for in-depth healthcare research requiring complex statistical tests.</w:t>
      </w:r>
    </w:p>
    <w:p w14:paraId="6D1A8CBA"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Data Size Limitations:</w:t>
      </w:r>
      <w:r w:rsidRPr="008B1BF8">
        <w:rPr>
          <w:rFonts w:ascii="Arial" w:eastAsia="Times New Roman" w:hAnsi="Arial" w:cs="Arial"/>
          <w:color w:val="000000"/>
          <w:lang w:eastAsia="en-GB"/>
        </w:rPr>
        <w:t xml:space="preserve"> Excel has limitations in handling large datasets, and performance can slow down with extensive data. In healthcare, where large volumes of patient records may be involved, this can be a significant drawback.</w:t>
      </w:r>
    </w:p>
    <w:p w14:paraId="6D1A8CBB" w14:textId="652F18A3" w:rsidR="00BC5982" w:rsidRPr="008B1BF8" w:rsidRDefault="008B1BF8"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3</w:t>
      </w:r>
      <w:r w:rsidRPr="008B1BF8">
        <w:rPr>
          <w:rFonts w:ascii="Arial" w:eastAsia="Times New Roman" w:hAnsi="Arial" w:cs="Arial"/>
          <w:color w:val="000000"/>
          <w:lang w:eastAsia="en-GB"/>
        </w:rPr>
        <w:t xml:space="preserve">) </w:t>
      </w:r>
      <w:r w:rsidR="00BC5982" w:rsidRPr="008B1BF8">
        <w:rPr>
          <w:rFonts w:ascii="Arial" w:eastAsia="Times New Roman" w:hAnsi="Arial" w:cs="Arial"/>
          <w:color w:val="000000"/>
          <w:lang w:eastAsia="en-GB"/>
        </w:rPr>
        <w:t>Tableau</w:t>
      </w:r>
      <w:r>
        <w:rPr>
          <w:rFonts w:ascii="Arial" w:eastAsia="Times New Roman" w:hAnsi="Arial" w:cs="Arial"/>
          <w:color w:val="000000"/>
          <w:lang w:eastAsia="en-GB"/>
        </w:rPr>
        <w:t xml:space="preserve"> is the third software that we will analyse</w:t>
      </w:r>
    </w:p>
    <w:p w14:paraId="6D1A8CBC"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Advantages:</w:t>
      </w:r>
    </w:p>
    <w:p w14:paraId="6D1A8CBD"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Data Visualization:</w:t>
      </w:r>
      <w:r w:rsidRPr="008B1BF8">
        <w:rPr>
          <w:rFonts w:ascii="Arial" w:eastAsia="Times New Roman" w:hAnsi="Arial" w:cs="Arial"/>
          <w:color w:val="000000"/>
          <w:lang w:eastAsia="en-GB"/>
        </w:rPr>
        <w:t xml:space="preserve"> Tableau excels in data visualization. It provides a user-friendly drag-and-drop interface to create interactive and visually appealing healthcare dashboards. For example, healthcare organizations can use Tableau to visualize patient outcomes, monitor real-time data, or track hospital performance.</w:t>
      </w:r>
    </w:p>
    <w:p w14:paraId="6D1A8CBE"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Real-Time Analytics:</w:t>
      </w:r>
      <w:r w:rsidRPr="008B1BF8">
        <w:rPr>
          <w:rFonts w:ascii="Arial" w:eastAsia="Times New Roman" w:hAnsi="Arial" w:cs="Arial"/>
          <w:color w:val="000000"/>
          <w:lang w:eastAsia="en-GB"/>
        </w:rPr>
        <w:t xml:space="preserve"> Tableau allows for real-time analytics and data streaming, making it suitable for healthcare scenarios where immediate decision support is crucial. For instance, it can help monitor patient vitals or track disease outbreaks in real time.</w:t>
      </w:r>
    </w:p>
    <w:p w14:paraId="6D1A8CBF"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Data Integration:</w:t>
      </w:r>
      <w:r w:rsidRPr="008B1BF8">
        <w:rPr>
          <w:rFonts w:ascii="Arial" w:eastAsia="Times New Roman" w:hAnsi="Arial" w:cs="Arial"/>
          <w:color w:val="000000"/>
          <w:lang w:eastAsia="en-GB"/>
        </w:rPr>
        <w:t xml:space="preserve"> Tableau seamlessly integrates with various data sources, including databases and cloud services. This is valuable for healthcare organizations that store data in diverse systems.</w:t>
      </w:r>
    </w:p>
    <w:p w14:paraId="6D1A8CC0"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Disadvantages:</w:t>
      </w:r>
    </w:p>
    <w:p w14:paraId="6D1A8CC1"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Learning Curve:</w:t>
      </w:r>
      <w:r w:rsidRPr="008B1BF8">
        <w:rPr>
          <w:rFonts w:ascii="Arial" w:eastAsia="Times New Roman" w:hAnsi="Arial" w:cs="Arial"/>
          <w:color w:val="000000"/>
          <w:lang w:eastAsia="en-GB"/>
        </w:rPr>
        <w:t xml:space="preserve"> Tableau has a learning curve, especially for advanced features. Healthcare professionals may need training to harness its full potential.</w:t>
      </w:r>
    </w:p>
    <w:p w14:paraId="6D1A8CC2"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Cost:</w:t>
      </w:r>
      <w:r w:rsidRPr="008B1BF8">
        <w:rPr>
          <w:rFonts w:ascii="Arial" w:eastAsia="Times New Roman" w:hAnsi="Arial" w:cs="Arial"/>
          <w:color w:val="000000"/>
          <w:lang w:eastAsia="en-GB"/>
        </w:rPr>
        <w:t xml:space="preserve"> Tableau can be expensive, particularly for enterprise-level features. Smaller healthcare organizations may need to carefully consider the return on investment.</w:t>
      </w:r>
    </w:p>
    <w:p w14:paraId="6D1A8CC3"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In conclusion, the choice between SPSS, Excel, and Tableau depends on the specific needs of healthcare organizations. SPSS is ideal for in-depth statistical analysis, Excel is versatile and user-friendly for basic tasks, and Tableau excels in data visualization and real-time analytics. Ultimately, the decision should be guided by the organization's goals, budget, and the skills of its healthcare professionals. Many healthcare organizations use a combination of these tools to address diverse data needs.</w:t>
      </w:r>
    </w:p>
    <w:p w14:paraId="1ED13DEB" w14:textId="77777777" w:rsidR="008B1BF8" w:rsidRDefault="008B1BF8" w:rsidP="008B1BF8">
      <w:pPr>
        <w:spacing w:after="0" w:line="276" w:lineRule="auto"/>
        <w:ind w:firstLine="567"/>
        <w:jc w:val="both"/>
        <w:rPr>
          <w:rFonts w:ascii="Arial" w:eastAsia="Times New Roman" w:hAnsi="Arial" w:cs="Arial"/>
          <w:color w:val="000000"/>
          <w:lang w:eastAsia="en-GB"/>
        </w:rPr>
      </w:pPr>
    </w:p>
    <w:p w14:paraId="6D1A8CC5" w14:textId="65C08CEB"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B)</w:t>
      </w:r>
      <w:r w:rsidR="008B1BF8">
        <w:rPr>
          <w:rFonts w:ascii="Arial" w:eastAsia="Times New Roman" w:hAnsi="Arial" w:cs="Arial"/>
          <w:color w:val="000000"/>
          <w:lang w:eastAsia="en-GB"/>
        </w:rPr>
        <w:t xml:space="preserve"> </w:t>
      </w:r>
      <w:r w:rsidRPr="008B1BF8">
        <w:rPr>
          <w:rFonts w:ascii="Arial" w:eastAsia="Times New Roman" w:hAnsi="Arial" w:cs="Arial"/>
          <w:b/>
          <w:bCs/>
          <w:color w:val="000000"/>
          <w:lang w:eastAsia="en-GB"/>
        </w:rPr>
        <w:t>Importance of Data Governance</w:t>
      </w:r>
    </w:p>
    <w:p w14:paraId="6D1A8CC6"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Data governance is a critical aspect of managing healthcare data, ensuring its quality, security, compliance, and effective use. Here are key reasons why data governance is essential in the healthcare sector with examples to illustrate its significance:</w:t>
      </w:r>
    </w:p>
    <w:p w14:paraId="6D1A8CC7"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1. Data Quality and Accuracy:</w:t>
      </w:r>
    </w:p>
    <w:p w14:paraId="6D1A8CC8"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Data governance ensures that healthcare data is accurate and reliable. Inaccurate data can lead to misdiagnoses, incorrect treatment, and poor patient outcomes. For example, if a patient's allergy information is incorrect or incomplete, it can lead to severe allergic reactions when administering medication. Data governance practices, such as data validation and verification, can prevent such errors.</w:t>
      </w:r>
    </w:p>
    <w:p w14:paraId="6D1A8CC9"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2. Regulatory Compliance:</w:t>
      </w:r>
    </w:p>
    <w:p w14:paraId="6D1A8CCA" w14:textId="06ECFE10"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The healthcare industry is heavily regulated with laws like HIPAA (Health Insurance Portability and Accountability Act). Data governance helps healthcare organizations comply with these regulations. For example, HIPAA mandates strict privacy and security rules for patient data. Data governance policies and procedures, such as access controls and audit trails, help organizations adhere to these regulations and avoid costly penalties.</w:t>
      </w:r>
    </w:p>
    <w:p w14:paraId="6D1A8CCB"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3. Data Security:</w:t>
      </w:r>
    </w:p>
    <w:p w14:paraId="6D1A8CCC"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lastRenderedPageBreak/>
        <w:t>Protecting patient data from breaches and cyberattacks is a top priority. Data governance includes security measures like encryption, access controls, and regular security audits. A breach can have devastating consequences, as seen in the 2015 Anthem data breach, which exposed the personal information of nearly 80 million individuals.</w:t>
      </w:r>
    </w:p>
    <w:p w14:paraId="6D1A8CCD"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4. Improved Patient Care:</w:t>
      </w:r>
    </w:p>
    <w:p w14:paraId="6D1A8CCE"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Data governance facilitates the sharing of patient data across healthcare providers, leading to better-coordinated care. For instance, a patient's electronic health record (EHR) can be accessed by various specialists, ensuring that they have the complete medical history and can make more informed treatment decisions.</w:t>
      </w:r>
    </w:p>
    <w:p w14:paraId="6D1A8CCF"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5. Operational Efficiency:</w:t>
      </w:r>
    </w:p>
    <w:p w14:paraId="6D1A8CD0"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Efficient data management reduces administrative burdens and allows healthcare professionals to focus on patient care. Data governance streamlines data entry, storage, retrieval, and sharing processes. For example, proper data governance can minimize duplicate patient records, which can be a common issue in healthcare systems.</w:t>
      </w:r>
    </w:p>
    <w:p w14:paraId="6D1A8CD1"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6. Research and Analytics:</w:t>
      </w:r>
    </w:p>
    <w:p w14:paraId="6D1A8CD2"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Data governance ensures that researchers and analysts have access to high-quality, structured data for medical research and healthcare analytics. This is critical for identifying trends, conducting clinical trials, and advancing medical knowledge. For example, data governance in a healthcare organization's research department ensures that clinical trial data is standardized and secure, enabling researchers to draw meaningful insights.</w:t>
      </w:r>
    </w:p>
    <w:p w14:paraId="6D1A8CD3"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7. Data Retention and Disposal:</w:t>
      </w:r>
    </w:p>
    <w:p w14:paraId="6D1A8CD4"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Healthcare data can accumulate rapidly. Data governance helps establish policies for data retention and disposal. This ensures that healthcare organizations retain data for the necessary duration while also disposing of data that is no longer needed, reducing storage costs and minimizing the risk of data breaches.</w:t>
      </w:r>
    </w:p>
    <w:p w14:paraId="6D1A8CD5"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8. Financial Management:</w:t>
      </w:r>
    </w:p>
    <w:p w14:paraId="6D1A8CD6"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Efficient data governance can positively impact the financial health of healthcare organizations. For instance, accurate billing and claims data, facilitated by data governance practices, reduce claim denials and improve revenue cycle management.</w:t>
      </w:r>
    </w:p>
    <w:p w14:paraId="6D1A8CD7"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9. Accountability and Responsibility:</w:t>
      </w:r>
    </w:p>
    <w:p w14:paraId="6D1A8CD8"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Data governance establishes accountability for data management. It defines roles and responsibilities for data custodians, stewards, and users. This ensures that there is someone responsible for data quality, security, and compliance.</w:t>
      </w:r>
    </w:p>
    <w:p w14:paraId="6D1A8CD9"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b/>
          <w:bCs/>
          <w:color w:val="000000"/>
          <w:lang w:eastAsia="en-GB"/>
        </w:rPr>
        <w:t>10. Patient Engagement:</w:t>
      </w:r>
    </w:p>
    <w:p w14:paraId="6D1A8CDA" w14:textId="77777777" w:rsidR="00BC5982"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Patient engagement is increasingly important in healthcare. Data governance helps maintain patient portals and communication systems that enable patients to access their health records and communicate with healthcare providers. Patients can actively participate in their healthcare decisions, leading to better outcomes.</w:t>
      </w:r>
    </w:p>
    <w:p w14:paraId="33981D1D" w14:textId="505B48A0" w:rsidR="008B1BF8" w:rsidRPr="008B1BF8" w:rsidRDefault="008B1BF8" w:rsidP="008B1BF8">
      <w:pPr>
        <w:spacing w:after="0" w:line="276" w:lineRule="auto"/>
        <w:ind w:firstLine="567"/>
        <w:jc w:val="both"/>
        <w:rPr>
          <w:rFonts w:ascii="Arial" w:eastAsia="Times New Roman" w:hAnsi="Arial" w:cs="Arial"/>
          <w:b/>
          <w:bCs/>
          <w:color w:val="000000"/>
          <w:lang w:eastAsia="en-GB"/>
        </w:rPr>
      </w:pPr>
      <w:r w:rsidRPr="008B1BF8">
        <w:rPr>
          <w:rFonts w:ascii="Arial" w:eastAsia="Times New Roman" w:hAnsi="Arial" w:cs="Arial"/>
          <w:b/>
          <w:bCs/>
          <w:color w:val="000000"/>
          <w:lang w:eastAsia="en-GB"/>
        </w:rPr>
        <w:t xml:space="preserve">Conclusion </w:t>
      </w:r>
    </w:p>
    <w:p w14:paraId="6D1A8CDB" w14:textId="77777777" w:rsidR="00BC5982" w:rsidRDefault="00BC5982"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In summary, data governance in healthcare is paramount for ensuring data quality, compliance with regulations, data security, efficient operations, and, most importantly, improved patient care. It provides a foundation for data management, allowing healthcare organizations to harness the full potential of their data while safeguarding patient information and privacy. Effective data governance is not only a best practice but a necessity in the modern healthcare landscape.</w:t>
      </w:r>
    </w:p>
    <w:p w14:paraId="22A88818" w14:textId="77777777" w:rsidR="008B1BF8" w:rsidRDefault="008B1BF8" w:rsidP="008B1BF8">
      <w:pPr>
        <w:spacing w:after="0" w:line="276" w:lineRule="auto"/>
        <w:ind w:firstLine="567"/>
        <w:jc w:val="both"/>
        <w:rPr>
          <w:rFonts w:ascii="Arial" w:eastAsia="Times New Roman" w:hAnsi="Arial" w:cs="Arial"/>
          <w:color w:val="000000"/>
          <w:lang w:eastAsia="en-GB"/>
        </w:rPr>
      </w:pPr>
    </w:p>
    <w:p w14:paraId="79BD08E6" w14:textId="77777777" w:rsidR="008B1BF8" w:rsidRDefault="008B1BF8" w:rsidP="008B1BF8">
      <w:pPr>
        <w:spacing w:after="0" w:line="276" w:lineRule="auto"/>
        <w:ind w:firstLine="567"/>
        <w:jc w:val="both"/>
        <w:rPr>
          <w:rFonts w:ascii="Arial" w:eastAsia="Times New Roman" w:hAnsi="Arial" w:cs="Arial"/>
          <w:color w:val="000000"/>
          <w:lang w:eastAsia="en-GB"/>
        </w:rPr>
      </w:pPr>
    </w:p>
    <w:p w14:paraId="1F82D3F9" w14:textId="77777777" w:rsidR="008B1BF8" w:rsidRDefault="008B1BF8" w:rsidP="008B1BF8">
      <w:pPr>
        <w:spacing w:after="0" w:line="276" w:lineRule="auto"/>
        <w:ind w:firstLine="567"/>
        <w:jc w:val="both"/>
        <w:rPr>
          <w:rFonts w:ascii="Arial" w:eastAsia="Times New Roman" w:hAnsi="Arial" w:cs="Arial"/>
          <w:color w:val="000000"/>
          <w:lang w:eastAsia="en-GB"/>
        </w:rPr>
      </w:pPr>
    </w:p>
    <w:p w14:paraId="4A54A194" w14:textId="77777777" w:rsidR="008B1BF8" w:rsidRPr="008B1BF8" w:rsidRDefault="008B1BF8" w:rsidP="008B1BF8">
      <w:pPr>
        <w:spacing w:after="0" w:line="276" w:lineRule="auto"/>
        <w:ind w:firstLine="567"/>
        <w:jc w:val="both"/>
        <w:rPr>
          <w:rFonts w:ascii="Arial" w:eastAsia="Times New Roman" w:hAnsi="Arial" w:cs="Arial"/>
          <w:color w:val="000000"/>
          <w:lang w:eastAsia="en-GB"/>
        </w:rPr>
      </w:pPr>
    </w:p>
    <w:p w14:paraId="6D1A8CDC" w14:textId="01F58AE5" w:rsidR="00BC5982" w:rsidRPr="008B1BF8" w:rsidRDefault="00B6696E" w:rsidP="008B1BF8">
      <w:pPr>
        <w:spacing w:after="0" w:line="276" w:lineRule="auto"/>
        <w:ind w:firstLine="567"/>
        <w:jc w:val="both"/>
        <w:rPr>
          <w:rFonts w:ascii="Arial" w:eastAsia="Times New Roman" w:hAnsi="Arial" w:cs="Arial"/>
          <w:color w:val="000000"/>
          <w:lang w:eastAsia="en-GB"/>
        </w:rPr>
      </w:pPr>
      <w:r w:rsidRPr="008B1BF8">
        <w:rPr>
          <w:rFonts w:ascii="Arial" w:eastAsia="Times New Roman" w:hAnsi="Arial" w:cs="Arial"/>
          <w:color w:val="000000"/>
          <w:lang w:eastAsia="en-GB"/>
        </w:rPr>
        <w:t>References.</w:t>
      </w:r>
    </w:p>
    <w:p w14:paraId="39A140C6" w14:textId="1B9FFBFB" w:rsidR="00B6696E" w:rsidRPr="008B1BF8" w:rsidRDefault="00B6696E" w:rsidP="008B1BF8">
      <w:pPr>
        <w:pStyle w:val="ListParagraph"/>
        <w:numPr>
          <w:ilvl w:val="0"/>
          <w:numId w:val="11"/>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 xml:space="preserve">Abraham, R., Schneider, J., &amp; </w:t>
      </w:r>
      <w:proofErr w:type="spellStart"/>
      <w:r w:rsidRPr="008B1BF8">
        <w:rPr>
          <w:rFonts w:ascii="Arial" w:eastAsia="Times New Roman" w:hAnsi="Arial" w:cs="Arial"/>
          <w:color w:val="000000"/>
          <w:lang w:eastAsia="en-GB"/>
        </w:rPr>
        <w:t>Vom</w:t>
      </w:r>
      <w:proofErr w:type="spellEnd"/>
      <w:r w:rsidRPr="008B1BF8">
        <w:rPr>
          <w:rFonts w:ascii="Arial" w:eastAsia="Times New Roman" w:hAnsi="Arial" w:cs="Arial"/>
          <w:color w:val="000000"/>
          <w:lang w:eastAsia="en-GB"/>
        </w:rPr>
        <w:t xml:space="preserve"> Brocke, J. (2019). </w:t>
      </w:r>
      <w:hyperlink r:id="rId7" w:tgtFrame="_blank" w:tooltip="Go to sciencedirect.com website" w:history="1">
        <w:r w:rsidRPr="008B1BF8">
          <w:rPr>
            <w:rFonts w:eastAsia="Times New Roman"/>
            <w:color w:val="000000"/>
            <w:lang w:eastAsia="en-GB"/>
          </w:rPr>
          <w:t>Data governance: A conceptual framework, structured review, and research agenda.</w:t>
        </w:r>
      </w:hyperlink>
      <w:r w:rsidRPr="008B1BF8">
        <w:rPr>
          <w:rFonts w:ascii="Arial" w:eastAsia="Times New Roman" w:hAnsi="Arial" w:cs="Arial"/>
          <w:color w:val="000000"/>
          <w:lang w:eastAsia="en-GB"/>
        </w:rPr>
        <w:t> </w:t>
      </w:r>
      <w:r w:rsidRPr="008B1BF8">
        <w:rPr>
          <w:rFonts w:eastAsia="Times New Roman"/>
          <w:i/>
          <w:iCs/>
          <w:color w:val="000000"/>
          <w:lang w:eastAsia="en-GB"/>
        </w:rPr>
        <w:t>International Journal of Information Management, 49</w:t>
      </w:r>
      <w:r w:rsidRPr="008B1BF8">
        <w:rPr>
          <w:rFonts w:ascii="Arial" w:eastAsia="Times New Roman" w:hAnsi="Arial" w:cs="Arial"/>
          <w:color w:val="000000"/>
          <w:lang w:eastAsia="en-GB"/>
        </w:rPr>
        <w:t>, 424-438.</w:t>
      </w:r>
    </w:p>
    <w:p w14:paraId="195C8B99" w14:textId="258372E2" w:rsidR="00B6696E" w:rsidRPr="008B1BF8" w:rsidRDefault="000125EA" w:rsidP="008B1BF8">
      <w:pPr>
        <w:pStyle w:val="ListParagraph"/>
        <w:numPr>
          <w:ilvl w:val="0"/>
          <w:numId w:val="11"/>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Alhassan, I., Sammon, D., &amp; Daly, M. (2018). </w:t>
      </w:r>
      <w:hyperlink r:id="rId8" w:tgtFrame="_blank" w:tooltip="Go to tandfonline.com website" w:history="1">
        <w:r w:rsidRPr="008B1BF8">
          <w:rPr>
            <w:rFonts w:eastAsia="Times New Roman"/>
            <w:color w:val="000000"/>
            <w:lang w:eastAsia="en-GB"/>
          </w:rPr>
          <w:t>Critical success factors for data governance: A theory building approach.</w:t>
        </w:r>
      </w:hyperlink>
      <w:r w:rsidRPr="008B1BF8">
        <w:rPr>
          <w:rFonts w:ascii="Arial" w:eastAsia="Times New Roman" w:hAnsi="Arial" w:cs="Arial"/>
          <w:color w:val="000000"/>
          <w:lang w:eastAsia="en-GB"/>
        </w:rPr>
        <w:t> </w:t>
      </w:r>
      <w:r w:rsidRPr="008B1BF8">
        <w:rPr>
          <w:rFonts w:eastAsia="Times New Roman"/>
          <w:i/>
          <w:iCs/>
          <w:color w:val="000000"/>
          <w:lang w:eastAsia="en-GB"/>
        </w:rPr>
        <w:t>Information Systems Management, 36</w:t>
      </w:r>
      <w:r w:rsidRPr="008B1BF8">
        <w:rPr>
          <w:rFonts w:ascii="Arial" w:eastAsia="Times New Roman" w:hAnsi="Arial" w:cs="Arial"/>
          <w:color w:val="000000"/>
          <w:lang w:eastAsia="en-GB"/>
        </w:rPr>
        <w:t>(2), 98-110.</w:t>
      </w:r>
    </w:p>
    <w:p w14:paraId="46826FDE" w14:textId="2182112E" w:rsidR="000125EA" w:rsidRPr="008B1BF8" w:rsidRDefault="00837D30" w:rsidP="008B1BF8">
      <w:pPr>
        <w:pStyle w:val="ListParagraph"/>
        <w:numPr>
          <w:ilvl w:val="0"/>
          <w:numId w:val="11"/>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Alhassan, I., Sammon, D., &amp; Daly, M. (2019). </w:t>
      </w:r>
      <w:hyperlink r:id="rId9" w:tgtFrame="_blank" w:tooltip="Go to emerald.com website" w:history="1">
        <w:r w:rsidRPr="008B1BF8">
          <w:rPr>
            <w:rFonts w:eastAsia="Times New Roman"/>
            <w:color w:val="000000"/>
            <w:lang w:eastAsia="en-GB"/>
          </w:rPr>
          <w:t>Data governance activities: A comparison between scientific and practice-oriented literature.</w:t>
        </w:r>
      </w:hyperlink>
      <w:r w:rsidRPr="008B1BF8">
        <w:rPr>
          <w:rFonts w:ascii="Arial" w:eastAsia="Times New Roman" w:hAnsi="Arial" w:cs="Arial"/>
          <w:color w:val="000000"/>
          <w:lang w:eastAsia="en-GB"/>
        </w:rPr>
        <w:t> </w:t>
      </w:r>
      <w:r w:rsidRPr="008B1BF8">
        <w:rPr>
          <w:rFonts w:eastAsia="Times New Roman"/>
          <w:i/>
          <w:iCs/>
          <w:color w:val="000000"/>
          <w:lang w:eastAsia="en-GB"/>
        </w:rPr>
        <w:t>Journal of Enterprise Information Management</w:t>
      </w:r>
      <w:r w:rsidRPr="008B1BF8">
        <w:rPr>
          <w:rFonts w:ascii="Arial" w:eastAsia="Times New Roman" w:hAnsi="Arial" w:cs="Arial"/>
          <w:color w:val="000000"/>
          <w:lang w:eastAsia="en-GB"/>
        </w:rPr>
        <w:t>, </w:t>
      </w:r>
      <w:r w:rsidRPr="008B1BF8">
        <w:rPr>
          <w:rFonts w:eastAsia="Times New Roman"/>
          <w:i/>
          <w:iCs/>
          <w:color w:val="000000"/>
          <w:lang w:eastAsia="en-GB"/>
        </w:rPr>
        <w:t>31</w:t>
      </w:r>
      <w:r w:rsidRPr="008B1BF8">
        <w:rPr>
          <w:rFonts w:ascii="Arial" w:eastAsia="Times New Roman" w:hAnsi="Arial" w:cs="Arial"/>
          <w:color w:val="000000"/>
          <w:lang w:eastAsia="en-GB"/>
        </w:rPr>
        <w:t>(2), pp. 300-316.</w:t>
      </w:r>
    </w:p>
    <w:p w14:paraId="7C052BD4" w14:textId="2C0B958A" w:rsidR="002C57CA" w:rsidRPr="008B1BF8" w:rsidRDefault="007049C4" w:rsidP="008B1BF8">
      <w:pPr>
        <w:pStyle w:val="ListParagraph"/>
        <w:numPr>
          <w:ilvl w:val="0"/>
          <w:numId w:val="11"/>
        </w:numPr>
        <w:spacing w:after="0" w:line="276" w:lineRule="auto"/>
        <w:jc w:val="both"/>
        <w:rPr>
          <w:rFonts w:ascii="Arial" w:eastAsia="Times New Roman" w:hAnsi="Arial" w:cs="Arial"/>
          <w:color w:val="000000"/>
          <w:lang w:eastAsia="en-GB"/>
        </w:rPr>
      </w:pPr>
      <w:proofErr w:type="spellStart"/>
      <w:r w:rsidRPr="008B1BF8">
        <w:rPr>
          <w:rFonts w:ascii="Arial" w:eastAsia="Times New Roman" w:hAnsi="Arial" w:cs="Arial"/>
          <w:color w:val="000000"/>
          <w:lang w:eastAsia="en-GB"/>
        </w:rPr>
        <w:t>StudyCorgi</w:t>
      </w:r>
      <w:proofErr w:type="spellEnd"/>
      <w:r w:rsidRPr="008B1BF8">
        <w:rPr>
          <w:rFonts w:ascii="Arial" w:eastAsia="Times New Roman" w:hAnsi="Arial" w:cs="Arial"/>
          <w:color w:val="000000"/>
          <w:lang w:eastAsia="en-GB"/>
        </w:rPr>
        <w:t>. (2022) Data Governance: A Conceptual Framework. 5 December. (Accessed: 19 November 2023).</w:t>
      </w:r>
    </w:p>
    <w:p w14:paraId="208AC753" w14:textId="20A72A58" w:rsidR="003E0F20" w:rsidRPr="008B1BF8" w:rsidRDefault="003E0F20" w:rsidP="008B1BF8">
      <w:pPr>
        <w:pStyle w:val="ListParagraph"/>
        <w:numPr>
          <w:ilvl w:val="0"/>
          <w:numId w:val="11"/>
        </w:numPr>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Lee, N &amp; Peters, M 2015, </w:t>
      </w:r>
      <w:r w:rsidRPr="008B1BF8">
        <w:rPr>
          <w:rFonts w:eastAsia="Times New Roman"/>
          <w:i/>
          <w:iCs/>
          <w:color w:val="000000"/>
          <w:lang w:eastAsia="en-GB"/>
        </w:rPr>
        <w:t>Business statistics using EXCEL and SPSS</w:t>
      </w:r>
      <w:r w:rsidRPr="008B1BF8">
        <w:rPr>
          <w:rFonts w:ascii="Arial" w:eastAsia="Times New Roman" w:hAnsi="Arial" w:cs="Arial"/>
          <w:color w:val="000000"/>
          <w:lang w:eastAsia="en-GB"/>
        </w:rPr>
        <w:t>. SAGE, London (UK).</w:t>
      </w:r>
    </w:p>
    <w:p w14:paraId="19E5B4CB" w14:textId="77777777" w:rsidR="00437D00" w:rsidRPr="008B1BF8" w:rsidRDefault="00437D00" w:rsidP="008B1BF8">
      <w:pPr>
        <w:pStyle w:val="ListParagraph"/>
        <w:spacing w:after="0" w:line="276" w:lineRule="auto"/>
        <w:jc w:val="both"/>
        <w:rPr>
          <w:rFonts w:ascii="Arial" w:eastAsia="Times New Roman" w:hAnsi="Arial" w:cs="Arial"/>
          <w:color w:val="000000"/>
          <w:lang w:eastAsia="en-GB"/>
        </w:rPr>
      </w:pPr>
      <w:r w:rsidRPr="008B1BF8">
        <w:rPr>
          <w:rFonts w:ascii="Arial" w:eastAsia="Times New Roman" w:hAnsi="Arial" w:cs="Arial"/>
          <w:color w:val="000000"/>
          <w:lang w:eastAsia="en-GB"/>
        </w:rPr>
        <w:t>Anderson, D. R., Sweeney, D. J., Williams, T. A., Camm, J. D., &amp; Cochran, J. J. (2020). </w:t>
      </w:r>
      <w:r w:rsidRPr="008B1BF8">
        <w:rPr>
          <w:rFonts w:eastAsia="Times New Roman"/>
          <w:i/>
          <w:iCs/>
          <w:color w:val="000000"/>
          <w:lang w:eastAsia="en-GB"/>
        </w:rPr>
        <w:t>Modern business statistics with Microsoft Excel</w:t>
      </w:r>
      <w:r w:rsidRPr="008B1BF8">
        <w:rPr>
          <w:rFonts w:ascii="Arial" w:eastAsia="Times New Roman" w:hAnsi="Arial" w:cs="Arial"/>
          <w:color w:val="000000"/>
          <w:lang w:eastAsia="en-GB"/>
        </w:rPr>
        <w:t>. Cengage Learning.</w:t>
      </w:r>
    </w:p>
    <w:p w14:paraId="1F27A440" w14:textId="77777777" w:rsidR="002C57CA" w:rsidRPr="008B1BF8" w:rsidRDefault="002C57CA" w:rsidP="008B1BF8">
      <w:pPr>
        <w:spacing w:after="0" w:line="276" w:lineRule="auto"/>
        <w:ind w:firstLine="567"/>
        <w:jc w:val="both"/>
        <w:rPr>
          <w:rFonts w:ascii="Arial" w:eastAsia="Times New Roman" w:hAnsi="Arial" w:cs="Arial"/>
          <w:color w:val="000000"/>
          <w:lang w:eastAsia="en-GB"/>
        </w:rPr>
      </w:pPr>
    </w:p>
    <w:p w14:paraId="6D1A8CDD"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p>
    <w:p w14:paraId="6D1A8CDE"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p>
    <w:p w14:paraId="6D1A8CDF"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p>
    <w:p w14:paraId="6D1A8CE0"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p>
    <w:p w14:paraId="6D1A8CE1" w14:textId="77777777" w:rsidR="00BC5982" w:rsidRPr="008B1BF8" w:rsidRDefault="00BC5982" w:rsidP="008B1BF8">
      <w:pPr>
        <w:spacing w:after="0" w:line="276" w:lineRule="auto"/>
        <w:ind w:firstLine="567"/>
        <w:jc w:val="both"/>
        <w:rPr>
          <w:rFonts w:ascii="Arial" w:eastAsia="Times New Roman" w:hAnsi="Arial" w:cs="Arial"/>
          <w:color w:val="000000"/>
          <w:lang w:eastAsia="en-GB"/>
        </w:rPr>
      </w:pPr>
    </w:p>
    <w:p w14:paraId="6D1A8CE2" w14:textId="77777777" w:rsidR="00555237" w:rsidRPr="008B1BF8" w:rsidRDefault="00555237" w:rsidP="008B1BF8">
      <w:pPr>
        <w:spacing w:after="0" w:line="276" w:lineRule="auto"/>
        <w:ind w:firstLine="567"/>
        <w:jc w:val="both"/>
        <w:rPr>
          <w:rFonts w:ascii="Arial" w:eastAsia="Times New Roman" w:hAnsi="Arial" w:cs="Arial"/>
          <w:color w:val="000000"/>
          <w:lang w:eastAsia="en-GB"/>
        </w:rPr>
      </w:pPr>
    </w:p>
    <w:sectPr w:rsidR="00555237" w:rsidRPr="008B1BF8" w:rsidSect="00A41D4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6926B" w14:textId="77777777" w:rsidR="009F736B" w:rsidRDefault="009F736B" w:rsidP="00A41D4C">
      <w:pPr>
        <w:spacing w:after="0" w:line="240" w:lineRule="auto"/>
      </w:pPr>
      <w:r>
        <w:separator/>
      </w:r>
    </w:p>
  </w:endnote>
  <w:endnote w:type="continuationSeparator" w:id="0">
    <w:p w14:paraId="1C0F9695" w14:textId="77777777" w:rsidR="009F736B" w:rsidRDefault="009F736B" w:rsidP="00A41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41308"/>
      <w:docPartObj>
        <w:docPartGallery w:val="Page Numbers (Bottom of Page)"/>
        <w:docPartUnique/>
      </w:docPartObj>
    </w:sdtPr>
    <w:sdtEndPr>
      <w:rPr>
        <w:noProof/>
      </w:rPr>
    </w:sdtEndPr>
    <w:sdtContent>
      <w:p w14:paraId="794B784A" w14:textId="2722CDBC" w:rsidR="00A41D4C" w:rsidRDefault="00A41D4C">
        <w:pPr>
          <w:pStyle w:val="Footer"/>
        </w:pPr>
        <w:r>
          <w:fldChar w:fldCharType="begin"/>
        </w:r>
        <w:r>
          <w:instrText xml:space="preserve"> PAGE   \* MERGEFORMAT </w:instrText>
        </w:r>
        <w:r>
          <w:fldChar w:fldCharType="separate"/>
        </w:r>
        <w:r>
          <w:rPr>
            <w:noProof/>
          </w:rPr>
          <w:t>2</w:t>
        </w:r>
        <w:r>
          <w:rPr>
            <w:noProof/>
          </w:rPr>
          <w:fldChar w:fldCharType="end"/>
        </w:r>
      </w:p>
    </w:sdtContent>
  </w:sdt>
  <w:p w14:paraId="4B63164D" w14:textId="77777777" w:rsidR="00A41D4C" w:rsidRDefault="00A41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B8204" w14:textId="77777777" w:rsidR="009F736B" w:rsidRDefault="009F736B" w:rsidP="00A41D4C">
      <w:pPr>
        <w:spacing w:after="0" w:line="240" w:lineRule="auto"/>
      </w:pPr>
      <w:r>
        <w:separator/>
      </w:r>
    </w:p>
  </w:footnote>
  <w:footnote w:type="continuationSeparator" w:id="0">
    <w:p w14:paraId="6D4FD31C" w14:textId="77777777" w:rsidR="009F736B" w:rsidRDefault="009F736B" w:rsidP="00A41D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71DA7"/>
    <w:multiLevelType w:val="hybridMultilevel"/>
    <w:tmpl w:val="E502399E"/>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E63DB7"/>
    <w:multiLevelType w:val="hybridMultilevel"/>
    <w:tmpl w:val="708045FA"/>
    <w:lvl w:ilvl="0" w:tplc="3D681A68">
      <w:start w:val="1"/>
      <w:numFmt w:val="decimal"/>
      <w:lvlText w:val="%1."/>
      <w:lvlJc w:val="left"/>
      <w:pPr>
        <w:ind w:left="720" w:hanging="360"/>
      </w:pPr>
      <w:rPr>
        <w:rFonts w:ascii="Segoe UI" w:hAnsi="Segoe UI" w:cs="Segoe UI" w:hint="default"/>
        <w:b/>
        <w:color w:val="37415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3340D"/>
    <w:multiLevelType w:val="hybridMultilevel"/>
    <w:tmpl w:val="DD9A0E00"/>
    <w:lvl w:ilvl="0" w:tplc="0809000D">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23C97F0F"/>
    <w:multiLevelType w:val="multilevel"/>
    <w:tmpl w:val="6AB07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C3302A"/>
    <w:multiLevelType w:val="hybridMultilevel"/>
    <w:tmpl w:val="F9247F46"/>
    <w:lvl w:ilvl="0" w:tplc="DC86C452">
      <w:start w:val="1"/>
      <w:numFmt w:val="decimal"/>
      <w:lvlText w:val="%1."/>
      <w:lvlJc w:val="left"/>
      <w:pPr>
        <w:ind w:left="780" w:hanging="4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C75B90"/>
    <w:multiLevelType w:val="multilevel"/>
    <w:tmpl w:val="C5D4D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95786D"/>
    <w:multiLevelType w:val="multilevel"/>
    <w:tmpl w:val="609A4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C032E3"/>
    <w:multiLevelType w:val="hybridMultilevel"/>
    <w:tmpl w:val="72CEA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AA76C6"/>
    <w:multiLevelType w:val="multilevel"/>
    <w:tmpl w:val="D130D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1F7852"/>
    <w:multiLevelType w:val="multilevel"/>
    <w:tmpl w:val="54E0A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BC2D3F"/>
    <w:multiLevelType w:val="multilevel"/>
    <w:tmpl w:val="0F847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4318093">
    <w:abstractNumId w:val="6"/>
  </w:num>
  <w:num w:numId="2" w16cid:durableId="396049683">
    <w:abstractNumId w:val="10"/>
  </w:num>
  <w:num w:numId="3" w16cid:durableId="875627679">
    <w:abstractNumId w:val="5"/>
  </w:num>
  <w:num w:numId="4" w16cid:durableId="1861551838">
    <w:abstractNumId w:val="9"/>
  </w:num>
  <w:num w:numId="5" w16cid:durableId="877088729">
    <w:abstractNumId w:val="3"/>
  </w:num>
  <w:num w:numId="6" w16cid:durableId="794638151">
    <w:abstractNumId w:val="8"/>
  </w:num>
  <w:num w:numId="7" w16cid:durableId="697394266">
    <w:abstractNumId w:val="1"/>
  </w:num>
  <w:num w:numId="8" w16cid:durableId="23214766">
    <w:abstractNumId w:val="4"/>
  </w:num>
  <w:num w:numId="9" w16cid:durableId="1300575042">
    <w:abstractNumId w:val="2"/>
  </w:num>
  <w:num w:numId="10" w16cid:durableId="739981128">
    <w:abstractNumId w:val="0"/>
  </w:num>
  <w:num w:numId="11" w16cid:durableId="13273209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A86"/>
    <w:rsid w:val="000125EA"/>
    <w:rsid w:val="001612F5"/>
    <w:rsid w:val="001C0C58"/>
    <w:rsid w:val="002109CF"/>
    <w:rsid w:val="00264331"/>
    <w:rsid w:val="002C57CA"/>
    <w:rsid w:val="002C6652"/>
    <w:rsid w:val="00303672"/>
    <w:rsid w:val="003039F8"/>
    <w:rsid w:val="003A0E44"/>
    <w:rsid w:val="003B302F"/>
    <w:rsid w:val="003C62BE"/>
    <w:rsid w:val="003D13BE"/>
    <w:rsid w:val="003E0F20"/>
    <w:rsid w:val="00437D00"/>
    <w:rsid w:val="004D2F98"/>
    <w:rsid w:val="004E45E4"/>
    <w:rsid w:val="00555237"/>
    <w:rsid w:val="00640A86"/>
    <w:rsid w:val="0065158B"/>
    <w:rsid w:val="00666A5B"/>
    <w:rsid w:val="0066706F"/>
    <w:rsid w:val="006853FF"/>
    <w:rsid w:val="006E6377"/>
    <w:rsid w:val="007049C4"/>
    <w:rsid w:val="007F6DD2"/>
    <w:rsid w:val="00804616"/>
    <w:rsid w:val="00820DCA"/>
    <w:rsid w:val="00837D30"/>
    <w:rsid w:val="00847D05"/>
    <w:rsid w:val="008B1BF8"/>
    <w:rsid w:val="00963DBA"/>
    <w:rsid w:val="009E7296"/>
    <w:rsid w:val="009F736B"/>
    <w:rsid w:val="00A41D4C"/>
    <w:rsid w:val="00B6696E"/>
    <w:rsid w:val="00BA26B9"/>
    <w:rsid w:val="00BC5982"/>
    <w:rsid w:val="00C40871"/>
    <w:rsid w:val="00C66DDF"/>
    <w:rsid w:val="00CA5EC8"/>
    <w:rsid w:val="00DA15FE"/>
    <w:rsid w:val="00DE5C46"/>
    <w:rsid w:val="00EB3E86"/>
    <w:rsid w:val="00F82AB3"/>
    <w:rsid w:val="00FA4C6F"/>
    <w:rsid w:val="00FB2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1A8CAB"/>
  <w15:chartTrackingRefBased/>
  <w15:docId w15:val="{D15C4584-9812-46BA-B47D-F713B41C1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9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C59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C5982"/>
    <w:rPr>
      <w:b/>
      <w:bCs/>
    </w:rPr>
  </w:style>
  <w:style w:type="character" w:styleId="Hyperlink">
    <w:name w:val="Hyperlink"/>
    <w:basedOn w:val="DefaultParagraphFont"/>
    <w:uiPriority w:val="99"/>
    <w:semiHidden/>
    <w:unhideWhenUsed/>
    <w:rsid w:val="00B6696E"/>
    <w:rPr>
      <w:color w:val="0000FF"/>
      <w:u w:val="single"/>
    </w:rPr>
  </w:style>
  <w:style w:type="character" w:styleId="Emphasis">
    <w:name w:val="Emphasis"/>
    <w:basedOn w:val="DefaultParagraphFont"/>
    <w:uiPriority w:val="20"/>
    <w:qFormat/>
    <w:rsid w:val="00B6696E"/>
    <w:rPr>
      <w:i/>
      <w:iCs/>
    </w:rPr>
  </w:style>
  <w:style w:type="paragraph" w:styleId="ListParagraph">
    <w:name w:val="List Paragraph"/>
    <w:basedOn w:val="Normal"/>
    <w:uiPriority w:val="34"/>
    <w:qFormat/>
    <w:rsid w:val="008B1BF8"/>
    <w:pPr>
      <w:ind w:left="720"/>
      <w:contextualSpacing/>
    </w:pPr>
  </w:style>
  <w:style w:type="paragraph" w:styleId="Header">
    <w:name w:val="header"/>
    <w:basedOn w:val="Normal"/>
    <w:link w:val="HeaderChar"/>
    <w:uiPriority w:val="99"/>
    <w:unhideWhenUsed/>
    <w:rsid w:val="00A41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D4C"/>
  </w:style>
  <w:style w:type="paragraph" w:styleId="Footer">
    <w:name w:val="footer"/>
    <w:basedOn w:val="Normal"/>
    <w:link w:val="FooterChar"/>
    <w:uiPriority w:val="99"/>
    <w:unhideWhenUsed/>
    <w:rsid w:val="00A41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062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0580530.2019.1589670?journalCode=uism20" TargetMode="External"/><Relationship Id="rId3" Type="http://schemas.openxmlformats.org/officeDocument/2006/relationships/settings" Target="settings.xml"/><Relationship Id="rId7" Type="http://schemas.openxmlformats.org/officeDocument/2006/relationships/hyperlink" Target="https://www.sciencedirect.com/science/article/abs/pii/S0268401219300787?via%3Dihub"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merald.com/insight/content/doi/10.1108/JEIM-01-2017-0007/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1515</Words>
  <Characters>9923</Characters>
  <Application>Microsoft Office Word</Application>
  <DocSecurity>0</DocSecurity>
  <Lines>220</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Vasile Turcanu (2127548)</cp:lastModifiedBy>
  <cp:revision>46</cp:revision>
  <dcterms:created xsi:type="dcterms:W3CDTF">2023-11-18T16:24:00Z</dcterms:created>
  <dcterms:modified xsi:type="dcterms:W3CDTF">2023-11-20T08:34:00Z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00526ebca98568b44776720b02eea8a5531c99ad135740f4ea450d67547ecb29</vt:lpwstr>
  </property>
</Properties>
</file>