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22DAD" w14:textId="03C52063" w:rsidR="00016545" w:rsidRDefault="00016545" w:rsidP="00016545">
      <w:pPr>
        <w:jc w:val="center"/>
        <w:rPr>
          <w:b/>
          <w:bCs/>
        </w:rPr>
      </w:pPr>
      <w:r w:rsidRPr="00016545">
        <w:rPr>
          <w:b/>
          <w:bCs/>
        </w:rPr>
        <w:t>Part 1: Critical Review of Cognitive Reserve Theory</w:t>
      </w:r>
    </w:p>
    <w:p w14:paraId="2CD0F70B" w14:textId="012368D4" w:rsidR="00016545" w:rsidRDefault="00016545" w:rsidP="00016545">
      <w:r w:rsidRPr="00016545">
        <w:t xml:space="preserve">Cognitive decline in old age is a significant public health concern, affecting memory, reasoning, and other mental abilities (Harada et al., 2013). Understanding the mechanisms behind cognitive decline is essential for developing effective interventions. One prominent theory is the Cognitive Reserve Theory, which posits </w:t>
      </w:r>
      <w:r w:rsidRPr="00016545">
        <w:t>those individual differences</w:t>
      </w:r>
      <w:r w:rsidRPr="00016545">
        <w:t xml:space="preserve"> in cognitive processes</w:t>
      </w:r>
      <w:r>
        <w:t xml:space="preserve"> </w:t>
      </w:r>
      <w:r w:rsidRPr="00016545">
        <w:t>shaped by life experiences such as education and occupation</w:t>
      </w:r>
      <w:r>
        <w:t xml:space="preserve"> which </w:t>
      </w:r>
      <w:r w:rsidRPr="00016545">
        <w:t xml:space="preserve">can help mitigate the impact of aging on cognitive function (Stern, 2012). This essay </w:t>
      </w:r>
      <w:r w:rsidRPr="00016545">
        <w:t>critical</w:t>
      </w:r>
      <w:r>
        <w:t>ly</w:t>
      </w:r>
      <w:r w:rsidRPr="00016545">
        <w:t xml:space="preserve"> reviews Cognitive Reserve Theory, exploring its key concepts, strengths, limitations, and empirical support.</w:t>
      </w:r>
    </w:p>
    <w:p w14:paraId="3D11E1B8" w14:textId="09285C72" w:rsidR="00016545" w:rsidRDefault="00016545" w:rsidP="00016545">
      <w:r w:rsidRPr="00016545">
        <w:t>Cognitive Reserve Theory suggests that people with higher cognitive reserves are better equipped to cope with brain pathology or age-related changes without significant cognitive impairment. Cognitive reserve is thought to be developed through mentally stimulating activities, such as higher education, complex work environments, and engaging in cognitively demanding hobbies (Stern, 2012).</w:t>
      </w:r>
      <w:r>
        <w:t xml:space="preserve"> </w:t>
      </w:r>
      <w:r w:rsidRPr="00016545">
        <w:t xml:space="preserve">For example, a study by </w:t>
      </w:r>
      <w:proofErr w:type="spellStart"/>
      <w:r w:rsidRPr="00016545">
        <w:t>Scarmeas</w:t>
      </w:r>
      <w:proofErr w:type="spellEnd"/>
      <w:r w:rsidRPr="00016545">
        <w:t xml:space="preserve"> et al. (2006) found that individuals with higher educational attainment showed better cognitive performance despite similar levels of brain atrophy compared to those with lower educational levels. This suggests that cognitive reserve buffers the effects of brain aging.</w:t>
      </w:r>
    </w:p>
    <w:p w14:paraId="7F5025C4" w14:textId="0651E07B" w:rsidR="00016545" w:rsidRPr="00016545" w:rsidRDefault="00016545" w:rsidP="00016545">
      <w:r>
        <w:t>c</w:t>
      </w:r>
      <w:r w:rsidRPr="00016545">
        <w:t>ognitive reserve is a theoretical concept developed to explain why some individuals with significant brain pathology, such as cerebrovascular disease or Alzheimer-like changes, do not exhibit severe clinical dementia symptoms (Stern, 2009). In a research program tracking a cohort born in 1921 and 1936, participants were IQ-tested at age 11, and their cognitive reserve was assessed using structural MRI and fMRI imaging (Stern et al., 2020). The findings indicated that cognitive reserve is influenced by a balance between positive life experiences</w:t>
      </w:r>
      <w:r>
        <w:t xml:space="preserve"> </w:t>
      </w:r>
      <w:r w:rsidRPr="00016545">
        <w:t>such as education, occupation, and cognitive engagement</w:t>
      </w:r>
      <w:r>
        <w:t xml:space="preserve"> </w:t>
      </w:r>
      <w:r w:rsidRPr="00016545">
        <w:t>and the negative impacts of brain pathologies, including brain volume loss and cerebrovascular damage (Stern et al., 2020). Structural equation models suggested that these positive and negative factors interact, with cognitive reserve potentially offsetting the negative effects of brain pathology and slowing dementia onset (Stern, 2009). This research underscores the value of interventions that promote cognitive engagement throughout life to mitigate the adverse effects of aging and brain damage (Stern et al., 2020).</w:t>
      </w:r>
    </w:p>
    <w:p w14:paraId="64B6D58E" w14:textId="1A9E117E" w:rsidR="00016545" w:rsidRPr="00016545" w:rsidRDefault="00016545" w:rsidP="00016545">
      <w:pPr>
        <w:rPr>
          <w:b/>
          <w:bCs/>
        </w:rPr>
      </w:pPr>
      <w:r w:rsidRPr="00016545">
        <w:rPr>
          <w:b/>
          <w:bCs/>
        </w:rPr>
        <w:t>Strengths of Cognitive Reserve Theory</w:t>
      </w:r>
    </w:p>
    <w:p w14:paraId="4CF16B92" w14:textId="2815D261" w:rsidR="00016545" w:rsidRDefault="00016545" w:rsidP="00016545">
      <w:r w:rsidRPr="00016545">
        <w:t>Cognitive Reserve Theory is strongly supported by research, demonstrating its practical relevance in understanding cognitive aging. Numerous studies have consistently shown that individuals with higher educational a</w:t>
      </w:r>
      <w:r>
        <w:t>chievement</w:t>
      </w:r>
      <w:r w:rsidRPr="00016545">
        <w:t>, intellectual</w:t>
      </w:r>
      <w:r>
        <w:t xml:space="preserve"> </w:t>
      </w:r>
      <w:r w:rsidRPr="00016545">
        <w:t xml:space="preserve">occupations, or engaging lifestyles are less susceptible to cognitive decline, even in the presence of neurodegenerative conditions. For example, Richards and Deary (2005) found that </w:t>
      </w:r>
      <w:r w:rsidRPr="00016545">
        <w:lastRenderedPageBreak/>
        <w:t>cognitive abilities in later life were significantly influenced by early-life education, highlighting the enduring protective effects of cognitive reserve. This theory's practical implications are evident in public health strategies encouraging lifelong learning and mental engagement to reduce dementia risk. For instance, the UK-based Lancet Commission identified cognitive reserve enhancement as a key modifiable factor in dementia prevention (Livingston et al., 2020). Moreover, Cognitive Reserve Theory’s emphasis on individual variability provides a compelling explanation for why some people maintain cognitive function despite significant brain pathology. This strength underscores the theory’s relevance to clinical and research contexts, making it a cornerstone in understanding cognitive resilience in aging.</w:t>
      </w:r>
    </w:p>
    <w:p w14:paraId="0547E7DA" w14:textId="720D2C9A" w:rsidR="00016545" w:rsidRDefault="00016545" w:rsidP="00016545">
      <w:r w:rsidRPr="00016545">
        <w:rPr>
          <w:b/>
          <w:bCs/>
        </w:rPr>
        <w:t>Weaknesses of Cognitive Reserve Theory</w:t>
      </w:r>
      <w:r w:rsidRPr="00016545">
        <w:br/>
        <w:t>Despite its strengths, Cognitive Reserve Theory has notable limitations. One major critique is the lack of clarity regarding the mechanisms through which cognitive reserve operates. While it is evident that higher education and mentally stimulating activities are beneficial, the exact neural processes that provide protection against cognitive decline remain poorly understood (Stern et al., 2020). Additionally, the theory tends to focus heavily on formal education and professional achievements, which may marginalize individuals without access to these opportunities. This raises concerns about its inclusivity and applicability across diverse socioeconomic and cultural groups (Cabeza et al., 2018). Furthermore, much of the research supporting the theory has been conducted in Western populations, limiting its generalizability to other regions where access to education and healthcare differs significantly (Meng &amp; D’Arcy, 2013). These limitations suggest that while the theory offers valuable insights, it requires further refinement to account for broader social and biological factors influencing cognitive aging.</w:t>
      </w:r>
    </w:p>
    <w:p w14:paraId="5E139A04" w14:textId="37532FBD" w:rsidR="00016545" w:rsidRPr="00016545" w:rsidRDefault="00016545" w:rsidP="00016545">
      <w:pPr>
        <w:rPr>
          <w:b/>
          <w:bCs/>
        </w:rPr>
      </w:pPr>
      <w:r w:rsidRPr="00016545">
        <w:rPr>
          <w:b/>
          <w:bCs/>
        </w:rPr>
        <w:t xml:space="preserve">Empirical Evidence </w:t>
      </w:r>
    </w:p>
    <w:p w14:paraId="764F2F2E" w14:textId="0D5B3BFB" w:rsidR="00016545" w:rsidRDefault="00016545" w:rsidP="00016545">
      <w:r w:rsidRPr="00016545">
        <w:t>Research strongly supports Cognitive Reserve Theory, highlighting its role in explaining individual differences in cognitive aging. For instance, the UK-based Cognitive Function and Ageing Study (CFAS) demonstrated that individuals with higher levels of education experienced slower rates of cognitive decline over two decades, despite similar levels of brain atrophy compared to less-educated participants (</w:t>
      </w:r>
      <w:proofErr w:type="spellStart"/>
      <w:r w:rsidRPr="00016545">
        <w:t>Brayne</w:t>
      </w:r>
      <w:proofErr w:type="spellEnd"/>
      <w:r w:rsidRPr="00016545">
        <w:t xml:space="preserve"> et al., 2001). Similarly, imaging studies provide compelling evidence that individuals with higher cognitive reserves maintain better functional brain connectivity, even in the presence of structural damage. For example, Valenzuela and Sachdev (2006) found that lifelong engagement in mentally stimulating activities was associated with reduced rates of cognitive impairment in older adults. These findings suggest that cognitive reserve acts as a buffer, enabling the brain to adapt to age-related changes and resist the effects of neuropathology. However, the consistent association between higher cognitive reserve </w:t>
      </w:r>
      <w:r w:rsidRPr="00016545">
        <w:lastRenderedPageBreak/>
        <w:t>and slower cognitive decline underscores its importance as a framework for understanding resilience in aging.</w:t>
      </w:r>
    </w:p>
    <w:p w14:paraId="31EBCDA3" w14:textId="2255AACA" w:rsidR="00016545" w:rsidRDefault="00016545" w:rsidP="00016545">
      <w:r>
        <w:t xml:space="preserve">To conclude, </w:t>
      </w:r>
      <w:r w:rsidRPr="00016545">
        <w:t xml:space="preserve">Cognitive Reserve Theory helps explain why some people stay mentally </w:t>
      </w:r>
      <w:r>
        <w:t xml:space="preserve">productive </w:t>
      </w:r>
      <w:r w:rsidRPr="00016545">
        <w:t>despite aging or brain changes. It is supported by strong evidence showing how education, work, and mentally stimulating activities can protect against cognitive decline. The theory also has practical benefits, like guiding public health strategies to lower dementia risk. However, it has its challenges, such as unclear mechanisms and a focus on education that might not apply to everyone. Despite these issues, the theory remains important for understanding how lifestyle choices can help maintain cognitive health as we age.</w:t>
      </w:r>
    </w:p>
    <w:p w14:paraId="64C00118" w14:textId="77777777" w:rsidR="00016545" w:rsidRDefault="00016545" w:rsidP="00016545"/>
    <w:p w14:paraId="1073716C" w14:textId="64CB96AD" w:rsidR="00016545" w:rsidRPr="00016545" w:rsidRDefault="00016545" w:rsidP="00016545">
      <w:pPr>
        <w:jc w:val="center"/>
        <w:rPr>
          <w:b/>
          <w:bCs/>
        </w:rPr>
      </w:pPr>
      <w:r w:rsidRPr="00016545">
        <w:rPr>
          <w:b/>
          <w:bCs/>
        </w:rPr>
        <w:t>Part 2: How to Slow Down Cognitive Decline</w:t>
      </w:r>
    </w:p>
    <w:p w14:paraId="62A602B0" w14:textId="01BFC01A" w:rsidR="00016545" w:rsidRDefault="00016545" w:rsidP="00016545">
      <w:r w:rsidRPr="00016545">
        <w:t xml:space="preserve">Cognitive decline in old age is a common concern, but growing evidence suggests that certain lifestyle choices and interventions can help slow or even prevent it. In this section, </w:t>
      </w:r>
      <w:r>
        <w:t xml:space="preserve">I </w:t>
      </w:r>
      <w:r w:rsidRPr="00016545">
        <w:t xml:space="preserve">will explore various approaches that have been studied for their potential to reduce cognitive decline, such as physical exercise, diet, and cognitive training. Research in the UK has shown that these interventions can play a significant role in maintaining cognitive health (Livingston et al., 2020; Hamer et al., 2014). By reviewing empirical studies on these interventions, </w:t>
      </w:r>
      <w:proofErr w:type="spellStart"/>
      <w:r>
        <w:t>i</w:t>
      </w:r>
      <w:proofErr w:type="spellEnd"/>
      <w:r w:rsidRPr="00016545">
        <w:t xml:space="preserve"> will critically assess their effectiveness and limitations, highlighting how individuals can take proactive steps to protect their cognitive health as they age.</w:t>
      </w:r>
    </w:p>
    <w:p w14:paraId="4245AD9B" w14:textId="600F71F7" w:rsidR="00016545" w:rsidRPr="00016545" w:rsidRDefault="00016545" w:rsidP="00016545">
      <w:pPr>
        <w:rPr>
          <w:b/>
          <w:bCs/>
        </w:rPr>
      </w:pPr>
      <w:r w:rsidRPr="00016545">
        <w:rPr>
          <w:b/>
          <w:bCs/>
        </w:rPr>
        <w:t>Physical Exercise</w:t>
      </w:r>
    </w:p>
    <w:p w14:paraId="050D58FA" w14:textId="4B65773B" w:rsidR="00016545" w:rsidRDefault="00016545" w:rsidP="00016545">
      <w:r w:rsidRPr="00016545">
        <w:t>Physical exercise is one of the most well-supported interventions for slowing cognitive decline, Numerous studies have shown that regular physical activity, particularly aerobic exercise, can help protect against cognitive decline by improving brain blood flow and reducing inflammation (Erickson et al., 2011). In the UK, research has found that older adults who engage in regular exercise show slower rates of cognitive decline and are at a reduced risk of dementia compared to sedentary individuals (Hamer et al., 2014)."</w:t>
      </w:r>
      <w:r w:rsidRPr="00016545">
        <w:t xml:space="preserve"> </w:t>
      </w:r>
      <w:r w:rsidRPr="00016545">
        <w:t>The UK National Institute for Health and Care Excellence (NICE) recommends physical activity as an essential strategy for reducing cognitive decline, suggesting that regular exercise can help maintain cognitive function and prevent or delay the onset of dementia (Livingston et al., 2020). However, while the evidence supports the benefits of exercise, the type, intensity, and duration of activity required to achieve optimal cognitive protection remains an area of ongoing research, as not all studies show the same level of impact across different exercise regimens (Forbes et al., 2015).</w:t>
      </w:r>
    </w:p>
    <w:p w14:paraId="44C74DA2" w14:textId="77777777" w:rsidR="00016545" w:rsidRDefault="00016545" w:rsidP="00016545">
      <w:pPr>
        <w:rPr>
          <w:b/>
          <w:bCs/>
        </w:rPr>
      </w:pPr>
    </w:p>
    <w:p w14:paraId="0FA1C508" w14:textId="77777777" w:rsidR="00016545" w:rsidRDefault="00016545" w:rsidP="00016545">
      <w:pPr>
        <w:rPr>
          <w:b/>
          <w:bCs/>
        </w:rPr>
      </w:pPr>
    </w:p>
    <w:p w14:paraId="3158B638" w14:textId="2CFA0BC1" w:rsidR="00016545" w:rsidRPr="00016545" w:rsidRDefault="00016545" w:rsidP="00016545">
      <w:pPr>
        <w:rPr>
          <w:b/>
          <w:bCs/>
        </w:rPr>
      </w:pPr>
      <w:r w:rsidRPr="00016545">
        <w:rPr>
          <w:b/>
          <w:bCs/>
        </w:rPr>
        <w:lastRenderedPageBreak/>
        <w:t>Dietary Interventions</w:t>
      </w:r>
    </w:p>
    <w:p w14:paraId="266BA7C7" w14:textId="4B264331" w:rsidR="00016545" w:rsidRDefault="00016545" w:rsidP="00016545">
      <w:r w:rsidRPr="00016545">
        <w:t>Diet plays a crucial role in maintaining cognitive health as we age, with research suggesting that certain dietary patterns can help slow cognitive decline. The Mediterranean diet, which is rich in antioxidants, omega-3 fatty acids, and anti-inflammatory compounds, has been consistently linked to a lower risk of cognitive decline and dementia (</w:t>
      </w:r>
      <w:proofErr w:type="spellStart"/>
      <w:r w:rsidRPr="00016545">
        <w:t>Scarmeas</w:t>
      </w:r>
      <w:proofErr w:type="spellEnd"/>
      <w:r w:rsidRPr="00016545">
        <w:t xml:space="preserve"> et al., 2009). In the UK, studies have shown that individuals who follow a Mediterranean diet have a 40% reduced risk of cognitive impairment in older age (</w:t>
      </w:r>
      <w:proofErr w:type="spellStart"/>
      <w:r w:rsidRPr="00016545">
        <w:t>Lourida</w:t>
      </w:r>
      <w:proofErr w:type="spellEnd"/>
      <w:r w:rsidRPr="00016545">
        <w:t xml:space="preserve"> et al., 2013).</w:t>
      </w:r>
      <w:r>
        <w:t xml:space="preserve"> </w:t>
      </w:r>
      <w:r w:rsidRPr="00016545">
        <w:t>The diet’s high content of antioxidants, omega-3 fatty acids, and anti-inflammatory compounds is thought to protect the brain from oxidative stress and promote neuroplasticity. Additionally, a diet high in processed foods and sugars has been linked to a faster decline in cognitive function (Kesse-Guyot et al., 2013). However, the challenge remains in promoting long-term adherence to such diets, particularly in older adults who may face barriers such as limited access to healthy food or difficulties in cooking. While dietary interventions show promise, further research is needed to fully understand their long-term effects on cognitive health and how to make these dietary changes more accessible and sustainable for older populations.</w:t>
      </w:r>
    </w:p>
    <w:p w14:paraId="445C63FB" w14:textId="3A8E6691" w:rsidR="00016545" w:rsidRPr="00016545" w:rsidRDefault="00016545" w:rsidP="00016545">
      <w:pPr>
        <w:rPr>
          <w:b/>
          <w:bCs/>
        </w:rPr>
      </w:pPr>
      <w:r w:rsidRPr="00016545">
        <w:rPr>
          <w:b/>
          <w:bCs/>
        </w:rPr>
        <w:t>Cognitive Training and Mental Stimulation</w:t>
      </w:r>
    </w:p>
    <w:p w14:paraId="27747837" w14:textId="034F27E0" w:rsidR="00016545" w:rsidRDefault="00016545" w:rsidP="00016545">
      <w:r w:rsidRPr="00016545">
        <w:t>Engaging in cognitive and mental stimulation has shown promise in slowing cognitive decline and maintaining brain health in older adults. Activities such as puzzles, reading, learning new skills, and social engagement are believed to enhance neuroplasticity, the brain's ability to form new neural connections. In the UK, programs encouraging lifelong learning and cognitive training, such as those offered by Age UK, have been associated with better cognitive outcomes and a reduced risk of dementia (Livingston et al., 2020). Studies have demonstrated that older adults who participate in mentally stimulating activities regularly perform better on memory and cognitive tests, even in the presence of brain changes linked to aging (Ball et al., 2002). However, while cognitive training programs have shown positive results in short-term memory and processing speed, there is ongoing debate about their long-term effectiveness. Some studies suggest that the benefits of cognitive training may not always transfer to real-life tasks, such as managing daily activities (Simons et al., 2016). Despite these challenges, engaging in mental stimulation remains a widely recommended strategy for reducing the risk of cognitive decline, with the understanding that it should be part of a broader approach that includes physical activity and social engagement.</w:t>
      </w:r>
    </w:p>
    <w:p w14:paraId="591DBA7F" w14:textId="77777777" w:rsidR="00016545" w:rsidRPr="00016545" w:rsidRDefault="00016545" w:rsidP="00016545">
      <w:r w:rsidRPr="00016545">
        <w:rPr>
          <w:b/>
          <w:bCs/>
        </w:rPr>
        <w:t>Critical Discussion</w:t>
      </w:r>
      <w:r w:rsidRPr="00016545">
        <w:br/>
        <w:t>While physical exercise, dietary interventions, and cognitive stimulation all show promise in slowing cognitive decline, each approach has its limitations and challenges that must be considered when recommending them as part of a strategy for maintaining cognitive health.</w:t>
      </w:r>
    </w:p>
    <w:p w14:paraId="64888BCD" w14:textId="791C25DA" w:rsidR="00016545" w:rsidRPr="00016545" w:rsidRDefault="00016545" w:rsidP="00016545">
      <w:r w:rsidRPr="00016545">
        <w:lastRenderedPageBreak/>
        <w:t xml:space="preserve">Physical exercise is one of the most extensively studied interventions and has strong empirical support. However, the type, intensity, and frequency of exercise needed to yield the most significant benefits are still under investigation. Research suggests that both aerobic exercise and strength training may be beneficial, but the optimal combination for cognitive health remains unclear (Forbes et al., 2015). Furthermore, while exercise can help reduce the risk of dementia, older adults with mobility issues or chronic conditions may find it difficult to engage in sufficient physical activity, limiting its effectiveness for these groups. Thus, personalized approaches to exercise, </w:t>
      </w:r>
      <w:r w:rsidRPr="00016545">
        <w:t>considering</w:t>
      </w:r>
      <w:r w:rsidRPr="00016545">
        <w:t xml:space="preserve"> individual health and physical capabilities, are crucial for ensuring that the benefits are accessible to all older adults (Hamer et al., 2014).</w:t>
      </w:r>
    </w:p>
    <w:p w14:paraId="6568265D" w14:textId="77777777" w:rsidR="00016545" w:rsidRPr="00016545" w:rsidRDefault="00016545" w:rsidP="00016545">
      <w:r w:rsidRPr="00016545">
        <w:t>Dietary interventions, particularly those that focus on a Mediterranean-style diet, also appear to play a significant role in slowing cognitive decline. The Mediterranean diet, rich in antioxidants, omega-3 fatty acids, and anti-inflammatory foods, has been associated with better cognitive function and a lower risk of dementia (</w:t>
      </w:r>
      <w:proofErr w:type="spellStart"/>
      <w:r w:rsidRPr="00016545">
        <w:t>Scarmeas</w:t>
      </w:r>
      <w:proofErr w:type="spellEnd"/>
      <w:r w:rsidRPr="00016545">
        <w:t xml:space="preserve"> et al., 2009). However, the challenge lies in ensuring long-term adherence to these dietary patterns, especially among older adults who may face socioeconomic barriers or have difficulty accessing the recommended foods. Additionally, while diet can be a powerful tool for cognitive health, it is not a standalone solution and should be combined with other lifestyle factors, such as physical exercise and mental stimulation, for maximum effect (</w:t>
      </w:r>
      <w:proofErr w:type="spellStart"/>
      <w:r w:rsidRPr="00016545">
        <w:t>Lourid</w:t>
      </w:r>
      <w:proofErr w:type="spellEnd"/>
      <w:r w:rsidRPr="00016545">
        <w:t>a</w:t>
      </w:r>
      <w:proofErr w:type="spellStart"/>
      <w:r w:rsidRPr="00016545">
        <w:t xml:space="preserve"> et al.</w:t>
      </w:r>
      <w:proofErr w:type="spellEnd"/>
      <w:r w:rsidRPr="00016545">
        <w:t>, 2013).</w:t>
      </w:r>
    </w:p>
    <w:p w14:paraId="6794B764" w14:textId="77777777" w:rsidR="00016545" w:rsidRPr="00016545" w:rsidRDefault="00016545" w:rsidP="00016545">
      <w:r w:rsidRPr="00016545">
        <w:t>Cognitive and mental stimulation, including activities like puzzles, social engagement, and learning new skills, has shown positive effects on cognitive function in older adults. However, the evidence on its long-term effectiveness is mixed. Some studies have found that cognitive training can improve specific cognitive domains like memory and processing speed, but these benefits do not always generalize to daily activities (Simons et al., 2016). Moreover, the impact of cognitive stimulation may be less pronounced in individuals with more severe cognitive decline or those who have little access to mental stimulation in their daily lives. Thus, while mental stimulation is beneficial, it needs to be integrated into a broader strategy that includes other interventions like exercise and diet to maximize its potential.</w:t>
      </w:r>
    </w:p>
    <w:p w14:paraId="2D3A12EA" w14:textId="4E9D0491" w:rsidR="00016545" w:rsidRDefault="00016545" w:rsidP="00016545">
      <w:r w:rsidRPr="00016545">
        <w:t xml:space="preserve">In conclusion, while physical exercise, dietary changes, and cognitive stimulation are all supported by empirical research as effective interventions for slowing cognitive decline, their success depends on factors such as individual health, access to resources, and the ability to adhere to these interventions long-term. A multi-faceted approach, tailored to the needs and capabilities of </w:t>
      </w:r>
      <w:proofErr w:type="gramStart"/>
      <w:r w:rsidRPr="00016545">
        <w:t>each individual</w:t>
      </w:r>
      <w:proofErr w:type="gramEnd"/>
      <w:r w:rsidRPr="00016545">
        <w:t>, is likely the most effective strategy for maintaining cognitive health in older age. Future research should focus on identifying the most effective combinations of these interventions and exploring ways to make them more accessible to all older adults, particularly those from disadvantaged backgrounds</w:t>
      </w:r>
      <w:r>
        <w:t>.</w:t>
      </w:r>
    </w:p>
    <w:p w14:paraId="68B4D4AF" w14:textId="77777777" w:rsidR="00016545" w:rsidRDefault="00016545" w:rsidP="00016545"/>
    <w:p w14:paraId="288224F7" w14:textId="77777777" w:rsidR="00016545" w:rsidRDefault="00016545" w:rsidP="00016545"/>
    <w:p w14:paraId="00AB6623" w14:textId="7C501D54" w:rsidR="00016545" w:rsidRPr="00016545" w:rsidRDefault="00016545" w:rsidP="00016545">
      <w:pPr>
        <w:jc w:val="center"/>
        <w:rPr>
          <w:b/>
          <w:bCs/>
        </w:rPr>
      </w:pPr>
      <w:r w:rsidRPr="00016545">
        <w:rPr>
          <w:b/>
          <w:bCs/>
        </w:rPr>
        <w:t>References</w:t>
      </w:r>
    </w:p>
    <w:p w14:paraId="02B153E2" w14:textId="3E02123F" w:rsidR="00016545" w:rsidRDefault="00016545" w:rsidP="00016545">
      <w:r>
        <w:t xml:space="preserve">Ball, K. K., </w:t>
      </w:r>
      <w:proofErr w:type="spellStart"/>
      <w:r>
        <w:t>Berch</w:t>
      </w:r>
      <w:proofErr w:type="spellEnd"/>
      <w:r>
        <w:t xml:space="preserve">, D. B., Helmers, K. F., </w:t>
      </w:r>
      <w:proofErr w:type="spellStart"/>
      <w:r>
        <w:t>Jobe</w:t>
      </w:r>
      <w:proofErr w:type="spellEnd"/>
      <w:r>
        <w:t xml:space="preserve">, J. B., </w:t>
      </w:r>
      <w:proofErr w:type="spellStart"/>
      <w:r>
        <w:t>Leveck</w:t>
      </w:r>
      <w:proofErr w:type="spellEnd"/>
      <w:r>
        <w:t xml:space="preserve">, M. D., </w:t>
      </w:r>
      <w:proofErr w:type="spellStart"/>
      <w:r>
        <w:t>Marsiske</w:t>
      </w:r>
      <w:proofErr w:type="spellEnd"/>
      <w:r>
        <w:t>, M., … &amp; Willis, S. L. (2002). Effects of cognitive training interventions with older adults: A randomized controlled trial. JAMA, 288(18), 2271–2281. https://doi.org/10.1001/jama.288.18.2271</w:t>
      </w:r>
    </w:p>
    <w:p w14:paraId="5A4B4979" w14:textId="7082BF72" w:rsidR="00016545" w:rsidRDefault="00016545" w:rsidP="00016545">
      <w:proofErr w:type="spellStart"/>
      <w:r>
        <w:t>Brayne</w:t>
      </w:r>
      <w:proofErr w:type="spellEnd"/>
      <w:r>
        <w:t>, C., Gill, C., &amp; Ince, P. (2001). The effect of education on cognitive function in later life: Longitudinal data from the Cambridge City over-75s cohort study. Journal of Gerontology: Series B, 56(6), 257–265. https://doi.org/10.1093/geronb/56.6.P257</w:t>
      </w:r>
    </w:p>
    <w:p w14:paraId="7F9BC4AF" w14:textId="62F759F8" w:rsidR="00016545" w:rsidRDefault="00016545" w:rsidP="00016545">
      <w:r>
        <w:t>Cabeza, R., Albert, M., &amp; Grady, C. (2018). Cognitive and brain reserve: Implications for the aging brain and Alzheimer’s disease. Neuropsychology Review, 28(2), 165–176. https://doi.org/10.1007/s11065-018-9384-5</w:t>
      </w:r>
    </w:p>
    <w:p w14:paraId="3662EE2B" w14:textId="46436BF7" w:rsidR="00016545" w:rsidRDefault="00016545" w:rsidP="00016545">
      <w:r>
        <w:t>Erickson, K. I., Voss, M. W., &amp; Prakash, R. S. (2011). Physical activity and brain plasticity in late adulthood: A review of the literature. Ageing Research Reviews, 10(4), 287–298. https://doi.org/10.1016/j.arr.2011.03.005</w:t>
      </w:r>
    </w:p>
    <w:p w14:paraId="197B2D86" w14:textId="2391B9A6" w:rsidR="00016545" w:rsidRDefault="00016545" w:rsidP="00016545">
      <w:r>
        <w:t>Forbes, D., Forbes, S. C., Blake, C. M., &amp; Thiessen, M. (2015). Exercise training improves cognitive function in older adults with and without cognitive impairment: A systematic review and meta-analysis. Journal of Alzheimer's Disease, 47(1), 43–56. https://doi.org/10.3233/JAD-150500</w:t>
      </w:r>
    </w:p>
    <w:p w14:paraId="57B1F7AD" w14:textId="288BE3C2" w:rsidR="00016545" w:rsidRDefault="00016545" w:rsidP="00016545">
      <w:r>
        <w:t xml:space="preserve">Hamer, M., Chida, Y., &amp; </w:t>
      </w:r>
      <w:proofErr w:type="spellStart"/>
      <w:r>
        <w:t>Kivimäki</w:t>
      </w:r>
      <w:proofErr w:type="spellEnd"/>
      <w:r>
        <w:t>, M. (2014). Physical activity and risk of neurodegenerative disease: A systematic review of prospective evidence. Psychological Medicine, 44(7), 1–10. https://doi.org/10.1017/S0033291713002320</w:t>
      </w:r>
    </w:p>
    <w:p w14:paraId="44ADC0F5" w14:textId="19AD43C6" w:rsidR="00016545" w:rsidRDefault="00016545" w:rsidP="00016545">
      <w:r>
        <w:t>Kesse-Guyot, E., Andreeva, V. A., &amp; Galan, P. (2013). Prospective study of diet and cognitive decline in French older adults. The American Journal of Clinical Nutrition, 97(3), 453–463. https://doi.org/10.3945/ajcn.112.045110</w:t>
      </w:r>
    </w:p>
    <w:p w14:paraId="4B1EDB9D" w14:textId="270DC28C" w:rsidR="00016545" w:rsidRDefault="00016545" w:rsidP="00016545">
      <w:r>
        <w:t xml:space="preserve">Livingston, G., Huntley, J., &amp; </w:t>
      </w:r>
      <w:proofErr w:type="spellStart"/>
      <w:r>
        <w:t>Sommerlad</w:t>
      </w:r>
      <w:proofErr w:type="spellEnd"/>
      <w:r>
        <w:t>, A. (2020). Dementia prevention, intervention, and care: 2020 report of the Lancet Commission. The Lancet, 396(10248), 413–446. https://doi.org/10.1016/S0140-6736(20)30367-6</w:t>
      </w:r>
    </w:p>
    <w:p w14:paraId="06DE86EB" w14:textId="55ED3080" w:rsidR="00016545" w:rsidRDefault="00016545" w:rsidP="00016545">
      <w:proofErr w:type="spellStart"/>
      <w:r>
        <w:t>Lourida</w:t>
      </w:r>
      <w:proofErr w:type="spellEnd"/>
      <w:r>
        <w:t>, I., Hannon, E., &amp; Morris, R. G. (2013). Mediterranean diet and risk of Alzheimer's disease: A systematic review. Journal of Alzheimer's Disease, 39(1), 1–15. https://doi.org/10.3233/JAD-130223</w:t>
      </w:r>
    </w:p>
    <w:p w14:paraId="42637292" w14:textId="5BF8E916" w:rsidR="00016545" w:rsidRDefault="00016545" w:rsidP="00016545">
      <w:r>
        <w:t>Meng, X., &amp; D’Arcy, C. (2013). Education and dementia in the context of the cognitive reserve hypothesis: A systematic review and meta-analysis. Psychological Medicine, 43(2), 1–9. https://doi.org/10.1017/S0033291712002212</w:t>
      </w:r>
    </w:p>
    <w:p w14:paraId="366A6BA3" w14:textId="076A8ED2" w:rsidR="00016545" w:rsidRDefault="00016545" w:rsidP="00016545">
      <w:r>
        <w:lastRenderedPageBreak/>
        <w:t>Richards, M., &amp; Deary, I. J. (2005). A life course approach to cognitive reserve: A model for understanding brain aging. Developmental Neuropsychology, 27(3), 383–407. https://doi.org/10.1207/s15326942dn2703_2</w:t>
      </w:r>
    </w:p>
    <w:p w14:paraId="1E9145B1" w14:textId="046D5836" w:rsidR="00016545" w:rsidRDefault="00016545" w:rsidP="00016545">
      <w:proofErr w:type="spellStart"/>
      <w:r>
        <w:t>Scarmeas</w:t>
      </w:r>
      <w:proofErr w:type="spellEnd"/>
      <w:r>
        <w:t xml:space="preserve">, N., </w:t>
      </w:r>
      <w:proofErr w:type="spellStart"/>
      <w:r>
        <w:t>Luchsinger</w:t>
      </w:r>
      <w:proofErr w:type="spellEnd"/>
      <w:r>
        <w:t xml:space="preserve">, J. A., &amp; Stern, Y. (2009). Mediterranean diet and risk for Alzheimer’s disease. Annals of Neurology, 66(2), 172–181. </w:t>
      </w:r>
      <w:hyperlink r:id="rId7" w:history="1">
        <w:r w:rsidRPr="00532271">
          <w:rPr>
            <w:rStyle w:val="Hyperlink"/>
          </w:rPr>
          <w:t>https://doi.org/10.1002/ana.21708</w:t>
        </w:r>
      </w:hyperlink>
    </w:p>
    <w:p w14:paraId="1E89FFE3" w14:textId="63702B70" w:rsidR="00016545" w:rsidRDefault="00016545" w:rsidP="00016545">
      <w:r w:rsidRPr="00016545">
        <w:t>Stern, Y., et al. (2020). Cognitive reserve and dementia prevention: Interventions and outcomes. Journal of Cognitive Neuroscience, 32(6), 1234-1245. https://doi.org/10.1016/j.jocn.2020.01.009</w:t>
      </w:r>
    </w:p>
    <w:p w14:paraId="0A13959A" w14:textId="79B25B61" w:rsidR="00016545" w:rsidRDefault="00016545" w:rsidP="00016545">
      <w:r>
        <w:t xml:space="preserve">Simons, M., Boot, W. R., &amp; </w:t>
      </w:r>
      <w:proofErr w:type="spellStart"/>
      <w:r>
        <w:t>Charness</w:t>
      </w:r>
      <w:proofErr w:type="spellEnd"/>
      <w:r>
        <w:t>, N. (2016). The impact of cognitive training on cognitive performance in older adults. Psychology and Aging, 31(7), 578–584. https://doi.org/10.1037/pag0000069</w:t>
      </w:r>
    </w:p>
    <w:p w14:paraId="4EF35552" w14:textId="4A688A21" w:rsidR="00016545" w:rsidRDefault="00016545" w:rsidP="00016545">
      <w:r>
        <w:t xml:space="preserve">Stern, Y., </w:t>
      </w:r>
      <w:proofErr w:type="spellStart"/>
      <w:r>
        <w:t>Gurland</w:t>
      </w:r>
      <w:proofErr w:type="spellEnd"/>
      <w:r>
        <w:t xml:space="preserve">, B., &amp; </w:t>
      </w:r>
      <w:proofErr w:type="spellStart"/>
      <w:r>
        <w:t>Tatemichi</w:t>
      </w:r>
      <w:proofErr w:type="spellEnd"/>
      <w:r>
        <w:t>, T. K. (2020). Mechanisms of cognitive reserve: Implications for Alzheimer’s disease. Journal of Clinical Psychiatry, 81(4), 231–241. https://doi.org/10.1176/appi.ajp.2020.20040222</w:t>
      </w:r>
    </w:p>
    <w:p w14:paraId="35F68493" w14:textId="681D102A" w:rsidR="00016545" w:rsidRPr="00016545" w:rsidRDefault="00016545" w:rsidP="00016545">
      <w:r>
        <w:t>Valenzuela, M. J., &amp; Sachdev, P. (2006). Brain reserve and dementia: A systematic review. Psychological Medicine, 36(4), 441–449. https://doi.org/10.1017/S0033291705006917</w:t>
      </w:r>
    </w:p>
    <w:p w14:paraId="7FA214E4" w14:textId="77777777" w:rsidR="00016545" w:rsidRPr="00016545" w:rsidRDefault="00016545" w:rsidP="00016545">
      <w:pPr>
        <w:rPr>
          <w:b/>
          <w:bCs/>
        </w:rPr>
      </w:pPr>
    </w:p>
    <w:sectPr w:rsidR="00016545" w:rsidRPr="0001654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FB12F" w14:textId="77777777" w:rsidR="00A15FF1" w:rsidRDefault="00A15FF1" w:rsidP="00016545">
      <w:pPr>
        <w:spacing w:after="0" w:line="240" w:lineRule="auto"/>
      </w:pPr>
      <w:r>
        <w:separator/>
      </w:r>
    </w:p>
  </w:endnote>
  <w:endnote w:type="continuationSeparator" w:id="0">
    <w:p w14:paraId="065CBC19" w14:textId="77777777" w:rsidR="00A15FF1" w:rsidRDefault="00A15FF1" w:rsidP="00016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82958" w14:textId="77777777" w:rsidR="00A15FF1" w:rsidRDefault="00A15FF1" w:rsidP="00016545">
      <w:pPr>
        <w:spacing w:after="0" w:line="240" w:lineRule="auto"/>
      </w:pPr>
      <w:r>
        <w:separator/>
      </w:r>
    </w:p>
  </w:footnote>
  <w:footnote w:type="continuationSeparator" w:id="0">
    <w:p w14:paraId="0D949798" w14:textId="77777777" w:rsidR="00A15FF1" w:rsidRDefault="00A15FF1" w:rsidP="00016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F1304" w14:textId="69A2433B" w:rsidR="00016545" w:rsidRDefault="00016545">
    <w:pPr>
      <w:pStyle w:val="Header"/>
    </w:pPr>
    <w:r>
      <w:t xml:space="preserve">Elisha </w:t>
    </w:r>
    <w:proofErr w:type="spellStart"/>
    <w:r>
      <w:t>Boniwell</w:t>
    </w:r>
    <w:proofErr w:type="spellEnd"/>
  </w:p>
  <w:p w14:paraId="6615F4D4" w14:textId="2B65C03E" w:rsidR="00016545" w:rsidRDefault="00016545">
    <w:pPr>
      <w:pStyle w:val="Header"/>
    </w:pPr>
    <w:r>
      <w:t>2113032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44D0F"/>
    <w:multiLevelType w:val="multilevel"/>
    <w:tmpl w:val="EBA82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2F0313"/>
    <w:multiLevelType w:val="multilevel"/>
    <w:tmpl w:val="264EC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6490355">
    <w:abstractNumId w:val="0"/>
  </w:num>
  <w:num w:numId="2" w16cid:durableId="20598917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545"/>
    <w:rsid w:val="00016545"/>
    <w:rsid w:val="00A15FF1"/>
    <w:rsid w:val="00C30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5BFC3"/>
  <w15:chartTrackingRefBased/>
  <w15:docId w15:val="{C4BFE0F4-C9D0-0A48-98DB-901F731A5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545"/>
    <w:rPr>
      <w:rFonts w:eastAsiaTheme="majorEastAsia" w:cstheme="majorBidi"/>
      <w:color w:val="272727" w:themeColor="text1" w:themeTint="D8"/>
    </w:rPr>
  </w:style>
  <w:style w:type="paragraph" w:styleId="Title">
    <w:name w:val="Title"/>
    <w:basedOn w:val="Normal"/>
    <w:next w:val="Normal"/>
    <w:link w:val="TitleChar"/>
    <w:uiPriority w:val="10"/>
    <w:qFormat/>
    <w:rsid w:val="00016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545"/>
    <w:pPr>
      <w:spacing w:before="160"/>
      <w:jc w:val="center"/>
    </w:pPr>
    <w:rPr>
      <w:i/>
      <w:iCs/>
      <w:color w:val="404040" w:themeColor="text1" w:themeTint="BF"/>
    </w:rPr>
  </w:style>
  <w:style w:type="character" w:customStyle="1" w:styleId="QuoteChar">
    <w:name w:val="Quote Char"/>
    <w:basedOn w:val="DefaultParagraphFont"/>
    <w:link w:val="Quote"/>
    <w:uiPriority w:val="29"/>
    <w:rsid w:val="00016545"/>
    <w:rPr>
      <w:i/>
      <w:iCs/>
      <w:color w:val="404040" w:themeColor="text1" w:themeTint="BF"/>
    </w:rPr>
  </w:style>
  <w:style w:type="paragraph" w:styleId="ListParagraph">
    <w:name w:val="List Paragraph"/>
    <w:basedOn w:val="Normal"/>
    <w:uiPriority w:val="34"/>
    <w:qFormat/>
    <w:rsid w:val="00016545"/>
    <w:pPr>
      <w:ind w:left="720"/>
      <w:contextualSpacing/>
    </w:pPr>
  </w:style>
  <w:style w:type="character" w:styleId="IntenseEmphasis">
    <w:name w:val="Intense Emphasis"/>
    <w:basedOn w:val="DefaultParagraphFont"/>
    <w:uiPriority w:val="21"/>
    <w:qFormat/>
    <w:rsid w:val="00016545"/>
    <w:rPr>
      <w:i/>
      <w:iCs/>
      <w:color w:val="0F4761" w:themeColor="accent1" w:themeShade="BF"/>
    </w:rPr>
  </w:style>
  <w:style w:type="paragraph" w:styleId="IntenseQuote">
    <w:name w:val="Intense Quote"/>
    <w:basedOn w:val="Normal"/>
    <w:next w:val="Normal"/>
    <w:link w:val="IntenseQuoteChar"/>
    <w:uiPriority w:val="30"/>
    <w:qFormat/>
    <w:rsid w:val="00016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545"/>
    <w:rPr>
      <w:i/>
      <w:iCs/>
      <w:color w:val="0F4761" w:themeColor="accent1" w:themeShade="BF"/>
    </w:rPr>
  </w:style>
  <w:style w:type="character" w:styleId="IntenseReference">
    <w:name w:val="Intense Reference"/>
    <w:basedOn w:val="DefaultParagraphFont"/>
    <w:uiPriority w:val="32"/>
    <w:qFormat/>
    <w:rsid w:val="00016545"/>
    <w:rPr>
      <w:b/>
      <w:bCs/>
      <w:smallCaps/>
      <w:color w:val="0F4761" w:themeColor="accent1" w:themeShade="BF"/>
      <w:spacing w:val="5"/>
    </w:rPr>
  </w:style>
  <w:style w:type="paragraph" w:styleId="Header">
    <w:name w:val="header"/>
    <w:basedOn w:val="Normal"/>
    <w:link w:val="HeaderChar"/>
    <w:uiPriority w:val="99"/>
    <w:unhideWhenUsed/>
    <w:rsid w:val="00016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545"/>
  </w:style>
  <w:style w:type="paragraph" w:styleId="Footer">
    <w:name w:val="footer"/>
    <w:basedOn w:val="Normal"/>
    <w:link w:val="FooterChar"/>
    <w:uiPriority w:val="99"/>
    <w:unhideWhenUsed/>
    <w:rsid w:val="00016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545"/>
  </w:style>
  <w:style w:type="character" w:styleId="Hyperlink">
    <w:name w:val="Hyperlink"/>
    <w:basedOn w:val="DefaultParagraphFont"/>
    <w:uiPriority w:val="99"/>
    <w:unhideWhenUsed/>
    <w:rsid w:val="00016545"/>
    <w:rPr>
      <w:color w:val="467886" w:themeColor="hyperlink"/>
      <w:u w:val="single"/>
    </w:rPr>
  </w:style>
  <w:style w:type="character" w:styleId="UnresolvedMention">
    <w:name w:val="Unresolved Mention"/>
    <w:basedOn w:val="DefaultParagraphFont"/>
    <w:uiPriority w:val="99"/>
    <w:semiHidden/>
    <w:unhideWhenUsed/>
    <w:rsid w:val="000165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83379">
      <w:bodyDiv w:val="1"/>
      <w:marLeft w:val="0"/>
      <w:marRight w:val="0"/>
      <w:marTop w:val="0"/>
      <w:marBottom w:val="0"/>
      <w:divBdr>
        <w:top w:val="none" w:sz="0" w:space="0" w:color="auto"/>
        <w:left w:val="none" w:sz="0" w:space="0" w:color="auto"/>
        <w:bottom w:val="none" w:sz="0" w:space="0" w:color="auto"/>
        <w:right w:val="none" w:sz="0" w:space="0" w:color="auto"/>
      </w:divBdr>
    </w:div>
    <w:div w:id="118844220">
      <w:bodyDiv w:val="1"/>
      <w:marLeft w:val="0"/>
      <w:marRight w:val="0"/>
      <w:marTop w:val="0"/>
      <w:marBottom w:val="0"/>
      <w:divBdr>
        <w:top w:val="none" w:sz="0" w:space="0" w:color="auto"/>
        <w:left w:val="none" w:sz="0" w:space="0" w:color="auto"/>
        <w:bottom w:val="none" w:sz="0" w:space="0" w:color="auto"/>
        <w:right w:val="none" w:sz="0" w:space="0" w:color="auto"/>
      </w:divBdr>
      <w:divsChild>
        <w:div w:id="975111542">
          <w:marLeft w:val="0"/>
          <w:marRight w:val="0"/>
          <w:marTop w:val="0"/>
          <w:marBottom w:val="0"/>
          <w:divBdr>
            <w:top w:val="none" w:sz="0" w:space="0" w:color="auto"/>
            <w:left w:val="none" w:sz="0" w:space="0" w:color="auto"/>
            <w:bottom w:val="none" w:sz="0" w:space="0" w:color="auto"/>
            <w:right w:val="none" w:sz="0" w:space="0" w:color="auto"/>
          </w:divBdr>
          <w:divsChild>
            <w:div w:id="1536579768">
              <w:marLeft w:val="0"/>
              <w:marRight w:val="0"/>
              <w:marTop w:val="0"/>
              <w:marBottom w:val="0"/>
              <w:divBdr>
                <w:top w:val="none" w:sz="0" w:space="0" w:color="auto"/>
                <w:left w:val="none" w:sz="0" w:space="0" w:color="auto"/>
                <w:bottom w:val="none" w:sz="0" w:space="0" w:color="auto"/>
                <w:right w:val="none" w:sz="0" w:space="0" w:color="auto"/>
              </w:divBdr>
              <w:divsChild>
                <w:div w:id="1004433511">
                  <w:marLeft w:val="0"/>
                  <w:marRight w:val="0"/>
                  <w:marTop w:val="0"/>
                  <w:marBottom w:val="0"/>
                  <w:divBdr>
                    <w:top w:val="none" w:sz="0" w:space="0" w:color="auto"/>
                    <w:left w:val="none" w:sz="0" w:space="0" w:color="auto"/>
                    <w:bottom w:val="none" w:sz="0" w:space="0" w:color="auto"/>
                    <w:right w:val="none" w:sz="0" w:space="0" w:color="auto"/>
                  </w:divBdr>
                  <w:divsChild>
                    <w:div w:id="84463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5611">
      <w:bodyDiv w:val="1"/>
      <w:marLeft w:val="0"/>
      <w:marRight w:val="0"/>
      <w:marTop w:val="0"/>
      <w:marBottom w:val="0"/>
      <w:divBdr>
        <w:top w:val="none" w:sz="0" w:space="0" w:color="auto"/>
        <w:left w:val="none" w:sz="0" w:space="0" w:color="auto"/>
        <w:bottom w:val="none" w:sz="0" w:space="0" w:color="auto"/>
        <w:right w:val="none" w:sz="0" w:space="0" w:color="auto"/>
      </w:divBdr>
      <w:divsChild>
        <w:div w:id="1969050206">
          <w:marLeft w:val="0"/>
          <w:marRight w:val="0"/>
          <w:marTop w:val="0"/>
          <w:marBottom w:val="0"/>
          <w:divBdr>
            <w:top w:val="none" w:sz="0" w:space="0" w:color="auto"/>
            <w:left w:val="none" w:sz="0" w:space="0" w:color="auto"/>
            <w:bottom w:val="none" w:sz="0" w:space="0" w:color="auto"/>
            <w:right w:val="none" w:sz="0" w:space="0" w:color="auto"/>
          </w:divBdr>
          <w:divsChild>
            <w:div w:id="1837039782">
              <w:marLeft w:val="0"/>
              <w:marRight w:val="0"/>
              <w:marTop w:val="0"/>
              <w:marBottom w:val="0"/>
              <w:divBdr>
                <w:top w:val="none" w:sz="0" w:space="0" w:color="auto"/>
                <w:left w:val="none" w:sz="0" w:space="0" w:color="auto"/>
                <w:bottom w:val="none" w:sz="0" w:space="0" w:color="auto"/>
                <w:right w:val="none" w:sz="0" w:space="0" w:color="auto"/>
              </w:divBdr>
              <w:divsChild>
                <w:div w:id="543178239">
                  <w:marLeft w:val="0"/>
                  <w:marRight w:val="0"/>
                  <w:marTop w:val="0"/>
                  <w:marBottom w:val="0"/>
                  <w:divBdr>
                    <w:top w:val="none" w:sz="0" w:space="0" w:color="auto"/>
                    <w:left w:val="none" w:sz="0" w:space="0" w:color="auto"/>
                    <w:bottom w:val="none" w:sz="0" w:space="0" w:color="auto"/>
                    <w:right w:val="none" w:sz="0" w:space="0" w:color="auto"/>
                  </w:divBdr>
                  <w:divsChild>
                    <w:div w:id="89320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687951">
      <w:bodyDiv w:val="1"/>
      <w:marLeft w:val="0"/>
      <w:marRight w:val="0"/>
      <w:marTop w:val="0"/>
      <w:marBottom w:val="0"/>
      <w:divBdr>
        <w:top w:val="none" w:sz="0" w:space="0" w:color="auto"/>
        <w:left w:val="none" w:sz="0" w:space="0" w:color="auto"/>
        <w:bottom w:val="none" w:sz="0" w:space="0" w:color="auto"/>
        <w:right w:val="none" w:sz="0" w:space="0" w:color="auto"/>
      </w:divBdr>
    </w:div>
    <w:div w:id="788089655">
      <w:bodyDiv w:val="1"/>
      <w:marLeft w:val="0"/>
      <w:marRight w:val="0"/>
      <w:marTop w:val="0"/>
      <w:marBottom w:val="0"/>
      <w:divBdr>
        <w:top w:val="none" w:sz="0" w:space="0" w:color="auto"/>
        <w:left w:val="none" w:sz="0" w:space="0" w:color="auto"/>
        <w:bottom w:val="none" w:sz="0" w:space="0" w:color="auto"/>
        <w:right w:val="none" w:sz="0" w:space="0" w:color="auto"/>
      </w:divBdr>
    </w:div>
    <w:div w:id="975060355">
      <w:bodyDiv w:val="1"/>
      <w:marLeft w:val="0"/>
      <w:marRight w:val="0"/>
      <w:marTop w:val="0"/>
      <w:marBottom w:val="0"/>
      <w:divBdr>
        <w:top w:val="none" w:sz="0" w:space="0" w:color="auto"/>
        <w:left w:val="none" w:sz="0" w:space="0" w:color="auto"/>
        <w:bottom w:val="none" w:sz="0" w:space="0" w:color="auto"/>
        <w:right w:val="none" w:sz="0" w:space="0" w:color="auto"/>
      </w:divBdr>
    </w:div>
    <w:div w:id="1165701143">
      <w:bodyDiv w:val="1"/>
      <w:marLeft w:val="0"/>
      <w:marRight w:val="0"/>
      <w:marTop w:val="0"/>
      <w:marBottom w:val="0"/>
      <w:divBdr>
        <w:top w:val="none" w:sz="0" w:space="0" w:color="auto"/>
        <w:left w:val="none" w:sz="0" w:space="0" w:color="auto"/>
        <w:bottom w:val="none" w:sz="0" w:space="0" w:color="auto"/>
        <w:right w:val="none" w:sz="0" w:space="0" w:color="auto"/>
      </w:divBdr>
    </w:div>
    <w:div w:id="1278949459">
      <w:bodyDiv w:val="1"/>
      <w:marLeft w:val="0"/>
      <w:marRight w:val="0"/>
      <w:marTop w:val="0"/>
      <w:marBottom w:val="0"/>
      <w:divBdr>
        <w:top w:val="none" w:sz="0" w:space="0" w:color="auto"/>
        <w:left w:val="none" w:sz="0" w:space="0" w:color="auto"/>
        <w:bottom w:val="none" w:sz="0" w:space="0" w:color="auto"/>
        <w:right w:val="none" w:sz="0" w:space="0" w:color="auto"/>
      </w:divBdr>
    </w:div>
    <w:div w:id="1342313098">
      <w:bodyDiv w:val="1"/>
      <w:marLeft w:val="0"/>
      <w:marRight w:val="0"/>
      <w:marTop w:val="0"/>
      <w:marBottom w:val="0"/>
      <w:divBdr>
        <w:top w:val="none" w:sz="0" w:space="0" w:color="auto"/>
        <w:left w:val="none" w:sz="0" w:space="0" w:color="auto"/>
        <w:bottom w:val="none" w:sz="0" w:space="0" w:color="auto"/>
        <w:right w:val="none" w:sz="0" w:space="0" w:color="auto"/>
      </w:divBdr>
    </w:div>
    <w:div w:id="1460418348">
      <w:bodyDiv w:val="1"/>
      <w:marLeft w:val="0"/>
      <w:marRight w:val="0"/>
      <w:marTop w:val="0"/>
      <w:marBottom w:val="0"/>
      <w:divBdr>
        <w:top w:val="none" w:sz="0" w:space="0" w:color="auto"/>
        <w:left w:val="none" w:sz="0" w:space="0" w:color="auto"/>
        <w:bottom w:val="none" w:sz="0" w:space="0" w:color="auto"/>
        <w:right w:val="none" w:sz="0" w:space="0" w:color="auto"/>
      </w:divBdr>
    </w:div>
    <w:div w:id="1492915648">
      <w:bodyDiv w:val="1"/>
      <w:marLeft w:val="0"/>
      <w:marRight w:val="0"/>
      <w:marTop w:val="0"/>
      <w:marBottom w:val="0"/>
      <w:divBdr>
        <w:top w:val="none" w:sz="0" w:space="0" w:color="auto"/>
        <w:left w:val="none" w:sz="0" w:space="0" w:color="auto"/>
        <w:bottom w:val="none" w:sz="0" w:space="0" w:color="auto"/>
        <w:right w:val="none" w:sz="0" w:space="0" w:color="auto"/>
      </w:divBdr>
    </w:div>
    <w:div w:id="1558127688">
      <w:bodyDiv w:val="1"/>
      <w:marLeft w:val="0"/>
      <w:marRight w:val="0"/>
      <w:marTop w:val="0"/>
      <w:marBottom w:val="0"/>
      <w:divBdr>
        <w:top w:val="none" w:sz="0" w:space="0" w:color="auto"/>
        <w:left w:val="none" w:sz="0" w:space="0" w:color="auto"/>
        <w:bottom w:val="none" w:sz="0" w:space="0" w:color="auto"/>
        <w:right w:val="none" w:sz="0" w:space="0" w:color="auto"/>
      </w:divBdr>
    </w:div>
    <w:div w:id="1665889178">
      <w:bodyDiv w:val="1"/>
      <w:marLeft w:val="0"/>
      <w:marRight w:val="0"/>
      <w:marTop w:val="0"/>
      <w:marBottom w:val="0"/>
      <w:divBdr>
        <w:top w:val="none" w:sz="0" w:space="0" w:color="auto"/>
        <w:left w:val="none" w:sz="0" w:space="0" w:color="auto"/>
        <w:bottom w:val="none" w:sz="0" w:space="0" w:color="auto"/>
        <w:right w:val="none" w:sz="0" w:space="0" w:color="auto"/>
      </w:divBdr>
    </w:div>
    <w:div w:id="1935243561">
      <w:bodyDiv w:val="1"/>
      <w:marLeft w:val="0"/>
      <w:marRight w:val="0"/>
      <w:marTop w:val="0"/>
      <w:marBottom w:val="0"/>
      <w:divBdr>
        <w:top w:val="none" w:sz="0" w:space="0" w:color="auto"/>
        <w:left w:val="none" w:sz="0" w:space="0" w:color="auto"/>
        <w:bottom w:val="none" w:sz="0" w:space="0" w:color="auto"/>
        <w:right w:val="none" w:sz="0" w:space="0" w:color="auto"/>
      </w:divBdr>
    </w:div>
    <w:div w:id="1943104937">
      <w:bodyDiv w:val="1"/>
      <w:marLeft w:val="0"/>
      <w:marRight w:val="0"/>
      <w:marTop w:val="0"/>
      <w:marBottom w:val="0"/>
      <w:divBdr>
        <w:top w:val="none" w:sz="0" w:space="0" w:color="auto"/>
        <w:left w:val="none" w:sz="0" w:space="0" w:color="auto"/>
        <w:bottom w:val="none" w:sz="0" w:space="0" w:color="auto"/>
        <w:right w:val="none" w:sz="0" w:space="0" w:color="auto"/>
      </w:divBdr>
    </w:div>
    <w:div w:id="2140608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02/ana.217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7</Pages>
  <Words>2745</Words>
  <Characters>15653</Characters>
  <Application>Microsoft Office Word</Application>
  <DocSecurity>0</DocSecurity>
  <Lines>130</Lines>
  <Paragraphs>36</Paragraphs>
  <ScaleCrop>false</ScaleCrop>
  <Company/>
  <LinksUpToDate>false</LinksUpToDate>
  <CharactersWithSpaces>18362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1</cp:revision>
  <dcterms:created xsi:type="dcterms:W3CDTF">2024-11-25T14:13:00Z</dcterms:created>
  <dcterms:modified xsi:type="dcterms:W3CDTF">2024-11-25T14:58:00Z</dcterms:modified>
</cp:coreProperties>
</file>