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BC677" w14:textId="77777777" w:rsidR="004876D4" w:rsidRPr="004876D4" w:rsidRDefault="004876D4" w:rsidP="001469E2">
      <w:pPr>
        <w:rPr>
          <w:rFonts w:cs="Times New Roman"/>
          <w:b/>
          <w:color w:val="000000" w:themeColor="text1"/>
          <w:sz w:val="32"/>
          <w:szCs w:val="32"/>
        </w:rPr>
      </w:pPr>
    </w:p>
    <w:p w14:paraId="06899295" w14:textId="77777777" w:rsidR="004876D4" w:rsidRPr="004876D4" w:rsidRDefault="004876D4" w:rsidP="004876D4">
      <w:pPr>
        <w:rPr>
          <w:rFonts w:cs="Times New Roman"/>
          <w:b/>
          <w:color w:val="000000" w:themeColor="text1"/>
          <w:sz w:val="32"/>
          <w:szCs w:val="32"/>
        </w:rPr>
      </w:pPr>
    </w:p>
    <w:p w14:paraId="66C91F51" w14:textId="098A3CBC" w:rsidR="004876D4" w:rsidRPr="004876D4" w:rsidRDefault="001469E2" w:rsidP="001469E2">
      <w:pPr>
        <w:rPr>
          <w:rFonts w:cs="Times New Roman"/>
          <w:color w:val="000000" w:themeColor="text1"/>
          <w:sz w:val="32"/>
          <w:szCs w:val="32"/>
        </w:rPr>
      </w:pPr>
      <w:r>
        <w:rPr>
          <w:rFonts w:cs="Times New Roman"/>
          <w:b/>
          <w:color w:val="000000" w:themeColor="text1"/>
          <w:sz w:val="32"/>
          <w:szCs w:val="32"/>
        </w:rPr>
        <w:t xml:space="preserve">            </w:t>
      </w:r>
      <w:r w:rsidR="004876D4" w:rsidRPr="004876D4">
        <w:rPr>
          <w:rFonts w:cs="Times New Roman"/>
          <w:b/>
          <w:color w:val="000000" w:themeColor="text1"/>
          <w:sz w:val="32"/>
          <w:szCs w:val="32"/>
        </w:rPr>
        <w:t>MODULE:</w:t>
      </w:r>
      <w:r>
        <w:rPr>
          <w:rFonts w:cs="Times New Roman"/>
          <w:b/>
          <w:color w:val="000000" w:themeColor="text1"/>
          <w:sz w:val="32"/>
          <w:szCs w:val="32"/>
        </w:rPr>
        <w:t xml:space="preserve"> Strategic Management for Business </w:t>
      </w:r>
    </w:p>
    <w:p w14:paraId="4CC34150" w14:textId="0B5D2F58" w:rsidR="004876D4" w:rsidRPr="004876D4" w:rsidRDefault="001469E2" w:rsidP="001469E2">
      <w:pPr>
        <w:rPr>
          <w:rFonts w:cs="Times New Roman"/>
          <w:color w:val="000000" w:themeColor="text1"/>
          <w:sz w:val="32"/>
          <w:szCs w:val="32"/>
        </w:rPr>
      </w:pPr>
      <w:r>
        <w:rPr>
          <w:rFonts w:cs="Times New Roman"/>
          <w:b/>
          <w:color w:val="000000" w:themeColor="text1"/>
          <w:sz w:val="32"/>
          <w:szCs w:val="32"/>
        </w:rPr>
        <w:t xml:space="preserve">             </w:t>
      </w:r>
      <w:r w:rsidR="004876D4" w:rsidRPr="004876D4">
        <w:rPr>
          <w:rFonts w:cs="Times New Roman"/>
          <w:b/>
          <w:color w:val="000000" w:themeColor="text1"/>
          <w:sz w:val="32"/>
          <w:szCs w:val="32"/>
        </w:rPr>
        <w:t>STUDENT NAME:</w:t>
      </w:r>
      <w:r>
        <w:rPr>
          <w:rFonts w:cs="Times New Roman"/>
          <w:b/>
          <w:color w:val="000000" w:themeColor="text1"/>
          <w:sz w:val="32"/>
          <w:szCs w:val="32"/>
        </w:rPr>
        <w:t xml:space="preserve"> Gertie Vidot</w:t>
      </w:r>
    </w:p>
    <w:p w14:paraId="79AD8090" w14:textId="168D2660" w:rsidR="004876D4" w:rsidRDefault="001469E2" w:rsidP="001469E2">
      <w:pPr>
        <w:rPr>
          <w:rFonts w:cs="Times New Roman"/>
          <w:b/>
          <w:color w:val="000000" w:themeColor="text1"/>
          <w:sz w:val="32"/>
          <w:szCs w:val="32"/>
        </w:rPr>
      </w:pPr>
      <w:r>
        <w:rPr>
          <w:rFonts w:cs="Times New Roman"/>
          <w:b/>
          <w:color w:val="000000" w:themeColor="text1"/>
          <w:sz w:val="32"/>
          <w:szCs w:val="32"/>
        </w:rPr>
        <w:t xml:space="preserve">             </w:t>
      </w:r>
      <w:r w:rsidR="004876D4" w:rsidRPr="004876D4">
        <w:rPr>
          <w:rFonts w:cs="Times New Roman"/>
          <w:b/>
          <w:color w:val="000000" w:themeColor="text1"/>
          <w:sz w:val="32"/>
          <w:szCs w:val="32"/>
        </w:rPr>
        <w:t>STUDENT ID:</w:t>
      </w:r>
      <w:r>
        <w:rPr>
          <w:rFonts w:cs="Times New Roman"/>
          <w:b/>
          <w:color w:val="000000" w:themeColor="text1"/>
          <w:sz w:val="32"/>
          <w:szCs w:val="32"/>
        </w:rPr>
        <w:t xml:space="preserve"> 2336702</w:t>
      </w:r>
    </w:p>
    <w:p w14:paraId="727BC3C3" w14:textId="27471759" w:rsidR="001469E2" w:rsidRPr="004876D4" w:rsidRDefault="001469E2" w:rsidP="001469E2">
      <w:pPr>
        <w:rPr>
          <w:rFonts w:cs="Times New Roman"/>
          <w:color w:val="000000" w:themeColor="text1"/>
          <w:sz w:val="32"/>
          <w:szCs w:val="32"/>
        </w:rPr>
      </w:pPr>
      <w:r>
        <w:rPr>
          <w:rFonts w:cs="Times New Roman"/>
          <w:b/>
          <w:color w:val="000000" w:themeColor="text1"/>
          <w:sz w:val="32"/>
          <w:szCs w:val="32"/>
        </w:rPr>
        <w:t xml:space="preserve">             Lecturer Name: </w:t>
      </w:r>
      <w:r w:rsidRPr="001469E2">
        <w:rPr>
          <w:rFonts w:cs="Times New Roman"/>
          <w:b/>
          <w:color w:val="000000" w:themeColor="text1"/>
          <w:sz w:val="32"/>
          <w:szCs w:val="32"/>
        </w:rPr>
        <w:t>Dr Laila Maazouz</w:t>
      </w:r>
    </w:p>
    <w:p w14:paraId="19BE00D4" w14:textId="77777777" w:rsidR="004876D4" w:rsidRDefault="001469E2" w:rsidP="001469E2">
      <w:pPr>
        <w:rPr>
          <w:rFonts w:cs="Times New Roman"/>
          <w:b/>
          <w:color w:val="000000" w:themeColor="text1"/>
          <w:sz w:val="32"/>
          <w:szCs w:val="32"/>
        </w:rPr>
      </w:pPr>
      <w:r>
        <w:rPr>
          <w:rFonts w:cs="Times New Roman"/>
          <w:b/>
          <w:color w:val="000000" w:themeColor="text1"/>
          <w:sz w:val="32"/>
          <w:szCs w:val="32"/>
        </w:rPr>
        <w:t xml:space="preserve">              </w:t>
      </w:r>
      <w:r w:rsidR="004876D4" w:rsidRPr="004876D4">
        <w:rPr>
          <w:rFonts w:cs="Times New Roman"/>
          <w:b/>
          <w:color w:val="000000" w:themeColor="text1"/>
          <w:sz w:val="32"/>
          <w:szCs w:val="32"/>
        </w:rPr>
        <w:t>SUBMISSION DATE</w:t>
      </w:r>
      <w:r w:rsidR="004876D4" w:rsidRPr="001469E2">
        <w:rPr>
          <w:rFonts w:cs="Times New Roman"/>
          <w:b/>
          <w:color w:val="000000" w:themeColor="text1"/>
          <w:sz w:val="32"/>
          <w:szCs w:val="32"/>
        </w:rPr>
        <w:t>:</w:t>
      </w:r>
      <w:r w:rsidRPr="001469E2">
        <w:rPr>
          <w:rFonts w:cs="Times New Roman"/>
          <w:b/>
          <w:color w:val="000000" w:themeColor="text1"/>
          <w:sz w:val="32"/>
          <w:szCs w:val="32"/>
        </w:rPr>
        <w:t xml:space="preserve"> 05/08/2026</w:t>
      </w:r>
    </w:p>
    <w:p w14:paraId="66DE2EA6" w14:textId="77777777" w:rsidR="001469E2" w:rsidRDefault="001469E2" w:rsidP="001469E2">
      <w:pPr>
        <w:rPr>
          <w:rFonts w:cs="Times New Roman"/>
          <w:b/>
          <w:color w:val="000000" w:themeColor="text1"/>
          <w:sz w:val="32"/>
          <w:szCs w:val="32"/>
        </w:rPr>
      </w:pPr>
    </w:p>
    <w:p w14:paraId="34379A29" w14:textId="77777777" w:rsidR="001469E2" w:rsidRDefault="001469E2" w:rsidP="001469E2">
      <w:pPr>
        <w:rPr>
          <w:rFonts w:cs="Times New Roman"/>
          <w:b/>
          <w:color w:val="000000" w:themeColor="text1"/>
          <w:sz w:val="32"/>
          <w:szCs w:val="32"/>
        </w:rPr>
      </w:pPr>
    </w:p>
    <w:p w14:paraId="332EC437" w14:textId="77777777" w:rsidR="001469E2" w:rsidRDefault="001469E2" w:rsidP="001469E2">
      <w:pPr>
        <w:rPr>
          <w:rFonts w:cs="Times New Roman"/>
          <w:b/>
          <w:color w:val="000000" w:themeColor="text1"/>
          <w:sz w:val="32"/>
          <w:szCs w:val="32"/>
        </w:rPr>
      </w:pPr>
    </w:p>
    <w:p w14:paraId="0297EC66" w14:textId="77777777" w:rsidR="001469E2" w:rsidRDefault="001469E2" w:rsidP="001469E2">
      <w:pPr>
        <w:rPr>
          <w:rFonts w:cs="Times New Roman"/>
          <w:b/>
          <w:color w:val="000000" w:themeColor="text1"/>
          <w:sz w:val="32"/>
          <w:szCs w:val="32"/>
        </w:rPr>
      </w:pPr>
    </w:p>
    <w:p w14:paraId="64A4EF25" w14:textId="77777777" w:rsidR="001469E2" w:rsidRDefault="001469E2" w:rsidP="001469E2">
      <w:pPr>
        <w:rPr>
          <w:rFonts w:cs="Times New Roman"/>
          <w:b/>
          <w:color w:val="000000" w:themeColor="text1"/>
          <w:sz w:val="32"/>
          <w:szCs w:val="32"/>
        </w:rPr>
      </w:pPr>
    </w:p>
    <w:p w14:paraId="48ED3A5A" w14:textId="77777777" w:rsidR="001469E2" w:rsidRDefault="001469E2" w:rsidP="001469E2">
      <w:pPr>
        <w:rPr>
          <w:rFonts w:cs="Times New Roman"/>
          <w:b/>
          <w:color w:val="000000" w:themeColor="text1"/>
          <w:sz w:val="32"/>
          <w:szCs w:val="32"/>
        </w:rPr>
      </w:pPr>
    </w:p>
    <w:p w14:paraId="078B4CF5" w14:textId="77777777" w:rsidR="001469E2" w:rsidRDefault="001469E2" w:rsidP="001469E2">
      <w:pPr>
        <w:rPr>
          <w:rFonts w:cs="Times New Roman"/>
          <w:b/>
          <w:color w:val="000000" w:themeColor="text1"/>
          <w:sz w:val="32"/>
          <w:szCs w:val="32"/>
        </w:rPr>
      </w:pPr>
    </w:p>
    <w:p w14:paraId="46B16C3B" w14:textId="77777777" w:rsidR="001469E2" w:rsidRDefault="001469E2" w:rsidP="001469E2">
      <w:pPr>
        <w:rPr>
          <w:rFonts w:cs="Times New Roman"/>
          <w:b/>
          <w:color w:val="000000" w:themeColor="text1"/>
          <w:sz w:val="32"/>
          <w:szCs w:val="32"/>
        </w:rPr>
      </w:pPr>
    </w:p>
    <w:p w14:paraId="188C5269" w14:textId="77777777" w:rsidR="001469E2" w:rsidRPr="001469E2" w:rsidRDefault="001469E2" w:rsidP="001469E2">
      <w:pPr>
        <w:rPr>
          <w:rFonts w:cs="Times New Roman"/>
          <w:b/>
          <w:color w:val="000000" w:themeColor="text1"/>
          <w:sz w:val="32"/>
          <w:szCs w:val="32"/>
        </w:rPr>
      </w:pPr>
      <w:r w:rsidRPr="001469E2">
        <w:rPr>
          <w:rFonts w:cs="Times New Roman"/>
          <w:b/>
          <w:color w:val="000000" w:themeColor="text1"/>
          <w:sz w:val="32"/>
          <w:szCs w:val="32"/>
        </w:rPr>
        <w:lastRenderedPageBreak/>
        <w:t>Vodafone Three</w:t>
      </w:r>
    </w:p>
    <w:p w14:paraId="3B26152A" w14:textId="5A4256FE" w:rsidR="001469E2" w:rsidRDefault="001469E2" w:rsidP="001469E2">
      <w:pPr>
        <w:rPr>
          <w:rFonts w:cs="Times New Roman"/>
          <w:b/>
          <w:color w:val="000000" w:themeColor="text1"/>
          <w:sz w:val="32"/>
          <w:szCs w:val="32"/>
        </w:rPr>
      </w:pPr>
      <w:r w:rsidRPr="001469E2">
        <w:rPr>
          <w:rFonts w:cs="Times New Roman"/>
          <w:b/>
          <w:color w:val="000000" w:themeColor="text1"/>
          <w:sz w:val="32"/>
          <w:szCs w:val="32"/>
        </w:rPr>
        <w:t>From Network Integration to Sustainable 5G Business Growth</w:t>
      </w:r>
    </w:p>
    <w:p w14:paraId="00FBE97E" w14:textId="77777777" w:rsidR="001469E2" w:rsidRDefault="001469E2" w:rsidP="001469E2">
      <w:pPr>
        <w:rPr>
          <w:rFonts w:cs="Times New Roman"/>
          <w:b/>
          <w:color w:val="000000" w:themeColor="text1"/>
          <w:sz w:val="32"/>
          <w:szCs w:val="32"/>
        </w:rPr>
      </w:pPr>
    </w:p>
    <w:p w14:paraId="3CEFA143" w14:textId="77777777" w:rsidR="001469E2" w:rsidRDefault="001469E2" w:rsidP="001469E2">
      <w:pPr>
        <w:rPr>
          <w:rFonts w:cs="Times New Roman"/>
          <w:b/>
          <w:color w:val="000000" w:themeColor="text1"/>
          <w:sz w:val="32"/>
          <w:szCs w:val="32"/>
        </w:rPr>
      </w:pPr>
    </w:p>
    <w:p w14:paraId="36A9D121" w14:textId="77777777" w:rsidR="001469E2" w:rsidRDefault="001469E2" w:rsidP="001469E2">
      <w:pPr>
        <w:rPr>
          <w:rFonts w:cs="Times New Roman"/>
          <w:b/>
          <w:color w:val="000000" w:themeColor="text1"/>
          <w:sz w:val="32"/>
          <w:szCs w:val="32"/>
        </w:rPr>
      </w:pPr>
    </w:p>
    <w:p w14:paraId="4CA702DD" w14:textId="77777777" w:rsidR="001469E2" w:rsidRDefault="001469E2" w:rsidP="001469E2">
      <w:pPr>
        <w:rPr>
          <w:rFonts w:cs="Times New Roman"/>
          <w:b/>
          <w:color w:val="000000" w:themeColor="text1"/>
          <w:sz w:val="32"/>
          <w:szCs w:val="32"/>
        </w:rPr>
      </w:pPr>
    </w:p>
    <w:p w14:paraId="45B9981C" w14:textId="77777777" w:rsidR="001469E2" w:rsidRDefault="001469E2" w:rsidP="001469E2">
      <w:pPr>
        <w:rPr>
          <w:rFonts w:cs="Times New Roman"/>
          <w:b/>
          <w:color w:val="000000" w:themeColor="text1"/>
          <w:sz w:val="32"/>
          <w:szCs w:val="32"/>
        </w:rPr>
      </w:pPr>
    </w:p>
    <w:p w14:paraId="23B1FBDE" w14:textId="77777777" w:rsidR="001469E2" w:rsidRDefault="001469E2" w:rsidP="001469E2">
      <w:pPr>
        <w:rPr>
          <w:rFonts w:cs="Times New Roman"/>
          <w:b/>
          <w:color w:val="000000" w:themeColor="text1"/>
          <w:sz w:val="32"/>
          <w:szCs w:val="32"/>
        </w:rPr>
      </w:pPr>
    </w:p>
    <w:p w14:paraId="02E9228A" w14:textId="77777777" w:rsidR="001469E2" w:rsidRDefault="001469E2" w:rsidP="001469E2">
      <w:pPr>
        <w:rPr>
          <w:rFonts w:cs="Times New Roman"/>
          <w:b/>
          <w:color w:val="000000" w:themeColor="text1"/>
          <w:sz w:val="32"/>
          <w:szCs w:val="32"/>
        </w:rPr>
      </w:pPr>
    </w:p>
    <w:p w14:paraId="2DA83A2E" w14:textId="77777777" w:rsidR="001469E2" w:rsidRDefault="001469E2" w:rsidP="001469E2">
      <w:pPr>
        <w:rPr>
          <w:rFonts w:cs="Times New Roman"/>
          <w:b/>
          <w:color w:val="000000" w:themeColor="text1"/>
          <w:sz w:val="32"/>
          <w:szCs w:val="32"/>
        </w:rPr>
      </w:pPr>
    </w:p>
    <w:p w14:paraId="2CE31704" w14:textId="77777777" w:rsidR="001469E2" w:rsidRDefault="001469E2" w:rsidP="001469E2">
      <w:pPr>
        <w:rPr>
          <w:rFonts w:cs="Times New Roman"/>
          <w:b/>
          <w:color w:val="000000" w:themeColor="text1"/>
          <w:sz w:val="32"/>
          <w:szCs w:val="32"/>
        </w:rPr>
      </w:pPr>
    </w:p>
    <w:p w14:paraId="793034A3" w14:textId="77777777" w:rsidR="001469E2" w:rsidRDefault="001469E2" w:rsidP="001469E2">
      <w:pPr>
        <w:rPr>
          <w:rFonts w:cs="Times New Roman"/>
          <w:b/>
          <w:color w:val="000000" w:themeColor="text1"/>
          <w:sz w:val="32"/>
          <w:szCs w:val="32"/>
        </w:rPr>
      </w:pPr>
    </w:p>
    <w:p w14:paraId="0CFB403F" w14:textId="77777777" w:rsidR="001469E2" w:rsidRDefault="001469E2" w:rsidP="001469E2">
      <w:pPr>
        <w:rPr>
          <w:rFonts w:cs="Times New Roman"/>
          <w:b/>
          <w:color w:val="000000" w:themeColor="text1"/>
          <w:sz w:val="32"/>
          <w:szCs w:val="32"/>
        </w:rPr>
      </w:pPr>
    </w:p>
    <w:p w14:paraId="2DEB93F7" w14:textId="77777777" w:rsidR="001469E2" w:rsidRDefault="001469E2" w:rsidP="001469E2">
      <w:pPr>
        <w:rPr>
          <w:rFonts w:cs="Times New Roman"/>
          <w:b/>
          <w:color w:val="000000" w:themeColor="text1"/>
          <w:sz w:val="32"/>
          <w:szCs w:val="32"/>
        </w:rPr>
      </w:pPr>
    </w:p>
    <w:p w14:paraId="04BFFDF0" w14:textId="77777777" w:rsidR="001469E2" w:rsidRDefault="001469E2" w:rsidP="001469E2">
      <w:pPr>
        <w:rPr>
          <w:rFonts w:cs="Times New Roman"/>
          <w:b/>
          <w:color w:val="000000" w:themeColor="text1"/>
          <w:sz w:val="32"/>
          <w:szCs w:val="32"/>
        </w:rPr>
      </w:pPr>
    </w:p>
    <w:p w14:paraId="366AFFD8" w14:textId="0D368A46" w:rsidR="001469E2" w:rsidRPr="001469E2" w:rsidRDefault="001469E2" w:rsidP="001469E2">
      <w:pPr>
        <w:rPr>
          <w:rFonts w:cs="Times New Roman"/>
          <w:b/>
          <w:color w:val="000000" w:themeColor="text1"/>
          <w:sz w:val="32"/>
          <w:szCs w:val="32"/>
        </w:rPr>
        <w:sectPr w:rsidR="001469E2" w:rsidRPr="001469E2">
          <w:headerReference w:type="default" r:id="rId8"/>
          <w:pgSz w:w="12240" w:h="15840"/>
          <w:pgMar w:top="1440" w:right="1800" w:bottom="1440" w:left="1800" w:header="720" w:footer="720" w:gutter="0"/>
          <w:cols w:space="720"/>
          <w:docGrid w:linePitch="360"/>
        </w:sectPr>
      </w:pPr>
    </w:p>
    <w:p w14:paraId="41E5C940" w14:textId="77777777" w:rsidR="004876D4" w:rsidRPr="004876D4" w:rsidRDefault="004876D4" w:rsidP="00693990">
      <w:pPr>
        <w:pStyle w:val="Heading1"/>
      </w:pPr>
      <w:bookmarkStart w:id="0" w:name="_Toc236835048"/>
      <w:r w:rsidRPr="004876D4">
        <w:lastRenderedPageBreak/>
        <w:t>Executive Summary</w:t>
      </w:r>
      <w:bookmarkEnd w:id="0"/>
    </w:p>
    <w:p w14:paraId="2766768A" w14:textId="3188B916" w:rsidR="00693990" w:rsidRDefault="004C6364" w:rsidP="00693990">
      <w:pPr>
        <w:ind w:firstLine="720"/>
        <w:rPr>
          <w:color w:val="000000" w:themeColor="text1"/>
        </w:rPr>
      </w:pPr>
      <w:r w:rsidRPr="004876D4">
        <w:rPr>
          <w:color w:val="000000" w:themeColor="text1"/>
        </w:rPr>
        <w:t>Vodafone Three</w:t>
      </w:r>
      <w:r w:rsidR="004876D4" w:rsidRPr="004876D4">
        <w:rPr>
          <w:color w:val="000000" w:themeColor="text1"/>
        </w:rPr>
        <w:t xml:space="preserve"> is off to a great start serving a wide area, but the risk of execution is very high. The UK's largest mobile operator was formed when the 2025 merger took place, which was completed with the acquisition of the remaining 49% by Vodafone in July 2026</w:t>
      </w:r>
      <w:r w:rsidR="00F043C2">
        <w:rPr>
          <w:rStyle w:val="FootnoteReference"/>
          <w:color w:val="000000" w:themeColor="text1"/>
        </w:rPr>
        <w:footnoteReference w:id="1"/>
      </w:r>
      <w:r w:rsidR="004876D4" w:rsidRPr="004876D4">
        <w:rPr>
          <w:color w:val="000000" w:themeColor="text1"/>
        </w:rPr>
        <w:t xml:space="preserve">, providing the Group with full strategic control. The combined business aims to deliver an annual cost and capital-expenditure synergies of £700m by FY30 and is committed to a £11b network </w:t>
      </w:r>
      <w:r w:rsidRPr="004876D4">
        <w:rPr>
          <w:color w:val="000000" w:themeColor="text1"/>
        </w:rPr>
        <w:t>programmed</w:t>
      </w:r>
      <w:r w:rsidR="004876D4" w:rsidRPr="004876D4">
        <w:rPr>
          <w:color w:val="000000" w:themeColor="text1"/>
        </w:rPr>
        <w:t>. But this value extraction by the price is limited by regulation, 5G network integration can destroy the quality of service, and consumers are not necessarily willing to pay a premium for 5G.</w:t>
      </w:r>
    </w:p>
    <w:p w14:paraId="20DE6141" w14:textId="77777777" w:rsidR="00693990" w:rsidRDefault="004876D4" w:rsidP="00693990">
      <w:pPr>
        <w:ind w:firstLine="720"/>
        <w:rPr>
          <w:color w:val="000000" w:themeColor="text1"/>
        </w:rPr>
      </w:pPr>
      <w:r w:rsidRPr="004876D4">
        <w:rPr>
          <w:color w:val="000000" w:themeColor="text1"/>
        </w:rPr>
        <w:t>In this report, Products of Change is recommending the VodafoneThree 5G Business Growth Platform: a focused-differentiation and product-development strategy, defined by a set of managed connectivity, IoT, edge, cybersecurity and analytics bundles, and the use of the integrated 5G Standalone network as a foundation. The proposal is part of Vodafone's objective of connecting everyone, including commercially attractive services and affordable entry packages, regional pilots, and</w:t>
      </w:r>
      <w:r w:rsidR="00693990">
        <w:rPr>
          <w:color w:val="000000" w:themeColor="text1"/>
        </w:rPr>
        <w:t xml:space="preserve"> digital-inclusion commitments.</w:t>
      </w:r>
    </w:p>
    <w:p w14:paraId="0E45BB48" w14:textId="77777777" w:rsidR="004876D4" w:rsidRPr="004876D4" w:rsidRDefault="004876D4" w:rsidP="00F56D0E">
      <w:pPr>
        <w:ind w:firstLine="720"/>
        <w:rPr>
          <w:color w:val="000000" w:themeColor="text1"/>
        </w:rPr>
        <w:sectPr w:rsidR="004876D4" w:rsidRPr="004876D4">
          <w:pgSz w:w="12240" w:h="15840"/>
          <w:pgMar w:top="1440" w:right="1800" w:bottom="1440" w:left="1800" w:header="720" w:footer="720" w:gutter="0"/>
          <w:cols w:space="720"/>
          <w:docGrid w:linePitch="360"/>
        </w:sectPr>
      </w:pPr>
      <w:r w:rsidRPr="004876D4">
        <w:rPr>
          <w:color w:val="000000" w:themeColor="text1"/>
        </w:rPr>
        <w:t xml:space="preserve">Using these frameworks, PESTEL, Five Forces and SWOT analysis illustrates how </w:t>
      </w:r>
      <w:proofErr w:type="spellStart"/>
      <w:r w:rsidRPr="004876D4">
        <w:rPr>
          <w:color w:val="000000" w:themeColor="text1"/>
        </w:rPr>
        <w:t>VodafoneThree's</w:t>
      </w:r>
      <w:proofErr w:type="spellEnd"/>
      <w:r w:rsidRPr="004876D4">
        <w:rPr>
          <w:color w:val="000000" w:themeColor="text1"/>
        </w:rPr>
        <w:t xml:space="preserve"> spectrum, customers, IoT platform, and investment capability is a unique asset, while rivalry, regulation, cyber risk, and integration complexity are relevant threats. Ansoff and Porter analysis demands that any development should be targeted </w:t>
      </w:r>
      <w:r w:rsidRPr="004876D4">
        <w:rPr>
          <w:color w:val="000000" w:themeColor="text1"/>
        </w:rPr>
        <w:lastRenderedPageBreak/>
        <w:t xml:space="preserve">product development rather than wanting to move for market penetration and diversification in very wide range. </w:t>
      </w:r>
    </w:p>
    <w:sdt>
      <w:sdtPr>
        <w:rPr>
          <w:rFonts w:ascii="Times New Roman" w:eastAsiaTheme="minorEastAsia" w:hAnsi="Times New Roman" w:cstheme="minorBidi"/>
          <w:color w:val="000000" w:themeColor="text1"/>
          <w:sz w:val="24"/>
          <w:szCs w:val="22"/>
          <w:lang w:eastAsia="zh-CN"/>
        </w:rPr>
        <w:id w:val="100692483"/>
        <w:docPartObj>
          <w:docPartGallery w:val="Table of Contents"/>
          <w:docPartUnique/>
        </w:docPartObj>
      </w:sdtPr>
      <w:sdtEndPr>
        <w:rPr>
          <w:b/>
          <w:bCs/>
          <w:noProof/>
        </w:rPr>
      </w:sdtEndPr>
      <w:sdtContent>
        <w:p w14:paraId="242E6345" w14:textId="77777777" w:rsidR="004876D4" w:rsidRPr="00EB370B" w:rsidRDefault="00EB370B">
          <w:pPr>
            <w:pStyle w:val="TOCHeading"/>
            <w:rPr>
              <w:rStyle w:val="Heading1Char"/>
            </w:rPr>
          </w:pPr>
          <w:r w:rsidRPr="00EB370B">
            <w:rPr>
              <w:rStyle w:val="Heading1Char"/>
            </w:rPr>
            <w:t xml:space="preserve">Table of </w:t>
          </w:r>
          <w:r w:rsidR="004876D4" w:rsidRPr="00EB370B">
            <w:rPr>
              <w:rStyle w:val="Heading1Char"/>
            </w:rPr>
            <w:t>Contents</w:t>
          </w:r>
        </w:p>
        <w:p w14:paraId="22A304B1" w14:textId="77777777" w:rsidR="00EB370B" w:rsidRDefault="004876D4">
          <w:pPr>
            <w:pStyle w:val="TOC1"/>
            <w:tabs>
              <w:tab w:val="right" w:leader="dot" w:pos="8630"/>
            </w:tabs>
            <w:rPr>
              <w:rFonts w:asciiTheme="minorHAnsi" w:hAnsiTheme="minorHAnsi"/>
              <w:noProof/>
              <w:sz w:val="22"/>
            </w:rPr>
          </w:pPr>
          <w:r w:rsidRPr="004876D4">
            <w:rPr>
              <w:color w:val="000000" w:themeColor="text1"/>
            </w:rPr>
            <w:fldChar w:fldCharType="begin"/>
          </w:r>
          <w:r w:rsidRPr="004876D4">
            <w:rPr>
              <w:color w:val="000000" w:themeColor="text1"/>
            </w:rPr>
            <w:instrText xml:space="preserve"> TOC \o "1-3" \h \z \u </w:instrText>
          </w:r>
          <w:r w:rsidRPr="004876D4">
            <w:rPr>
              <w:color w:val="000000" w:themeColor="text1"/>
            </w:rPr>
            <w:fldChar w:fldCharType="separate"/>
          </w:r>
          <w:hyperlink w:anchor="_Toc236835048" w:history="1">
            <w:r w:rsidR="00EB370B" w:rsidRPr="00DE4266">
              <w:rPr>
                <w:rStyle w:val="Hyperlink"/>
                <w:noProof/>
              </w:rPr>
              <w:t>Executive Summary</w:t>
            </w:r>
            <w:r w:rsidR="00EB370B">
              <w:rPr>
                <w:noProof/>
                <w:webHidden/>
              </w:rPr>
              <w:tab/>
            </w:r>
            <w:r w:rsidR="00EB370B">
              <w:rPr>
                <w:noProof/>
                <w:webHidden/>
              </w:rPr>
              <w:fldChar w:fldCharType="begin"/>
            </w:r>
            <w:r w:rsidR="00EB370B">
              <w:rPr>
                <w:noProof/>
                <w:webHidden/>
              </w:rPr>
              <w:instrText xml:space="preserve"> PAGEREF _Toc236835048 \h </w:instrText>
            </w:r>
            <w:r w:rsidR="00EB370B">
              <w:rPr>
                <w:noProof/>
                <w:webHidden/>
              </w:rPr>
            </w:r>
            <w:r w:rsidR="00EB370B">
              <w:rPr>
                <w:noProof/>
                <w:webHidden/>
              </w:rPr>
              <w:fldChar w:fldCharType="separate"/>
            </w:r>
            <w:r w:rsidR="00EB370B">
              <w:rPr>
                <w:noProof/>
                <w:webHidden/>
              </w:rPr>
              <w:t>2</w:t>
            </w:r>
            <w:r w:rsidR="00EB370B">
              <w:rPr>
                <w:noProof/>
                <w:webHidden/>
              </w:rPr>
              <w:fldChar w:fldCharType="end"/>
            </w:r>
          </w:hyperlink>
        </w:p>
        <w:p w14:paraId="62F7BDBC" w14:textId="77777777" w:rsidR="00EB370B" w:rsidRDefault="00EB370B">
          <w:pPr>
            <w:pStyle w:val="TOC1"/>
            <w:tabs>
              <w:tab w:val="left" w:pos="440"/>
              <w:tab w:val="right" w:leader="dot" w:pos="8630"/>
            </w:tabs>
            <w:rPr>
              <w:rFonts w:asciiTheme="minorHAnsi" w:hAnsiTheme="minorHAnsi"/>
              <w:noProof/>
              <w:sz w:val="22"/>
            </w:rPr>
          </w:pPr>
          <w:hyperlink w:anchor="_Toc236835049" w:history="1">
            <w:r w:rsidRPr="00DE4266">
              <w:rPr>
                <w:rStyle w:val="Hyperlink"/>
                <w:noProof/>
              </w:rPr>
              <w:t>1.</w:t>
            </w:r>
            <w:r>
              <w:rPr>
                <w:rFonts w:asciiTheme="minorHAnsi" w:hAnsiTheme="minorHAnsi"/>
                <w:noProof/>
                <w:sz w:val="22"/>
              </w:rPr>
              <w:tab/>
            </w:r>
            <w:r w:rsidRPr="00DE4266">
              <w:rPr>
                <w:rStyle w:val="Hyperlink"/>
                <w:noProof/>
              </w:rPr>
              <w:t>Introduction</w:t>
            </w:r>
            <w:r>
              <w:rPr>
                <w:noProof/>
                <w:webHidden/>
              </w:rPr>
              <w:tab/>
            </w:r>
            <w:r>
              <w:rPr>
                <w:noProof/>
                <w:webHidden/>
              </w:rPr>
              <w:fldChar w:fldCharType="begin"/>
            </w:r>
            <w:r>
              <w:rPr>
                <w:noProof/>
                <w:webHidden/>
              </w:rPr>
              <w:instrText xml:space="preserve"> PAGEREF _Toc236835049 \h </w:instrText>
            </w:r>
            <w:r>
              <w:rPr>
                <w:noProof/>
                <w:webHidden/>
              </w:rPr>
            </w:r>
            <w:r>
              <w:rPr>
                <w:noProof/>
                <w:webHidden/>
              </w:rPr>
              <w:fldChar w:fldCharType="separate"/>
            </w:r>
            <w:r>
              <w:rPr>
                <w:noProof/>
                <w:webHidden/>
              </w:rPr>
              <w:t>5</w:t>
            </w:r>
            <w:r>
              <w:rPr>
                <w:noProof/>
                <w:webHidden/>
              </w:rPr>
              <w:fldChar w:fldCharType="end"/>
            </w:r>
          </w:hyperlink>
        </w:p>
        <w:p w14:paraId="5536C16B" w14:textId="77777777" w:rsidR="00EB370B" w:rsidRDefault="00EB370B">
          <w:pPr>
            <w:pStyle w:val="TOC1"/>
            <w:tabs>
              <w:tab w:val="left" w:pos="440"/>
              <w:tab w:val="right" w:leader="dot" w:pos="8630"/>
            </w:tabs>
            <w:rPr>
              <w:rFonts w:asciiTheme="minorHAnsi" w:hAnsiTheme="minorHAnsi"/>
              <w:noProof/>
              <w:sz w:val="22"/>
            </w:rPr>
          </w:pPr>
          <w:hyperlink w:anchor="_Toc236835050" w:history="1">
            <w:r w:rsidRPr="00DE4266">
              <w:rPr>
                <w:rStyle w:val="Hyperlink"/>
                <w:noProof/>
              </w:rPr>
              <w:t>2.</w:t>
            </w:r>
            <w:r>
              <w:rPr>
                <w:rFonts w:asciiTheme="minorHAnsi" w:hAnsiTheme="minorHAnsi"/>
                <w:noProof/>
                <w:sz w:val="22"/>
              </w:rPr>
              <w:tab/>
            </w:r>
            <w:r w:rsidRPr="00DE4266">
              <w:rPr>
                <w:rStyle w:val="Hyperlink"/>
                <w:noProof/>
              </w:rPr>
              <w:t>Evaluation of the Current Market Situation</w:t>
            </w:r>
            <w:r>
              <w:rPr>
                <w:noProof/>
                <w:webHidden/>
              </w:rPr>
              <w:tab/>
            </w:r>
            <w:r>
              <w:rPr>
                <w:noProof/>
                <w:webHidden/>
              </w:rPr>
              <w:fldChar w:fldCharType="begin"/>
            </w:r>
            <w:r>
              <w:rPr>
                <w:noProof/>
                <w:webHidden/>
              </w:rPr>
              <w:instrText xml:space="preserve"> PAGEREF _Toc236835050 \h </w:instrText>
            </w:r>
            <w:r>
              <w:rPr>
                <w:noProof/>
                <w:webHidden/>
              </w:rPr>
            </w:r>
            <w:r>
              <w:rPr>
                <w:noProof/>
                <w:webHidden/>
              </w:rPr>
              <w:fldChar w:fldCharType="separate"/>
            </w:r>
            <w:r>
              <w:rPr>
                <w:noProof/>
                <w:webHidden/>
              </w:rPr>
              <w:t>6</w:t>
            </w:r>
            <w:r>
              <w:rPr>
                <w:noProof/>
                <w:webHidden/>
              </w:rPr>
              <w:fldChar w:fldCharType="end"/>
            </w:r>
          </w:hyperlink>
        </w:p>
        <w:p w14:paraId="30A703D5" w14:textId="77777777" w:rsidR="00EB370B" w:rsidRDefault="00EB370B">
          <w:pPr>
            <w:pStyle w:val="TOC2"/>
            <w:tabs>
              <w:tab w:val="right" w:leader="dot" w:pos="8630"/>
            </w:tabs>
            <w:rPr>
              <w:noProof/>
            </w:rPr>
          </w:pPr>
          <w:hyperlink w:anchor="_Toc236835051" w:history="1">
            <w:r w:rsidRPr="00DE4266">
              <w:rPr>
                <w:rStyle w:val="Hyperlink"/>
                <w:noProof/>
              </w:rPr>
              <w:t>2.1 PESTEL Analysis</w:t>
            </w:r>
            <w:r>
              <w:rPr>
                <w:noProof/>
                <w:webHidden/>
              </w:rPr>
              <w:tab/>
            </w:r>
            <w:r>
              <w:rPr>
                <w:noProof/>
                <w:webHidden/>
              </w:rPr>
              <w:fldChar w:fldCharType="begin"/>
            </w:r>
            <w:r>
              <w:rPr>
                <w:noProof/>
                <w:webHidden/>
              </w:rPr>
              <w:instrText xml:space="preserve"> PAGEREF _Toc236835051 \h </w:instrText>
            </w:r>
            <w:r>
              <w:rPr>
                <w:noProof/>
                <w:webHidden/>
              </w:rPr>
            </w:r>
            <w:r>
              <w:rPr>
                <w:noProof/>
                <w:webHidden/>
              </w:rPr>
              <w:fldChar w:fldCharType="separate"/>
            </w:r>
            <w:r>
              <w:rPr>
                <w:noProof/>
                <w:webHidden/>
              </w:rPr>
              <w:t>6</w:t>
            </w:r>
            <w:r>
              <w:rPr>
                <w:noProof/>
                <w:webHidden/>
              </w:rPr>
              <w:fldChar w:fldCharType="end"/>
            </w:r>
          </w:hyperlink>
        </w:p>
        <w:p w14:paraId="124AD3AE" w14:textId="77777777" w:rsidR="00EB370B" w:rsidRDefault="00EB370B">
          <w:pPr>
            <w:pStyle w:val="TOC2"/>
            <w:tabs>
              <w:tab w:val="right" w:leader="dot" w:pos="8630"/>
            </w:tabs>
            <w:rPr>
              <w:noProof/>
            </w:rPr>
          </w:pPr>
          <w:hyperlink w:anchor="_Toc236835052" w:history="1">
            <w:r w:rsidRPr="00DE4266">
              <w:rPr>
                <w:rStyle w:val="Hyperlink"/>
                <w:noProof/>
              </w:rPr>
              <w:t>2.2 Porter’s Five Forces</w:t>
            </w:r>
            <w:r>
              <w:rPr>
                <w:noProof/>
                <w:webHidden/>
              </w:rPr>
              <w:tab/>
            </w:r>
            <w:r>
              <w:rPr>
                <w:noProof/>
                <w:webHidden/>
              </w:rPr>
              <w:fldChar w:fldCharType="begin"/>
            </w:r>
            <w:r>
              <w:rPr>
                <w:noProof/>
                <w:webHidden/>
              </w:rPr>
              <w:instrText xml:space="preserve"> PAGEREF _Toc236835052 \h </w:instrText>
            </w:r>
            <w:r>
              <w:rPr>
                <w:noProof/>
                <w:webHidden/>
              </w:rPr>
            </w:r>
            <w:r>
              <w:rPr>
                <w:noProof/>
                <w:webHidden/>
              </w:rPr>
              <w:fldChar w:fldCharType="separate"/>
            </w:r>
            <w:r>
              <w:rPr>
                <w:noProof/>
                <w:webHidden/>
              </w:rPr>
              <w:t>7</w:t>
            </w:r>
            <w:r>
              <w:rPr>
                <w:noProof/>
                <w:webHidden/>
              </w:rPr>
              <w:fldChar w:fldCharType="end"/>
            </w:r>
          </w:hyperlink>
        </w:p>
        <w:p w14:paraId="5BA770C2" w14:textId="77777777" w:rsidR="00EB370B" w:rsidRDefault="00EB370B">
          <w:pPr>
            <w:pStyle w:val="TOC2"/>
            <w:tabs>
              <w:tab w:val="right" w:leader="dot" w:pos="8630"/>
            </w:tabs>
            <w:rPr>
              <w:noProof/>
            </w:rPr>
          </w:pPr>
          <w:hyperlink w:anchor="_Toc236835053" w:history="1">
            <w:r w:rsidRPr="00DE4266">
              <w:rPr>
                <w:rStyle w:val="Hyperlink"/>
                <w:noProof/>
              </w:rPr>
              <w:t>2.3 Internal Position and SWOT Synthesis</w:t>
            </w:r>
            <w:r>
              <w:rPr>
                <w:noProof/>
                <w:webHidden/>
              </w:rPr>
              <w:tab/>
            </w:r>
            <w:r>
              <w:rPr>
                <w:noProof/>
                <w:webHidden/>
              </w:rPr>
              <w:fldChar w:fldCharType="begin"/>
            </w:r>
            <w:r>
              <w:rPr>
                <w:noProof/>
                <w:webHidden/>
              </w:rPr>
              <w:instrText xml:space="preserve"> PAGEREF _Toc236835053 \h </w:instrText>
            </w:r>
            <w:r>
              <w:rPr>
                <w:noProof/>
                <w:webHidden/>
              </w:rPr>
            </w:r>
            <w:r>
              <w:rPr>
                <w:noProof/>
                <w:webHidden/>
              </w:rPr>
              <w:fldChar w:fldCharType="separate"/>
            </w:r>
            <w:r>
              <w:rPr>
                <w:noProof/>
                <w:webHidden/>
              </w:rPr>
              <w:t>8</w:t>
            </w:r>
            <w:r>
              <w:rPr>
                <w:noProof/>
                <w:webHidden/>
              </w:rPr>
              <w:fldChar w:fldCharType="end"/>
            </w:r>
          </w:hyperlink>
        </w:p>
        <w:p w14:paraId="419DA54F" w14:textId="77777777" w:rsidR="00EB370B" w:rsidRDefault="00EB370B">
          <w:pPr>
            <w:pStyle w:val="TOC1"/>
            <w:tabs>
              <w:tab w:val="left" w:pos="440"/>
              <w:tab w:val="right" w:leader="dot" w:pos="8630"/>
            </w:tabs>
            <w:rPr>
              <w:rFonts w:asciiTheme="minorHAnsi" w:hAnsiTheme="minorHAnsi"/>
              <w:noProof/>
              <w:sz w:val="22"/>
            </w:rPr>
          </w:pPr>
          <w:hyperlink w:anchor="_Toc236835054" w:history="1">
            <w:r w:rsidRPr="00DE4266">
              <w:rPr>
                <w:rStyle w:val="Hyperlink"/>
                <w:noProof/>
              </w:rPr>
              <w:t>3.</w:t>
            </w:r>
            <w:r>
              <w:rPr>
                <w:rFonts w:asciiTheme="minorHAnsi" w:hAnsiTheme="minorHAnsi"/>
                <w:noProof/>
                <w:sz w:val="22"/>
              </w:rPr>
              <w:tab/>
            </w:r>
            <w:r w:rsidRPr="00DE4266">
              <w:rPr>
                <w:rStyle w:val="Hyperlink"/>
                <w:noProof/>
              </w:rPr>
              <w:t>Strategic Growth Options and Proposed Strategy</w:t>
            </w:r>
            <w:r>
              <w:rPr>
                <w:noProof/>
                <w:webHidden/>
              </w:rPr>
              <w:tab/>
            </w:r>
            <w:r>
              <w:rPr>
                <w:noProof/>
                <w:webHidden/>
              </w:rPr>
              <w:fldChar w:fldCharType="begin"/>
            </w:r>
            <w:r>
              <w:rPr>
                <w:noProof/>
                <w:webHidden/>
              </w:rPr>
              <w:instrText xml:space="preserve"> PAGEREF _Toc236835054 \h </w:instrText>
            </w:r>
            <w:r>
              <w:rPr>
                <w:noProof/>
                <w:webHidden/>
              </w:rPr>
            </w:r>
            <w:r>
              <w:rPr>
                <w:noProof/>
                <w:webHidden/>
              </w:rPr>
              <w:fldChar w:fldCharType="separate"/>
            </w:r>
            <w:r>
              <w:rPr>
                <w:noProof/>
                <w:webHidden/>
              </w:rPr>
              <w:t>10</w:t>
            </w:r>
            <w:r>
              <w:rPr>
                <w:noProof/>
                <w:webHidden/>
              </w:rPr>
              <w:fldChar w:fldCharType="end"/>
            </w:r>
          </w:hyperlink>
        </w:p>
        <w:p w14:paraId="57DB9194" w14:textId="77777777" w:rsidR="00EB370B" w:rsidRDefault="00EB370B">
          <w:pPr>
            <w:pStyle w:val="TOC1"/>
            <w:tabs>
              <w:tab w:val="left" w:pos="440"/>
              <w:tab w:val="right" w:leader="dot" w:pos="8630"/>
            </w:tabs>
            <w:rPr>
              <w:rFonts w:asciiTheme="minorHAnsi" w:hAnsiTheme="minorHAnsi"/>
              <w:noProof/>
              <w:sz w:val="22"/>
            </w:rPr>
          </w:pPr>
          <w:hyperlink w:anchor="_Toc236835055" w:history="1">
            <w:r w:rsidRPr="00DE4266">
              <w:rPr>
                <w:rStyle w:val="Hyperlink"/>
                <w:noProof/>
              </w:rPr>
              <w:t>4.</w:t>
            </w:r>
            <w:r>
              <w:rPr>
                <w:rFonts w:asciiTheme="minorHAnsi" w:hAnsiTheme="minorHAnsi"/>
                <w:noProof/>
                <w:sz w:val="22"/>
              </w:rPr>
              <w:tab/>
            </w:r>
            <w:r w:rsidRPr="00DE4266">
              <w:rPr>
                <w:rStyle w:val="Hyperlink"/>
                <w:noProof/>
              </w:rPr>
              <w:t>Strategy Evaluation: SFA</w:t>
            </w:r>
            <w:r>
              <w:rPr>
                <w:noProof/>
                <w:webHidden/>
              </w:rPr>
              <w:tab/>
            </w:r>
            <w:r>
              <w:rPr>
                <w:noProof/>
                <w:webHidden/>
              </w:rPr>
              <w:fldChar w:fldCharType="begin"/>
            </w:r>
            <w:r>
              <w:rPr>
                <w:noProof/>
                <w:webHidden/>
              </w:rPr>
              <w:instrText xml:space="preserve"> PAGEREF _Toc236835055 \h </w:instrText>
            </w:r>
            <w:r>
              <w:rPr>
                <w:noProof/>
                <w:webHidden/>
              </w:rPr>
            </w:r>
            <w:r>
              <w:rPr>
                <w:noProof/>
                <w:webHidden/>
              </w:rPr>
              <w:fldChar w:fldCharType="separate"/>
            </w:r>
            <w:r>
              <w:rPr>
                <w:noProof/>
                <w:webHidden/>
              </w:rPr>
              <w:t>13</w:t>
            </w:r>
            <w:r>
              <w:rPr>
                <w:noProof/>
                <w:webHidden/>
              </w:rPr>
              <w:fldChar w:fldCharType="end"/>
            </w:r>
          </w:hyperlink>
        </w:p>
        <w:p w14:paraId="1D6CB85A" w14:textId="77777777" w:rsidR="00EB370B" w:rsidRDefault="00EB370B">
          <w:pPr>
            <w:pStyle w:val="TOC1"/>
            <w:tabs>
              <w:tab w:val="left" w:pos="440"/>
              <w:tab w:val="right" w:leader="dot" w:pos="8630"/>
            </w:tabs>
            <w:rPr>
              <w:rFonts w:asciiTheme="minorHAnsi" w:hAnsiTheme="minorHAnsi"/>
              <w:noProof/>
              <w:sz w:val="22"/>
            </w:rPr>
          </w:pPr>
          <w:hyperlink w:anchor="_Toc236835056" w:history="1">
            <w:r w:rsidRPr="00DE4266">
              <w:rPr>
                <w:rStyle w:val="Hyperlink"/>
                <w:noProof/>
              </w:rPr>
              <w:t>5.</w:t>
            </w:r>
            <w:r>
              <w:rPr>
                <w:rFonts w:asciiTheme="minorHAnsi" w:hAnsiTheme="minorHAnsi"/>
                <w:noProof/>
                <w:sz w:val="22"/>
              </w:rPr>
              <w:tab/>
            </w:r>
            <w:r w:rsidRPr="00DE4266">
              <w:rPr>
                <w:rStyle w:val="Hyperlink"/>
                <w:noProof/>
              </w:rPr>
              <w:t>Stakeholder Analysis and Engagement</w:t>
            </w:r>
            <w:r>
              <w:rPr>
                <w:noProof/>
                <w:webHidden/>
              </w:rPr>
              <w:tab/>
            </w:r>
            <w:r>
              <w:rPr>
                <w:noProof/>
                <w:webHidden/>
              </w:rPr>
              <w:fldChar w:fldCharType="begin"/>
            </w:r>
            <w:r>
              <w:rPr>
                <w:noProof/>
                <w:webHidden/>
              </w:rPr>
              <w:instrText xml:space="preserve"> PAGEREF _Toc236835056 \h </w:instrText>
            </w:r>
            <w:r>
              <w:rPr>
                <w:noProof/>
                <w:webHidden/>
              </w:rPr>
            </w:r>
            <w:r>
              <w:rPr>
                <w:noProof/>
                <w:webHidden/>
              </w:rPr>
              <w:fldChar w:fldCharType="separate"/>
            </w:r>
            <w:r>
              <w:rPr>
                <w:noProof/>
                <w:webHidden/>
              </w:rPr>
              <w:t>15</w:t>
            </w:r>
            <w:r>
              <w:rPr>
                <w:noProof/>
                <w:webHidden/>
              </w:rPr>
              <w:fldChar w:fldCharType="end"/>
            </w:r>
          </w:hyperlink>
        </w:p>
        <w:p w14:paraId="6EE92983" w14:textId="77777777" w:rsidR="00EB370B" w:rsidRDefault="00EB370B">
          <w:pPr>
            <w:pStyle w:val="TOC1"/>
            <w:tabs>
              <w:tab w:val="left" w:pos="440"/>
              <w:tab w:val="right" w:leader="dot" w:pos="8630"/>
            </w:tabs>
            <w:rPr>
              <w:rFonts w:asciiTheme="minorHAnsi" w:hAnsiTheme="minorHAnsi"/>
              <w:noProof/>
              <w:sz w:val="22"/>
            </w:rPr>
          </w:pPr>
          <w:hyperlink w:anchor="_Toc236835057" w:history="1">
            <w:r w:rsidRPr="00DE4266">
              <w:rPr>
                <w:rStyle w:val="Hyperlink"/>
                <w:noProof/>
              </w:rPr>
              <w:t>6.</w:t>
            </w:r>
            <w:r>
              <w:rPr>
                <w:rFonts w:asciiTheme="minorHAnsi" w:hAnsiTheme="minorHAnsi"/>
                <w:noProof/>
                <w:sz w:val="22"/>
              </w:rPr>
              <w:tab/>
            </w:r>
            <w:r w:rsidRPr="00DE4266">
              <w:rPr>
                <w:rStyle w:val="Hyperlink"/>
                <w:noProof/>
              </w:rPr>
              <w:t>Implementation and Monitoring</w:t>
            </w:r>
            <w:r>
              <w:rPr>
                <w:noProof/>
                <w:webHidden/>
              </w:rPr>
              <w:tab/>
            </w:r>
            <w:r>
              <w:rPr>
                <w:noProof/>
                <w:webHidden/>
              </w:rPr>
              <w:fldChar w:fldCharType="begin"/>
            </w:r>
            <w:r>
              <w:rPr>
                <w:noProof/>
                <w:webHidden/>
              </w:rPr>
              <w:instrText xml:space="preserve"> PAGEREF _Toc236835057 \h </w:instrText>
            </w:r>
            <w:r>
              <w:rPr>
                <w:noProof/>
                <w:webHidden/>
              </w:rPr>
            </w:r>
            <w:r>
              <w:rPr>
                <w:noProof/>
                <w:webHidden/>
              </w:rPr>
              <w:fldChar w:fldCharType="separate"/>
            </w:r>
            <w:r>
              <w:rPr>
                <w:noProof/>
                <w:webHidden/>
              </w:rPr>
              <w:t>16</w:t>
            </w:r>
            <w:r>
              <w:rPr>
                <w:noProof/>
                <w:webHidden/>
              </w:rPr>
              <w:fldChar w:fldCharType="end"/>
            </w:r>
          </w:hyperlink>
        </w:p>
        <w:p w14:paraId="01EA781C" w14:textId="77777777" w:rsidR="00EB370B" w:rsidRDefault="00EB370B">
          <w:pPr>
            <w:pStyle w:val="TOC1"/>
            <w:tabs>
              <w:tab w:val="left" w:pos="440"/>
              <w:tab w:val="right" w:leader="dot" w:pos="8630"/>
            </w:tabs>
            <w:rPr>
              <w:rFonts w:asciiTheme="minorHAnsi" w:hAnsiTheme="minorHAnsi"/>
              <w:noProof/>
              <w:sz w:val="22"/>
            </w:rPr>
          </w:pPr>
          <w:hyperlink w:anchor="_Toc236835058" w:history="1">
            <w:r w:rsidRPr="00DE4266">
              <w:rPr>
                <w:rStyle w:val="Hyperlink"/>
                <w:noProof/>
              </w:rPr>
              <w:t>7.</w:t>
            </w:r>
            <w:r>
              <w:rPr>
                <w:rFonts w:asciiTheme="minorHAnsi" w:hAnsiTheme="minorHAnsi"/>
                <w:noProof/>
                <w:sz w:val="22"/>
              </w:rPr>
              <w:tab/>
            </w:r>
            <w:r w:rsidRPr="00DE4266">
              <w:rPr>
                <w:rStyle w:val="Hyperlink"/>
                <w:noProof/>
              </w:rPr>
              <w:t>Conclusion</w:t>
            </w:r>
            <w:r>
              <w:rPr>
                <w:noProof/>
                <w:webHidden/>
              </w:rPr>
              <w:tab/>
            </w:r>
            <w:r>
              <w:rPr>
                <w:noProof/>
                <w:webHidden/>
              </w:rPr>
              <w:fldChar w:fldCharType="begin"/>
            </w:r>
            <w:r>
              <w:rPr>
                <w:noProof/>
                <w:webHidden/>
              </w:rPr>
              <w:instrText xml:space="preserve"> PAGEREF _Toc236835058 \h </w:instrText>
            </w:r>
            <w:r>
              <w:rPr>
                <w:noProof/>
                <w:webHidden/>
              </w:rPr>
            </w:r>
            <w:r>
              <w:rPr>
                <w:noProof/>
                <w:webHidden/>
              </w:rPr>
              <w:fldChar w:fldCharType="separate"/>
            </w:r>
            <w:r>
              <w:rPr>
                <w:noProof/>
                <w:webHidden/>
              </w:rPr>
              <w:t>18</w:t>
            </w:r>
            <w:r>
              <w:rPr>
                <w:noProof/>
                <w:webHidden/>
              </w:rPr>
              <w:fldChar w:fldCharType="end"/>
            </w:r>
          </w:hyperlink>
        </w:p>
        <w:p w14:paraId="1B0E84D8" w14:textId="77777777" w:rsidR="00EB370B" w:rsidRDefault="00EB370B">
          <w:pPr>
            <w:pStyle w:val="TOC1"/>
            <w:tabs>
              <w:tab w:val="right" w:leader="dot" w:pos="8630"/>
            </w:tabs>
            <w:rPr>
              <w:rFonts w:asciiTheme="minorHAnsi" w:hAnsiTheme="minorHAnsi"/>
              <w:noProof/>
              <w:sz w:val="22"/>
            </w:rPr>
          </w:pPr>
          <w:hyperlink w:anchor="_Toc236835059" w:history="1">
            <w:r w:rsidRPr="00DE4266">
              <w:rPr>
                <w:rStyle w:val="Hyperlink"/>
                <w:noProof/>
              </w:rPr>
              <w:t>References</w:t>
            </w:r>
            <w:r>
              <w:rPr>
                <w:noProof/>
                <w:webHidden/>
              </w:rPr>
              <w:tab/>
            </w:r>
            <w:r>
              <w:rPr>
                <w:noProof/>
                <w:webHidden/>
              </w:rPr>
              <w:fldChar w:fldCharType="begin"/>
            </w:r>
            <w:r>
              <w:rPr>
                <w:noProof/>
                <w:webHidden/>
              </w:rPr>
              <w:instrText xml:space="preserve"> PAGEREF _Toc236835059 \h </w:instrText>
            </w:r>
            <w:r>
              <w:rPr>
                <w:noProof/>
                <w:webHidden/>
              </w:rPr>
            </w:r>
            <w:r>
              <w:rPr>
                <w:noProof/>
                <w:webHidden/>
              </w:rPr>
              <w:fldChar w:fldCharType="separate"/>
            </w:r>
            <w:r>
              <w:rPr>
                <w:noProof/>
                <w:webHidden/>
              </w:rPr>
              <w:t>20</w:t>
            </w:r>
            <w:r>
              <w:rPr>
                <w:noProof/>
                <w:webHidden/>
              </w:rPr>
              <w:fldChar w:fldCharType="end"/>
            </w:r>
          </w:hyperlink>
        </w:p>
        <w:p w14:paraId="170B0E91" w14:textId="77777777" w:rsidR="004876D4" w:rsidRPr="004876D4" w:rsidRDefault="004876D4">
          <w:pPr>
            <w:rPr>
              <w:color w:val="000000" w:themeColor="text1"/>
            </w:rPr>
          </w:pPr>
          <w:r w:rsidRPr="004876D4">
            <w:rPr>
              <w:b/>
              <w:bCs/>
              <w:noProof/>
              <w:color w:val="000000" w:themeColor="text1"/>
            </w:rPr>
            <w:fldChar w:fldCharType="end"/>
          </w:r>
        </w:p>
      </w:sdtContent>
    </w:sdt>
    <w:p w14:paraId="1E3A8EB8" w14:textId="77777777" w:rsidR="004876D4" w:rsidRPr="004876D4" w:rsidRDefault="004876D4" w:rsidP="004876D4">
      <w:pPr>
        <w:rPr>
          <w:color w:val="000000" w:themeColor="text1"/>
        </w:rPr>
      </w:pPr>
    </w:p>
    <w:p w14:paraId="4781EB9B" w14:textId="77777777" w:rsidR="004876D4" w:rsidRPr="004876D4" w:rsidRDefault="004876D4" w:rsidP="004876D4">
      <w:pPr>
        <w:rPr>
          <w:rFonts w:ascii="Arial" w:hAnsi="Arial"/>
          <w:color w:val="000000" w:themeColor="text1"/>
          <w:sz w:val="22"/>
        </w:rPr>
        <w:sectPr w:rsidR="004876D4" w:rsidRPr="004876D4">
          <w:pgSz w:w="12240" w:h="15840"/>
          <w:pgMar w:top="1440" w:right="1800" w:bottom="1440" w:left="1800" w:header="720" w:footer="720" w:gutter="0"/>
          <w:cols w:space="720"/>
          <w:docGrid w:linePitch="360"/>
        </w:sectPr>
      </w:pPr>
    </w:p>
    <w:p w14:paraId="5E386D14" w14:textId="77777777" w:rsidR="000A6915" w:rsidRPr="004876D4" w:rsidRDefault="004876D4" w:rsidP="004876D4">
      <w:pPr>
        <w:pStyle w:val="ListParagraph"/>
        <w:numPr>
          <w:ilvl w:val="0"/>
          <w:numId w:val="1"/>
        </w:numPr>
        <w:rPr>
          <w:color w:val="000000" w:themeColor="text1"/>
        </w:rPr>
      </w:pPr>
      <w:bookmarkStart w:id="1" w:name="_Toc236835049"/>
      <w:r w:rsidRPr="004876D4">
        <w:rPr>
          <w:rStyle w:val="Heading1Char"/>
        </w:rPr>
        <w:lastRenderedPageBreak/>
        <w:t>Introduction</w:t>
      </w:r>
      <w:bookmarkEnd w:id="1"/>
    </w:p>
    <w:p w14:paraId="35BD74F4" w14:textId="666A23C1" w:rsidR="00693990" w:rsidRDefault="004876D4" w:rsidP="00693990">
      <w:pPr>
        <w:ind w:firstLine="360"/>
        <w:rPr>
          <w:color w:val="000000" w:themeColor="text1"/>
        </w:rPr>
      </w:pPr>
      <w:r w:rsidRPr="004876D4">
        <w:rPr>
          <w:color w:val="000000" w:themeColor="text1"/>
        </w:rPr>
        <w:t>Vodafone is a European and African telecommunications company with the vision to “connect everyone”. It made a significant change in the United Kingdom after the merger of Vodafone UK and Three UK on 31st May 2025. The original plans for VodafoneThree were to spend £11 billion on building a network in 10 years. On 30 July 2026, Vodafone bought the remaining 49% of the share capital of CK Hutchison</w:t>
      </w:r>
      <w:r w:rsidR="00F043C2">
        <w:rPr>
          <w:rStyle w:val="FootnoteReference"/>
          <w:color w:val="000000" w:themeColor="text1"/>
        </w:rPr>
        <w:footnoteReference w:id="2"/>
      </w:r>
      <w:r w:rsidRPr="004876D4">
        <w:rPr>
          <w:color w:val="000000" w:themeColor="text1"/>
        </w:rPr>
        <w:t xml:space="preserve"> for £4.3 billion, making it a 100% subsidiary of Vodafone Group and enabling it to make coordinated investment, brand, people and technology decisions (Vodafone Group, 2026</w:t>
      </w:r>
      <w:r w:rsidR="00F043C2">
        <w:rPr>
          <w:rStyle w:val="FootnoteReference"/>
          <w:color w:val="000000" w:themeColor="text1"/>
        </w:rPr>
        <w:footnoteReference w:id="3"/>
      </w:r>
      <w:r w:rsidRPr="004876D4">
        <w:rPr>
          <w:color w:val="000000" w:themeColor="text1"/>
        </w:rPr>
        <w:t>).</w:t>
      </w:r>
    </w:p>
    <w:p w14:paraId="403C8291" w14:textId="77777777" w:rsidR="00693990" w:rsidRDefault="004876D4" w:rsidP="00693990">
      <w:pPr>
        <w:ind w:firstLine="360"/>
        <w:rPr>
          <w:color w:val="000000" w:themeColor="text1"/>
        </w:rPr>
      </w:pPr>
      <w:r w:rsidRPr="004876D4">
        <w:rPr>
          <w:color w:val="000000" w:themeColor="text1"/>
        </w:rPr>
        <w:t>The purpose of the organisation is greater than network scale. It has cited its primary focus on customer experience; ease of operation; growth; digital inclusion; environmental responsibility and trust. These principles suggest that price appreciation or cost reduction alone should not be the basis for the post-merger strategy. It must provide enhanced connectivity to generate tangible customer and societal value at a cost of security, resilience and affordability. Vodafone also has a global IoT platform and developed Vodafone Business capabilities that allows investments in the UK network to be tied to more valuable digital se</w:t>
      </w:r>
      <w:r w:rsidR="00693990">
        <w:rPr>
          <w:color w:val="000000" w:themeColor="text1"/>
        </w:rPr>
        <w:t>rvices (Vodafone Group, 2026a).</w:t>
      </w:r>
    </w:p>
    <w:p w14:paraId="6C69CAEA" w14:textId="03966D4A" w:rsidR="004876D4" w:rsidRPr="004876D4" w:rsidRDefault="004876D4" w:rsidP="00693990">
      <w:pPr>
        <w:ind w:firstLine="360"/>
        <w:rPr>
          <w:color w:val="000000" w:themeColor="text1"/>
        </w:rPr>
      </w:pPr>
      <w:r w:rsidRPr="004876D4">
        <w:rPr>
          <w:color w:val="000000" w:themeColor="text1"/>
        </w:rPr>
        <w:t xml:space="preserve">This report assesses the UK environment in which </w:t>
      </w:r>
      <w:r w:rsidR="00067792" w:rsidRPr="004876D4">
        <w:rPr>
          <w:color w:val="000000" w:themeColor="text1"/>
        </w:rPr>
        <w:t>Vodafone Three</w:t>
      </w:r>
      <w:r w:rsidRPr="004876D4">
        <w:rPr>
          <w:color w:val="000000" w:themeColor="text1"/>
        </w:rPr>
        <w:t xml:space="preserve"> is operating and draws out a </w:t>
      </w:r>
      <w:r w:rsidR="00F043C2" w:rsidRPr="004876D4">
        <w:rPr>
          <w:color w:val="000000" w:themeColor="text1"/>
        </w:rPr>
        <w:t>3-year</w:t>
      </w:r>
      <w:r w:rsidRPr="004876D4">
        <w:rPr>
          <w:color w:val="000000" w:themeColor="text1"/>
        </w:rPr>
        <w:t xml:space="preserve"> growth plan for the company. PESTEL and Porter's Five Forces are used to diagnose the market, Ansoff's Matrix and Porter's Generic Strategies are used for comparison of growth choices, and SFA framework tests suitability, feasibility and acceptability. Impacts, assumptions, as well as implementation phases and KPIs of </w:t>
      </w:r>
      <w:r w:rsidRPr="004876D4">
        <w:rPr>
          <w:color w:val="000000" w:themeColor="text1"/>
        </w:rPr>
        <w:lastRenderedPageBreak/>
        <w:t>stakeholders are then mentioned. In line with recent practice in the field of strategy models are used as a decision facilitation tool and not as a substitute for evidence or managerial judgement (Grant, 2021</w:t>
      </w:r>
      <w:r w:rsidR="00F043C2">
        <w:rPr>
          <w:rStyle w:val="FootnoteReference"/>
          <w:color w:val="000000" w:themeColor="text1"/>
        </w:rPr>
        <w:footnoteReference w:id="4"/>
      </w:r>
      <w:r w:rsidRPr="004876D4">
        <w:rPr>
          <w:color w:val="000000" w:themeColor="text1"/>
        </w:rPr>
        <w:t>).</w:t>
      </w:r>
    </w:p>
    <w:p w14:paraId="319A75D5" w14:textId="77777777" w:rsidR="004876D4" w:rsidRPr="004876D4" w:rsidRDefault="00693990" w:rsidP="00693990">
      <w:pPr>
        <w:pStyle w:val="Heading1"/>
        <w:numPr>
          <w:ilvl w:val="0"/>
          <w:numId w:val="1"/>
        </w:numPr>
      </w:pPr>
      <w:bookmarkStart w:id="2" w:name="_Toc236835050"/>
      <w:r>
        <w:t>Evaluation of the Current Market Situation</w:t>
      </w:r>
      <w:bookmarkEnd w:id="2"/>
    </w:p>
    <w:p w14:paraId="0DA74BEA" w14:textId="27D6911A" w:rsidR="004876D4" w:rsidRPr="004876D4" w:rsidRDefault="004876D4" w:rsidP="00693990">
      <w:pPr>
        <w:ind w:firstLine="360"/>
        <w:rPr>
          <w:color w:val="000000" w:themeColor="text1"/>
        </w:rPr>
      </w:pPr>
      <w:r w:rsidRPr="004876D4">
        <w:rPr>
          <w:color w:val="000000" w:themeColor="text1"/>
        </w:rPr>
        <w:t>In the United Kingdom, mobile market demand growth is accompanied by a lack of pricing power. In 2025, mobile data volume surpassed 1.2 billion GB per month while the 5G traffic grew at an accelerated pace, but 5G Standalone connections were still a small proportion of total mobile connections. Whalley and Curwen (2024)</w:t>
      </w:r>
      <w:r w:rsidR="00F043C2">
        <w:rPr>
          <w:rStyle w:val="FootnoteReference"/>
          <w:color w:val="000000" w:themeColor="text1"/>
        </w:rPr>
        <w:footnoteReference w:id="5"/>
      </w:r>
      <w:r w:rsidRPr="004876D4">
        <w:rPr>
          <w:color w:val="000000" w:themeColor="text1"/>
        </w:rPr>
        <w:t xml:space="preserve"> suggest that value has been transferred from operators to digital platforms and apps, and Lehr, Queder and Haucap (2021)</w:t>
      </w:r>
      <w:r w:rsidR="00F043C2">
        <w:rPr>
          <w:rStyle w:val="FootnoteReference"/>
          <w:color w:val="000000" w:themeColor="text1"/>
        </w:rPr>
        <w:footnoteReference w:id="6"/>
      </w:r>
      <w:r w:rsidRPr="004876D4">
        <w:rPr>
          <w:color w:val="000000" w:themeColor="text1"/>
        </w:rPr>
        <w:t xml:space="preserve"> warn that 5G economics require new business models and not just technology deployment. </w:t>
      </w:r>
      <w:r w:rsidR="00067792" w:rsidRPr="004876D4">
        <w:rPr>
          <w:color w:val="000000" w:themeColor="text1"/>
        </w:rPr>
        <w:t>Vodafone Three</w:t>
      </w:r>
      <w:r w:rsidRPr="004876D4">
        <w:rPr>
          <w:color w:val="000000" w:themeColor="text1"/>
        </w:rPr>
        <w:t xml:space="preserve"> consequently needs to correlate with certain customer effects.</w:t>
      </w:r>
    </w:p>
    <w:p w14:paraId="66181A2F" w14:textId="77777777" w:rsidR="004876D4" w:rsidRPr="004876D4" w:rsidRDefault="00693990" w:rsidP="00693990">
      <w:pPr>
        <w:pStyle w:val="Heading2"/>
      </w:pPr>
      <w:bookmarkStart w:id="3" w:name="_Toc236835051"/>
      <w:r>
        <w:t>2.1 PESTEL Analysis</w:t>
      </w:r>
      <w:bookmarkEnd w:id="3"/>
    </w:p>
    <w:p w14:paraId="45B17688" w14:textId="77777777" w:rsidR="004876D4" w:rsidRPr="00693990" w:rsidRDefault="00693990" w:rsidP="004876D4">
      <w:pPr>
        <w:rPr>
          <w:b/>
          <w:i/>
          <w:color w:val="000000" w:themeColor="text1"/>
          <w:sz w:val="22"/>
        </w:rPr>
      </w:pPr>
      <w:r w:rsidRPr="00693990">
        <w:rPr>
          <w:b/>
          <w:i/>
          <w:color w:val="000000" w:themeColor="text1"/>
          <w:sz w:val="22"/>
        </w:rPr>
        <w:t>Table 1: PESTEL Analysis of VodafoneThree</w:t>
      </w:r>
    </w:p>
    <w:tbl>
      <w:tblPr>
        <w:tblStyle w:val="TableGrid"/>
        <w:tblW w:w="0" w:type="auto"/>
        <w:tblLayout w:type="fixed"/>
        <w:tblLook w:val="04A0" w:firstRow="1" w:lastRow="0" w:firstColumn="1" w:lastColumn="0" w:noHBand="0" w:noVBand="1"/>
      </w:tblPr>
      <w:tblGrid>
        <w:gridCol w:w="1512"/>
        <w:gridCol w:w="3672"/>
        <w:gridCol w:w="4061"/>
      </w:tblGrid>
      <w:tr w:rsidR="00693990" w:rsidRPr="00693990" w14:paraId="0F776F75" w14:textId="77777777" w:rsidTr="00693990">
        <w:tc>
          <w:tcPr>
            <w:tcW w:w="1512" w:type="dxa"/>
          </w:tcPr>
          <w:p w14:paraId="441D2A1B" w14:textId="77777777" w:rsidR="00693990" w:rsidRPr="00693990" w:rsidRDefault="00693990" w:rsidP="00693990">
            <w:pPr>
              <w:jc w:val="center"/>
              <w:rPr>
                <w:b/>
                <w:sz w:val="20"/>
                <w:szCs w:val="20"/>
              </w:rPr>
            </w:pPr>
            <w:r w:rsidRPr="00693990">
              <w:rPr>
                <w:b/>
                <w:sz w:val="20"/>
                <w:szCs w:val="20"/>
              </w:rPr>
              <w:t>Factor</w:t>
            </w:r>
          </w:p>
        </w:tc>
        <w:tc>
          <w:tcPr>
            <w:tcW w:w="3672" w:type="dxa"/>
          </w:tcPr>
          <w:p w14:paraId="2DE51A76" w14:textId="77777777" w:rsidR="00693990" w:rsidRPr="00693990" w:rsidRDefault="00693990" w:rsidP="00693990">
            <w:pPr>
              <w:jc w:val="center"/>
              <w:rPr>
                <w:b/>
                <w:sz w:val="20"/>
                <w:szCs w:val="20"/>
              </w:rPr>
            </w:pPr>
            <w:r>
              <w:rPr>
                <w:b/>
                <w:sz w:val="20"/>
                <w:szCs w:val="20"/>
              </w:rPr>
              <w:t>Current E</w:t>
            </w:r>
            <w:r w:rsidRPr="00693990">
              <w:rPr>
                <w:b/>
                <w:sz w:val="20"/>
                <w:szCs w:val="20"/>
              </w:rPr>
              <w:t>vidence</w:t>
            </w:r>
          </w:p>
        </w:tc>
        <w:tc>
          <w:tcPr>
            <w:tcW w:w="4061" w:type="dxa"/>
          </w:tcPr>
          <w:p w14:paraId="4934F3BD" w14:textId="77777777" w:rsidR="00693990" w:rsidRPr="00693990" w:rsidRDefault="00693990" w:rsidP="00693990">
            <w:pPr>
              <w:jc w:val="center"/>
              <w:rPr>
                <w:b/>
                <w:sz w:val="20"/>
                <w:szCs w:val="20"/>
              </w:rPr>
            </w:pPr>
            <w:r>
              <w:rPr>
                <w:b/>
                <w:sz w:val="20"/>
                <w:szCs w:val="20"/>
              </w:rPr>
              <w:t>Strategic I</w:t>
            </w:r>
            <w:r w:rsidRPr="00693990">
              <w:rPr>
                <w:b/>
                <w:sz w:val="20"/>
                <w:szCs w:val="20"/>
              </w:rPr>
              <w:t>mplication</w:t>
            </w:r>
          </w:p>
        </w:tc>
      </w:tr>
      <w:tr w:rsidR="00693990" w:rsidRPr="00693990" w14:paraId="1A678C25" w14:textId="77777777" w:rsidTr="00693990">
        <w:tc>
          <w:tcPr>
            <w:tcW w:w="1512" w:type="dxa"/>
          </w:tcPr>
          <w:p w14:paraId="73FB8E27" w14:textId="77777777" w:rsidR="00693990" w:rsidRPr="00693990" w:rsidRDefault="00693990" w:rsidP="00693990">
            <w:pPr>
              <w:rPr>
                <w:sz w:val="20"/>
                <w:szCs w:val="20"/>
              </w:rPr>
            </w:pPr>
            <w:r>
              <w:rPr>
                <w:sz w:val="20"/>
                <w:szCs w:val="20"/>
              </w:rPr>
              <w:t>Political/R</w:t>
            </w:r>
            <w:r w:rsidRPr="00693990">
              <w:rPr>
                <w:sz w:val="20"/>
                <w:szCs w:val="20"/>
              </w:rPr>
              <w:t>egulatory</w:t>
            </w:r>
          </w:p>
        </w:tc>
        <w:tc>
          <w:tcPr>
            <w:tcW w:w="3672" w:type="dxa"/>
          </w:tcPr>
          <w:p w14:paraId="14896648" w14:textId="77777777" w:rsidR="00693990" w:rsidRPr="00693990" w:rsidRDefault="00693990" w:rsidP="00693990">
            <w:pPr>
              <w:rPr>
                <w:sz w:val="20"/>
                <w:szCs w:val="20"/>
              </w:rPr>
            </w:pPr>
            <w:r w:rsidRPr="00693990">
              <w:rPr>
                <w:sz w:val="20"/>
                <w:szCs w:val="20"/>
              </w:rPr>
              <w:t xml:space="preserve">CMA approval requires delivery of the network investment plan, protection of selected retail tariffs and fair wholesale terms. Ofcom also </w:t>
            </w:r>
            <w:proofErr w:type="spellStart"/>
            <w:r w:rsidRPr="00693990">
              <w:rPr>
                <w:sz w:val="20"/>
                <w:szCs w:val="20"/>
              </w:rPr>
              <w:t>scrutinises</w:t>
            </w:r>
            <w:proofErr w:type="spellEnd"/>
            <w:r w:rsidRPr="00693990">
              <w:rPr>
                <w:sz w:val="20"/>
                <w:szCs w:val="20"/>
              </w:rPr>
              <w:t xml:space="preserve"> coverage, complaints, resilience and security.</w:t>
            </w:r>
          </w:p>
        </w:tc>
        <w:tc>
          <w:tcPr>
            <w:tcW w:w="4061" w:type="dxa"/>
          </w:tcPr>
          <w:p w14:paraId="76259239" w14:textId="624A84F1" w:rsidR="00693990" w:rsidRPr="00693990" w:rsidRDefault="00693990" w:rsidP="00693990">
            <w:pPr>
              <w:rPr>
                <w:sz w:val="20"/>
                <w:szCs w:val="20"/>
              </w:rPr>
            </w:pPr>
            <w:r w:rsidRPr="00693990">
              <w:rPr>
                <w:sz w:val="20"/>
                <w:szCs w:val="20"/>
              </w:rPr>
              <w:t xml:space="preserve">Regulatory commitments increase credibility and coverage incentives, but constrain price extraction and create execution-accountability risk. Strategy should </w:t>
            </w:r>
            <w:proofErr w:type="spellStart"/>
            <w:r w:rsidRPr="00693990">
              <w:rPr>
                <w:sz w:val="20"/>
                <w:szCs w:val="20"/>
              </w:rPr>
              <w:t>monetise</w:t>
            </w:r>
            <w:proofErr w:type="spellEnd"/>
            <w:r w:rsidRPr="00693990">
              <w:rPr>
                <w:sz w:val="20"/>
                <w:szCs w:val="20"/>
              </w:rPr>
              <w:t xml:space="preserve"> service value, not market power (CMA, 2024)</w:t>
            </w:r>
            <w:r w:rsidR="00F043C2">
              <w:rPr>
                <w:rStyle w:val="FootnoteReference"/>
                <w:sz w:val="20"/>
                <w:szCs w:val="20"/>
              </w:rPr>
              <w:footnoteReference w:id="7"/>
            </w:r>
            <w:r w:rsidRPr="00693990">
              <w:rPr>
                <w:sz w:val="20"/>
                <w:szCs w:val="20"/>
              </w:rPr>
              <w:t>.</w:t>
            </w:r>
          </w:p>
        </w:tc>
      </w:tr>
      <w:tr w:rsidR="00693990" w:rsidRPr="00693990" w14:paraId="4484D227" w14:textId="77777777" w:rsidTr="00693990">
        <w:tc>
          <w:tcPr>
            <w:tcW w:w="1512" w:type="dxa"/>
          </w:tcPr>
          <w:p w14:paraId="11782F9A" w14:textId="77777777" w:rsidR="00693990" w:rsidRPr="00693990" w:rsidRDefault="00693990" w:rsidP="00693990">
            <w:pPr>
              <w:rPr>
                <w:sz w:val="20"/>
                <w:szCs w:val="20"/>
              </w:rPr>
            </w:pPr>
            <w:r w:rsidRPr="00693990">
              <w:rPr>
                <w:sz w:val="20"/>
                <w:szCs w:val="20"/>
              </w:rPr>
              <w:lastRenderedPageBreak/>
              <w:t>Economic</w:t>
            </w:r>
          </w:p>
        </w:tc>
        <w:tc>
          <w:tcPr>
            <w:tcW w:w="3672" w:type="dxa"/>
          </w:tcPr>
          <w:p w14:paraId="4AC6D759" w14:textId="77777777" w:rsidR="00693990" w:rsidRPr="00693990" w:rsidRDefault="00693990" w:rsidP="00693990">
            <w:pPr>
              <w:rPr>
                <w:sz w:val="20"/>
                <w:szCs w:val="20"/>
              </w:rPr>
            </w:pPr>
            <w:r w:rsidRPr="00693990">
              <w:rPr>
                <w:sz w:val="20"/>
                <w:szCs w:val="20"/>
              </w:rPr>
              <w:t xml:space="preserve">High interest, energy and </w:t>
            </w:r>
            <w:proofErr w:type="spellStart"/>
            <w:r w:rsidRPr="00693990">
              <w:rPr>
                <w:sz w:val="20"/>
                <w:szCs w:val="20"/>
              </w:rPr>
              <w:t>labour</w:t>
            </w:r>
            <w:proofErr w:type="spellEnd"/>
            <w:r w:rsidRPr="00693990">
              <w:rPr>
                <w:sz w:val="20"/>
                <w:szCs w:val="20"/>
              </w:rPr>
              <w:t xml:space="preserve"> costs increase the burden of the £11bn </w:t>
            </w:r>
            <w:proofErr w:type="spellStart"/>
            <w:r w:rsidRPr="00693990">
              <w:rPr>
                <w:sz w:val="20"/>
                <w:szCs w:val="20"/>
              </w:rPr>
              <w:t>programme</w:t>
            </w:r>
            <w:proofErr w:type="spellEnd"/>
            <w:r w:rsidRPr="00693990">
              <w:rPr>
                <w:sz w:val="20"/>
                <w:szCs w:val="20"/>
              </w:rPr>
              <w:t>. Conversely, £700m annual synergies by FY30 and full ownership improve funding discipline.</w:t>
            </w:r>
          </w:p>
        </w:tc>
        <w:tc>
          <w:tcPr>
            <w:tcW w:w="4061" w:type="dxa"/>
          </w:tcPr>
          <w:p w14:paraId="49405835" w14:textId="417DC795" w:rsidR="00693990" w:rsidRPr="00693990" w:rsidRDefault="00693990" w:rsidP="00693990">
            <w:pPr>
              <w:rPr>
                <w:sz w:val="20"/>
                <w:szCs w:val="20"/>
              </w:rPr>
            </w:pPr>
            <w:r w:rsidRPr="00693990">
              <w:rPr>
                <w:sz w:val="20"/>
                <w:szCs w:val="20"/>
              </w:rPr>
              <w:t>Stage-gated product investment should be tied to recurring revenue, churn reduction and synergy milestones rather than technology spending alone (Vodafone Group, 2026b</w:t>
            </w:r>
            <w:r w:rsidR="00F043C2">
              <w:rPr>
                <w:rStyle w:val="FootnoteReference"/>
                <w:sz w:val="20"/>
                <w:szCs w:val="20"/>
              </w:rPr>
              <w:footnoteReference w:id="8"/>
            </w:r>
            <w:r w:rsidRPr="00693990">
              <w:rPr>
                <w:sz w:val="20"/>
                <w:szCs w:val="20"/>
              </w:rPr>
              <w:t>).</w:t>
            </w:r>
          </w:p>
        </w:tc>
      </w:tr>
      <w:tr w:rsidR="00693990" w:rsidRPr="00693990" w14:paraId="5E7F5675" w14:textId="77777777" w:rsidTr="00693990">
        <w:tc>
          <w:tcPr>
            <w:tcW w:w="1512" w:type="dxa"/>
          </w:tcPr>
          <w:p w14:paraId="367F0766" w14:textId="77777777" w:rsidR="00693990" w:rsidRPr="00693990" w:rsidRDefault="00693990" w:rsidP="00693990">
            <w:pPr>
              <w:rPr>
                <w:sz w:val="20"/>
                <w:szCs w:val="20"/>
              </w:rPr>
            </w:pPr>
            <w:r w:rsidRPr="00693990">
              <w:rPr>
                <w:sz w:val="20"/>
                <w:szCs w:val="20"/>
              </w:rPr>
              <w:t>Social</w:t>
            </w:r>
          </w:p>
        </w:tc>
        <w:tc>
          <w:tcPr>
            <w:tcW w:w="3672" w:type="dxa"/>
          </w:tcPr>
          <w:p w14:paraId="424B96BE" w14:textId="77777777" w:rsidR="00693990" w:rsidRPr="00693990" w:rsidRDefault="00693990" w:rsidP="00693990">
            <w:pPr>
              <w:rPr>
                <w:sz w:val="20"/>
                <w:szCs w:val="20"/>
              </w:rPr>
            </w:pPr>
            <w:r w:rsidRPr="00693990">
              <w:rPr>
                <w:sz w:val="20"/>
                <w:szCs w:val="20"/>
              </w:rPr>
              <w:t>Customers expect reliable coverage, transparent prices and rapid support. Digital exclusion remains material for low-income households and small firms.</w:t>
            </w:r>
          </w:p>
        </w:tc>
        <w:tc>
          <w:tcPr>
            <w:tcW w:w="4061" w:type="dxa"/>
          </w:tcPr>
          <w:p w14:paraId="68E2C3D3" w14:textId="5FB55CA9" w:rsidR="00693990" w:rsidRPr="00693990" w:rsidRDefault="00693990" w:rsidP="00693990">
            <w:pPr>
              <w:rPr>
                <w:sz w:val="20"/>
                <w:szCs w:val="20"/>
              </w:rPr>
            </w:pPr>
            <w:r w:rsidRPr="00693990">
              <w:rPr>
                <w:sz w:val="20"/>
                <w:szCs w:val="20"/>
              </w:rPr>
              <w:t>Affordable starter tiers, assisted onboarding and regional inclusion partnerships can support Vodafone's mission and reduce reputational risk (Tsatsou, 2022; Vodafone UK, 2025</w:t>
            </w:r>
            <w:r w:rsidR="00F043C2">
              <w:rPr>
                <w:rStyle w:val="FootnoteReference"/>
                <w:sz w:val="20"/>
                <w:szCs w:val="20"/>
              </w:rPr>
              <w:footnoteReference w:id="9"/>
            </w:r>
            <w:r w:rsidRPr="00693990">
              <w:rPr>
                <w:sz w:val="20"/>
                <w:szCs w:val="20"/>
              </w:rPr>
              <w:t>).</w:t>
            </w:r>
          </w:p>
        </w:tc>
      </w:tr>
      <w:tr w:rsidR="00693990" w:rsidRPr="00693990" w14:paraId="666E23E1" w14:textId="77777777" w:rsidTr="00693990">
        <w:tc>
          <w:tcPr>
            <w:tcW w:w="1512" w:type="dxa"/>
          </w:tcPr>
          <w:p w14:paraId="5624BA6B" w14:textId="77777777" w:rsidR="00693990" w:rsidRPr="00693990" w:rsidRDefault="00693990" w:rsidP="00693990">
            <w:pPr>
              <w:rPr>
                <w:sz w:val="20"/>
                <w:szCs w:val="20"/>
              </w:rPr>
            </w:pPr>
            <w:r w:rsidRPr="00693990">
              <w:rPr>
                <w:sz w:val="20"/>
                <w:szCs w:val="20"/>
              </w:rPr>
              <w:t>Technological</w:t>
            </w:r>
          </w:p>
        </w:tc>
        <w:tc>
          <w:tcPr>
            <w:tcW w:w="3672" w:type="dxa"/>
          </w:tcPr>
          <w:p w14:paraId="5A1074A2" w14:textId="77777777" w:rsidR="00693990" w:rsidRPr="00693990" w:rsidRDefault="00693990" w:rsidP="00693990">
            <w:pPr>
              <w:rPr>
                <w:sz w:val="20"/>
                <w:szCs w:val="20"/>
              </w:rPr>
            </w:pPr>
            <w:r w:rsidRPr="00693990">
              <w:rPr>
                <w:sz w:val="20"/>
                <w:szCs w:val="20"/>
              </w:rPr>
              <w:t>5G SA, slicing, edge computing, IoT and AI enable low-latency managed services. Yet legacy integration, cyber exposure and vendor dependence increase complexity.</w:t>
            </w:r>
          </w:p>
        </w:tc>
        <w:tc>
          <w:tcPr>
            <w:tcW w:w="4061" w:type="dxa"/>
          </w:tcPr>
          <w:p w14:paraId="44575BEB" w14:textId="77777777" w:rsidR="00693990" w:rsidRPr="00693990" w:rsidRDefault="00693990" w:rsidP="00693990">
            <w:pPr>
              <w:rPr>
                <w:sz w:val="20"/>
                <w:szCs w:val="20"/>
              </w:rPr>
            </w:pPr>
            <w:r w:rsidRPr="00693990">
              <w:rPr>
                <w:sz w:val="20"/>
                <w:szCs w:val="20"/>
              </w:rPr>
              <w:t>Use open APIs, zero-trust security, dual-vendor governance and co-designed vertical solutions. The network becomes a platform only when complementary capabilities are integrated.</w:t>
            </w:r>
          </w:p>
        </w:tc>
      </w:tr>
      <w:tr w:rsidR="00693990" w:rsidRPr="00693990" w14:paraId="05BB8DDE" w14:textId="77777777" w:rsidTr="00693990">
        <w:tc>
          <w:tcPr>
            <w:tcW w:w="1512" w:type="dxa"/>
          </w:tcPr>
          <w:p w14:paraId="2A6362F4" w14:textId="77777777" w:rsidR="00693990" w:rsidRPr="00693990" w:rsidRDefault="00693990" w:rsidP="00693990">
            <w:pPr>
              <w:rPr>
                <w:sz w:val="20"/>
                <w:szCs w:val="20"/>
              </w:rPr>
            </w:pPr>
            <w:r w:rsidRPr="00693990">
              <w:rPr>
                <w:sz w:val="20"/>
                <w:szCs w:val="20"/>
              </w:rPr>
              <w:t>Environmental</w:t>
            </w:r>
          </w:p>
        </w:tc>
        <w:tc>
          <w:tcPr>
            <w:tcW w:w="3672" w:type="dxa"/>
          </w:tcPr>
          <w:p w14:paraId="41D7F9EA" w14:textId="77777777" w:rsidR="00693990" w:rsidRPr="00693990" w:rsidRDefault="00693990" w:rsidP="00693990">
            <w:pPr>
              <w:rPr>
                <w:sz w:val="20"/>
                <w:szCs w:val="20"/>
              </w:rPr>
            </w:pPr>
            <w:r w:rsidRPr="00693990">
              <w:rPr>
                <w:sz w:val="20"/>
                <w:szCs w:val="20"/>
              </w:rPr>
              <w:t>Network densification and data growth raise energy demand, while customers and investors expect lower carbon intensity and circular equipment use.</w:t>
            </w:r>
          </w:p>
        </w:tc>
        <w:tc>
          <w:tcPr>
            <w:tcW w:w="4061" w:type="dxa"/>
          </w:tcPr>
          <w:p w14:paraId="159B6698" w14:textId="77777777" w:rsidR="00693990" w:rsidRPr="00693990" w:rsidRDefault="00693990" w:rsidP="00693990">
            <w:pPr>
              <w:rPr>
                <w:sz w:val="20"/>
                <w:szCs w:val="20"/>
              </w:rPr>
            </w:pPr>
            <w:r w:rsidRPr="00693990">
              <w:rPr>
                <w:sz w:val="20"/>
                <w:szCs w:val="20"/>
              </w:rPr>
              <w:t xml:space="preserve">Include energy-per-terabyte and equipment-reuse KPIs; </w:t>
            </w:r>
            <w:proofErr w:type="spellStart"/>
            <w:r w:rsidRPr="00693990">
              <w:rPr>
                <w:sz w:val="20"/>
                <w:szCs w:val="20"/>
              </w:rPr>
              <w:t>prioritise</w:t>
            </w:r>
            <w:proofErr w:type="spellEnd"/>
            <w:r w:rsidRPr="00693990">
              <w:rPr>
                <w:sz w:val="20"/>
                <w:szCs w:val="20"/>
              </w:rPr>
              <w:t xml:space="preserve"> energy-efficient sites and remote management rather than treating sustainability as separate reporting.</w:t>
            </w:r>
          </w:p>
        </w:tc>
      </w:tr>
      <w:tr w:rsidR="00693990" w:rsidRPr="00693990" w14:paraId="2B08928E" w14:textId="77777777" w:rsidTr="00693990">
        <w:tc>
          <w:tcPr>
            <w:tcW w:w="1512" w:type="dxa"/>
          </w:tcPr>
          <w:p w14:paraId="073E3D6B" w14:textId="77777777" w:rsidR="00693990" w:rsidRPr="00693990" w:rsidRDefault="00693990" w:rsidP="00693990">
            <w:pPr>
              <w:rPr>
                <w:sz w:val="20"/>
                <w:szCs w:val="20"/>
              </w:rPr>
            </w:pPr>
            <w:r w:rsidRPr="00693990">
              <w:rPr>
                <w:sz w:val="20"/>
                <w:szCs w:val="20"/>
              </w:rPr>
              <w:t>Legal</w:t>
            </w:r>
          </w:p>
        </w:tc>
        <w:tc>
          <w:tcPr>
            <w:tcW w:w="3672" w:type="dxa"/>
          </w:tcPr>
          <w:p w14:paraId="79C6D516" w14:textId="77777777" w:rsidR="00693990" w:rsidRPr="00693990" w:rsidRDefault="00693990" w:rsidP="00693990">
            <w:pPr>
              <w:rPr>
                <w:sz w:val="20"/>
                <w:szCs w:val="20"/>
              </w:rPr>
            </w:pPr>
            <w:r w:rsidRPr="00693990">
              <w:rPr>
                <w:sz w:val="20"/>
                <w:szCs w:val="20"/>
              </w:rPr>
              <w:t>Telecom security, privacy, consumer protection, employment obligations and service-level liability apply across the merged estate.</w:t>
            </w:r>
          </w:p>
        </w:tc>
        <w:tc>
          <w:tcPr>
            <w:tcW w:w="4061" w:type="dxa"/>
          </w:tcPr>
          <w:p w14:paraId="5BE99511" w14:textId="77777777" w:rsidR="00693990" w:rsidRPr="00693990" w:rsidRDefault="00693990" w:rsidP="00693990">
            <w:pPr>
              <w:rPr>
                <w:sz w:val="20"/>
                <w:szCs w:val="20"/>
              </w:rPr>
            </w:pPr>
            <w:r w:rsidRPr="00693990">
              <w:rPr>
                <w:sz w:val="20"/>
                <w:szCs w:val="20"/>
              </w:rPr>
              <w:t>Embed compliance-by-design, auditable data governance and clear SLA responsibility before scaling regulated-sector solutions.</w:t>
            </w:r>
          </w:p>
        </w:tc>
      </w:tr>
    </w:tbl>
    <w:p w14:paraId="02EB2236" w14:textId="77777777" w:rsidR="00693990" w:rsidRPr="004876D4" w:rsidRDefault="00693990" w:rsidP="004876D4">
      <w:pPr>
        <w:rPr>
          <w:color w:val="000000" w:themeColor="text1"/>
        </w:rPr>
      </w:pPr>
    </w:p>
    <w:p w14:paraId="118C362E" w14:textId="77777777" w:rsidR="004876D4" w:rsidRPr="004876D4" w:rsidRDefault="00693990" w:rsidP="00693990">
      <w:pPr>
        <w:pStyle w:val="Heading2"/>
      </w:pPr>
      <w:bookmarkStart w:id="4" w:name="_Toc236835052"/>
      <w:r>
        <w:t>2.2 Porter’s Five Forces</w:t>
      </w:r>
      <w:bookmarkEnd w:id="4"/>
    </w:p>
    <w:p w14:paraId="4B073DE8" w14:textId="77777777" w:rsidR="004876D4" w:rsidRPr="00693990" w:rsidRDefault="00693990" w:rsidP="004876D4">
      <w:pPr>
        <w:rPr>
          <w:b/>
          <w:i/>
          <w:color w:val="000000" w:themeColor="text1"/>
          <w:sz w:val="22"/>
        </w:rPr>
      </w:pPr>
      <w:r w:rsidRPr="00693990">
        <w:rPr>
          <w:b/>
          <w:i/>
          <w:color w:val="000000" w:themeColor="text1"/>
          <w:sz w:val="22"/>
        </w:rPr>
        <w:t>Table 2: Industry-Structure Assessment</w:t>
      </w:r>
    </w:p>
    <w:tbl>
      <w:tblPr>
        <w:tblStyle w:val="TableGrid"/>
        <w:tblW w:w="0" w:type="auto"/>
        <w:tblLayout w:type="fixed"/>
        <w:tblLook w:val="04A0" w:firstRow="1" w:lastRow="0" w:firstColumn="1" w:lastColumn="0" w:noHBand="0" w:noVBand="1"/>
      </w:tblPr>
      <w:tblGrid>
        <w:gridCol w:w="1699"/>
        <w:gridCol w:w="3672"/>
        <w:gridCol w:w="3874"/>
      </w:tblGrid>
      <w:tr w:rsidR="00693990" w:rsidRPr="00693990" w14:paraId="45429103" w14:textId="77777777" w:rsidTr="00693990">
        <w:tc>
          <w:tcPr>
            <w:tcW w:w="1699" w:type="dxa"/>
          </w:tcPr>
          <w:p w14:paraId="6FDECACA" w14:textId="77777777" w:rsidR="00693990" w:rsidRPr="00693990" w:rsidRDefault="00693990" w:rsidP="00693990">
            <w:pPr>
              <w:jc w:val="center"/>
              <w:rPr>
                <w:b/>
                <w:sz w:val="20"/>
                <w:szCs w:val="20"/>
              </w:rPr>
            </w:pPr>
            <w:r w:rsidRPr="00693990">
              <w:rPr>
                <w:b/>
                <w:sz w:val="20"/>
                <w:szCs w:val="20"/>
              </w:rPr>
              <w:t>Force</w:t>
            </w:r>
          </w:p>
        </w:tc>
        <w:tc>
          <w:tcPr>
            <w:tcW w:w="3672" w:type="dxa"/>
          </w:tcPr>
          <w:p w14:paraId="51169B99" w14:textId="77777777" w:rsidR="00693990" w:rsidRPr="00693990" w:rsidRDefault="00693990" w:rsidP="00693990">
            <w:pPr>
              <w:jc w:val="center"/>
              <w:rPr>
                <w:b/>
                <w:sz w:val="20"/>
                <w:szCs w:val="20"/>
              </w:rPr>
            </w:pPr>
            <w:r w:rsidRPr="00693990">
              <w:rPr>
                <w:b/>
                <w:sz w:val="20"/>
                <w:szCs w:val="20"/>
              </w:rPr>
              <w:t>Evidence</w:t>
            </w:r>
          </w:p>
        </w:tc>
        <w:tc>
          <w:tcPr>
            <w:tcW w:w="3874" w:type="dxa"/>
          </w:tcPr>
          <w:p w14:paraId="6B5C0BEE" w14:textId="77777777" w:rsidR="00693990" w:rsidRPr="00693990" w:rsidRDefault="00693990" w:rsidP="00693990">
            <w:pPr>
              <w:jc w:val="center"/>
              <w:rPr>
                <w:b/>
                <w:sz w:val="20"/>
                <w:szCs w:val="20"/>
              </w:rPr>
            </w:pPr>
            <w:r w:rsidRPr="00693990">
              <w:rPr>
                <w:b/>
                <w:sz w:val="20"/>
                <w:szCs w:val="20"/>
              </w:rPr>
              <w:t>Implication</w:t>
            </w:r>
          </w:p>
        </w:tc>
      </w:tr>
      <w:tr w:rsidR="00693990" w:rsidRPr="00693990" w14:paraId="6E0D91E7" w14:textId="77777777" w:rsidTr="00693990">
        <w:tc>
          <w:tcPr>
            <w:tcW w:w="1699" w:type="dxa"/>
          </w:tcPr>
          <w:p w14:paraId="25C1FB21" w14:textId="77777777" w:rsidR="00693990" w:rsidRDefault="00693990" w:rsidP="00693990">
            <w:pPr>
              <w:rPr>
                <w:sz w:val="20"/>
                <w:szCs w:val="20"/>
              </w:rPr>
            </w:pPr>
            <w:r>
              <w:rPr>
                <w:sz w:val="20"/>
                <w:szCs w:val="20"/>
              </w:rPr>
              <w:lastRenderedPageBreak/>
              <w:t>Rivalry:</w:t>
            </w:r>
          </w:p>
          <w:p w14:paraId="1DCBEF11" w14:textId="77777777" w:rsidR="00693990" w:rsidRPr="00693990" w:rsidRDefault="00693990" w:rsidP="00693990">
            <w:pPr>
              <w:rPr>
                <w:sz w:val="20"/>
                <w:szCs w:val="20"/>
              </w:rPr>
            </w:pPr>
            <w:r>
              <w:rPr>
                <w:sz w:val="20"/>
                <w:szCs w:val="20"/>
              </w:rPr>
              <w:t>Very H</w:t>
            </w:r>
            <w:r w:rsidRPr="00693990">
              <w:rPr>
                <w:sz w:val="20"/>
                <w:szCs w:val="20"/>
              </w:rPr>
              <w:t>igh</w:t>
            </w:r>
          </w:p>
        </w:tc>
        <w:tc>
          <w:tcPr>
            <w:tcW w:w="3672" w:type="dxa"/>
          </w:tcPr>
          <w:p w14:paraId="339F1CFE" w14:textId="77777777" w:rsidR="00693990" w:rsidRPr="00693990" w:rsidRDefault="00693990" w:rsidP="00693990">
            <w:pPr>
              <w:rPr>
                <w:sz w:val="20"/>
                <w:szCs w:val="20"/>
              </w:rPr>
            </w:pPr>
            <w:r w:rsidRPr="00693990">
              <w:rPr>
                <w:sz w:val="20"/>
                <w:szCs w:val="20"/>
              </w:rPr>
              <w:t>EE promotes leading coverage and 5G+ reach; Virgin Media O2 is investing £700m in 2026; price comparison is easy and switching costs are modest.</w:t>
            </w:r>
          </w:p>
        </w:tc>
        <w:tc>
          <w:tcPr>
            <w:tcW w:w="3874" w:type="dxa"/>
          </w:tcPr>
          <w:p w14:paraId="7A28107D" w14:textId="7CFBFADD" w:rsidR="00693990" w:rsidRPr="00693990" w:rsidRDefault="00693990" w:rsidP="00693990">
            <w:pPr>
              <w:rPr>
                <w:sz w:val="20"/>
                <w:szCs w:val="20"/>
              </w:rPr>
            </w:pPr>
            <w:r w:rsidRPr="00693990">
              <w:rPr>
                <w:sz w:val="20"/>
                <w:szCs w:val="20"/>
              </w:rPr>
              <w:t>Avoid undifferentiated price competition. Compete on demonstrable reliability, integrated business support and sector solutions (BT Group, 2026; Virgin Media O2, 2026).</w:t>
            </w:r>
            <w:r w:rsidR="00F043C2">
              <w:rPr>
                <w:rStyle w:val="FootnoteReference"/>
                <w:sz w:val="20"/>
                <w:szCs w:val="20"/>
              </w:rPr>
              <w:footnoteReference w:id="10"/>
            </w:r>
          </w:p>
        </w:tc>
      </w:tr>
      <w:tr w:rsidR="00693990" w:rsidRPr="00693990" w14:paraId="0508D9F7" w14:textId="77777777" w:rsidTr="00693990">
        <w:tc>
          <w:tcPr>
            <w:tcW w:w="1699" w:type="dxa"/>
          </w:tcPr>
          <w:p w14:paraId="19A34CEC" w14:textId="77777777" w:rsidR="00693990" w:rsidRPr="00693990" w:rsidRDefault="00693990" w:rsidP="00693990">
            <w:pPr>
              <w:rPr>
                <w:sz w:val="20"/>
                <w:szCs w:val="20"/>
              </w:rPr>
            </w:pPr>
            <w:r>
              <w:rPr>
                <w:sz w:val="20"/>
                <w:szCs w:val="20"/>
              </w:rPr>
              <w:t>Buyer power: H</w:t>
            </w:r>
            <w:r w:rsidRPr="00693990">
              <w:rPr>
                <w:sz w:val="20"/>
                <w:szCs w:val="20"/>
              </w:rPr>
              <w:t>igh</w:t>
            </w:r>
          </w:p>
        </w:tc>
        <w:tc>
          <w:tcPr>
            <w:tcW w:w="3672" w:type="dxa"/>
          </w:tcPr>
          <w:p w14:paraId="28CAB2E8" w14:textId="77777777" w:rsidR="00693990" w:rsidRPr="00693990" w:rsidRDefault="00693990" w:rsidP="00693990">
            <w:pPr>
              <w:rPr>
                <w:sz w:val="20"/>
                <w:szCs w:val="20"/>
              </w:rPr>
            </w:pPr>
            <w:r w:rsidRPr="00693990">
              <w:rPr>
                <w:sz w:val="20"/>
                <w:szCs w:val="20"/>
              </w:rPr>
              <w:t>Consumers can multi-SIM or switch, while large enterprises negotiate bespoke contracts. SMEs are fragmented but price-sensitive.</w:t>
            </w:r>
          </w:p>
        </w:tc>
        <w:tc>
          <w:tcPr>
            <w:tcW w:w="3874" w:type="dxa"/>
          </w:tcPr>
          <w:p w14:paraId="033E3877" w14:textId="793416FA" w:rsidR="00693990" w:rsidRPr="00693990" w:rsidRDefault="00693990" w:rsidP="00693990">
            <w:pPr>
              <w:rPr>
                <w:sz w:val="20"/>
                <w:szCs w:val="20"/>
              </w:rPr>
            </w:pPr>
            <w:r w:rsidRPr="00693990">
              <w:rPr>
                <w:sz w:val="20"/>
                <w:szCs w:val="20"/>
              </w:rPr>
              <w:t>Create modular packages with transparent ROI, short pilots and service guarantees. Customer experience and trust are central to loyalty (Kalia et al., 2021; Ribeiro et al., 2024)</w:t>
            </w:r>
            <w:r w:rsidR="00F043C2">
              <w:rPr>
                <w:rStyle w:val="FootnoteReference"/>
                <w:sz w:val="20"/>
                <w:szCs w:val="20"/>
              </w:rPr>
              <w:footnoteReference w:id="11"/>
            </w:r>
            <w:r w:rsidRPr="00693990">
              <w:rPr>
                <w:sz w:val="20"/>
                <w:szCs w:val="20"/>
              </w:rPr>
              <w:t>.</w:t>
            </w:r>
          </w:p>
        </w:tc>
      </w:tr>
      <w:tr w:rsidR="00693990" w:rsidRPr="00693990" w14:paraId="426B9F82" w14:textId="77777777" w:rsidTr="00693990">
        <w:tc>
          <w:tcPr>
            <w:tcW w:w="1699" w:type="dxa"/>
          </w:tcPr>
          <w:p w14:paraId="3F9E9D11" w14:textId="77777777" w:rsidR="00693990" w:rsidRDefault="00693990" w:rsidP="00693990">
            <w:pPr>
              <w:rPr>
                <w:sz w:val="20"/>
                <w:szCs w:val="20"/>
              </w:rPr>
            </w:pPr>
            <w:r w:rsidRPr="00693990">
              <w:rPr>
                <w:sz w:val="20"/>
                <w:szCs w:val="20"/>
              </w:rPr>
              <w:t>Supplier power</w:t>
            </w:r>
            <w:r>
              <w:rPr>
                <w:sz w:val="20"/>
                <w:szCs w:val="20"/>
              </w:rPr>
              <w:t>:</w:t>
            </w:r>
          </w:p>
          <w:p w14:paraId="42FC78D2" w14:textId="77777777" w:rsidR="00693990" w:rsidRPr="00693990" w:rsidRDefault="00693990" w:rsidP="00693990">
            <w:pPr>
              <w:rPr>
                <w:sz w:val="20"/>
                <w:szCs w:val="20"/>
              </w:rPr>
            </w:pPr>
            <w:r>
              <w:rPr>
                <w:sz w:val="20"/>
                <w:szCs w:val="20"/>
              </w:rPr>
              <w:t>Medium/H</w:t>
            </w:r>
            <w:r w:rsidRPr="00693990">
              <w:rPr>
                <w:sz w:val="20"/>
                <w:szCs w:val="20"/>
              </w:rPr>
              <w:t>igh</w:t>
            </w:r>
          </w:p>
        </w:tc>
        <w:tc>
          <w:tcPr>
            <w:tcW w:w="3672" w:type="dxa"/>
          </w:tcPr>
          <w:p w14:paraId="6AB3F12B" w14:textId="77777777" w:rsidR="00693990" w:rsidRPr="00693990" w:rsidRDefault="00693990" w:rsidP="00693990">
            <w:pPr>
              <w:rPr>
                <w:sz w:val="20"/>
                <w:szCs w:val="20"/>
              </w:rPr>
            </w:pPr>
            <w:r w:rsidRPr="00693990">
              <w:rPr>
                <w:sz w:val="20"/>
                <w:szCs w:val="20"/>
              </w:rPr>
              <w:t>Radio, cloud, devices, software and specialist talent are concentrated, although VodafoneThree has purchasing scale.</w:t>
            </w:r>
          </w:p>
        </w:tc>
        <w:tc>
          <w:tcPr>
            <w:tcW w:w="3874" w:type="dxa"/>
          </w:tcPr>
          <w:p w14:paraId="1437F982" w14:textId="77777777" w:rsidR="00693990" w:rsidRPr="00693990" w:rsidRDefault="00693990" w:rsidP="00693990">
            <w:pPr>
              <w:rPr>
                <w:sz w:val="20"/>
                <w:szCs w:val="20"/>
              </w:rPr>
            </w:pPr>
            <w:r w:rsidRPr="00693990">
              <w:rPr>
                <w:sz w:val="20"/>
                <w:szCs w:val="20"/>
              </w:rPr>
              <w:t>Use interoperable architecture, multi-vendor standards and internal product ownership to prevent ecosystem partners capturing most of the value.</w:t>
            </w:r>
          </w:p>
        </w:tc>
      </w:tr>
      <w:tr w:rsidR="00693990" w:rsidRPr="00693990" w14:paraId="666343FC" w14:textId="77777777" w:rsidTr="00693990">
        <w:tc>
          <w:tcPr>
            <w:tcW w:w="1699" w:type="dxa"/>
          </w:tcPr>
          <w:p w14:paraId="35D3094E" w14:textId="77777777" w:rsidR="00693990" w:rsidRPr="00693990" w:rsidRDefault="00693990" w:rsidP="00693990">
            <w:pPr>
              <w:rPr>
                <w:sz w:val="20"/>
                <w:szCs w:val="20"/>
              </w:rPr>
            </w:pPr>
            <w:r w:rsidRPr="00693990">
              <w:rPr>
                <w:sz w:val="20"/>
                <w:szCs w:val="20"/>
              </w:rPr>
              <w:t>Threat of substitutes</w:t>
            </w:r>
            <w:r>
              <w:rPr>
                <w:sz w:val="20"/>
                <w:szCs w:val="20"/>
              </w:rPr>
              <w:t>: M</w:t>
            </w:r>
            <w:r w:rsidRPr="00693990">
              <w:rPr>
                <w:sz w:val="20"/>
                <w:szCs w:val="20"/>
              </w:rPr>
              <w:t>edium</w:t>
            </w:r>
          </w:p>
        </w:tc>
        <w:tc>
          <w:tcPr>
            <w:tcW w:w="3672" w:type="dxa"/>
          </w:tcPr>
          <w:p w14:paraId="7C18CF52" w14:textId="77777777" w:rsidR="00693990" w:rsidRPr="00693990" w:rsidRDefault="00693990" w:rsidP="00693990">
            <w:pPr>
              <w:rPr>
                <w:sz w:val="20"/>
                <w:szCs w:val="20"/>
              </w:rPr>
            </w:pPr>
            <w:r w:rsidRPr="00693990">
              <w:rPr>
                <w:sz w:val="20"/>
                <w:szCs w:val="20"/>
              </w:rPr>
              <w:t xml:space="preserve">Wi-Fi, fixed </w:t>
            </w:r>
            <w:proofErr w:type="spellStart"/>
            <w:r w:rsidRPr="00693990">
              <w:rPr>
                <w:sz w:val="20"/>
                <w:szCs w:val="20"/>
              </w:rPr>
              <w:t>fibre</w:t>
            </w:r>
            <w:proofErr w:type="spellEnd"/>
            <w:r w:rsidRPr="00693990">
              <w:rPr>
                <w:sz w:val="20"/>
                <w:szCs w:val="20"/>
              </w:rPr>
              <w:t>, satellite and private/local networks can substitute for public mobile connectivity in some use cases.</w:t>
            </w:r>
          </w:p>
        </w:tc>
        <w:tc>
          <w:tcPr>
            <w:tcW w:w="3874" w:type="dxa"/>
          </w:tcPr>
          <w:p w14:paraId="5ED682C2" w14:textId="77777777" w:rsidR="00693990" w:rsidRPr="00693990" w:rsidRDefault="00693990" w:rsidP="00693990">
            <w:pPr>
              <w:rPr>
                <w:sz w:val="20"/>
                <w:szCs w:val="20"/>
              </w:rPr>
            </w:pPr>
            <w:r w:rsidRPr="00693990">
              <w:rPr>
                <w:sz w:val="20"/>
                <w:szCs w:val="20"/>
              </w:rPr>
              <w:t>Offer converged managed outcomes rather than standalone access; partner where substitution is more efficient than ownership.</w:t>
            </w:r>
          </w:p>
        </w:tc>
      </w:tr>
      <w:tr w:rsidR="00693990" w:rsidRPr="00693990" w14:paraId="118768F2" w14:textId="77777777" w:rsidTr="00693990">
        <w:tc>
          <w:tcPr>
            <w:tcW w:w="1699" w:type="dxa"/>
          </w:tcPr>
          <w:p w14:paraId="09340FE3" w14:textId="77777777" w:rsidR="00693990" w:rsidRDefault="00693990" w:rsidP="00693990">
            <w:pPr>
              <w:rPr>
                <w:sz w:val="20"/>
                <w:szCs w:val="20"/>
              </w:rPr>
            </w:pPr>
            <w:r>
              <w:rPr>
                <w:sz w:val="20"/>
                <w:szCs w:val="20"/>
              </w:rPr>
              <w:t>Threat of entry:</w:t>
            </w:r>
          </w:p>
          <w:p w14:paraId="2D523C2D" w14:textId="77777777" w:rsidR="00693990" w:rsidRPr="00693990" w:rsidRDefault="00693990" w:rsidP="00693990">
            <w:pPr>
              <w:rPr>
                <w:sz w:val="20"/>
                <w:szCs w:val="20"/>
              </w:rPr>
            </w:pPr>
            <w:r>
              <w:rPr>
                <w:sz w:val="20"/>
                <w:szCs w:val="20"/>
              </w:rPr>
              <w:t>Low at Network Level; High at Service L</w:t>
            </w:r>
            <w:r w:rsidRPr="00693990">
              <w:rPr>
                <w:sz w:val="20"/>
                <w:szCs w:val="20"/>
              </w:rPr>
              <w:t>ayer</w:t>
            </w:r>
          </w:p>
        </w:tc>
        <w:tc>
          <w:tcPr>
            <w:tcW w:w="3672" w:type="dxa"/>
          </w:tcPr>
          <w:p w14:paraId="46DB537A" w14:textId="77777777" w:rsidR="00693990" w:rsidRPr="00693990" w:rsidRDefault="00693990" w:rsidP="00693990">
            <w:pPr>
              <w:rPr>
                <w:sz w:val="20"/>
                <w:szCs w:val="20"/>
              </w:rPr>
            </w:pPr>
            <w:r w:rsidRPr="00693990">
              <w:rPr>
                <w:sz w:val="20"/>
                <w:szCs w:val="20"/>
              </w:rPr>
              <w:t>Spectrum and capital deter new national MNOs, but cloud, cybersecurity and vertical specialists can enter the value-added layer.</w:t>
            </w:r>
          </w:p>
        </w:tc>
        <w:tc>
          <w:tcPr>
            <w:tcW w:w="3874" w:type="dxa"/>
          </w:tcPr>
          <w:p w14:paraId="671E53F2" w14:textId="77777777" w:rsidR="00693990" w:rsidRPr="00693990" w:rsidRDefault="00693990" w:rsidP="00693990">
            <w:pPr>
              <w:rPr>
                <w:sz w:val="20"/>
                <w:szCs w:val="20"/>
              </w:rPr>
            </w:pPr>
            <w:r w:rsidRPr="00693990">
              <w:rPr>
                <w:sz w:val="20"/>
                <w:szCs w:val="20"/>
              </w:rPr>
              <w:t>Move quickly through co-creation and partner ecosystems. Scale alone is insufficient; speed, integration and customer knowledge are decisive.</w:t>
            </w:r>
          </w:p>
        </w:tc>
      </w:tr>
    </w:tbl>
    <w:p w14:paraId="12D1D353" w14:textId="77777777" w:rsidR="004876D4" w:rsidRPr="004876D4" w:rsidRDefault="004876D4" w:rsidP="004876D4">
      <w:pPr>
        <w:rPr>
          <w:color w:val="000000" w:themeColor="text1"/>
        </w:rPr>
      </w:pPr>
    </w:p>
    <w:p w14:paraId="16A4CE9A" w14:textId="77777777" w:rsidR="00693990" w:rsidRPr="00693990" w:rsidRDefault="00693990" w:rsidP="00693990">
      <w:pPr>
        <w:pStyle w:val="Heading2"/>
      </w:pPr>
      <w:bookmarkStart w:id="5" w:name="_Toc236835053"/>
      <w:r>
        <w:lastRenderedPageBreak/>
        <w:t xml:space="preserve">2.3 </w:t>
      </w:r>
      <w:r w:rsidRPr="00693990">
        <w:t>Internal Position and SWOT Synthesis</w:t>
      </w:r>
      <w:bookmarkEnd w:id="5"/>
    </w:p>
    <w:p w14:paraId="4B96AD4E" w14:textId="386F1175" w:rsidR="000329CD" w:rsidRDefault="004876D4" w:rsidP="000329CD">
      <w:pPr>
        <w:ind w:firstLine="720"/>
        <w:rPr>
          <w:color w:val="000000" w:themeColor="text1"/>
        </w:rPr>
      </w:pPr>
      <w:r w:rsidRPr="004876D4">
        <w:rPr>
          <w:color w:val="000000" w:themeColor="text1"/>
        </w:rPr>
        <w:t xml:space="preserve">The deal enhances </w:t>
      </w:r>
      <w:r w:rsidR="004C6364" w:rsidRPr="004876D4">
        <w:rPr>
          <w:color w:val="000000" w:themeColor="text1"/>
        </w:rPr>
        <w:t>Vodafone Three’s</w:t>
      </w:r>
      <w:r w:rsidRPr="004876D4">
        <w:rPr>
          <w:color w:val="000000" w:themeColor="text1"/>
        </w:rPr>
        <w:t xml:space="preserve"> structure, but it doesn't eliminate competition. According to 2025 data from Ofcom, 5G was making strides in penetration, but with limited deployment of 5G SA and competitors further penning out 5G networks. The spectrum and site estate can help to augment coverage and capacity; but integration challenges are operational: duplicated systems, inconsistent customer journey, cultural tension and service disruption. As demonstrated by Kroon (2022)</w:t>
      </w:r>
      <w:r w:rsidR="00F043C2">
        <w:rPr>
          <w:rStyle w:val="FootnoteReference"/>
          <w:color w:val="000000" w:themeColor="text1"/>
        </w:rPr>
        <w:footnoteReference w:id="12"/>
      </w:r>
      <w:r w:rsidRPr="004876D4">
        <w:rPr>
          <w:color w:val="000000" w:themeColor="text1"/>
        </w:rPr>
        <w:t xml:space="preserve">, performance after an acquisition needs to balance ‘hard’ structural aspects and ‘soft' </w:t>
      </w:r>
      <w:r w:rsidR="004C6364" w:rsidRPr="004876D4">
        <w:rPr>
          <w:color w:val="000000" w:themeColor="text1"/>
        </w:rPr>
        <w:t>integration</w:t>
      </w:r>
      <w:r w:rsidRPr="004876D4">
        <w:rPr>
          <w:color w:val="000000" w:themeColor="text1"/>
        </w:rPr>
        <w:t xml:space="preserve"> of people. Research </w:t>
      </w:r>
      <w:proofErr w:type="gramStart"/>
      <w:r w:rsidRPr="004876D4">
        <w:rPr>
          <w:color w:val="000000" w:themeColor="text1"/>
        </w:rPr>
        <w:t>of</w:t>
      </w:r>
      <w:proofErr w:type="gramEnd"/>
      <w:r w:rsidRPr="004876D4">
        <w:rPr>
          <w:color w:val="000000" w:themeColor="text1"/>
        </w:rPr>
        <w:t xml:space="preserve"> a telecom firm also reveals that scale integration determines the acquired scale turns into competitiveness</w:t>
      </w:r>
      <w:r w:rsidR="000329CD">
        <w:rPr>
          <w:color w:val="000000" w:themeColor="text1"/>
        </w:rPr>
        <w:t xml:space="preserve"> (Dhir et al., 2020</w:t>
      </w:r>
      <w:r w:rsidR="007A2C83">
        <w:rPr>
          <w:rStyle w:val="FootnoteReference"/>
          <w:color w:val="000000" w:themeColor="text1"/>
        </w:rPr>
        <w:footnoteReference w:id="13"/>
      </w:r>
      <w:r w:rsidR="000329CD">
        <w:rPr>
          <w:color w:val="000000" w:themeColor="text1"/>
        </w:rPr>
        <w:t>)</w:t>
      </w:r>
      <w:r w:rsidRPr="004876D4">
        <w:rPr>
          <w:color w:val="000000" w:themeColor="text1"/>
        </w:rPr>
        <w:t>.</w:t>
      </w:r>
    </w:p>
    <w:p w14:paraId="6E836E7D" w14:textId="7C8C2AEC" w:rsidR="000329CD" w:rsidRDefault="004876D4" w:rsidP="000329CD">
      <w:pPr>
        <w:ind w:firstLine="720"/>
        <w:rPr>
          <w:color w:val="000000" w:themeColor="text1"/>
        </w:rPr>
      </w:pPr>
      <w:r w:rsidRPr="004876D4">
        <w:rPr>
          <w:color w:val="000000" w:themeColor="text1"/>
        </w:rPr>
        <w:t>A weakness and a strategic control variable is therefore customer experience. Quality services, trust and commitment are all parameters which constitute telecom loyalty and not just a claim on the network (Kalia et al., 2021</w:t>
      </w:r>
      <w:r w:rsidR="007A2C83">
        <w:rPr>
          <w:rStyle w:val="FootnoteReference"/>
          <w:color w:val="000000" w:themeColor="text1"/>
        </w:rPr>
        <w:footnoteReference w:id="14"/>
      </w:r>
      <w:r w:rsidRPr="004876D4">
        <w:rPr>
          <w:color w:val="000000" w:themeColor="text1"/>
        </w:rPr>
        <w:t xml:space="preserve">). Poorly executed novelty can be a source of complexity while novelty – with perceived practical value can improve customer loyalty (Awuku, Agyei and </w:t>
      </w:r>
      <w:proofErr w:type="spellStart"/>
      <w:r w:rsidRPr="004876D4">
        <w:rPr>
          <w:color w:val="000000" w:themeColor="text1"/>
        </w:rPr>
        <w:t>Gonu</w:t>
      </w:r>
      <w:proofErr w:type="spellEnd"/>
      <w:r w:rsidRPr="004876D4">
        <w:rPr>
          <w:color w:val="000000" w:themeColor="text1"/>
        </w:rPr>
        <w:t>, 2023</w:t>
      </w:r>
      <w:r w:rsidR="007A2C83">
        <w:rPr>
          <w:rStyle w:val="FootnoteReference"/>
          <w:color w:val="000000" w:themeColor="text1"/>
        </w:rPr>
        <w:footnoteReference w:id="15"/>
      </w:r>
      <w:r w:rsidRPr="004876D4">
        <w:rPr>
          <w:color w:val="000000" w:themeColor="text1"/>
        </w:rPr>
        <w:t>). In the process of introducing new services, VodafoneThree should safeguard migration journeys, billing accur</w:t>
      </w:r>
      <w:r w:rsidR="000329CD">
        <w:rPr>
          <w:color w:val="000000" w:themeColor="text1"/>
        </w:rPr>
        <w:t>acy and the complaint handling.</w:t>
      </w:r>
    </w:p>
    <w:p w14:paraId="4332937E" w14:textId="6B766A2A" w:rsidR="004876D4" w:rsidRPr="004876D4" w:rsidRDefault="004876D4" w:rsidP="000329CD">
      <w:pPr>
        <w:ind w:firstLine="720"/>
        <w:rPr>
          <w:color w:val="000000" w:themeColor="text1"/>
        </w:rPr>
      </w:pPr>
      <w:r w:rsidRPr="004876D4">
        <w:rPr>
          <w:color w:val="000000" w:themeColor="text1"/>
        </w:rPr>
        <w:t xml:space="preserve">It has a spectrum portfolio, business sales channels, IoT platform, security operations and data relationships, that form the foundation for managed SME and industrial services. Infrastructure economics also suggest that it makes sense to share </w:t>
      </w:r>
      <w:r w:rsidRPr="004876D4">
        <w:rPr>
          <w:color w:val="000000" w:themeColor="text1"/>
        </w:rPr>
        <w:lastRenderedPageBreak/>
        <w:t>and/or orchestrate infrastructure among multiple users in rural areas, depending on the specific users, but that governance and value allocation need to be handled carefully (Lähteenmäki, 2021, Anantha Kumar and Oughton, 2023</w:t>
      </w:r>
      <w:r w:rsidR="007A2C83">
        <w:rPr>
          <w:rStyle w:val="FootnoteReference"/>
          <w:color w:val="000000" w:themeColor="text1"/>
        </w:rPr>
        <w:footnoteReference w:id="16"/>
      </w:r>
      <w:r w:rsidRPr="004876D4">
        <w:rPr>
          <w:color w:val="000000" w:themeColor="text1"/>
        </w:rPr>
        <w:t>).</w:t>
      </w:r>
    </w:p>
    <w:p w14:paraId="065119C6" w14:textId="77777777" w:rsidR="004876D4" w:rsidRDefault="000329CD" w:rsidP="004876D4">
      <w:pPr>
        <w:rPr>
          <w:b/>
          <w:i/>
          <w:color w:val="000000" w:themeColor="text1"/>
          <w:sz w:val="22"/>
        </w:rPr>
      </w:pPr>
      <w:r w:rsidRPr="000329CD">
        <w:rPr>
          <w:b/>
          <w:i/>
          <w:color w:val="000000" w:themeColor="text1"/>
          <w:sz w:val="22"/>
        </w:rPr>
        <w:t>Table 3: SWOT Synthesis</w:t>
      </w:r>
    </w:p>
    <w:tbl>
      <w:tblPr>
        <w:tblStyle w:val="TableGrid"/>
        <w:tblW w:w="0" w:type="auto"/>
        <w:tblLayout w:type="fixed"/>
        <w:tblLook w:val="04A0" w:firstRow="1" w:lastRow="0" w:firstColumn="1" w:lastColumn="0" w:noHBand="0" w:noVBand="1"/>
      </w:tblPr>
      <w:tblGrid>
        <w:gridCol w:w="1800"/>
        <w:gridCol w:w="7445"/>
      </w:tblGrid>
      <w:tr w:rsidR="000329CD" w:rsidRPr="000329CD" w14:paraId="370798D1" w14:textId="77777777" w:rsidTr="000329CD">
        <w:tc>
          <w:tcPr>
            <w:tcW w:w="1800" w:type="dxa"/>
          </w:tcPr>
          <w:p w14:paraId="705681F7" w14:textId="77777777" w:rsidR="000329CD" w:rsidRPr="000329CD" w:rsidRDefault="000329CD" w:rsidP="000329CD">
            <w:pPr>
              <w:jc w:val="center"/>
              <w:rPr>
                <w:sz w:val="20"/>
              </w:rPr>
            </w:pPr>
            <w:r w:rsidRPr="000329CD">
              <w:rPr>
                <w:sz w:val="20"/>
              </w:rPr>
              <w:t>Dimension</w:t>
            </w:r>
          </w:p>
        </w:tc>
        <w:tc>
          <w:tcPr>
            <w:tcW w:w="7445" w:type="dxa"/>
          </w:tcPr>
          <w:p w14:paraId="41C4D40C" w14:textId="77777777" w:rsidR="000329CD" w:rsidRPr="000329CD" w:rsidRDefault="000329CD" w:rsidP="000329CD">
            <w:pPr>
              <w:jc w:val="center"/>
              <w:rPr>
                <w:sz w:val="20"/>
              </w:rPr>
            </w:pPr>
            <w:r>
              <w:rPr>
                <w:sz w:val="20"/>
              </w:rPr>
              <w:t>Evidence-Based s</w:t>
            </w:r>
            <w:r w:rsidRPr="000329CD">
              <w:rPr>
                <w:sz w:val="20"/>
              </w:rPr>
              <w:t>ummary</w:t>
            </w:r>
          </w:p>
        </w:tc>
      </w:tr>
      <w:tr w:rsidR="000329CD" w:rsidRPr="000329CD" w14:paraId="152BB78F" w14:textId="77777777" w:rsidTr="000329CD">
        <w:tc>
          <w:tcPr>
            <w:tcW w:w="1800" w:type="dxa"/>
          </w:tcPr>
          <w:p w14:paraId="397E5634" w14:textId="77777777" w:rsidR="000329CD" w:rsidRPr="000329CD" w:rsidRDefault="000329CD" w:rsidP="000329CD">
            <w:pPr>
              <w:rPr>
                <w:sz w:val="20"/>
              </w:rPr>
            </w:pPr>
            <w:r w:rsidRPr="000329CD">
              <w:rPr>
                <w:color w:val="252525"/>
                <w:sz w:val="20"/>
              </w:rPr>
              <w:t>Strengths</w:t>
            </w:r>
          </w:p>
        </w:tc>
        <w:tc>
          <w:tcPr>
            <w:tcW w:w="7445" w:type="dxa"/>
          </w:tcPr>
          <w:p w14:paraId="3EBDDF49" w14:textId="77777777" w:rsidR="000329CD" w:rsidRPr="000329CD" w:rsidRDefault="000329CD" w:rsidP="000329CD">
            <w:pPr>
              <w:rPr>
                <w:sz w:val="20"/>
              </w:rPr>
            </w:pPr>
            <w:r w:rsidRPr="000329CD">
              <w:rPr>
                <w:color w:val="252525"/>
                <w:sz w:val="20"/>
              </w:rPr>
              <w:t>Largest UK mobile scale; complementary spectrum; £11bn investment commitment; full ownership; global IoT and enterprise capabilities; targeted synergies.</w:t>
            </w:r>
          </w:p>
        </w:tc>
      </w:tr>
      <w:tr w:rsidR="000329CD" w:rsidRPr="000329CD" w14:paraId="4B8CF364" w14:textId="77777777" w:rsidTr="000329CD">
        <w:tc>
          <w:tcPr>
            <w:tcW w:w="1800" w:type="dxa"/>
          </w:tcPr>
          <w:p w14:paraId="492D99BA" w14:textId="77777777" w:rsidR="000329CD" w:rsidRPr="000329CD" w:rsidRDefault="000329CD" w:rsidP="000329CD">
            <w:pPr>
              <w:rPr>
                <w:sz w:val="20"/>
              </w:rPr>
            </w:pPr>
            <w:r w:rsidRPr="000329CD">
              <w:rPr>
                <w:color w:val="252525"/>
                <w:sz w:val="20"/>
              </w:rPr>
              <w:t>Weaknesses</w:t>
            </w:r>
          </w:p>
        </w:tc>
        <w:tc>
          <w:tcPr>
            <w:tcW w:w="7445" w:type="dxa"/>
          </w:tcPr>
          <w:p w14:paraId="756F57EC" w14:textId="77777777" w:rsidR="000329CD" w:rsidRPr="000329CD" w:rsidRDefault="000329CD" w:rsidP="000329CD">
            <w:pPr>
              <w:rPr>
                <w:sz w:val="20"/>
              </w:rPr>
            </w:pPr>
            <w:r w:rsidRPr="000329CD">
              <w:rPr>
                <w:color w:val="252525"/>
                <w:sz w:val="20"/>
              </w:rPr>
              <w:t>Complex network/IT and culture integration; uneven legacy customer journeys; high capital intensity; possible service disruption; low current 5G SA penetration.</w:t>
            </w:r>
          </w:p>
        </w:tc>
      </w:tr>
      <w:tr w:rsidR="000329CD" w:rsidRPr="000329CD" w14:paraId="5A70D32C" w14:textId="77777777" w:rsidTr="000329CD">
        <w:tc>
          <w:tcPr>
            <w:tcW w:w="1800" w:type="dxa"/>
          </w:tcPr>
          <w:p w14:paraId="79622A80" w14:textId="77777777" w:rsidR="000329CD" w:rsidRPr="000329CD" w:rsidRDefault="000329CD" w:rsidP="000329CD">
            <w:pPr>
              <w:rPr>
                <w:sz w:val="20"/>
              </w:rPr>
            </w:pPr>
            <w:r w:rsidRPr="000329CD">
              <w:rPr>
                <w:color w:val="252525"/>
                <w:sz w:val="20"/>
              </w:rPr>
              <w:t>Opportunities</w:t>
            </w:r>
          </w:p>
        </w:tc>
        <w:tc>
          <w:tcPr>
            <w:tcW w:w="7445" w:type="dxa"/>
          </w:tcPr>
          <w:p w14:paraId="46057546" w14:textId="3F106FDA" w:rsidR="000329CD" w:rsidRPr="000329CD" w:rsidRDefault="000329CD" w:rsidP="000329CD">
            <w:pPr>
              <w:rPr>
                <w:sz w:val="20"/>
              </w:rPr>
            </w:pPr>
            <w:r w:rsidRPr="000329CD">
              <w:rPr>
                <w:color w:val="252525"/>
                <w:sz w:val="20"/>
              </w:rPr>
              <w:t xml:space="preserve">SME </w:t>
            </w:r>
            <w:r w:rsidR="004C6364" w:rsidRPr="000329CD">
              <w:rPr>
                <w:color w:val="252525"/>
                <w:sz w:val="20"/>
              </w:rPr>
              <w:t>digitization</w:t>
            </w:r>
            <w:r w:rsidRPr="000329CD">
              <w:rPr>
                <w:color w:val="252525"/>
                <w:sz w:val="20"/>
              </w:rPr>
              <w:t>; private and sliced networks; industrial IoT; edge and cyber services; underserved regions; converged fixed/mobile offers; partner ecosystems.</w:t>
            </w:r>
          </w:p>
        </w:tc>
      </w:tr>
      <w:tr w:rsidR="000329CD" w:rsidRPr="000329CD" w14:paraId="5FF10F28" w14:textId="77777777" w:rsidTr="000329CD">
        <w:tc>
          <w:tcPr>
            <w:tcW w:w="1800" w:type="dxa"/>
          </w:tcPr>
          <w:p w14:paraId="35622989" w14:textId="77777777" w:rsidR="000329CD" w:rsidRPr="000329CD" w:rsidRDefault="000329CD" w:rsidP="000329CD">
            <w:pPr>
              <w:rPr>
                <w:sz w:val="20"/>
              </w:rPr>
            </w:pPr>
            <w:r w:rsidRPr="000329CD">
              <w:rPr>
                <w:color w:val="252525"/>
                <w:sz w:val="20"/>
              </w:rPr>
              <w:t>Threats</w:t>
            </w:r>
          </w:p>
        </w:tc>
        <w:tc>
          <w:tcPr>
            <w:tcW w:w="7445" w:type="dxa"/>
          </w:tcPr>
          <w:p w14:paraId="11E02B7D" w14:textId="77777777" w:rsidR="000329CD" w:rsidRPr="000329CD" w:rsidRDefault="000329CD" w:rsidP="000329CD">
            <w:pPr>
              <w:rPr>
                <w:sz w:val="20"/>
              </w:rPr>
            </w:pPr>
            <w:r w:rsidRPr="000329CD">
              <w:rPr>
                <w:color w:val="252525"/>
                <w:sz w:val="20"/>
              </w:rPr>
              <w:t>Aggressive EE and VMO2 investment; CMA/Ofcom enforcement; low willingness to pay for speed; cyber incidents; supplier dependence; employee disengagement; economic slowdown.</w:t>
            </w:r>
          </w:p>
        </w:tc>
      </w:tr>
    </w:tbl>
    <w:p w14:paraId="3DDF6CF0" w14:textId="77777777" w:rsidR="004876D4" w:rsidRPr="004876D4" w:rsidRDefault="004876D4" w:rsidP="000329CD">
      <w:pPr>
        <w:ind w:firstLine="720"/>
        <w:rPr>
          <w:color w:val="000000" w:themeColor="text1"/>
        </w:rPr>
      </w:pPr>
      <w:r w:rsidRPr="004876D4">
        <w:rPr>
          <w:color w:val="000000" w:themeColor="text1"/>
        </w:rPr>
        <w:t>While VodafoneThree possesses the resources to assume a leadership position, there is no economic advantage for customers, and regulation is not in their favor, in terms of a point of scale and price. Its defensible advantage is that it can convert the network capacity into tangible, predictable, secure and measurable business results and that it can finance the transition through the synergistic benefits of the merger.</w:t>
      </w:r>
    </w:p>
    <w:p w14:paraId="3F63133F" w14:textId="77777777" w:rsidR="004876D4" w:rsidRPr="004876D4" w:rsidRDefault="000329CD" w:rsidP="000329CD">
      <w:pPr>
        <w:pStyle w:val="Heading1"/>
        <w:numPr>
          <w:ilvl w:val="0"/>
          <w:numId w:val="1"/>
        </w:numPr>
      </w:pPr>
      <w:bookmarkStart w:id="6" w:name="_Toc236835054"/>
      <w:r>
        <w:t>Strategic Growth Options and Proposed Strategy</w:t>
      </w:r>
      <w:bookmarkEnd w:id="6"/>
    </w:p>
    <w:p w14:paraId="56E62C7B" w14:textId="32358E32" w:rsidR="000329CD" w:rsidRDefault="004876D4" w:rsidP="000329CD">
      <w:pPr>
        <w:ind w:firstLine="360"/>
        <w:rPr>
          <w:color w:val="000000" w:themeColor="text1"/>
        </w:rPr>
      </w:pPr>
      <w:r w:rsidRPr="004876D4">
        <w:rPr>
          <w:color w:val="000000" w:themeColor="text1"/>
        </w:rPr>
        <w:t xml:space="preserve">Three feasible scenarios of growth were evaluated. Consumer market penetration via handset sales and bundles, and aggressive pricing is Option A. It may support volume and leverage on the brands together but the competition and tariff obligations and low </w:t>
      </w:r>
      <w:r w:rsidRPr="004876D4">
        <w:rPr>
          <w:color w:val="000000" w:themeColor="text1"/>
        </w:rPr>
        <w:lastRenderedPageBreak/>
        <w:t xml:space="preserve">switching cost will squeeze margins. The second option is the expansion of fixed-wireless-access (FWNA) deployments in general and particularly in areas where the technology has not been deployed. It also facilitates inclusion and leverages mobile capacity but has </w:t>
      </w:r>
      <w:proofErr w:type="gramStart"/>
      <w:r w:rsidRPr="004876D4">
        <w:rPr>
          <w:color w:val="000000" w:themeColor="text1"/>
        </w:rPr>
        <w:t>overlap</w:t>
      </w:r>
      <w:proofErr w:type="gramEnd"/>
      <w:r w:rsidRPr="004876D4">
        <w:rPr>
          <w:color w:val="000000" w:themeColor="text1"/>
        </w:rPr>
        <w:t xml:space="preserve"> with </w:t>
      </w:r>
      <w:r w:rsidR="004C6364" w:rsidRPr="004876D4">
        <w:rPr>
          <w:color w:val="000000" w:themeColor="text1"/>
        </w:rPr>
        <w:t>fiber</w:t>
      </w:r>
      <w:r w:rsidRPr="004876D4">
        <w:rPr>
          <w:color w:val="000000" w:themeColor="text1"/>
        </w:rPr>
        <w:t>, potential for local congestion and is getting easier to imitate. The third choice is the VodafoneThree 5G Business Growth Platform, which includes managed 5G SA, IoT, edge, cybersecurity and analytics packages for SMEs and select industrial regions. It does need capability integration, but does provide recurring revenue and improved switching and lines up with existing Vodafone Business assets.</w:t>
      </w:r>
    </w:p>
    <w:p w14:paraId="5745474B" w14:textId="7923B460" w:rsidR="004876D4" w:rsidRPr="004876D4" w:rsidRDefault="004876D4" w:rsidP="000329CD">
      <w:pPr>
        <w:ind w:firstLine="360"/>
        <w:rPr>
          <w:color w:val="000000" w:themeColor="text1"/>
        </w:rPr>
      </w:pPr>
      <w:r w:rsidRPr="004876D4">
        <w:rPr>
          <w:color w:val="000000" w:themeColor="text1"/>
        </w:rPr>
        <w:t xml:space="preserve">Ansoff's Matrix suggests that Option C is essentially envisaging a product development (new service bundles for current UK business customers) with a targeted market development (to underserved regional clusters). It prevents diversification of unrelated businesses. While </w:t>
      </w:r>
      <w:r w:rsidR="000329CD">
        <w:rPr>
          <w:color w:val="000000" w:themeColor="text1"/>
        </w:rPr>
        <w:t>focused, Porter's</w:t>
      </w:r>
      <w:r w:rsidRPr="004876D4">
        <w:rPr>
          <w:color w:val="000000" w:themeColor="text1"/>
        </w:rPr>
        <w:t xml:space="preserve"> Generic Strategies differentiation is done for customer problems that are defined, differentiated through reliability, security, implementation support and measurable outcome rather than the lowest cost. This stance is backed by data showing residential willingness to pay for 5G is far from certain, while value creation on operators' side is more feasible while orchestrating vertical solutions (Ebert and Winzer, 2024; Whalley and Curwen, 2024</w:t>
      </w:r>
      <w:r w:rsidR="007A2C83">
        <w:rPr>
          <w:rStyle w:val="FootnoteReference"/>
          <w:color w:val="000000" w:themeColor="text1"/>
        </w:rPr>
        <w:footnoteReference w:id="17"/>
      </w:r>
      <w:r w:rsidRPr="004876D4">
        <w:rPr>
          <w:color w:val="000000" w:themeColor="text1"/>
        </w:rPr>
        <w:t>).</w:t>
      </w:r>
    </w:p>
    <w:p w14:paraId="17CCF592" w14:textId="77777777" w:rsidR="004876D4" w:rsidRDefault="000329CD" w:rsidP="004876D4">
      <w:pPr>
        <w:rPr>
          <w:b/>
          <w:i/>
          <w:color w:val="000000" w:themeColor="text1"/>
          <w:sz w:val="22"/>
        </w:rPr>
      </w:pPr>
      <w:r w:rsidRPr="000329CD">
        <w:rPr>
          <w:b/>
          <w:i/>
          <w:color w:val="000000" w:themeColor="text1"/>
          <w:sz w:val="22"/>
        </w:rPr>
        <w:t>Table 4: Weighted Option Screen (5 = Strongest)</w:t>
      </w:r>
    </w:p>
    <w:tbl>
      <w:tblPr>
        <w:tblStyle w:val="TableGrid"/>
        <w:tblW w:w="0" w:type="auto"/>
        <w:tblLayout w:type="fixed"/>
        <w:tblLook w:val="04A0" w:firstRow="1" w:lastRow="0" w:firstColumn="1" w:lastColumn="0" w:noHBand="0" w:noVBand="1"/>
      </w:tblPr>
      <w:tblGrid>
        <w:gridCol w:w="1872"/>
        <w:gridCol w:w="792"/>
        <w:gridCol w:w="893"/>
        <w:gridCol w:w="979"/>
        <w:gridCol w:w="3096"/>
        <w:gridCol w:w="1512"/>
      </w:tblGrid>
      <w:tr w:rsidR="000329CD" w:rsidRPr="000329CD" w14:paraId="546F2337" w14:textId="77777777" w:rsidTr="000329CD">
        <w:tc>
          <w:tcPr>
            <w:tcW w:w="1872" w:type="dxa"/>
          </w:tcPr>
          <w:p w14:paraId="2CF5960A" w14:textId="77777777" w:rsidR="000329CD" w:rsidRPr="000329CD" w:rsidRDefault="000329CD" w:rsidP="000329CD">
            <w:pPr>
              <w:jc w:val="center"/>
              <w:rPr>
                <w:b/>
                <w:sz w:val="20"/>
                <w:szCs w:val="20"/>
              </w:rPr>
            </w:pPr>
            <w:r w:rsidRPr="000329CD">
              <w:rPr>
                <w:b/>
                <w:sz w:val="20"/>
                <w:szCs w:val="20"/>
              </w:rPr>
              <w:t>Option</w:t>
            </w:r>
          </w:p>
        </w:tc>
        <w:tc>
          <w:tcPr>
            <w:tcW w:w="792" w:type="dxa"/>
          </w:tcPr>
          <w:p w14:paraId="6489D9B8" w14:textId="77777777" w:rsidR="000329CD" w:rsidRPr="000329CD" w:rsidRDefault="000329CD" w:rsidP="000329CD">
            <w:pPr>
              <w:jc w:val="center"/>
              <w:rPr>
                <w:b/>
                <w:sz w:val="20"/>
                <w:szCs w:val="20"/>
              </w:rPr>
            </w:pPr>
            <w:r w:rsidRPr="000329CD">
              <w:rPr>
                <w:b/>
                <w:sz w:val="20"/>
                <w:szCs w:val="20"/>
              </w:rPr>
              <w:t>Fit /5</w:t>
            </w:r>
          </w:p>
        </w:tc>
        <w:tc>
          <w:tcPr>
            <w:tcW w:w="893" w:type="dxa"/>
          </w:tcPr>
          <w:p w14:paraId="17724AC0" w14:textId="77777777" w:rsidR="000329CD" w:rsidRPr="000329CD" w:rsidRDefault="000329CD" w:rsidP="000329CD">
            <w:pPr>
              <w:jc w:val="center"/>
              <w:rPr>
                <w:b/>
                <w:sz w:val="20"/>
                <w:szCs w:val="20"/>
              </w:rPr>
            </w:pPr>
            <w:r w:rsidRPr="000329CD">
              <w:rPr>
                <w:b/>
                <w:sz w:val="20"/>
                <w:szCs w:val="20"/>
              </w:rPr>
              <w:t>Feas. /5</w:t>
            </w:r>
          </w:p>
        </w:tc>
        <w:tc>
          <w:tcPr>
            <w:tcW w:w="979" w:type="dxa"/>
          </w:tcPr>
          <w:p w14:paraId="16AA789A" w14:textId="77777777" w:rsidR="000329CD" w:rsidRPr="000329CD" w:rsidRDefault="000329CD" w:rsidP="000329CD">
            <w:pPr>
              <w:jc w:val="center"/>
              <w:rPr>
                <w:b/>
                <w:sz w:val="20"/>
                <w:szCs w:val="20"/>
              </w:rPr>
            </w:pPr>
            <w:r w:rsidRPr="000329CD">
              <w:rPr>
                <w:b/>
                <w:sz w:val="20"/>
                <w:szCs w:val="20"/>
              </w:rPr>
              <w:t>Accept. /5</w:t>
            </w:r>
          </w:p>
        </w:tc>
        <w:tc>
          <w:tcPr>
            <w:tcW w:w="3096" w:type="dxa"/>
          </w:tcPr>
          <w:p w14:paraId="24E15F0C" w14:textId="77777777" w:rsidR="000329CD" w:rsidRPr="000329CD" w:rsidRDefault="000329CD" w:rsidP="000329CD">
            <w:pPr>
              <w:jc w:val="center"/>
              <w:rPr>
                <w:b/>
                <w:sz w:val="20"/>
                <w:szCs w:val="20"/>
              </w:rPr>
            </w:pPr>
            <w:r w:rsidRPr="000329CD">
              <w:rPr>
                <w:b/>
                <w:sz w:val="20"/>
                <w:szCs w:val="20"/>
              </w:rPr>
              <w:t>Assessment</w:t>
            </w:r>
          </w:p>
        </w:tc>
        <w:tc>
          <w:tcPr>
            <w:tcW w:w="1512" w:type="dxa"/>
          </w:tcPr>
          <w:p w14:paraId="7508248D" w14:textId="77777777" w:rsidR="000329CD" w:rsidRPr="000329CD" w:rsidRDefault="000329CD" w:rsidP="000329CD">
            <w:pPr>
              <w:jc w:val="center"/>
              <w:rPr>
                <w:b/>
                <w:sz w:val="20"/>
                <w:szCs w:val="20"/>
              </w:rPr>
            </w:pPr>
            <w:r w:rsidRPr="000329CD">
              <w:rPr>
                <w:b/>
                <w:sz w:val="20"/>
                <w:szCs w:val="20"/>
              </w:rPr>
              <w:t>Decision</w:t>
            </w:r>
          </w:p>
        </w:tc>
      </w:tr>
      <w:tr w:rsidR="000329CD" w:rsidRPr="000329CD" w14:paraId="042B0E30" w14:textId="77777777" w:rsidTr="000329CD">
        <w:tc>
          <w:tcPr>
            <w:tcW w:w="1872" w:type="dxa"/>
          </w:tcPr>
          <w:p w14:paraId="46A6E7B2" w14:textId="77777777" w:rsidR="000329CD" w:rsidRPr="000329CD" w:rsidRDefault="000329CD" w:rsidP="000329CD">
            <w:pPr>
              <w:rPr>
                <w:sz w:val="20"/>
                <w:szCs w:val="20"/>
              </w:rPr>
            </w:pPr>
            <w:r w:rsidRPr="000329CD">
              <w:rPr>
                <w:color w:val="252525"/>
                <w:sz w:val="20"/>
                <w:szCs w:val="20"/>
              </w:rPr>
              <w:lastRenderedPageBreak/>
              <w:t>A. Price-led consumer penetration</w:t>
            </w:r>
          </w:p>
        </w:tc>
        <w:tc>
          <w:tcPr>
            <w:tcW w:w="792" w:type="dxa"/>
          </w:tcPr>
          <w:p w14:paraId="0C137507" w14:textId="77777777" w:rsidR="000329CD" w:rsidRPr="000329CD" w:rsidRDefault="000329CD" w:rsidP="000329CD">
            <w:pPr>
              <w:rPr>
                <w:sz w:val="20"/>
                <w:szCs w:val="20"/>
              </w:rPr>
            </w:pPr>
            <w:r w:rsidRPr="000329CD">
              <w:rPr>
                <w:color w:val="252525"/>
                <w:sz w:val="20"/>
                <w:szCs w:val="20"/>
              </w:rPr>
              <w:t>3.1</w:t>
            </w:r>
          </w:p>
        </w:tc>
        <w:tc>
          <w:tcPr>
            <w:tcW w:w="893" w:type="dxa"/>
          </w:tcPr>
          <w:p w14:paraId="617D4D75" w14:textId="77777777" w:rsidR="000329CD" w:rsidRPr="000329CD" w:rsidRDefault="000329CD" w:rsidP="000329CD">
            <w:pPr>
              <w:rPr>
                <w:sz w:val="20"/>
                <w:szCs w:val="20"/>
              </w:rPr>
            </w:pPr>
            <w:r w:rsidRPr="000329CD">
              <w:rPr>
                <w:color w:val="252525"/>
                <w:sz w:val="20"/>
                <w:szCs w:val="20"/>
              </w:rPr>
              <w:t>3.8</w:t>
            </w:r>
          </w:p>
        </w:tc>
        <w:tc>
          <w:tcPr>
            <w:tcW w:w="979" w:type="dxa"/>
          </w:tcPr>
          <w:p w14:paraId="1F115906" w14:textId="77777777" w:rsidR="000329CD" w:rsidRPr="000329CD" w:rsidRDefault="000329CD" w:rsidP="000329CD">
            <w:pPr>
              <w:rPr>
                <w:sz w:val="20"/>
                <w:szCs w:val="20"/>
              </w:rPr>
            </w:pPr>
            <w:r w:rsidRPr="000329CD">
              <w:rPr>
                <w:color w:val="252525"/>
                <w:sz w:val="20"/>
                <w:szCs w:val="20"/>
              </w:rPr>
              <w:t>2.6</w:t>
            </w:r>
          </w:p>
        </w:tc>
        <w:tc>
          <w:tcPr>
            <w:tcW w:w="3096" w:type="dxa"/>
          </w:tcPr>
          <w:p w14:paraId="7790F4A6" w14:textId="5A921A01" w:rsidR="000329CD" w:rsidRPr="000329CD" w:rsidRDefault="000329CD" w:rsidP="000329CD">
            <w:pPr>
              <w:rPr>
                <w:sz w:val="20"/>
                <w:szCs w:val="20"/>
              </w:rPr>
            </w:pPr>
            <w:r w:rsidRPr="000329CD">
              <w:rPr>
                <w:color w:val="252525"/>
                <w:sz w:val="20"/>
                <w:szCs w:val="20"/>
              </w:rPr>
              <w:t xml:space="preserve">Volume </w:t>
            </w:r>
            <w:r w:rsidR="004C6364" w:rsidRPr="000329CD">
              <w:rPr>
                <w:color w:val="252525"/>
                <w:sz w:val="20"/>
                <w:szCs w:val="20"/>
              </w:rPr>
              <w:t>defense</w:t>
            </w:r>
            <w:r w:rsidRPr="000329CD">
              <w:rPr>
                <w:color w:val="252525"/>
                <w:sz w:val="20"/>
                <w:szCs w:val="20"/>
              </w:rPr>
              <w:t xml:space="preserve"> but weak margins and regulatory tension</w:t>
            </w:r>
          </w:p>
        </w:tc>
        <w:tc>
          <w:tcPr>
            <w:tcW w:w="1512" w:type="dxa"/>
          </w:tcPr>
          <w:p w14:paraId="0F066A5C" w14:textId="77777777" w:rsidR="000329CD" w:rsidRPr="000329CD" w:rsidRDefault="000329CD" w:rsidP="000329CD">
            <w:pPr>
              <w:rPr>
                <w:sz w:val="20"/>
                <w:szCs w:val="20"/>
              </w:rPr>
            </w:pPr>
            <w:r w:rsidRPr="000329CD">
              <w:rPr>
                <w:color w:val="252525"/>
                <w:sz w:val="20"/>
                <w:szCs w:val="20"/>
              </w:rPr>
              <w:t>Reject as primary strategy</w:t>
            </w:r>
          </w:p>
        </w:tc>
      </w:tr>
      <w:tr w:rsidR="000329CD" w:rsidRPr="000329CD" w14:paraId="07948323" w14:textId="77777777" w:rsidTr="000329CD">
        <w:tc>
          <w:tcPr>
            <w:tcW w:w="1872" w:type="dxa"/>
          </w:tcPr>
          <w:p w14:paraId="02CBF4D9" w14:textId="77777777" w:rsidR="000329CD" w:rsidRPr="000329CD" w:rsidRDefault="000329CD" w:rsidP="000329CD">
            <w:pPr>
              <w:rPr>
                <w:sz w:val="20"/>
                <w:szCs w:val="20"/>
              </w:rPr>
            </w:pPr>
            <w:r w:rsidRPr="000329CD">
              <w:rPr>
                <w:color w:val="252525"/>
                <w:sz w:val="20"/>
                <w:szCs w:val="20"/>
              </w:rPr>
              <w:t>B. Broad fixed wireless access</w:t>
            </w:r>
          </w:p>
        </w:tc>
        <w:tc>
          <w:tcPr>
            <w:tcW w:w="792" w:type="dxa"/>
          </w:tcPr>
          <w:p w14:paraId="657CDF27" w14:textId="77777777" w:rsidR="000329CD" w:rsidRPr="000329CD" w:rsidRDefault="000329CD" w:rsidP="000329CD">
            <w:pPr>
              <w:rPr>
                <w:sz w:val="20"/>
                <w:szCs w:val="20"/>
              </w:rPr>
            </w:pPr>
            <w:r w:rsidRPr="000329CD">
              <w:rPr>
                <w:color w:val="252525"/>
                <w:sz w:val="20"/>
                <w:szCs w:val="20"/>
              </w:rPr>
              <w:t>3.7</w:t>
            </w:r>
          </w:p>
        </w:tc>
        <w:tc>
          <w:tcPr>
            <w:tcW w:w="893" w:type="dxa"/>
          </w:tcPr>
          <w:p w14:paraId="0289CF77" w14:textId="77777777" w:rsidR="000329CD" w:rsidRPr="000329CD" w:rsidRDefault="000329CD" w:rsidP="000329CD">
            <w:pPr>
              <w:rPr>
                <w:sz w:val="20"/>
                <w:szCs w:val="20"/>
              </w:rPr>
            </w:pPr>
            <w:r w:rsidRPr="000329CD">
              <w:rPr>
                <w:color w:val="252525"/>
                <w:sz w:val="20"/>
                <w:szCs w:val="20"/>
              </w:rPr>
              <w:t>3.5</w:t>
            </w:r>
          </w:p>
        </w:tc>
        <w:tc>
          <w:tcPr>
            <w:tcW w:w="979" w:type="dxa"/>
          </w:tcPr>
          <w:p w14:paraId="7BE8A8BF" w14:textId="77777777" w:rsidR="000329CD" w:rsidRPr="000329CD" w:rsidRDefault="000329CD" w:rsidP="000329CD">
            <w:pPr>
              <w:rPr>
                <w:sz w:val="20"/>
                <w:szCs w:val="20"/>
              </w:rPr>
            </w:pPr>
            <w:r w:rsidRPr="000329CD">
              <w:rPr>
                <w:color w:val="252525"/>
                <w:sz w:val="20"/>
                <w:szCs w:val="20"/>
              </w:rPr>
              <w:t>3.2</w:t>
            </w:r>
          </w:p>
        </w:tc>
        <w:tc>
          <w:tcPr>
            <w:tcW w:w="3096" w:type="dxa"/>
          </w:tcPr>
          <w:p w14:paraId="279EA126" w14:textId="3FA724AE" w:rsidR="000329CD" w:rsidRPr="000329CD" w:rsidRDefault="000329CD" w:rsidP="000329CD">
            <w:pPr>
              <w:rPr>
                <w:sz w:val="20"/>
                <w:szCs w:val="20"/>
              </w:rPr>
            </w:pPr>
            <w:r w:rsidRPr="000329CD">
              <w:rPr>
                <w:color w:val="252525"/>
                <w:sz w:val="20"/>
                <w:szCs w:val="20"/>
              </w:rPr>
              <w:t xml:space="preserve">Useful selective extension; capacity and </w:t>
            </w:r>
            <w:r w:rsidR="004C6364" w:rsidRPr="000329CD">
              <w:rPr>
                <w:color w:val="252525"/>
                <w:sz w:val="20"/>
                <w:szCs w:val="20"/>
              </w:rPr>
              <w:t>fiber</w:t>
            </w:r>
            <w:r w:rsidRPr="000329CD">
              <w:rPr>
                <w:color w:val="252525"/>
                <w:sz w:val="20"/>
                <w:szCs w:val="20"/>
              </w:rPr>
              <w:t xml:space="preserve"> substitution risks</w:t>
            </w:r>
          </w:p>
        </w:tc>
        <w:tc>
          <w:tcPr>
            <w:tcW w:w="1512" w:type="dxa"/>
          </w:tcPr>
          <w:p w14:paraId="0B98FFA8" w14:textId="77777777" w:rsidR="000329CD" w:rsidRPr="000329CD" w:rsidRDefault="000329CD" w:rsidP="000329CD">
            <w:pPr>
              <w:rPr>
                <w:sz w:val="20"/>
                <w:szCs w:val="20"/>
              </w:rPr>
            </w:pPr>
            <w:r w:rsidRPr="000329CD">
              <w:rPr>
                <w:color w:val="252525"/>
                <w:sz w:val="20"/>
                <w:szCs w:val="20"/>
              </w:rPr>
              <w:t>Retain as supporting offer</w:t>
            </w:r>
          </w:p>
        </w:tc>
      </w:tr>
      <w:tr w:rsidR="000329CD" w:rsidRPr="000329CD" w14:paraId="5AF86EB2" w14:textId="77777777" w:rsidTr="000329CD">
        <w:tc>
          <w:tcPr>
            <w:tcW w:w="1872" w:type="dxa"/>
          </w:tcPr>
          <w:p w14:paraId="6777848B" w14:textId="77777777" w:rsidR="000329CD" w:rsidRPr="000329CD" w:rsidRDefault="000329CD" w:rsidP="000329CD">
            <w:pPr>
              <w:rPr>
                <w:sz w:val="20"/>
                <w:szCs w:val="20"/>
              </w:rPr>
            </w:pPr>
            <w:r w:rsidRPr="000329CD">
              <w:rPr>
                <w:color w:val="252525"/>
                <w:sz w:val="20"/>
                <w:szCs w:val="20"/>
              </w:rPr>
              <w:t>C. 5G Business Growth Platform</w:t>
            </w:r>
          </w:p>
        </w:tc>
        <w:tc>
          <w:tcPr>
            <w:tcW w:w="792" w:type="dxa"/>
          </w:tcPr>
          <w:p w14:paraId="6F24B67D" w14:textId="77777777" w:rsidR="000329CD" w:rsidRPr="000329CD" w:rsidRDefault="000329CD" w:rsidP="000329CD">
            <w:pPr>
              <w:rPr>
                <w:sz w:val="20"/>
                <w:szCs w:val="20"/>
              </w:rPr>
            </w:pPr>
            <w:r w:rsidRPr="000329CD">
              <w:rPr>
                <w:color w:val="252525"/>
                <w:sz w:val="20"/>
                <w:szCs w:val="20"/>
              </w:rPr>
              <w:t>4.6</w:t>
            </w:r>
          </w:p>
        </w:tc>
        <w:tc>
          <w:tcPr>
            <w:tcW w:w="893" w:type="dxa"/>
          </w:tcPr>
          <w:p w14:paraId="6E79CC1F" w14:textId="77777777" w:rsidR="000329CD" w:rsidRPr="000329CD" w:rsidRDefault="000329CD" w:rsidP="000329CD">
            <w:pPr>
              <w:rPr>
                <w:sz w:val="20"/>
                <w:szCs w:val="20"/>
              </w:rPr>
            </w:pPr>
            <w:r w:rsidRPr="000329CD">
              <w:rPr>
                <w:color w:val="252525"/>
                <w:sz w:val="20"/>
                <w:szCs w:val="20"/>
              </w:rPr>
              <w:t>4.1</w:t>
            </w:r>
          </w:p>
        </w:tc>
        <w:tc>
          <w:tcPr>
            <w:tcW w:w="979" w:type="dxa"/>
          </w:tcPr>
          <w:p w14:paraId="5198C50F" w14:textId="77777777" w:rsidR="000329CD" w:rsidRPr="000329CD" w:rsidRDefault="000329CD" w:rsidP="000329CD">
            <w:pPr>
              <w:rPr>
                <w:sz w:val="20"/>
                <w:szCs w:val="20"/>
              </w:rPr>
            </w:pPr>
            <w:r w:rsidRPr="000329CD">
              <w:rPr>
                <w:color w:val="252525"/>
                <w:sz w:val="20"/>
                <w:szCs w:val="20"/>
              </w:rPr>
              <w:t>4.1</w:t>
            </w:r>
          </w:p>
        </w:tc>
        <w:tc>
          <w:tcPr>
            <w:tcW w:w="3096" w:type="dxa"/>
          </w:tcPr>
          <w:p w14:paraId="6CCCBDC4" w14:textId="77777777" w:rsidR="000329CD" w:rsidRPr="000329CD" w:rsidRDefault="000329CD" w:rsidP="000329CD">
            <w:pPr>
              <w:rPr>
                <w:sz w:val="20"/>
                <w:szCs w:val="20"/>
              </w:rPr>
            </w:pPr>
            <w:r w:rsidRPr="000329CD">
              <w:rPr>
                <w:color w:val="252525"/>
                <w:sz w:val="20"/>
                <w:szCs w:val="20"/>
              </w:rPr>
              <w:t>Best fit with assets, recurring revenue and differentiated outcomes</w:t>
            </w:r>
          </w:p>
        </w:tc>
        <w:tc>
          <w:tcPr>
            <w:tcW w:w="1512" w:type="dxa"/>
          </w:tcPr>
          <w:p w14:paraId="059908EF" w14:textId="77777777" w:rsidR="000329CD" w:rsidRPr="000329CD" w:rsidRDefault="000329CD" w:rsidP="000329CD">
            <w:pPr>
              <w:rPr>
                <w:sz w:val="20"/>
                <w:szCs w:val="20"/>
              </w:rPr>
            </w:pPr>
            <w:r w:rsidRPr="000329CD">
              <w:rPr>
                <w:color w:val="252525"/>
                <w:sz w:val="20"/>
                <w:szCs w:val="20"/>
              </w:rPr>
              <w:t>Recommend</w:t>
            </w:r>
          </w:p>
        </w:tc>
      </w:tr>
    </w:tbl>
    <w:p w14:paraId="07BB9383" w14:textId="77777777" w:rsidR="000329CD" w:rsidRDefault="000329CD" w:rsidP="000329CD">
      <w:pPr>
        <w:ind w:firstLine="720"/>
        <w:rPr>
          <w:color w:val="000000" w:themeColor="text1"/>
        </w:rPr>
      </w:pPr>
      <w:r>
        <w:rPr>
          <w:color w:val="000000" w:themeColor="text1"/>
        </w:rPr>
        <w:t>The recommended</w:t>
      </w:r>
      <w:r w:rsidR="004876D4" w:rsidRPr="004876D4">
        <w:rPr>
          <w:color w:val="000000" w:themeColor="text1"/>
        </w:rPr>
        <w:t xml:space="preserve"> platform would comprise 3 tiers of modules. ‘Connect' offers mobile/fixed connectivity, secure Wi-Fi and devices for small businesses. ‘Operate' introduces managed IoT, cyber monitoring, cloud/edge access and business continuity. ‘Transform' offers private/sliced network solution, analytics and co-designed sector applications for bigger SMEs &amp; industrial sites. These will be visible on a common digital platform, which will provide usage, services, carbon indicators and support cases. The pricing would include both an upfront clear model subscription and outcome- or usage-based features that would minimize customers' upfront risk.</w:t>
      </w:r>
    </w:p>
    <w:p w14:paraId="4216AAD5" w14:textId="5295680E" w:rsidR="000329CD" w:rsidRDefault="004876D4" w:rsidP="000329CD">
      <w:pPr>
        <w:ind w:firstLine="720"/>
        <w:rPr>
          <w:color w:val="000000" w:themeColor="text1"/>
        </w:rPr>
      </w:pPr>
      <w:r w:rsidRPr="004876D4">
        <w:rPr>
          <w:color w:val="000000" w:themeColor="text1"/>
        </w:rPr>
        <w:t>Initial focus should be on three clusters identified using coverage, demand and partner data, such as advanced manufacturing and logistics and health and social-care supply chains, and not on a national ‘all sectors’ launch. Customer co-design, tech partners and local institutions would be used for each cluster. According to Vrontis et al., (2023</w:t>
      </w:r>
      <w:r w:rsidR="007A2C83">
        <w:rPr>
          <w:rStyle w:val="FootnoteReference"/>
          <w:color w:val="000000" w:themeColor="text1"/>
        </w:rPr>
        <w:footnoteReference w:id="18"/>
      </w:r>
      <w:r w:rsidRPr="004876D4">
        <w:rPr>
          <w:color w:val="000000" w:themeColor="text1"/>
        </w:rPr>
        <w:t xml:space="preserve">), strategic agility and openness are both beneficial for performance, with the key being to maintain clear product ownership and leverage on partnerships to access specialist knowledge. The model enables the values of Vodafone, such as inclusion (via </w:t>
      </w:r>
      <w:r w:rsidRPr="004876D4">
        <w:rPr>
          <w:color w:val="000000" w:themeColor="text1"/>
        </w:rPr>
        <w:lastRenderedPageBreak/>
        <w:t>low cost entry packages and assisted adoption), trust (via security and clear SLAs) and environment responsibility (via energy and</w:t>
      </w:r>
      <w:r w:rsidR="000329CD">
        <w:rPr>
          <w:color w:val="000000" w:themeColor="text1"/>
        </w:rPr>
        <w:t xml:space="preserve"> device kpis), to be supported.</w:t>
      </w:r>
    </w:p>
    <w:p w14:paraId="7AA48797" w14:textId="77777777" w:rsidR="000329CD" w:rsidRDefault="004876D4" w:rsidP="000329CD">
      <w:pPr>
        <w:ind w:firstLine="720"/>
        <w:rPr>
          <w:color w:val="000000" w:themeColor="text1"/>
        </w:rPr>
      </w:pPr>
      <w:r w:rsidRPr="004876D4">
        <w:rPr>
          <w:color w:val="000000" w:themeColor="text1"/>
        </w:rPr>
        <w:t>Alternative selection reinforced by competitors. EE and Virgin Media O2 are able to offer coverage claims and pricing, while VodafoneThree are able to combine the merged network with the customers' Vodafone Business, IoT and services functionality. It also provides a more defined defense against the digital players as partners can offer cloud or apps but the customer orchestration, assurance, security and billing remain with VodafoneThree. In order to avoid imitation, information about sectors (knowledge), use/impact data and reference cases should be built up in each pilot and it should be noticed that it cannot be offered b</w:t>
      </w:r>
      <w:r w:rsidR="000329CD">
        <w:rPr>
          <w:color w:val="000000" w:themeColor="text1"/>
        </w:rPr>
        <w:t>y a generic connectivity offer.</w:t>
      </w:r>
    </w:p>
    <w:p w14:paraId="14F2A05F" w14:textId="77777777" w:rsidR="004876D4" w:rsidRPr="004876D4" w:rsidRDefault="004876D4" w:rsidP="000329CD">
      <w:pPr>
        <w:ind w:firstLine="720"/>
        <w:rPr>
          <w:color w:val="000000" w:themeColor="text1"/>
        </w:rPr>
      </w:pPr>
      <w:r w:rsidRPr="004876D4">
        <w:rPr>
          <w:color w:val="000000" w:themeColor="text1"/>
        </w:rPr>
        <w:t>The proposal doesn't aim for consumer improvement as a second priority. Network reputation impacting consumer and business buying is a critical requirement alongside better coverage, migration and support. Consumer investment, however, is set as the base of differentiation and incremental growth will be achieved through value added business services. This means that the strategy becomes more than an empty resolution to ‘build the best network’, with no mention of who pays, why they pay and how value is going to be defended.</w:t>
      </w:r>
    </w:p>
    <w:p w14:paraId="3AFF215F" w14:textId="77777777" w:rsidR="004876D4" w:rsidRPr="004876D4" w:rsidRDefault="004876D4" w:rsidP="000329CD">
      <w:pPr>
        <w:pStyle w:val="Heading1"/>
        <w:numPr>
          <w:ilvl w:val="0"/>
          <w:numId w:val="1"/>
        </w:numPr>
      </w:pPr>
      <w:bookmarkStart w:id="7" w:name="_Toc236835055"/>
      <w:r w:rsidRPr="004876D4">
        <w:t>Strategy Evaluation: SFA</w:t>
      </w:r>
      <w:bookmarkEnd w:id="7"/>
    </w:p>
    <w:p w14:paraId="68B01094" w14:textId="302E9D7F" w:rsidR="000329CD" w:rsidRDefault="004876D4" w:rsidP="000329CD">
      <w:pPr>
        <w:ind w:firstLine="360"/>
        <w:rPr>
          <w:color w:val="000000" w:themeColor="text1"/>
        </w:rPr>
      </w:pPr>
      <w:r w:rsidRPr="004876D4">
        <w:rPr>
          <w:color w:val="000000" w:themeColor="text1"/>
        </w:rPr>
        <w:t xml:space="preserve">The platform's compatibility is high as it responds directly to the external and internal diagnosis. It resolves weak </w:t>
      </w:r>
      <w:r w:rsidR="004C6364" w:rsidRPr="004876D4">
        <w:rPr>
          <w:color w:val="000000" w:themeColor="text1"/>
        </w:rPr>
        <w:t>monetization</w:t>
      </w:r>
      <w:r w:rsidRPr="004876D4">
        <w:rPr>
          <w:color w:val="000000" w:themeColor="text1"/>
        </w:rPr>
        <w:t xml:space="preserve"> for consumers as it puts 5G in relation to operational outcomes, leverages the scale and IoT capability of VodafoneThree, also addresses the investment commitments of CMA and does not require tariff increases. In </w:t>
      </w:r>
      <w:r w:rsidRPr="004876D4">
        <w:rPr>
          <w:color w:val="000000" w:themeColor="text1"/>
        </w:rPr>
        <w:lastRenderedPageBreak/>
        <w:t xml:space="preserve">addition, it establishes a vector of transfer synergies towards growth instead of mere cost </w:t>
      </w:r>
      <w:r w:rsidR="004C6364" w:rsidRPr="004876D4">
        <w:rPr>
          <w:color w:val="000000" w:themeColor="text1"/>
        </w:rPr>
        <w:t>programmed</w:t>
      </w:r>
      <w:r w:rsidRPr="004876D4">
        <w:rPr>
          <w:color w:val="000000" w:themeColor="text1"/>
        </w:rPr>
        <w:t xml:space="preserve"> integration. The primary suitability restriction is vertical complexity, with the prospect that operators might have difficulties grasping sector workflows and become vulnerable to being outflanked by cloud or application partners (Whalley and Curwen, 2024</w:t>
      </w:r>
      <w:r w:rsidR="007A2C83">
        <w:rPr>
          <w:rStyle w:val="FootnoteReference"/>
          <w:color w:val="000000" w:themeColor="text1"/>
        </w:rPr>
        <w:footnoteReference w:id="19"/>
      </w:r>
      <w:r w:rsidRPr="004876D4">
        <w:rPr>
          <w:color w:val="000000" w:themeColor="text1"/>
        </w:rPr>
        <w:t>). Instead, cluster selection and co-design are part of the strategy and are not some optional thing to do.</w:t>
      </w:r>
    </w:p>
    <w:p w14:paraId="4578DA27" w14:textId="77777777" w:rsidR="000329CD" w:rsidRDefault="004876D4" w:rsidP="000329CD">
      <w:pPr>
        <w:ind w:firstLine="360"/>
        <w:rPr>
          <w:color w:val="000000" w:themeColor="text1"/>
        </w:rPr>
      </w:pPr>
      <w:r w:rsidRPr="004876D4">
        <w:rPr>
          <w:color w:val="000000" w:themeColor="text1"/>
        </w:rPr>
        <w:t>Feasibility is medium-high. Network investments are in place, Vodafone Business provides channels, security and IoT functions and has now taken ownership of the network. Product management, service assurance, data architecture and sector expertise must be brought together, however, across legacy organisations. The product and pilot envelope is assumed to be ring-fenced to a point where it is around £60m (excluding core radio investment) over the 3 year period, released through ‘stage gates' during each board review. This is a planning assumption NOT a published Vodafone budget. Feasibility is also dependent upon employee engagement: technical integration without clarity of roles and meaning can be a barrier to transformation. However, from the stakeholder's perspective, it is found that it is necessary to actively promote the alignment of planning, implementation and communication frames (</w:t>
      </w:r>
      <w:r w:rsidR="000329CD">
        <w:rPr>
          <w:color w:val="000000" w:themeColor="text1"/>
        </w:rPr>
        <w:t>Hoblos, Sandeep and Pan, 2024).</w:t>
      </w:r>
    </w:p>
    <w:p w14:paraId="4855E295" w14:textId="544D6A25" w:rsidR="004876D4" w:rsidRPr="004876D4" w:rsidRDefault="004876D4" w:rsidP="000329CD">
      <w:pPr>
        <w:ind w:firstLine="360"/>
        <w:rPr>
          <w:color w:val="000000" w:themeColor="text1"/>
        </w:rPr>
      </w:pPr>
      <w:r w:rsidRPr="004876D4">
        <w:rPr>
          <w:color w:val="000000" w:themeColor="text1"/>
        </w:rPr>
        <w:t xml:space="preserve">Positive conditional acceptability. Shareholders have an authentic, ongoing revenue stream with a disciplined application of sunk network pledges; customers have </w:t>
      </w:r>
      <w:proofErr w:type="gramStart"/>
      <w:r w:rsidRPr="004876D4">
        <w:rPr>
          <w:color w:val="000000" w:themeColor="text1"/>
        </w:rPr>
        <w:t>the added</w:t>
      </w:r>
      <w:proofErr w:type="gramEnd"/>
      <w:r w:rsidRPr="004876D4">
        <w:rPr>
          <w:color w:val="000000" w:themeColor="text1"/>
        </w:rPr>
        <w:t xml:space="preserve"> confidence of lower risk </w:t>
      </w:r>
      <w:r w:rsidR="004C6364" w:rsidRPr="004876D4">
        <w:rPr>
          <w:color w:val="000000" w:themeColor="text1"/>
        </w:rPr>
        <w:t>digitization</w:t>
      </w:r>
      <w:r w:rsidRPr="004876D4">
        <w:rPr>
          <w:color w:val="000000" w:themeColor="text1"/>
        </w:rPr>
        <w:t xml:space="preserve"> with service guarantees; government and regulators have coverage, productivity and inclusion benefits. Restructuring anxiety and workload </w:t>
      </w:r>
      <w:r w:rsidRPr="004876D4">
        <w:rPr>
          <w:color w:val="000000" w:themeColor="text1"/>
        </w:rPr>
        <w:lastRenderedPageBreak/>
        <w:t xml:space="preserve">needs to be addressed while employees learn new skills. The big drawback is the risk of execution volatility as pilots might flop, cyber risks might not </w:t>
      </w:r>
      <w:r w:rsidR="004C6364" w:rsidRPr="004876D4">
        <w:rPr>
          <w:color w:val="000000" w:themeColor="text1"/>
        </w:rPr>
        <w:t>instill</w:t>
      </w:r>
      <w:r w:rsidRPr="004876D4">
        <w:rPr>
          <w:color w:val="000000" w:themeColor="text1"/>
        </w:rPr>
        <w:t xml:space="preserve"> trust, and early returns might not match capital deployed. A portfolio approach minimizes exposure by preventing low conversion use cases and only scaling those that achieve the necessary financial, customer and operational thresholds.</w:t>
      </w:r>
    </w:p>
    <w:p w14:paraId="21E254DC" w14:textId="77777777" w:rsidR="004876D4" w:rsidRPr="000329CD" w:rsidRDefault="000329CD" w:rsidP="004876D4">
      <w:pPr>
        <w:rPr>
          <w:b/>
          <w:i/>
          <w:color w:val="000000" w:themeColor="text1"/>
          <w:sz w:val="22"/>
        </w:rPr>
      </w:pPr>
      <w:r w:rsidRPr="000329CD">
        <w:rPr>
          <w:b/>
          <w:i/>
          <w:color w:val="000000" w:themeColor="text1"/>
          <w:sz w:val="22"/>
        </w:rPr>
        <w:t>Table 5: SFA Evaluation of the Recommended Strategy</w:t>
      </w:r>
    </w:p>
    <w:tbl>
      <w:tblPr>
        <w:tblStyle w:val="TableGrid"/>
        <w:tblW w:w="0" w:type="auto"/>
        <w:tblLayout w:type="fixed"/>
        <w:tblLook w:val="04A0" w:firstRow="1" w:lastRow="0" w:firstColumn="1" w:lastColumn="0" w:noHBand="0" w:noVBand="1"/>
      </w:tblPr>
      <w:tblGrid>
        <w:gridCol w:w="1440"/>
        <w:gridCol w:w="936"/>
        <w:gridCol w:w="4104"/>
        <w:gridCol w:w="2880"/>
      </w:tblGrid>
      <w:tr w:rsidR="000329CD" w:rsidRPr="000329CD" w14:paraId="736A21F3" w14:textId="77777777" w:rsidTr="000329CD">
        <w:tc>
          <w:tcPr>
            <w:tcW w:w="1440" w:type="dxa"/>
          </w:tcPr>
          <w:p w14:paraId="02DE3087" w14:textId="77777777" w:rsidR="000329CD" w:rsidRPr="000329CD" w:rsidRDefault="000329CD" w:rsidP="000329CD">
            <w:pPr>
              <w:jc w:val="center"/>
              <w:rPr>
                <w:b/>
                <w:sz w:val="20"/>
                <w:szCs w:val="20"/>
              </w:rPr>
            </w:pPr>
            <w:r w:rsidRPr="000329CD">
              <w:rPr>
                <w:b/>
                <w:sz w:val="20"/>
                <w:szCs w:val="20"/>
              </w:rPr>
              <w:t>Criterion</w:t>
            </w:r>
          </w:p>
        </w:tc>
        <w:tc>
          <w:tcPr>
            <w:tcW w:w="936" w:type="dxa"/>
          </w:tcPr>
          <w:p w14:paraId="20F84BCA" w14:textId="77777777" w:rsidR="000329CD" w:rsidRPr="000329CD" w:rsidRDefault="000329CD" w:rsidP="000329CD">
            <w:pPr>
              <w:jc w:val="center"/>
              <w:rPr>
                <w:b/>
                <w:sz w:val="20"/>
                <w:szCs w:val="20"/>
              </w:rPr>
            </w:pPr>
            <w:r w:rsidRPr="000329CD">
              <w:rPr>
                <w:b/>
                <w:sz w:val="20"/>
                <w:szCs w:val="20"/>
              </w:rPr>
              <w:t>Score</w:t>
            </w:r>
          </w:p>
        </w:tc>
        <w:tc>
          <w:tcPr>
            <w:tcW w:w="4104" w:type="dxa"/>
          </w:tcPr>
          <w:p w14:paraId="70804652" w14:textId="77777777" w:rsidR="000329CD" w:rsidRPr="000329CD" w:rsidRDefault="000329CD" w:rsidP="000329CD">
            <w:pPr>
              <w:jc w:val="center"/>
              <w:rPr>
                <w:b/>
                <w:sz w:val="20"/>
                <w:szCs w:val="20"/>
              </w:rPr>
            </w:pPr>
            <w:r w:rsidRPr="000329CD">
              <w:rPr>
                <w:b/>
                <w:sz w:val="20"/>
                <w:szCs w:val="20"/>
              </w:rPr>
              <w:t>Why it passes</w:t>
            </w:r>
          </w:p>
        </w:tc>
        <w:tc>
          <w:tcPr>
            <w:tcW w:w="2880" w:type="dxa"/>
          </w:tcPr>
          <w:p w14:paraId="0416A2A4" w14:textId="77777777" w:rsidR="000329CD" w:rsidRPr="000329CD" w:rsidRDefault="000329CD" w:rsidP="000329CD">
            <w:pPr>
              <w:jc w:val="center"/>
              <w:rPr>
                <w:b/>
                <w:sz w:val="20"/>
                <w:szCs w:val="20"/>
              </w:rPr>
            </w:pPr>
            <w:r>
              <w:rPr>
                <w:b/>
                <w:sz w:val="20"/>
                <w:szCs w:val="20"/>
              </w:rPr>
              <w:t>Principal C</w:t>
            </w:r>
            <w:r w:rsidRPr="000329CD">
              <w:rPr>
                <w:b/>
                <w:sz w:val="20"/>
                <w:szCs w:val="20"/>
              </w:rPr>
              <w:t>ondition</w:t>
            </w:r>
          </w:p>
        </w:tc>
      </w:tr>
      <w:tr w:rsidR="000329CD" w:rsidRPr="000329CD" w14:paraId="17CA9A40" w14:textId="77777777" w:rsidTr="000329CD">
        <w:tc>
          <w:tcPr>
            <w:tcW w:w="1440" w:type="dxa"/>
          </w:tcPr>
          <w:p w14:paraId="49A56635" w14:textId="77777777" w:rsidR="000329CD" w:rsidRPr="000329CD" w:rsidRDefault="000329CD" w:rsidP="000329CD">
            <w:pPr>
              <w:rPr>
                <w:sz w:val="20"/>
                <w:szCs w:val="20"/>
              </w:rPr>
            </w:pPr>
            <w:r w:rsidRPr="000329CD">
              <w:rPr>
                <w:color w:val="252525"/>
                <w:sz w:val="20"/>
                <w:szCs w:val="20"/>
              </w:rPr>
              <w:t>Suitability</w:t>
            </w:r>
          </w:p>
        </w:tc>
        <w:tc>
          <w:tcPr>
            <w:tcW w:w="936" w:type="dxa"/>
          </w:tcPr>
          <w:p w14:paraId="694ECDB4" w14:textId="77777777" w:rsidR="000329CD" w:rsidRPr="000329CD" w:rsidRDefault="000329CD" w:rsidP="000329CD">
            <w:pPr>
              <w:rPr>
                <w:sz w:val="20"/>
                <w:szCs w:val="20"/>
              </w:rPr>
            </w:pPr>
            <w:r w:rsidRPr="000329CD">
              <w:rPr>
                <w:color w:val="252525"/>
                <w:sz w:val="20"/>
                <w:szCs w:val="20"/>
              </w:rPr>
              <w:t>4.6/5</w:t>
            </w:r>
          </w:p>
        </w:tc>
        <w:tc>
          <w:tcPr>
            <w:tcW w:w="4104" w:type="dxa"/>
          </w:tcPr>
          <w:p w14:paraId="0F36530D" w14:textId="77777777" w:rsidR="000329CD" w:rsidRPr="000329CD" w:rsidRDefault="000329CD" w:rsidP="000329CD">
            <w:pPr>
              <w:rPr>
                <w:sz w:val="20"/>
                <w:szCs w:val="20"/>
              </w:rPr>
            </w:pPr>
            <w:r w:rsidRPr="000329CD">
              <w:rPr>
                <w:color w:val="252525"/>
                <w:sz w:val="20"/>
                <w:szCs w:val="20"/>
              </w:rPr>
              <w:t>Strong match to 5G investment, SME demand, differentiation and public commitments</w:t>
            </w:r>
          </w:p>
        </w:tc>
        <w:tc>
          <w:tcPr>
            <w:tcW w:w="2880" w:type="dxa"/>
          </w:tcPr>
          <w:p w14:paraId="321CD957" w14:textId="77777777" w:rsidR="000329CD" w:rsidRPr="000329CD" w:rsidRDefault="000329CD" w:rsidP="000329CD">
            <w:pPr>
              <w:rPr>
                <w:sz w:val="20"/>
                <w:szCs w:val="20"/>
              </w:rPr>
            </w:pPr>
            <w:r w:rsidRPr="000329CD">
              <w:rPr>
                <w:color w:val="252525"/>
                <w:sz w:val="20"/>
                <w:szCs w:val="20"/>
              </w:rPr>
              <w:t>Vertical complexity; adoption uncertainty</w:t>
            </w:r>
          </w:p>
        </w:tc>
      </w:tr>
      <w:tr w:rsidR="000329CD" w:rsidRPr="000329CD" w14:paraId="19FFFB1F" w14:textId="77777777" w:rsidTr="000329CD">
        <w:tc>
          <w:tcPr>
            <w:tcW w:w="1440" w:type="dxa"/>
          </w:tcPr>
          <w:p w14:paraId="528C5334" w14:textId="77777777" w:rsidR="000329CD" w:rsidRPr="000329CD" w:rsidRDefault="000329CD" w:rsidP="000329CD">
            <w:pPr>
              <w:rPr>
                <w:sz w:val="20"/>
                <w:szCs w:val="20"/>
              </w:rPr>
            </w:pPr>
            <w:r w:rsidRPr="000329CD">
              <w:rPr>
                <w:color w:val="252525"/>
                <w:sz w:val="20"/>
                <w:szCs w:val="20"/>
              </w:rPr>
              <w:t>Feasibility</w:t>
            </w:r>
          </w:p>
        </w:tc>
        <w:tc>
          <w:tcPr>
            <w:tcW w:w="936" w:type="dxa"/>
          </w:tcPr>
          <w:p w14:paraId="6C60D671" w14:textId="77777777" w:rsidR="000329CD" w:rsidRPr="000329CD" w:rsidRDefault="000329CD" w:rsidP="000329CD">
            <w:pPr>
              <w:rPr>
                <w:sz w:val="20"/>
                <w:szCs w:val="20"/>
              </w:rPr>
            </w:pPr>
            <w:r w:rsidRPr="000329CD">
              <w:rPr>
                <w:color w:val="252525"/>
                <w:sz w:val="20"/>
                <w:szCs w:val="20"/>
              </w:rPr>
              <w:t>4.1/5</w:t>
            </w:r>
          </w:p>
        </w:tc>
        <w:tc>
          <w:tcPr>
            <w:tcW w:w="4104" w:type="dxa"/>
          </w:tcPr>
          <w:p w14:paraId="5A0FA41C" w14:textId="77777777" w:rsidR="000329CD" w:rsidRPr="000329CD" w:rsidRDefault="000329CD" w:rsidP="000329CD">
            <w:pPr>
              <w:rPr>
                <w:sz w:val="20"/>
                <w:szCs w:val="20"/>
              </w:rPr>
            </w:pPr>
            <w:r w:rsidRPr="000329CD">
              <w:rPr>
                <w:color w:val="252525"/>
                <w:sz w:val="20"/>
                <w:szCs w:val="20"/>
              </w:rPr>
              <w:t>Full ownership, spectrum, IoT platform, business channels and synergies</w:t>
            </w:r>
          </w:p>
        </w:tc>
        <w:tc>
          <w:tcPr>
            <w:tcW w:w="2880" w:type="dxa"/>
          </w:tcPr>
          <w:p w14:paraId="2517B824" w14:textId="77777777" w:rsidR="000329CD" w:rsidRPr="000329CD" w:rsidRDefault="000329CD" w:rsidP="000329CD">
            <w:pPr>
              <w:rPr>
                <w:sz w:val="20"/>
                <w:szCs w:val="20"/>
              </w:rPr>
            </w:pPr>
            <w:r w:rsidRPr="000329CD">
              <w:rPr>
                <w:color w:val="252525"/>
                <w:sz w:val="20"/>
                <w:szCs w:val="20"/>
              </w:rPr>
              <w:t>Integration capability, talent, cyber and partner dependence</w:t>
            </w:r>
          </w:p>
        </w:tc>
      </w:tr>
      <w:tr w:rsidR="000329CD" w:rsidRPr="000329CD" w14:paraId="52CCCA46" w14:textId="77777777" w:rsidTr="000329CD">
        <w:tc>
          <w:tcPr>
            <w:tcW w:w="1440" w:type="dxa"/>
          </w:tcPr>
          <w:p w14:paraId="0C519707" w14:textId="77777777" w:rsidR="000329CD" w:rsidRPr="000329CD" w:rsidRDefault="000329CD" w:rsidP="000329CD">
            <w:pPr>
              <w:rPr>
                <w:sz w:val="20"/>
                <w:szCs w:val="20"/>
              </w:rPr>
            </w:pPr>
            <w:r w:rsidRPr="000329CD">
              <w:rPr>
                <w:color w:val="252525"/>
                <w:sz w:val="20"/>
                <w:szCs w:val="20"/>
              </w:rPr>
              <w:t>Acceptability</w:t>
            </w:r>
          </w:p>
        </w:tc>
        <w:tc>
          <w:tcPr>
            <w:tcW w:w="936" w:type="dxa"/>
          </w:tcPr>
          <w:p w14:paraId="311B94F3" w14:textId="77777777" w:rsidR="000329CD" w:rsidRPr="000329CD" w:rsidRDefault="000329CD" w:rsidP="000329CD">
            <w:pPr>
              <w:rPr>
                <w:sz w:val="20"/>
                <w:szCs w:val="20"/>
              </w:rPr>
            </w:pPr>
            <w:r w:rsidRPr="000329CD">
              <w:rPr>
                <w:color w:val="252525"/>
                <w:sz w:val="20"/>
                <w:szCs w:val="20"/>
              </w:rPr>
              <w:t>4.0/5</w:t>
            </w:r>
          </w:p>
        </w:tc>
        <w:tc>
          <w:tcPr>
            <w:tcW w:w="4104" w:type="dxa"/>
          </w:tcPr>
          <w:p w14:paraId="0A2E0AF8" w14:textId="77777777" w:rsidR="000329CD" w:rsidRPr="000329CD" w:rsidRDefault="000329CD" w:rsidP="000329CD">
            <w:pPr>
              <w:rPr>
                <w:sz w:val="20"/>
                <w:szCs w:val="20"/>
              </w:rPr>
            </w:pPr>
            <w:r w:rsidRPr="000329CD">
              <w:rPr>
                <w:color w:val="252525"/>
                <w:sz w:val="20"/>
                <w:szCs w:val="20"/>
              </w:rPr>
              <w:t>Recurring revenue, customer productivity, inclusion and network returns</w:t>
            </w:r>
          </w:p>
        </w:tc>
        <w:tc>
          <w:tcPr>
            <w:tcW w:w="2880" w:type="dxa"/>
          </w:tcPr>
          <w:p w14:paraId="236773A8" w14:textId="77777777" w:rsidR="000329CD" w:rsidRPr="000329CD" w:rsidRDefault="000329CD" w:rsidP="000329CD">
            <w:pPr>
              <w:rPr>
                <w:sz w:val="20"/>
                <w:szCs w:val="20"/>
              </w:rPr>
            </w:pPr>
            <w:r w:rsidRPr="000329CD">
              <w:rPr>
                <w:color w:val="252525"/>
                <w:sz w:val="20"/>
                <w:szCs w:val="20"/>
              </w:rPr>
              <w:t>Execution risk, delayed payback, employee disruption</w:t>
            </w:r>
          </w:p>
        </w:tc>
      </w:tr>
      <w:tr w:rsidR="000329CD" w:rsidRPr="000329CD" w14:paraId="658BC505" w14:textId="77777777" w:rsidTr="000329CD">
        <w:tc>
          <w:tcPr>
            <w:tcW w:w="1440" w:type="dxa"/>
          </w:tcPr>
          <w:p w14:paraId="1578BBE5" w14:textId="77777777" w:rsidR="000329CD" w:rsidRPr="000329CD" w:rsidRDefault="000329CD" w:rsidP="000329CD">
            <w:pPr>
              <w:rPr>
                <w:sz w:val="20"/>
                <w:szCs w:val="20"/>
              </w:rPr>
            </w:pPr>
            <w:r w:rsidRPr="000329CD">
              <w:rPr>
                <w:color w:val="252525"/>
                <w:sz w:val="20"/>
                <w:szCs w:val="20"/>
              </w:rPr>
              <w:t>Overall</w:t>
            </w:r>
          </w:p>
        </w:tc>
        <w:tc>
          <w:tcPr>
            <w:tcW w:w="936" w:type="dxa"/>
          </w:tcPr>
          <w:p w14:paraId="53CCF936" w14:textId="77777777" w:rsidR="000329CD" w:rsidRPr="000329CD" w:rsidRDefault="000329CD" w:rsidP="000329CD">
            <w:pPr>
              <w:rPr>
                <w:sz w:val="20"/>
                <w:szCs w:val="20"/>
              </w:rPr>
            </w:pPr>
            <w:r w:rsidRPr="000329CD">
              <w:rPr>
                <w:color w:val="252525"/>
                <w:sz w:val="20"/>
                <w:szCs w:val="20"/>
              </w:rPr>
              <w:t>4.2/5</w:t>
            </w:r>
          </w:p>
        </w:tc>
        <w:tc>
          <w:tcPr>
            <w:tcW w:w="4104" w:type="dxa"/>
          </w:tcPr>
          <w:p w14:paraId="79816F38" w14:textId="77777777" w:rsidR="000329CD" w:rsidRPr="000329CD" w:rsidRDefault="000329CD" w:rsidP="000329CD">
            <w:pPr>
              <w:rPr>
                <w:sz w:val="20"/>
                <w:szCs w:val="20"/>
              </w:rPr>
            </w:pPr>
            <w:r w:rsidRPr="000329CD">
              <w:rPr>
                <w:color w:val="252525"/>
                <w:sz w:val="20"/>
                <w:szCs w:val="20"/>
              </w:rPr>
              <w:t>Approve through staged pilots and investment gates</w:t>
            </w:r>
          </w:p>
        </w:tc>
        <w:tc>
          <w:tcPr>
            <w:tcW w:w="2880" w:type="dxa"/>
          </w:tcPr>
          <w:p w14:paraId="7594B90B" w14:textId="77777777" w:rsidR="000329CD" w:rsidRPr="000329CD" w:rsidRDefault="000329CD" w:rsidP="000329CD">
            <w:pPr>
              <w:rPr>
                <w:sz w:val="20"/>
                <w:szCs w:val="20"/>
              </w:rPr>
            </w:pPr>
            <w:r w:rsidRPr="000329CD">
              <w:rPr>
                <w:color w:val="252525"/>
                <w:sz w:val="20"/>
                <w:szCs w:val="20"/>
              </w:rPr>
              <w:t>Stop or redesign use cases missing thresholds</w:t>
            </w:r>
          </w:p>
        </w:tc>
      </w:tr>
    </w:tbl>
    <w:p w14:paraId="3E122B8E" w14:textId="48513D82" w:rsidR="004876D4" w:rsidRDefault="004876D4" w:rsidP="000329CD">
      <w:pPr>
        <w:ind w:firstLine="720"/>
        <w:rPr>
          <w:color w:val="000000" w:themeColor="text1"/>
        </w:rPr>
      </w:pPr>
      <w:r w:rsidRPr="004876D4">
        <w:rPr>
          <w:color w:val="000000" w:themeColor="text1"/>
        </w:rPr>
        <w:t>Overall, the strategy has a strong score with SFA, but on five assumptions: the £11 billion network plan is funded; 5G SA becomes available across a wide enough coverage area, suitable for the selected clusters; pilot customers are willing to supply data for their operational use of the network; open interfaces limit vendor lock-in; and the quality of customer migration does not decrease. These assumptions, which are represented as a snapshot and not uncertainty, should be assessed on a quarterly basis as SFA is a snapshot and cannot eliminate uncertainty (Grant, 2021</w:t>
      </w:r>
      <w:r w:rsidR="007A2C83">
        <w:rPr>
          <w:rStyle w:val="FootnoteReference"/>
          <w:color w:val="000000" w:themeColor="text1"/>
        </w:rPr>
        <w:footnoteReference w:id="20"/>
      </w:r>
      <w:r w:rsidRPr="004876D4">
        <w:rPr>
          <w:color w:val="000000" w:themeColor="text1"/>
        </w:rPr>
        <w:t>).</w:t>
      </w:r>
    </w:p>
    <w:p w14:paraId="5A1DBF26" w14:textId="77777777" w:rsidR="004876D4" w:rsidRPr="004876D4" w:rsidRDefault="004876D4" w:rsidP="000329CD">
      <w:pPr>
        <w:pStyle w:val="Heading1"/>
        <w:numPr>
          <w:ilvl w:val="0"/>
          <w:numId w:val="1"/>
        </w:numPr>
      </w:pPr>
      <w:bookmarkStart w:id="8" w:name="_Toc236835056"/>
      <w:r w:rsidRPr="004876D4">
        <w:lastRenderedPageBreak/>
        <w:t>Stakeholder Analysis and Engagement</w:t>
      </w:r>
      <w:bookmarkEnd w:id="8"/>
    </w:p>
    <w:p w14:paraId="423B0978" w14:textId="77777777" w:rsidR="000329CD" w:rsidRDefault="004876D4" w:rsidP="000329CD">
      <w:pPr>
        <w:ind w:firstLine="360"/>
        <w:rPr>
          <w:color w:val="000000" w:themeColor="text1"/>
        </w:rPr>
      </w:pPr>
      <w:r w:rsidRPr="004876D4">
        <w:rPr>
          <w:color w:val="000000" w:themeColor="text1"/>
        </w:rPr>
        <w:t xml:space="preserve">Value and risk have to go hand-in-hand for stakeholder management. The board and shareholders have high power and interest as there is full capital and all delivery accountability resides with Vodafone. Value scorecard to them on quarterly basis — recurring revenue, cash use, synergies, risks and customer outcomes. CMA and Ofcom also need to be tightly controlled with clear evidence of delivery of network plans, retailer and </w:t>
      </w:r>
      <w:proofErr w:type="spellStart"/>
      <w:r w:rsidRPr="004876D4">
        <w:rPr>
          <w:color w:val="000000" w:themeColor="text1"/>
        </w:rPr>
        <w:t>wholesale</w:t>
      </w:r>
      <w:proofErr w:type="spellEnd"/>
      <w:r w:rsidRPr="004876D4">
        <w:rPr>
          <w:color w:val="000000" w:themeColor="text1"/>
        </w:rPr>
        <w:t xml:space="preserve"> obligations, resilience, security and complaints. Engagement must be proactive and not just be about compliance reporting.</w:t>
      </w:r>
    </w:p>
    <w:p w14:paraId="6DE71350" w14:textId="3B6FE196" w:rsidR="004876D4" w:rsidRPr="004876D4" w:rsidRDefault="004876D4" w:rsidP="000329CD">
      <w:pPr>
        <w:ind w:firstLine="360"/>
        <w:rPr>
          <w:color w:val="000000" w:themeColor="text1"/>
        </w:rPr>
      </w:pPr>
      <w:r w:rsidRPr="004876D4">
        <w:rPr>
          <w:color w:val="000000" w:themeColor="text1"/>
        </w:rPr>
        <w:t>Business customers and pilot partners have high interest and increasing power as their adoption is key to product-market fit. They should be involved in co-design councils and benefit baselining/post pilot reviews. During the role redesign, skills development and system migration, it is important to engage representative bodies and employees closely, otherwise, there will be resistance and risk in services. Kroon (2022)</w:t>
      </w:r>
      <w:r w:rsidR="007A2C83">
        <w:rPr>
          <w:rStyle w:val="FootnoteReference"/>
          <w:color w:val="000000" w:themeColor="text1"/>
        </w:rPr>
        <w:footnoteReference w:id="21"/>
      </w:r>
      <w:r w:rsidRPr="004876D4">
        <w:rPr>
          <w:color w:val="000000" w:themeColor="text1"/>
        </w:rPr>
        <w:t xml:space="preserve"> advocates the integration of structure and softer identity and relationship work.</w:t>
      </w:r>
    </w:p>
    <w:p w14:paraId="54DCD248" w14:textId="77777777" w:rsidR="004876D4" w:rsidRPr="000329CD" w:rsidRDefault="000329CD" w:rsidP="004876D4">
      <w:pPr>
        <w:rPr>
          <w:b/>
          <w:i/>
          <w:color w:val="000000" w:themeColor="text1"/>
          <w:sz w:val="22"/>
        </w:rPr>
      </w:pPr>
      <w:r w:rsidRPr="000329CD">
        <w:rPr>
          <w:b/>
          <w:i/>
          <w:color w:val="000000" w:themeColor="text1"/>
          <w:sz w:val="22"/>
        </w:rPr>
        <w:t>Table 6: Stakeholder Engagement Plan</w:t>
      </w:r>
    </w:p>
    <w:tbl>
      <w:tblPr>
        <w:tblStyle w:val="TableGrid"/>
        <w:tblW w:w="0" w:type="auto"/>
        <w:jc w:val="center"/>
        <w:tblLayout w:type="fixed"/>
        <w:tblLook w:val="04A0" w:firstRow="1" w:lastRow="0" w:firstColumn="1" w:lastColumn="0" w:noHBand="0" w:noVBand="1"/>
      </w:tblPr>
      <w:tblGrid>
        <w:gridCol w:w="1800"/>
        <w:gridCol w:w="3096"/>
        <w:gridCol w:w="4464"/>
      </w:tblGrid>
      <w:tr w:rsidR="000329CD" w:rsidRPr="000329CD" w14:paraId="1F846DDC" w14:textId="77777777" w:rsidTr="000329CD">
        <w:trPr>
          <w:jc w:val="center"/>
        </w:trPr>
        <w:tc>
          <w:tcPr>
            <w:tcW w:w="1800" w:type="dxa"/>
          </w:tcPr>
          <w:p w14:paraId="367BF57D" w14:textId="77777777" w:rsidR="000329CD" w:rsidRPr="000329CD" w:rsidRDefault="000329CD" w:rsidP="000329CD">
            <w:pPr>
              <w:jc w:val="center"/>
              <w:rPr>
                <w:b/>
                <w:sz w:val="20"/>
              </w:rPr>
            </w:pPr>
            <w:r>
              <w:rPr>
                <w:b/>
                <w:sz w:val="20"/>
              </w:rPr>
              <w:t>Mendelow P</w:t>
            </w:r>
            <w:r w:rsidRPr="000329CD">
              <w:rPr>
                <w:b/>
                <w:sz w:val="20"/>
              </w:rPr>
              <w:t>osition</w:t>
            </w:r>
          </w:p>
        </w:tc>
        <w:tc>
          <w:tcPr>
            <w:tcW w:w="3096" w:type="dxa"/>
          </w:tcPr>
          <w:p w14:paraId="4C859460" w14:textId="77777777" w:rsidR="000329CD" w:rsidRPr="000329CD" w:rsidRDefault="000329CD" w:rsidP="000329CD">
            <w:pPr>
              <w:jc w:val="center"/>
              <w:rPr>
                <w:b/>
                <w:sz w:val="20"/>
              </w:rPr>
            </w:pPr>
            <w:r w:rsidRPr="000329CD">
              <w:rPr>
                <w:b/>
                <w:sz w:val="20"/>
              </w:rPr>
              <w:t>Stakeholders</w:t>
            </w:r>
          </w:p>
        </w:tc>
        <w:tc>
          <w:tcPr>
            <w:tcW w:w="4464" w:type="dxa"/>
          </w:tcPr>
          <w:p w14:paraId="3B9A0A28" w14:textId="77777777" w:rsidR="000329CD" w:rsidRPr="000329CD" w:rsidRDefault="000329CD" w:rsidP="000329CD">
            <w:pPr>
              <w:jc w:val="center"/>
              <w:rPr>
                <w:b/>
                <w:sz w:val="20"/>
              </w:rPr>
            </w:pPr>
            <w:r>
              <w:rPr>
                <w:b/>
                <w:sz w:val="20"/>
              </w:rPr>
              <w:t>Engagement P</w:t>
            </w:r>
            <w:r w:rsidRPr="000329CD">
              <w:rPr>
                <w:b/>
                <w:sz w:val="20"/>
              </w:rPr>
              <w:t>lan</w:t>
            </w:r>
          </w:p>
        </w:tc>
      </w:tr>
      <w:tr w:rsidR="000329CD" w:rsidRPr="000329CD" w14:paraId="392BF0A3" w14:textId="77777777" w:rsidTr="000329CD">
        <w:trPr>
          <w:jc w:val="center"/>
        </w:trPr>
        <w:tc>
          <w:tcPr>
            <w:tcW w:w="1800" w:type="dxa"/>
          </w:tcPr>
          <w:p w14:paraId="367755C8" w14:textId="77777777" w:rsidR="000329CD" w:rsidRPr="000329CD" w:rsidRDefault="000329CD" w:rsidP="000329CD">
            <w:pPr>
              <w:rPr>
                <w:sz w:val="20"/>
              </w:rPr>
            </w:pPr>
            <w:r w:rsidRPr="000329CD">
              <w:rPr>
                <w:color w:val="252525"/>
                <w:sz w:val="20"/>
              </w:rPr>
              <w:t>Manage closely</w:t>
            </w:r>
          </w:p>
        </w:tc>
        <w:tc>
          <w:tcPr>
            <w:tcW w:w="3096" w:type="dxa"/>
          </w:tcPr>
          <w:p w14:paraId="1B22B0BA" w14:textId="77777777" w:rsidR="000329CD" w:rsidRPr="000329CD" w:rsidRDefault="000329CD" w:rsidP="000329CD">
            <w:pPr>
              <w:rPr>
                <w:sz w:val="20"/>
              </w:rPr>
            </w:pPr>
            <w:r w:rsidRPr="000329CD">
              <w:rPr>
                <w:color w:val="252525"/>
                <w:sz w:val="20"/>
              </w:rPr>
              <w:t>Board/shareholders; CMA/Ofcom; pilot customers; employees</w:t>
            </w:r>
          </w:p>
        </w:tc>
        <w:tc>
          <w:tcPr>
            <w:tcW w:w="4464" w:type="dxa"/>
          </w:tcPr>
          <w:p w14:paraId="1CE28599" w14:textId="77777777" w:rsidR="000329CD" w:rsidRPr="000329CD" w:rsidRDefault="000329CD" w:rsidP="000329CD">
            <w:pPr>
              <w:rPr>
                <w:sz w:val="20"/>
              </w:rPr>
            </w:pPr>
            <w:r w:rsidRPr="000329CD">
              <w:rPr>
                <w:color w:val="252525"/>
                <w:sz w:val="20"/>
              </w:rPr>
              <w:t>Quarterly value and compliance reviews; co-design councils; workforce forums; escalation owners</w:t>
            </w:r>
          </w:p>
        </w:tc>
      </w:tr>
      <w:tr w:rsidR="000329CD" w:rsidRPr="000329CD" w14:paraId="2F08F9EF" w14:textId="77777777" w:rsidTr="000329CD">
        <w:trPr>
          <w:jc w:val="center"/>
        </w:trPr>
        <w:tc>
          <w:tcPr>
            <w:tcW w:w="1800" w:type="dxa"/>
          </w:tcPr>
          <w:p w14:paraId="65BB5D94" w14:textId="77777777" w:rsidR="000329CD" w:rsidRPr="000329CD" w:rsidRDefault="000329CD" w:rsidP="000329CD">
            <w:pPr>
              <w:rPr>
                <w:sz w:val="20"/>
              </w:rPr>
            </w:pPr>
            <w:r w:rsidRPr="000329CD">
              <w:rPr>
                <w:color w:val="252525"/>
                <w:sz w:val="20"/>
              </w:rPr>
              <w:t>Keep satisfied</w:t>
            </w:r>
          </w:p>
        </w:tc>
        <w:tc>
          <w:tcPr>
            <w:tcW w:w="3096" w:type="dxa"/>
          </w:tcPr>
          <w:p w14:paraId="6001D1BA" w14:textId="77777777" w:rsidR="000329CD" w:rsidRPr="000329CD" w:rsidRDefault="000329CD" w:rsidP="000329CD">
            <w:pPr>
              <w:rPr>
                <w:sz w:val="20"/>
              </w:rPr>
            </w:pPr>
            <w:r w:rsidRPr="000329CD">
              <w:rPr>
                <w:color w:val="252525"/>
                <w:sz w:val="20"/>
              </w:rPr>
              <w:t>Government/local authorities; vendors/cloud partners; MVNOs; sector bodies</w:t>
            </w:r>
          </w:p>
        </w:tc>
        <w:tc>
          <w:tcPr>
            <w:tcW w:w="4464" w:type="dxa"/>
          </w:tcPr>
          <w:p w14:paraId="40D7BA0A" w14:textId="77777777" w:rsidR="000329CD" w:rsidRPr="000329CD" w:rsidRDefault="000329CD" w:rsidP="000329CD">
            <w:pPr>
              <w:rPr>
                <w:sz w:val="20"/>
              </w:rPr>
            </w:pPr>
            <w:r w:rsidRPr="000329CD">
              <w:rPr>
                <w:color w:val="252525"/>
                <w:sz w:val="20"/>
              </w:rPr>
              <w:t>Roadmaps, interoperability rules, wholesale forums, regional impact reporting</w:t>
            </w:r>
          </w:p>
        </w:tc>
      </w:tr>
      <w:tr w:rsidR="000329CD" w:rsidRPr="000329CD" w14:paraId="203C99B4" w14:textId="77777777" w:rsidTr="000329CD">
        <w:trPr>
          <w:jc w:val="center"/>
        </w:trPr>
        <w:tc>
          <w:tcPr>
            <w:tcW w:w="1800" w:type="dxa"/>
          </w:tcPr>
          <w:p w14:paraId="066919AC" w14:textId="77777777" w:rsidR="000329CD" w:rsidRPr="000329CD" w:rsidRDefault="000329CD" w:rsidP="000329CD">
            <w:pPr>
              <w:rPr>
                <w:sz w:val="20"/>
              </w:rPr>
            </w:pPr>
            <w:r w:rsidRPr="000329CD">
              <w:rPr>
                <w:color w:val="252525"/>
                <w:sz w:val="20"/>
              </w:rPr>
              <w:lastRenderedPageBreak/>
              <w:t>Keep informed</w:t>
            </w:r>
          </w:p>
        </w:tc>
        <w:tc>
          <w:tcPr>
            <w:tcW w:w="3096" w:type="dxa"/>
          </w:tcPr>
          <w:p w14:paraId="090A98C8" w14:textId="77777777" w:rsidR="000329CD" w:rsidRPr="000329CD" w:rsidRDefault="000329CD" w:rsidP="000329CD">
            <w:pPr>
              <w:rPr>
                <w:sz w:val="20"/>
              </w:rPr>
            </w:pPr>
            <w:r w:rsidRPr="000329CD">
              <w:rPr>
                <w:color w:val="252525"/>
                <w:sz w:val="20"/>
              </w:rPr>
              <w:t>Consumers; SMEs not yet in pilots; communities; inclusion partners</w:t>
            </w:r>
          </w:p>
        </w:tc>
        <w:tc>
          <w:tcPr>
            <w:tcW w:w="4464" w:type="dxa"/>
          </w:tcPr>
          <w:p w14:paraId="7693D418" w14:textId="77777777" w:rsidR="000329CD" w:rsidRPr="000329CD" w:rsidRDefault="000329CD" w:rsidP="000329CD">
            <w:pPr>
              <w:rPr>
                <w:sz w:val="20"/>
              </w:rPr>
            </w:pPr>
            <w:r w:rsidRPr="000329CD">
              <w:rPr>
                <w:color w:val="252525"/>
                <w:sz w:val="20"/>
              </w:rPr>
              <w:t>Migration notices, transparent offers, digital-skills support, coverage and service dashboards</w:t>
            </w:r>
          </w:p>
        </w:tc>
      </w:tr>
      <w:tr w:rsidR="000329CD" w:rsidRPr="000329CD" w14:paraId="6B6F3280" w14:textId="77777777" w:rsidTr="000329CD">
        <w:trPr>
          <w:jc w:val="center"/>
        </w:trPr>
        <w:tc>
          <w:tcPr>
            <w:tcW w:w="1800" w:type="dxa"/>
          </w:tcPr>
          <w:p w14:paraId="4FE140F7" w14:textId="77777777" w:rsidR="000329CD" w:rsidRPr="000329CD" w:rsidRDefault="000329CD" w:rsidP="000329CD">
            <w:pPr>
              <w:rPr>
                <w:sz w:val="20"/>
              </w:rPr>
            </w:pPr>
            <w:r w:rsidRPr="000329CD">
              <w:rPr>
                <w:color w:val="252525"/>
                <w:sz w:val="20"/>
              </w:rPr>
              <w:t>Monitor</w:t>
            </w:r>
          </w:p>
        </w:tc>
        <w:tc>
          <w:tcPr>
            <w:tcW w:w="3096" w:type="dxa"/>
          </w:tcPr>
          <w:p w14:paraId="0F8634E0" w14:textId="77777777" w:rsidR="000329CD" w:rsidRPr="000329CD" w:rsidRDefault="000329CD" w:rsidP="000329CD">
            <w:pPr>
              <w:rPr>
                <w:sz w:val="20"/>
              </w:rPr>
            </w:pPr>
            <w:r w:rsidRPr="000329CD">
              <w:rPr>
                <w:color w:val="252525"/>
                <w:sz w:val="20"/>
              </w:rPr>
              <w:t>Media, wider public, non-core ecosystem participants</w:t>
            </w:r>
          </w:p>
        </w:tc>
        <w:tc>
          <w:tcPr>
            <w:tcW w:w="4464" w:type="dxa"/>
          </w:tcPr>
          <w:p w14:paraId="2AA7337E" w14:textId="77777777" w:rsidR="000329CD" w:rsidRPr="000329CD" w:rsidRDefault="000329CD" w:rsidP="000329CD">
            <w:pPr>
              <w:rPr>
                <w:sz w:val="20"/>
              </w:rPr>
            </w:pPr>
            <w:r w:rsidRPr="000329CD">
              <w:rPr>
                <w:color w:val="252525"/>
                <w:sz w:val="20"/>
              </w:rPr>
              <w:t>Reputation tracking, issue response and periodic consultation</w:t>
            </w:r>
          </w:p>
        </w:tc>
      </w:tr>
    </w:tbl>
    <w:p w14:paraId="23F14E84" w14:textId="23D1F1FF" w:rsidR="004876D4" w:rsidRPr="004876D4" w:rsidRDefault="004876D4" w:rsidP="000329CD">
      <w:pPr>
        <w:ind w:firstLine="720"/>
        <w:rPr>
          <w:color w:val="000000" w:themeColor="text1"/>
        </w:rPr>
      </w:pPr>
      <w:r w:rsidRPr="004876D4">
        <w:rPr>
          <w:color w:val="000000" w:themeColor="text1"/>
        </w:rPr>
        <w:t>Clear procurement and data-governance rules and architecture should be used to keep technology vendors, cloud partners, local authorities, universities or sector bodies happy. How service migration will proceed should be communicated to consumers, MVNOs and digital-inclusion organisations, along with access to fair pricing and positive coverage results. Monitoring access, affordability, skills and confidence need to be done separately, as digital inclusion is intersectional (Tsatsou, 2022)</w:t>
      </w:r>
      <w:r w:rsidR="007A2C83">
        <w:rPr>
          <w:rStyle w:val="FootnoteReference"/>
          <w:color w:val="000000" w:themeColor="text1"/>
        </w:rPr>
        <w:footnoteReference w:id="22"/>
      </w:r>
      <w:r w:rsidRPr="004876D4">
        <w:rPr>
          <w:color w:val="000000" w:themeColor="text1"/>
        </w:rPr>
        <w:t>. Groups should have a common narrative across the groups as well, clearly stating that the strategy translates network investment into safe productivity and inclusion – not just into accessing merger scale.</w:t>
      </w:r>
    </w:p>
    <w:p w14:paraId="7B5DD4B9" w14:textId="77777777" w:rsidR="004876D4" w:rsidRPr="004876D4" w:rsidRDefault="004876D4" w:rsidP="000329CD">
      <w:pPr>
        <w:pStyle w:val="Heading1"/>
        <w:numPr>
          <w:ilvl w:val="0"/>
          <w:numId w:val="1"/>
        </w:numPr>
      </w:pPr>
      <w:bookmarkStart w:id="9" w:name="_Toc236835057"/>
      <w:r w:rsidRPr="004876D4">
        <w:t>Implementation and Monitoring</w:t>
      </w:r>
      <w:bookmarkEnd w:id="9"/>
    </w:p>
    <w:p w14:paraId="59B6B4F1" w14:textId="77777777" w:rsidR="000329CD" w:rsidRDefault="004876D4" w:rsidP="000329CD">
      <w:pPr>
        <w:ind w:firstLine="360"/>
        <w:rPr>
          <w:color w:val="000000" w:themeColor="text1"/>
        </w:rPr>
      </w:pPr>
      <w:r w:rsidRPr="004876D4">
        <w:rPr>
          <w:color w:val="000000" w:themeColor="text1"/>
        </w:rPr>
        <w:t>Implementation of three stages with board gates to be used. During the 0 - 6 month period, VodafoneThree is required to form a leadership team with a single platform, complete market discovery of customers and capabilities, define three regional clusters, define open architecture and security controls, and baseline customer, workforce and financial metrics. Before starting, no pilot should have a customer problem, measurable benefit hypothesis, data agreement/exit criterion in place. Each funding decision by a benefits owner should be preceded by an independent and transparent verification of evidence.</w:t>
      </w:r>
    </w:p>
    <w:p w14:paraId="51486594" w14:textId="77777777" w:rsidR="004876D4" w:rsidRPr="004876D4" w:rsidRDefault="004876D4" w:rsidP="000329CD">
      <w:pPr>
        <w:ind w:firstLine="360"/>
        <w:rPr>
          <w:color w:val="000000" w:themeColor="text1"/>
        </w:rPr>
      </w:pPr>
      <w:r w:rsidRPr="004876D4">
        <w:rPr>
          <w:color w:val="000000" w:themeColor="text1"/>
        </w:rPr>
        <w:lastRenderedPageBreak/>
        <w:t>Cross-functional squads should implement 10-15 pilots in the 3 clusters in Months 6-18. Business teams need consultative selling skills and business end-to-end ownership, and service teams need integrated case management. The specific benefits should be measured against the respective control or baseline (pre-pilot) for each pilot relative to downtime, productivity, energy, security events or service cost. Quarterly gates should prevent low-value cases, redirect technically viable but commercially weak cases and only free up funding to those that have reached adoption, SLA and unit-economics thresholds.</w:t>
      </w:r>
    </w:p>
    <w:p w14:paraId="616DCB69" w14:textId="77777777" w:rsidR="004876D4" w:rsidRPr="000329CD" w:rsidRDefault="000329CD" w:rsidP="004876D4">
      <w:pPr>
        <w:rPr>
          <w:b/>
          <w:i/>
          <w:color w:val="000000" w:themeColor="text1"/>
          <w:sz w:val="22"/>
        </w:rPr>
      </w:pPr>
      <w:r w:rsidRPr="000329CD">
        <w:rPr>
          <w:b/>
          <w:i/>
          <w:color w:val="000000" w:themeColor="text1"/>
          <w:sz w:val="22"/>
        </w:rPr>
        <w:t>Table 7: Three-year Implementation and Monitoring Plan</w:t>
      </w:r>
    </w:p>
    <w:tbl>
      <w:tblPr>
        <w:tblStyle w:val="TableGrid"/>
        <w:tblW w:w="0" w:type="auto"/>
        <w:tblLayout w:type="fixed"/>
        <w:tblLook w:val="04A0" w:firstRow="1" w:lastRow="0" w:firstColumn="1" w:lastColumn="0" w:noHBand="0" w:noVBand="1"/>
      </w:tblPr>
      <w:tblGrid>
        <w:gridCol w:w="2016"/>
        <w:gridCol w:w="3960"/>
        <w:gridCol w:w="3384"/>
      </w:tblGrid>
      <w:tr w:rsidR="001B57A3" w:rsidRPr="001B57A3" w14:paraId="38C18BDC" w14:textId="77777777" w:rsidTr="001B57A3">
        <w:tc>
          <w:tcPr>
            <w:tcW w:w="2016" w:type="dxa"/>
          </w:tcPr>
          <w:p w14:paraId="4C216385" w14:textId="77777777" w:rsidR="000329CD" w:rsidRPr="001B57A3" w:rsidRDefault="000329CD" w:rsidP="001B57A3">
            <w:pPr>
              <w:jc w:val="center"/>
              <w:rPr>
                <w:b/>
                <w:sz w:val="20"/>
                <w:szCs w:val="20"/>
              </w:rPr>
            </w:pPr>
            <w:r w:rsidRPr="001B57A3">
              <w:rPr>
                <w:b/>
                <w:sz w:val="20"/>
                <w:szCs w:val="20"/>
              </w:rPr>
              <w:t>Stage</w:t>
            </w:r>
          </w:p>
        </w:tc>
        <w:tc>
          <w:tcPr>
            <w:tcW w:w="3960" w:type="dxa"/>
          </w:tcPr>
          <w:p w14:paraId="37F3C021" w14:textId="77777777" w:rsidR="000329CD" w:rsidRPr="001B57A3" w:rsidRDefault="001B57A3" w:rsidP="001B57A3">
            <w:pPr>
              <w:jc w:val="center"/>
              <w:rPr>
                <w:b/>
                <w:sz w:val="20"/>
                <w:szCs w:val="20"/>
              </w:rPr>
            </w:pPr>
            <w:r w:rsidRPr="001B57A3">
              <w:rPr>
                <w:b/>
                <w:sz w:val="20"/>
                <w:szCs w:val="20"/>
              </w:rPr>
              <w:t>Priority A</w:t>
            </w:r>
            <w:r w:rsidR="000329CD" w:rsidRPr="001B57A3">
              <w:rPr>
                <w:b/>
                <w:sz w:val="20"/>
                <w:szCs w:val="20"/>
              </w:rPr>
              <w:t>ctions</w:t>
            </w:r>
          </w:p>
        </w:tc>
        <w:tc>
          <w:tcPr>
            <w:tcW w:w="3384" w:type="dxa"/>
          </w:tcPr>
          <w:p w14:paraId="1D1E9186" w14:textId="77777777" w:rsidR="000329CD" w:rsidRPr="001B57A3" w:rsidRDefault="001B57A3" w:rsidP="001B57A3">
            <w:pPr>
              <w:jc w:val="center"/>
              <w:rPr>
                <w:b/>
                <w:sz w:val="20"/>
                <w:szCs w:val="20"/>
              </w:rPr>
            </w:pPr>
            <w:r w:rsidRPr="001B57A3">
              <w:rPr>
                <w:b/>
                <w:sz w:val="20"/>
                <w:szCs w:val="20"/>
              </w:rPr>
              <w:t>Board Gate/</w:t>
            </w:r>
            <w:r w:rsidR="000329CD" w:rsidRPr="001B57A3">
              <w:rPr>
                <w:b/>
                <w:sz w:val="20"/>
                <w:szCs w:val="20"/>
              </w:rPr>
              <w:t>KPI</w:t>
            </w:r>
          </w:p>
        </w:tc>
      </w:tr>
      <w:tr w:rsidR="001B57A3" w:rsidRPr="001B57A3" w14:paraId="1DC6F53D" w14:textId="77777777" w:rsidTr="001B57A3">
        <w:tc>
          <w:tcPr>
            <w:tcW w:w="2016" w:type="dxa"/>
          </w:tcPr>
          <w:p w14:paraId="741F4A04" w14:textId="77777777" w:rsidR="000329CD" w:rsidRPr="001B57A3" w:rsidRDefault="000329CD" w:rsidP="001B57A3">
            <w:pPr>
              <w:rPr>
                <w:sz w:val="20"/>
                <w:szCs w:val="20"/>
              </w:rPr>
            </w:pPr>
            <w:r w:rsidRPr="001B57A3">
              <w:rPr>
                <w:sz w:val="20"/>
                <w:szCs w:val="20"/>
              </w:rPr>
              <w:t>0–6 months: design</w:t>
            </w:r>
          </w:p>
        </w:tc>
        <w:tc>
          <w:tcPr>
            <w:tcW w:w="3960" w:type="dxa"/>
          </w:tcPr>
          <w:p w14:paraId="6F676626" w14:textId="77777777" w:rsidR="000329CD" w:rsidRPr="001B57A3" w:rsidRDefault="000329CD" w:rsidP="001B57A3">
            <w:pPr>
              <w:rPr>
                <w:sz w:val="20"/>
                <w:szCs w:val="20"/>
              </w:rPr>
            </w:pPr>
            <w:r w:rsidRPr="001B57A3">
              <w:rPr>
                <w:sz w:val="20"/>
                <w:szCs w:val="20"/>
              </w:rPr>
              <w:t>Select clusters; co-design propositions; map capabilities; set architecture/security; train pilot teams</w:t>
            </w:r>
          </w:p>
        </w:tc>
        <w:tc>
          <w:tcPr>
            <w:tcW w:w="3384" w:type="dxa"/>
          </w:tcPr>
          <w:p w14:paraId="6CC6B2D1" w14:textId="77777777" w:rsidR="000329CD" w:rsidRPr="001B57A3" w:rsidRDefault="000329CD" w:rsidP="001B57A3">
            <w:pPr>
              <w:rPr>
                <w:sz w:val="20"/>
                <w:szCs w:val="20"/>
              </w:rPr>
            </w:pPr>
            <w:r w:rsidRPr="001B57A3">
              <w:rPr>
                <w:sz w:val="20"/>
                <w:szCs w:val="20"/>
              </w:rPr>
              <w:t>3 cluster cases approved; 10–15 signed pilot intents; baseline NPS/churn/SLA; critical controls passed</w:t>
            </w:r>
          </w:p>
        </w:tc>
      </w:tr>
      <w:tr w:rsidR="001B57A3" w:rsidRPr="001B57A3" w14:paraId="4D5E16A3" w14:textId="77777777" w:rsidTr="001B57A3">
        <w:tc>
          <w:tcPr>
            <w:tcW w:w="2016" w:type="dxa"/>
          </w:tcPr>
          <w:p w14:paraId="74BADBA1" w14:textId="77777777" w:rsidR="000329CD" w:rsidRPr="001B57A3" w:rsidRDefault="000329CD" w:rsidP="001B57A3">
            <w:pPr>
              <w:rPr>
                <w:sz w:val="20"/>
                <w:szCs w:val="20"/>
              </w:rPr>
            </w:pPr>
            <w:r w:rsidRPr="001B57A3">
              <w:rPr>
                <w:sz w:val="20"/>
                <w:szCs w:val="20"/>
              </w:rPr>
              <w:t>6–18 months: pilot</w:t>
            </w:r>
          </w:p>
        </w:tc>
        <w:tc>
          <w:tcPr>
            <w:tcW w:w="3960" w:type="dxa"/>
          </w:tcPr>
          <w:p w14:paraId="3F88B1B7" w14:textId="77777777" w:rsidR="000329CD" w:rsidRPr="001B57A3" w:rsidRDefault="000329CD" w:rsidP="001B57A3">
            <w:pPr>
              <w:rPr>
                <w:sz w:val="20"/>
                <w:szCs w:val="20"/>
              </w:rPr>
            </w:pPr>
            <w:r w:rsidRPr="001B57A3">
              <w:rPr>
                <w:sz w:val="20"/>
                <w:szCs w:val="20"/>
              </w:rPr>
              <w:t>Launch modular offers; integrate service desk; test pricing and ROI; quarterly stop/scale gates</w:t>
            </w:r>
          </w:p>
        </w:tc>
        <w:tc>
          <w:tcPr>
            <w:tcW w:w="3384" w:type="dxa"/>
          </w:tcPr>
          <w:p w14:paraId="7A1687A1" w14:textId="77777777" w:rsidR="000329CD" w:rsidRPr="001B57A3" w:rsidRDefault="000329CD" w:rsidP="001B57A3">
            <w:pPr>
              <w:rPr>
                <w:sz w:val="20"/>
                <w:szCs w:val="20"/>
              </w:rPr>
            </w:pPr>
            <w:r w:rsidRPr="001B57A3">
              <w:rPr>
                <w:sz w:val="20"/>
                <w:szCs w:val="20"/>
              </w:rPr>
              <w:t>≥70% pilot completion; ≥50% conversion to paid contract; ≥99.95% agreed availability; positive customer benefit case</w:t>
            </w:r>
          </w:p>
        </w:tc>
      </w:tr>
      <w:tr w:rsidR="001B57A3" w:rsidRPr="001B57A3" w14:paraId="54766AEB" w14:textId="77777777" w:rsidTr="001B57A3">
        <w:tc>
          <w:tcPr>
            <w:tcW w:w="2016" w:type="dxa"/>
          </w:tcPr>
          <w:p w14:paraId="2D973B77" w14:textId="77777777" w:rsidR="000329CD" w:rsidRPr="001B57A3" w:rsidRDefault="000329CD" w:rsidP="001B57A3">
            <w:pPr>
              <w:rPr>
                <w:sz w:val="20"/>
                <w:szCs w:val="20"/>
              </w:rPr>
            </w:pPr>
            <w:r w:rsidRPr="001B57A3">
              <w:rPr>
                <w:sz w:val="20"/>
                <w:szCs w:val="20"/>
              </w:rPr>
              <w:t>18–36 months: scale</w:t>
            </w:r>
          </w:p>
        </w:tc>
        <w:tc>
          <w:tcPr>
            <w:tcW w:w="3960" w:type="dxa"/>
          </w:tcPr>
          <w:p w14:paraId="1DD10C50" w14:textId="77777777" w:rsidR="000329CD" w:rsidRPr="001B57A3" w:rsidRDefault="000329CD" w:rsidP="001B57A3">
            <w:pPr>
              <w:rPr>
                <w:sz w:val="20"/>
                <w:szCs w:val="20"/>
              </w:rPr>
            </w:pPr>
            <w:r w:rsidRPr="001B57A3">
              <w:rPr>
                <w:sz w:val="20"/>
                <w:szCs w:val="20"/>
              </w:rPr>
              <w:t>National rollout; partner marketplace; automate assurance; expand successful use cases</w:t>
            </w:r>
          </w:p>
        </w:tc>
        <w:tc>
          <w:tcPr>
            <w:tcW w:w="3384" w:type="dxa"/>
          </w:tcPr>
          <w:p w14:paraId="77D228DC" w14:textId="77777777" w:rsidR="000329CD" w:rsidRPr="001B57A3" w:rsidRDefault="000329CD" w:rsidP="001B57A3">
            <w:pPr>
              <w:rPr>
                <w:sz w:val="20"/>
                <w:szCs w:val="20"/>
              </w:rPr>
            </w:pPr>
            <w:r w:rsidRPr="001B57A3">
              <w:rPr>
                <w:sz w:val="20"/>
                <w:szCs w:val="20"/>
              </w:rPr>
              <w:t>5G-services ARR; SME ARPU uplift; churn reduction; NPS improvement; unit gross margin; coverage milestones</w:t>
            </w:r>
          </w:p>
        </w:tc>
      </w:tr>
      <w:tr w:rsidR="001B57A3" w:rsidRPr="001B57A3" w14:paraId="02D1B37A" w14:textId="77777777" w:rsidTr="001B57A3">
        <w:tc>
          <w:tcPr>
            <w:tcW w:w="2016" w:type="dxa"/>
          </w:tcPr>
          <w:p w14:paraId="5DF0A1E5" w14:textId="77777777" w:rsidR="000329CD" w:rsidRPr="001B57A3" w:rsidRDefault="000329CD" w:rsidP="001B57A3">
            <w:pPr>
              <w:rPr>
                <w:sz w:val="20"/>
                <w:szCs w:val="20"/>
              </w:rPr>
            </w:pPr>
            <w:r w:rsidRPr="001B57A3">
              <w:rPr>
                <w:sz w:val="20"/>
                <w:szCs w:val="20"/>
              </w:rPr>
              <w:t>Continuous safeguards</w:t>
            </w:r>
          </w:p>
        </w:tc>
        <w:tc>
          <w:tcPr>
            <w:tcW w:w="3960" w:type="dxa"/>
          </w:tcPr>
          <w:p w14:paraId="737FB6F0" w14:textId="77777777" w:rsidR="000329CD" w:rsidRPr="001B57A3" w:rsidRDefault="000329CD" w:rsidP="001B57A3">
            <w:pPr>
              <w:rPr>
                <w:sz w:val="20"/>
                <w:szCs w:val="20"/>
              </w:rPr>
            </w:pPr>
            <w:r w:rsidRPr="001B57A3">
              <w:rPr>
                <w:sz w:val="20"/>
                <w:szCs w:val="20"/>
              </w:rPr>
              <w:t>Track synergies, complaints, cyber risk, inclusion, workforce and environment</w:t>
            </w:r>
          </w:p>
        </w:tc>
        <w:tc>
          <w:tcPr>
            <w:tcW w:w="3384" w:type="dxa"/>
          </w:tcPr>
          <w:p w14:paraId="059A12D9" w14:textId="77777777" w:rsidR="000329CD" w:rsidRPr="001B57A3" w:rsidRDefault="000329CD" w:rsidP="001B57A3">
            <w:pPr>
              <w:rPr>
                <w:sz w:val="20"/>
                <w:szCs w:val="20"/>
              </w:rPr>
            </w:pPr>
            <w:r w:rsidRPr="001B57A3">
              <w:rPr>
                <w:sz w:val="20"/>
                <w:szCs w:val="20"/>
              </w:rPr>
              <w:t>£700m synergy trajectory; complaint rate; severe incidents; inclusion reach; skills completion; kWh/TB and reused equipment</w:t>
            </w:r>
          </w:p>
        </w:tc>
      </w:tr>
    </w:tbl>
    <w:p w14:paraId="41DEFBFA" w14:textId="1A9A9DA6" w:rsidR="004876D4" w:rsidRPr="004876D4" w:rsidRDefault="004876D4" w:rsidP="001B57A3">
      <w:pPr>
        <w:ind w:firstLine="720"/>
        <w:rPr>
          <w:color w:val="000000" w:themeColor="text1"/>
        </w:rPr>
      </w:pPr>
      <w:r w:rsidRPr="004876D4">
        <w:rPr>
          <w:color w:val="000000" w:themeColor="text1"/>
        </w:rPr>
        <w:lastRenderedPageBreak/>
        <w:t xml:space="preserve">Validated packages will be nationally scaled via Vodafone Business channels and an ecosystem marketplace in months 18-36. Stability and billing protection needs to come first through integration sequencing than brand and/or system </w:t>
      </w:r>
      <w:r w:rsidR="004C6364" w:rsidRPr="004876D4">
        <w:rPr>
          <w:color w:val="000000" w:themeColor="text1"/>
        </w:rPr>
        <w:t>rationalization</w:t>
      </w:r>
      <w:r w:rsidRPr="004876D4">
        <w:rPr>
          <w:color w:val="000000" w:themeColor="text1"/>
        </w:rPr>
        <w:t>. Governance should comprise of a board sponsor, chief product owner, network and security leads, customer-experience owner, people lead and independent compliance assurance. Strategic monitoring needs to be linked with financial lagging indicators and also some leading indicators to ensure revenue growth doesn't result in poor service, eroded trust or failed regulatory obligations.</w:t>
      </w:r>
    </w:p>
    <w:p w14:paraId="2275898E" w14:textId="77777777" w:rsidR="004876D4" w:rsidRPr="004876D4" w:rsidRDefault="004876D4" w:rsidP="001B57A3">
      <w:pPr>
        <w:pStyle w:val="Heading1"/>
        <w:numPr>
          <w:ilvl w:val="0"/>
          <w:numId w:val="1"/>
        </w:numPr>
      </w:pPr>
      <w:bookmarkStart w:id="10" w:name="_Toc236835058"/>
      <w:r w:rsidRPr="004876D4">
        <w:t>Conclusion</w:t>
      </w:r>
      <w:bookmarkEnd w:id="10"/>
    </w:p>
    <w:p w14:paraId="122ACE00" w14:textId="77777777" w:rsidR="001B57A3" w:rsidRDefault="004876D4" w:rsidP="001B57A3">
      <w:pPr>
        <w:ind w:firstLine="360"/>
        <w:rPr>
          <w:color w:val="000000" w:themeColor="text1"/>
        </w:rPr>
      </w:pPr>
      <w:r w:rsidRPr="004876D4">
        <w:rPr>
          <w:color w:val="000000" w:themeColor="text1"/>
        </w:rPr>
        <w:t>VodafoneThree has the size, spectrum and investment that is required, but the merger size is no strategy. However, Regulation restricts extraction through price, competitors are still investing and research has demonstrated that value of 5G is not easily seen in premiums for consumers based on speed alone. Hence, the recommended 5G Business Growth Platform focuses on the specific differentiation and product development which would enable the integrated network to be leveraged into secure and managed outcomes for SMEs and selected industrial clusters.</w:t>
      </w:r>
    </w:p>
    <w:p w14:paraId="0F2D9F6F" w14:textId="77777777" w:rsidR="004876D4" w:rsidRDefault="004876D4" w:rsidP="001B57A3">
      <w:pPr>
        <w:ind w:firstLine="360"/>
        <w:rPr>
          <w:color w:val="000000" w:themeColor="text1"/>
        </w:rPr>
      </w:pPr>
      <w:r w:rsidRPr="004876D4">
        <w:rPr>
          <w:color w:val="000000" w:themeColor="text1"/>
        </w:rPr>
        <w:t xml:space="preserve">The SFA analysis helps to support the approval as it is a proposal that is within Vodafone's mission, resources and can be staged within the current investment, and also provides acceptable value for the customer, shareholders or public stakeholders. The success of its operation relies on disciplined pilots, protection of customer experience, alignment of the workforce, open partnerships and transparent delivery of the regulatory environment. Recurring revenue, conversion, churn, NPS, SLAs, coverage, synergies, inclusion and energy efficiency metrics should be </w:t>
      </w:r>
      <w:proofErr w:type="spellStart"/>
      <w:r w:rsidRPr="004876D4">
        <w:rPr>
          <w:color w:val="000000" w:themeColor="text1"/>
        </w:rPr>
        <w:t>board</w:t>
      </w:r>
      <w:proofErr w:type="spellEnd"/>
      <w:r w:rsidRPr="004876D4">
        <w:rPr>
          <w:color w:val="000000" w:themeColor="text1"/>
        </w:rPr>
        <w:t xml:space="preserve"> oversight priorities. This course </w:t>
      </w:r>
      <w:r w:rsidRPr="004876D4">
        <w:rPr>
          <w:color w:val="000000" w:themeColor="text1"/>
        </w:rPr>
        <w:lastRenderedPageBreak/>
        <w:t>of direction provides VodafoneThree with sensible path from put up-merger combination to attainable sustainable growth as opposed to merely scale and value.</w:t>
      </w:r>
    </w:p>
    <w:p w14:paraId="644A1919" w14:textId="77777777" w:rsidR="001B57A3" w:rsidRDefault="001B57A3" w:rsidP="001B57A3">
      <w:pPr>
        <w:ind w:firstLine="360"/>
        <w:rPr>
          <w:color w:val="000000" w:themeColor="text1"/>
        </w:rPr>
        <w:sectPr w:rsidR="001B57A3">
          <w:pgSz w:w="12240" w:h="15840"/>
          <w:pgMar w:top="1440" w:right="1800" w:bottom="1440" w:left="1800" w:header="720" w:footer="720" w:gutter="0"/>
          <w:cols w:space="720"/>
          <w:docGrid w:linePitch="360"/>
        </w:sectPr>
      </w:pPr>
    </w:p>
    <w:p w14:paraId="09B1C1A1" w14:textId="77777777" w:rsidR="001B57A3" w:rsidRDefault="001B57A3" w:rsidP="001B57A3">
      <w:pPr>
        <w:pStyle w:val="Heading1"/>
      </w:pPr>
      <w:bookmarkStart w:id="11" w:name="_Toc236835059"/>
      <w:r>
        <w:lastRenderedPageBreak/>
        <w:t>References</w:t>
      </w:r>
      <w:bookmarkEnd w:id="11"/>
    </w:p>
    <w:p w14:paraId="035E0666" w14:textId="77777777" w:rsidR="001B57A3" w:rsidRDefault="001B57A3" w:rsidP="001B57A3">
      <w:pPr>
        <w:spacing w:after="70"/>
        <w:ind w:left="360" w:hanging="360"/>
      </w:pPr>
      <w:r>
        <w:t xml:space="preserve">Anantha Kumar, S. K., &amp; Oughton, E. J. (2023). Techno-economic assessment of 5G infrastructure sharing business models in rural areas. </w:t>
      </w:r>
      <w:r>
        <w:rPr>
          <w:rStyle w:val="Emphasis"/>
        </w:rPr>
        <w:t>Frontiers in Computer Science, 5</w:t>
      </w:r>
      <w:r>
        <w:t xml:space="preserve">, Article 1191853. </w:t>
      </w:r>
      <w:hyperlink r:id="rId9" w:tgtFrame="_new" w:history="1">
        <w:r>
          <w:rPr>
            <w:rStyle w:val="Hyperlink"/>
          </w:rPr>
          <w:t>https://doi.org/10.3389/fcomp.2023.1191853</w:t>
        </w:r>
      </w:hyperlink>
    </w:p>
    <w:p w14:paraId="4928206A" w14:textId="77777777" w:rsidR="001B57A3" w:rsidRDefault="001B57A3" w:rsidP="001B57A3">
      <w:pPr>
        <w:spacing w:after="70"/>
        <w:ind w:left="360" w:hanging="360"/>
      </w:pPr>
      <w:r>
        <w:t xml:space="preserve">Awuku, E., Agyei, P. M., &amp; </w:t>
      </w:r>
      <w:proofErr w:type="spellStart"/>
      <w:r>
        <w:t>Gonu</w:t>
      </w:r>
      <w:proofErr w:type="spellEnd"/>
      <w:r>
        <w:t xml:space="preserve">, E. (2023). Service innovation practices and customer loyalty in the telecommunication industry. </w:t>
      </w:r>
      <w:r>
        <w:rPr>
          <w:rStyle w:val="Emphasis"/>
        </w:rPr>
        <w:t>PLOS ONE, 18</w:t>
      </w:r>
      <w:r>
        <w:t xml:space="preserve">(3), e0282588. </w:t>
      </w:r>
      <w:hyperlink r:id="rId10" w:tgtFrame="_new" w:history="1">
        <w:r>
          <w:rPr>
            <w:rStyle w:val="Hyperlink"/>
          </w:rPr>
          <w:t>https://doi.org/10.1371/journal.pone.0282588</w:t>
        </w:r>
      </w:hyperlink>
    </w:p>
    <w:p w14:paraId="2370668A" w14:textId="77777777" w:rsidR="001B57A3" w:rsidRDefault="001B57A3" w:rsidP="001B57A3">
      <w:pPr>
        <w:spacing w:after="70"/>
        <w:ind w:left="360" w:hanging="360"/>
      </w:pPr>
      <w:r>
        <w:t xml:space="preserve">Björkegren, D. (2022). Competition in network industries: Evidence from the Rwandan mobile phone network. </w:t>
      </w:r>
      <w:r>
        <w:rPr>
          <w:rStyle w:val="Emphasis"/>
        </w:rPr>
        <w:t>The RAND Journal of Economics, 53</w:t>
      </w:r>
      <w:r>
        <w:t xml:space="preserve">(1), 200–225. </w:t>
      </w:r>
      <w:hyperlink r:id="rId11" w:tgtFrame="_new" w:history="1">
        <w:r>
          <w:rPr>
            <w:rStyle w:val="Hyperlink"/>
          </w:rPr>
          <w:t>https://doi.org/10.1111/1756-2171.12405</w:t>
        </w:r>
      </w:hyperlink>
    </w:p>
    <w:p w14:paraId="2A1A826B" w14:textId="77777777" w:rsidR="001B57A3" w:rsidRDefault="001B57A3" w:rsidP="001B57A3">
      <w:pPr>
        <w:spacing w:after="70"/>
        <w:ind w:left="360" w:hanging="360"/>
      </w:pPr>
      <w:r>
        <w:t xml:space="preserve">BT Group. (2026). </w:t>
      </w:r>
      <w:r>
        <w:rPr>
          <w:rStyle w:val="Emphasis"/>
        </w:rPr>
        <w:t>Annual report 2026</w:t>
      </w:r>
      <w:r>
        <w:t xml:space="preserve">. </w:t>
      </w:r>
      <w:hyperlink r:id="rId12" w:tgtFrame="_new" w:history="1">
        <w:r>
          <w:rPr>
            <w:rStyle w:val="Hyperlink"/>
          </w:rPr>
          <w:t>https://www.bt.com/about/investors/financial-reporting-and-news/annual-reports</w:t>
        </w:r>
      </w:hyperlink>
    </w:p>
    <w:p w14:paraId="560A04E2" w14:textId="77777777" w:rsidR="001E0037" w:rsidRDefault="001B57A3" w:rsidP="001E0037">
      <w:pPr>
        <w:spacing w:after="70"/>
        <w:ind w:left="360" w:hanging="360"/>
      </w:pPr>
      <w:r>
        <w:t xml:space="preserve">Competition and Markets Authority. (2024). </w:t>
      </w:r>
      <w:r>
        <w:rPr>
          <w:rStyle w:val="Emphasis"/>
        </w:rPr>
        <w:t>CMA clears Vodafone/Three merger, subject to legally binding commitments</w:t>
      </w:r>
      <w:r>
        <w:t xml:space="preserve">. </w:t>
      </w:r>
      <w:hyperlink r:id="rId13" w:tgtFrame="_new" w:history="1">
        <w:r>
          <w:rPr>
            <w:rStyle w:val="Hyperlink"/>
          </w:rPr>
          <w:t>https://www.gov.uk/government/news/cma-clears-vodafone-three-merger-subject-to-legally-binding-commitments</w:t>
        </w:r>
      </w:hyperlink>
    </w:p>
    <w:p w14:paraId="596A2CEA" w14:textId="77777777" w:rsidR="001E0037" w:rsidRPr="001E0037" w:rsidRDefault="001E0037" w:rsidP="001E0037">
      <w:pPr>
        <w:spacing w:after="70"/>
        <w:ind w:left="360" w:hanging="360"/>
      </w:pPr>
      <w:r w:rsidRPr="001E0037">
        <w:rPr>
          <w:rFonts w:eastAsia="Times New Roman" w:cs="Times New Roman"/>
          <w:szCs w:val="24"/>
        </w:rPr>
        <w:t xml:space="preserve">Dhir, S., </w:t>
      </w:r>
      <w:proofErr w:type="spellStart"/>
      <w:r w:rsidRPr="001E0037">
        <w:rPr>
          <w:rFonts w:eastAsia="Times New Roman" w:cs="Times New Roman"/>
          <w:szCs w:val="24"/>
        </w:rPr>
        <w:t>Ongsakul</w:t>
      </w:r>
      <w:proofErr w:type="spellEnd"/>
      <w:r w:rsidRPr="001E0037">
        <w:rPr>
          <w:rFonts w:eastAsia="Times New Roman" w:cs="Times New Roman"/>
          <w:szCs w:val="24"/>
        </w:rPr>
        <w:t xml:space="preserve">, V., Ahmed, Z. U., &amp; Rajan, R. (2020). Integration of knowledge and enhancing competitiveness: A case of acquisition of Zain by Bharti Airtel. </w:t>
      </w:r>
      <w:r w:rsidRPr="001E0037">
        <w:rPr>
          <w:rFonts w:eastAsia="Times New Roman" w:cs="Times New Roman"/>
          <w:i/>
          <w:iCs/>
          <w:szCs w:val="24"/>
        </w:rPr>
        <w:t>Journal of Business Research</w:t>
      </w:r>
      <w:r w:rsidRPr="001E0037">
        <w:rPr>
          <w:rFonts w:eastAsia="Times New Roman" w:cs="Times New Roman"/>
          <w:szCs w:val="24"/>
        </w:rPr>
        <w:t xml:space="preserve">, </w:t>
      </w:r>
      <w:r w:rsidRPr="001E0037">
        <w:rPr>
          <w:rFonts w:eastAsia="Times New Roman" w:cs="Times New Roman"/>
          <w:i/>
          <w:iCs/>
          <w:szCs w:val="24"/>
        </w:rPr>
        <w:t>119</w:t>
      </w:r>
      <w:r w:rsidRPr="001E0037">
        <w:rPr>
          <w:rFonts w:eastAsia="Times New Roman" w:cs="Times New Roman"/>
          <w:szCs w:val="24"/>
        </w:rPr>
        <w:t xml:space="preserve">, 674-684. </w:t>
      </w:r>
      <w:hyperlink r:id="rId14" w:history="1">
        <w:r w:rsidR="00D55DA3" w:rsidRPr="005048E4">
          <w:rPr>
            <w:rStyle w:val="Hyperlink"/>
            <w:rFonts w:eastAsia="Times New Roman" w:cs="Times New Roman"/>
            <w:szCs w:val="24"/>
          </w:rPr>
          <w:t>https://doi.org/10.1016/j.jbusres.2019.02.056</w:t>
        </w:r>
      </w:hyperlink>
      <w:r w:rsidR="00D55DA3">
        <w:rPr>
          <w:rFonts w:eastAsia="Times New Roman" w:cs="Times New Roman"/>
          <w:szCs w:val="24"/>
        </w:rPr>
        <w:t xml:space="preserve"> </w:t>
      </w:r>
    </w:p>
    <w:p w14:paraId="5949EC8A" w14:textId="77777777" w:rsidR="001B57A3" w:rsidRDefault="001B57A3" w:rsidP="001B57A3">
      <w:pPr>
        <w:spacing w:after="70"/>
        <w:ind w:left="360" w:hanging="360"/>
      </w:pPr>
      <w:r>
        <w:t xml:space="preserve">Ebert, J., &amp; Winzer, P. (2024). Demand for 5G from residential customers in Germany: A quantitative online survey using the Van </w:t>
      </w:r>
      <w:proofErr w:type="spellStart"/>
      <w:r>
        <w:t>Westendorp</w:t>
      </w:r>
      <w:proofErr w:type="spellEnd"/>
      <w:r>
        <w:t xml:space="preserve"> method. </w:t>
      </w:r>
      <w:r>
        <w:rPr>
          <w:rStyle w:val="Emphasis"/>
        </w:rPr>
        <w:t>Journal of Revenue and Pricing Management, 23</w:t>
      </w:r>
      <w:r>
        <w:t xml:space="preserve">, 489–495. </w:t>
      </w:r>
      <w:hyperlink r:id="rId15" w:tgtFrame="_new" w:history="1">
        <w:r>
          <w:rPr>
            <w:rStyle w:val="Hyperlink"/>
          </w:rPr>
          <w:t>https://doi.org/10.1057/s41272-023-00467-1</w:t>
        </w:r>
      </w:hyperlink>
    </w:p>
    <w:p w14:paraId="04045AAE" w14:textId="77777777" w:rsidR="001B57A3" w:rsidRDefault="00D55DA3" w:rsidP="001B57A3">
      <w:pPr>
        <w:spacing w:after="70"/>
        <w:ind w:left="360" w:hanging="360"/>
      </w:pPr>
      <w:r>
        <w:t>Grant, R. M. (2021</w:t>
      </w:r>
      <w:r w:rsidR="001B57A3">
        <w:t xml:space="preserve">). </w:t>
      </w:r>
      <w:r w:rsidR="001B57A3">
        <w:rPr>
          <w:rStyle w:val="Emphasis"/>
        </w:rPr>
        <w:t>Contemporary strategy analysis</w:t>
      </w:r>
      <w:r w:rsidR="001B57A3">
        <w:t xml:space="preserve"> (11th ed.). Wiley.</w:t>
      </w:r>
    </w:p>
    <w:p w14:paraId="361771F2" w14:textId="77777777" w:rsidR="001B57A3" w:rsidRDefault="00D55DA3" w:rsidP="001B57A3">
      <w:pPr>
        <w:spacing w:after="70"/>
        <w:ind w:left="360" w:hanging="360"/>
      </w:pPr>
      <w:r>
        <w:lastRenderedPageBreak/>
        <w:t>Hoblos, N., Sandeep, M.</w:t>
      </w:r>
      <w:r w:rsidR="001B57A3">
        <w:t xml:space="preserve">, &amp; Pan, S. L. (2024). Achieving stakeholder alignment in digital transformation: A frame transformation perspective. </w:t>
      </w:r>
      <w:r w:rsidR="001B57A3">
        <w:rPr>
          <w:rStyle w:val="Emphasis"/>
        </w:rPr>
        <w:t>Journal of Information Technology, 39</w:t>
      </w:r>
      <w:r w:rsidR="001B57A3">
        <w:t xml:space="preserve">(4), 630–649. </w:t>
      </w:r>
      <w:hyperlink r:id="rId16" w:tgtFrame="_new" w:history="1">
        <w:r w:rsidR="001B57A3">
          <w:rPr>
            <w:rStyle w:val="Hyperlink"/>
          </w:rPr>
          <w:t>https://doi.org/10.1177/02683962231219518</w:t>
        </w:r>
      </w:hyperlink>
    </w:p>
    <w:p w14:paraId="3C7B1540" w14:textId="77777777" w:rsidR="00D55DA3" w:rsidRDefault="001B57A3" w:rsidP="00D55DA3">
      <w:pPr>
        <w:spacing w:after="70"/>
        <w:ind w:left="360" w:hanging="360"/>
      </w:pPr>
      <w:r>
        <w:t xml:space="preserve">Kalia, P., Kaushal, R., Singla, M., &amp; Parkash, J. (2021). Determining the role of service quality, trust and commitment to customer loyalty for telecom service users: A PLS-SEM approach. </w:t>
      </w:r>
      <w:r>
        <w:rPr>
          <w:rStyle w:val="Emphasis"/>
        </w:rPr>
        <w:t>The TQM Journal, 33</w:t>
      </w:r>
      <w:r>
        <w:t xml:space="preserve">(7), 377–396. </w:t>
      </w:r>
      <w:hyperlink r:id="rId17" w:tgtFrame="_new" w:history="1">
        <w:r>
          <w:rPr>
            <w:rStyle w:val="Hyperlink"/>
          </w:rPr>
          <w:t>https://doi.org/10.1108/TQM-04-2021-0108</w:t>
        </w:r>
      </w:hyperlink>
    </w:p>
    <w:p w14:paraId="58EB04E7" w14:textId="77777777" w:rsidR="00D55DA3" w:rsidRPr="00D55DA3" w:rsidRDefault="00D55DA3" w:rsidP="00D55DA3">
      <w:pPr>
        <w:spacing w:after="70"/>
        <w:ind w:left="360" w:hanging="360"/>
      </w:pPr>
      <w:r w:rsidRPr="00D55DA3">
        <w:rPr>
          <w:rFonts w:eastAsia="Times New Roman" w:cs="Times New Roman"/>
          <w:szCs w:val="24"/>
        </w:rPr>
        <w:t xml:space="preserve">Kroon, D. P., </w:t>
      </w:r>
      <w:proofErr w:type="spellStart"/>
      <w:r w:rsidRPr="00D55DA3">
        <w:rPr>
          <w:rFonts w:eastAsia="Times New Roman" w:cs="Times New Roman"/>
          <w:szCs w:val="24"/>
        </w:rPr>
        <w:t>Noorderhaven</w:t>
      </w:r>
      <w:proofErr w:type="spellEnd"/>
      <w:r w:rsidRPr="00D55DA3">
        <w:rPr>
          <w:rFonts w:eastAsia="Times New Roman" w:cs="Times New Roman"/>
          <w:szCs w:val="24"/>
        </w:rPr>
        <w:t xml:space="preserve">, N. G., Corley, K. G., &amp; Vaara, E. (2022). Hard and Soft Integration: Towards a Dynamic Model of Post-Acquisition Integration. </w:t>
      </w:r>
      <w:r w:rsidRPr="00D55DA3">
        <w:rPr>
          <w:rFonts w:eastAsia="Times New Roman" w:cs="Times New Roman"/>
          <w:i/>
          <w:iCs/>
          <w:szCs w:val="24"/>
        </w:rPr>
        <w:t>Journal of Management Studies</w:t>
      </w:r>
      <w:r w:rsidRPr="00D55DA3">
        <w:rPr>
          <w:rFonts w:eastAsia="Times New Roman" w:cs="Times New Roman"/>
          <w:szCs w:val="24"/>
        </w:rPr>
        <w:t xml:space="preserve">, </w:t>
      </w:r>
      <w:r w:rsidRPr="00D55DA3">
        <w:rPr>
          <w:rFonts w:eastAsia="Times New Roman" w:cs="Times New Roman"/>
          <w:i/>
          <w:iCs/>
          <w:szCs w:val="24"/>
        </w:rPr>
        <w:t>59</w:t>
      </w:r>
      <w:r w:rsidRPr="00D55DA3">
        <w:rPr>
          <w:rFonts w:eastAsia="Times New Roman" w:cs="Times New Roman"/>
          <w:szCs w:val="24"/>
        </w:rPr>
        <w:t xml:space="preserve">(5), 1132-1161. </w:t>
      </w:r>
      <w:hyperlink r:id="rId18" w:history="1">
        <w:r w:rsidRPr="005048E4">
          <w:rPr>
            <w:rStyle w:val="Hyperlink"/>
            <w:rFonts w:eastAsia="Times New Roman" w:cs="Times New Roman"/>
            <w:szCs w:val="24"/>
          </w:rPr>
          <w:t>https://doi.org/10.1111/joms.12766</w:t>
        </w:r>
      </w:hyperlink>
      <w:r>
        <w:rPr>
          <w:rFonts w:eastAsia="Times New Roman" w:cs="Times New Roman"/>
          <w:szCs w:val="24"/>
        </w:rPr>
        <w:t xml:space="preserve"> </w:t>
      </w:r>
    </w:p>
    <w:p w14:paraId="4B27E4CA" w14:textId="77777777" w:rsidR="001B57A3" w:rsidRDefault="001B57A3" w:rsidP="001B57A3">
      <w:pPr>
        <w:spacing w:after="70"/>
        <w:ind w:left="360" w:hanging="360"/>
      </w:pPr>
      <w:r>
        <w:t xml:space="preserve">Lähteenmäki, J. (2021). The evolution paths of neutral host businesses: Antecedents, strategies, and business models. </w:t>
      </w:r>
      <w:r>
        <w:rPr>
          <w:rStyle w:val="Emphasis"/>
        </w:rPr>
        <w:t>Telecommunications Policy, 45</w:t>
      </w:r>
      <w:r>
        <w:t xml:space="preserve">(10), Article 102201. </w:t>
      </w:r>
      <w:hyperlink r:id="rId19" w:tgtFrame="_new" w:history="1">
        <w:r>
          <w:rPr>
            <w:rStyle w:val="Hyperlink"/>
          </w:rPr>
          <w:t>https://doi.org/10.1016/j.telpol.2021.102201</w:t>
        </w:r>
      </w:hyperlink>
    </w:p>
    <w:p w14:paraId="5480EF2D" w14:textId="77777777" w:rsidR="001B57A3" w:rsidRDefault="001B57A3" w:rsidP="001B57A3">
      <w:pPr>
        <w:spacing w:after="70"/>
        <w:ind w:left="360" w:hanging="360"/>
      </w:pPr>
      <w:r>
        <w:t xml:space="preserve">Lehr, W., Queder, F., &amp; Haucap, J. (2021). 5G: A new future for mobile network operators, or not? </w:t>
      </w:r>
      <w:r>
        <w:rPr>
          <w:rStyle w:val="Emphasis"/>
        </w:rPr>
        <w:t>Telecommunications Policy, 45</w:t>
      </w:r>
      <w:r>
        <w:t xml:space="preserve">(3), Article 102086. </w:t>
      </w:r>
      <w:hyperlink r:id="rId20" w:tgtFrame="_new" w:history="1">
        <w:r>
          <w:rPr>
            <w:rStyle w:val="Hyperlink"/>
          </w:rPr>
          <w:t>https://doi.org/10.1016/j.telpol.2020.102086</w:t>
        </w:r>
      </w:hyperlink>
    </w:p>
    <w:p w14:paraId="71646A5C" w14:textId="77777777" w:rsidR="001B57A3" w:rsidRDefault="001B57A3" w:rsidP="001B57A3">
      <w:pPr>
        <w:spacing w:after="70"/>
        <w:ind w:left="360" w:hanging="360"/>
      </w:pPr>
      <w:r>
        <w:t xml:space="preserve">Ofcom. (2025a). </w:t>
      </w:r>
      <w:r>
        <w:rPr>
          <w:rStyle w:val="Emphasis"/>
        </w:rPr>
        <w:t>Brits devour data at record levels as mobile networks race to improve 5G</w:t>
      </w:r>
      <w:r>
        <w:t>.</w:t>
      </w:r>
      <w:r w:rsidR="00D55DA3">
        <w:t xml:space="preserve"> </w:t>
      </w:r>
      <w:hyperlink r:id="rId21" w:history="1">
        <w:r w:rsidR="00D55DA3" w:rsidRPr="005048E4">
          <w:rPr>
            <w:rStyle w:val="Hyperlink"/>
          </w:rPr>
          <w:t>https://www.ofcom.org.uk/phones-and-broadband/coverage-and-speeds/brits-devour-data-at-record-levels-as-mobile-networks-race-to-improve-5g</w:t>
        </w:r>
      </w:hyperlink>
      <w:r w:rsidR="00D55DA3">
        <w:t xml:space="preserve">  </w:t>
      </w:r>
    </w:p>
    <w:p w14:paraId="34514388" w14:textId="77777777" w:rsidR="001B57A3" w:rsidRDefault="001B57A3" w:rsidP="001B57A3">
      <w:pPr>
        <w:spacing w:after="70"/>
        <w:ind w:left="360" w:hanging="360"/>
      </w:pPr>
      <w:r>
        <w:t xml:space="preserve">Ofcom. (2025b). </w:t>
      </w:r>
      <w:r>
        <w:rPr>
          <w:rStyle w:val="Emphasis"/>
        </w:rPr>
        <w:t>Mobile matters: Download speeds, connection rates and latency levels revealed</w:t>
      </w:r>
      <w:r>
        <w:t xml:space="preserve">. </w:t>
      </w:r>
      <w:hyperlink r:id="rId22" w:history="1">
        <w:r w:rsidR="00D55DA3" w:rsidRPr="005048E4">
          <w:rPr>
            <w:rStyle w:val="Hyperlink"/>
          </w:rPr>
          <w:t>https://www.ofcom.org.uk/phones-and-broadband/mobile-phones/mobile-matters-download-speeds-connection-rates-and-latency-levels-revealed</w:t>
        </w:r>
      </w:hyperlink>
      <w:r w:rsidR="00D55DA3">
        <w:t xml:space="preserve"> </w:t>
      </w:r>
    </w:p>
    <w:p w14:paraId="2C9898D7" w14:textId="77777777" w:rsidR="001B57A3" w:rsidRDefault="001B57A3" w:rsidP="001B57A3">
      <w:pPr>
        <w:spacing w:after="70"/>
        <w:ind w:left="360" w:hanging="360"/>
      </w:pPr>
      <w:r w:rsidRPr="003F2491">
        <w:rPr>
          <w:lang w:val="it-IT"/>
        </w:rPr>
        <w:lastRenderedPageBreak/>
        <w:t xml:space="preserve">Ribeiro, H., Barbosa, B., Moreira, A. C., &amp; Rodrigues, R. (2024). </w:t>
      </w:r>
      <w:r>
        <w:t xml:space="preserve">Customer experience, loyalty, and churn in bundled telecommunications services. </w:t>
      </w:r>
      <w:r>
        <w:rPr>
          <w:rStyle w:val="Emphasis"/>
        </w:rPr>
        <w:t>SAGE Open, 14</w:t>
      </w:r>
      <w:r>
        <w:t xml:space="preserve">. </w:t>
      </w:r>
      <w:hyperlink r:id="rId23" w:tgtFrame="_new" w:history="1">
        <w:r>
          <w:rPr>
            <w:rStyle w:val="Hyperlink"/>
          </w:rPr>
          <w:t>https://doi.org/10.1177/21582440241245191</w:t>
        </w:r>
      </w:hyperlink>
    </w:p>
    <w:p w14:paraId="752C412D" w14:textId="77777777" w:rsidR="001B57A3" w:rsidRDefault="001B57A3" w:rsidP="001B57A3">
      <w:pPr>
        <w:spacing w:after="70"/>
        <w:ind w:left="360" w:hanging="360"/>
      </w:pPr>
      <w:r>
        <w:t xml:space="preserve">Tsatsou, P. (2022). Vulnerable people’s digital inclusion: Intersectionality patterns and associated lessons. </w:t>
      </w:r>
      <w:r>
        <w:rPr>
          <w:rStyle w:val="Emphasis"/>
        </w:rPr>
        <w:t>Information, Communication &amp; Society, 25</w:t>
      </w:r>
      <w:r>
        <w:t xml:space="preserve">(10), 1475–1494. </w:t>
      </w:r>
      <w:hyperlink r:id="rId24" w:tgtFrame="_new" w:history="1">
        <w:r>
          <w:rPr>
            <w:rStyle w:val="Hyperlink"/>
          </w:rPr>
          <w:t>https://doi.org/10.1080/1369118X.2021.1873402</w:t>
        </w:r>
      </w:hyperlink>
    </w:p>
    <w:p w14:paraId="3DCD49B8" w14:textId="77777777" w:rsidR="001B57A3" w:rsidRDefault="001B57A3" w:rsidP="001B57A3">
      <w:pPr>
        <w:spacing w:after="70"/>
        <w:ind w:left="360" w:hanging="360"/>
      </w:pPr>
      <w:r>
        <w:t xml:space="preserve">Virgin Media O2. (2026). </w:t>
      </w:r>
      <w:r>
        <w:rPr>
          <w:rStyle w:val="Emphasis"/>
        </w:rPr>
        <w:t>O2 doubles down on mobile network improvements in 2026 with £700m investment</w:t>
      </w:r>
      <w:r>
        <w:t xml:space="preserve">. </w:t>
      </w:r>
      <w:hyperlink r:id="rId25" w:tgtFrame="_new" w:history="1">
        <w:r>
          <w:rPr>
            <w:rStyle w:val="Hyperlink"/>
          </w:rPr>
          <w:t>https://news.virginmediao2.co.uk/o2-doubles-down-on-mobile-network-improvements-in-2026-with-700m-investment/</w:t>
        </w:r>
      </w:hyperlink>
    </w:p>
    <w:p w14:paraId="0791E0C1" w14:textId="77777777" w:rsidR="001B57A3" w:rsidRDefault="001B57A3" w:rsidP="001B57A3">
      <w:pPr>
        <w:spacing w:after="70"/>
        <w:ind w:left="360" w:hanging="360"/>
      </w:pPr>
      <w:r>
        <w:t xml:space="preserve">Vodafone Group. (2026a). </w:t>
      </w:r>
      <w:r>
        <w:rPr>
          <w:rStyle w:val="Emphasis"/>
        </w:rPr>
        <w:t>Annual report 2026</w:t>
      </w:r>
      <w:r>
        <w:t xml:space="preserve">. </w:t>
      </w:r>
      <w:hyperlink r:id="rId26" w:history="1">
        <w:r w:rsidR="00D55DA3" w:rsidRPr="005048E4">
          <w:rPr>
            <w:rStyle w:val="Hyperlink"/>
          </w:rPr>
          <w:t>https://reports.investors.vodafone.com/view/500231330/3/</w:t>
        </w:r>
      </w:hyperlink>
      <w:r w:rsidR="00D55DA3">
        <w:t xml:space="preserve"> </w:t>
      </w:r>
    </w:p>
    <w:p w14:paraId="0267F57A" w14:textId="77777777" w:rsidR="001B57A3" w:rsidRDefault="001B57A3" w:rsidP="001B57A3">
      <w:pPr>
        <w:spacing w:after="70"/>
        <w:ind w:left="360" w:hanging="360"/>
      </w:pPr>
      <w:r>
        <w:t xml:space="preserve">Vodafone Group. (2026b). </w:t>
      </w:r>
      <w:r>
        <w:rPr>
          <w:rStyle w:val="Emphasis"/>
        </w:rPr>
        <w:t>Vodafone takes full ownership of VodafoneThree</w:t>
      </w:r>
      <w:r>
        <w:t xml:space="preserve">. </w:t>
      </w:r>
      <w:hyperlink r:id="rId27" w:tgtFrame="_new" w:history="1">
        <w:r>
          <w:rPr>
            <w:rStyle w:val="Hyperlink"/>
          </w:rPr>
          <w:t>https://www.vodafone.com/news/newsroom/corporate-and-financial/vodafone-takes-full-ownership-of-vodafonethree</w:t>
        </w:r>
      </w:hyperlink>
    </w:p>
    <w:p w14:paraId="694106FC" w14:textId="77777777" w:rsidR="001B57A3" w:rsidRDefault="001B57A3" w:rsidP="001B57A3">
      <w:pPr>
        <w:spacing w:after="70"/>
        <w:ind w:left="360" w:hanging="360"/>
      </w:pPr>
      <w:r>
        <w:t xml:space="preserve">Vodafone UK. (2025). </w:t>
      </w:r>
      <w:proofErr w:type="spellStart"/>
      <w:r>
        <w:rPr>
          <w:rStyle w:val="Emphasis"/>
        </w:rPr>
        <w:t>everyone.connected</w:t>
      </w:r>
      <w:proofErr w:type="spellEnd"/>
      <w:r>
        <w:t xml:space="preserve">. </w:t>
      </w:r>
      <w:hyperlink r:id="rId28" w:tgtFrame="_new" w:history="1">
        <w:r>
          <w:rPr>
            <w:rStyle w:val="Hyperlink"/>
          </w:rPr>
          <w:t>https://www.vodafone.co.uk/mobile/everyone-connected</w:t>
        </w:r>
      </w:hyperlink>
    </w:p>
    <w:p w14:paraId="7EB5DE31" w14:textId="77777777" w:rsidR="001B57A3" w:rsidRDefault="001B57A3" w:rsidP="001B57A3">
      <w:pPr>
        <w:spacing w:after="70"/>
        <w:ind w:left="360" w:hanging="360"/>
      </w:pPr>
      <w:r>
        <w:t xml:space="preserve">VodafoneThree. (2026). </w:t>
      </w:r>
      <w:r>
        <w:rPr>
          <w:rStyle w:val="Emphasis"/>
        </w:rPr>
        <w:t>VodafoneThree network awards and recognition 2026</w:t>
      </w:r>
      <w:r>
        <w:t xml:space="preserve">. </w:t>
      </w:r>
      <w:hyperlink r:id="rId29" w:tgtFrame="_new" w:history="1">
        <w:r>
          <w:rPr>
            <w:rStyle w:val="Hyperlink"/>
          </w:rPr>
          <w:t>https://www.vodafone.co.uk/newscentre/news/network-awards-and-recognition/</w:t>
        </w:r>
      </w:hyperlink>
    </w:p>
    <w:p w14:paraId="2219FD2E" w14:textId="77777777" w:rsidR="001B57A3" w:rsidRDefault="00D55DA3" w:rsidP="001B57A3">
      <w:pPr>
        <w:spacing w:after="70"/>
        <w:ind w:left="360" w:hanging="360"/>
      </w:pPr>
      <w:r w:rsidRPr="00D55DA3">
        <w:rPr>
          <w:rFonts w:cs="Times New Roman"/>
          <w:color w:val="222222"/>
          <w:szCs w:val="20"/>
          <w:shd w:val="clear" w:color="auto" w:fill="FFFFFF"/>
        </w:rPr>
        <w:t xml:space="preserve">Vrontis, D., Belas, J., </w:t>
      </w:r>
      <w:proofErr w:type="spellStart"/>
      <w:r w:rsidRPr="00D55DA3">
        <w:rPr>
          <w:rFonts w:cs="Times New Roman"/>
          <w:color w:val="222222"/>
          <w:szCs w:val="20"/>
          <w:shd w:val="clear" w:color="auto" w:fill="FFFFFF"/>
        </w:rPr>
        <w:t>Thrassou</w:t>
      </w:r>
      <w:proofErr w:type="spellEnd"/>
      <w:r w:rsidRPr="00D55DA3">
        <w:rPr>
          <w:rFonts w:cs="Times New Roman"/>
          <w:color w:val="222222"/>
          <w:szCs w:val="20"/>
          <w:shd w:val="clear" w:color="auto" w:fill="FFFFFF"/>
        </w:rPr>
        <w:t>, A., Santoro, G., &amp; Christofi, M. (2023). Strategic agility, openness and performance: a mixed method comparative analysis of firms operating in developed and emerging markets. </w:t>
      </w:r>
      <w:r w:rsidRPr="00D55DA3">
        <w:rPr>
          <w:rFonts w:cs="Times New Roman"/>
          <w:i/>
          <w:iCs/>
          <w:color w:val="222222"/>
          <w:szCs w:val="20"/>
          <w:shd w:val="clear" w:color="auto" w:fill="FFFFFF"/>
        </w:rPr>
        <w:t>Review of managerial science</w:t>
      </w:r>
      <w:r w:rsidRPr="00D55DA3">
        <w:rPr>
          <w:rFonts w:cs="Times New Roman"/>
          <w:color w:val="222222"/>
          <w:szCs w:val="20"/>
          <w:shd w:val="clear" w:color="auto" w:fill="FFFFFF"/>
        </w:rPr>
        <w:t>, </w:t>
      </w:r>
      <w:r w:rsidRPr="00D55DA3">
        <w:rPr>
          <w:rFonts w:cs="Times New Roman"/>
          <w:i/>
          <w:iCs/>
          <w:color w:val="222222"/>
          <w:szCs w:val="20"/>
          <w:shd w:val="clear" w:color="auto" w:fill="FFFFFF"/>
        </w:rPr>
        <w:t>17</w:t>
      </w:r>
      <w:r w:rsidRPr="00D55DA3">
        <w:rPr>
          <w:rFonts w:cs="Times New Roman"/>
          <w:color w:val="222222"/>
          <w:szCs w:val="20"/>
          <w:shd w:val="clear" w:color="auto" w:fill="FFFFFF"/>
        </w:rPr>
        <w:t xml:space="preserve">(4), 1365-1398. </w:t>
      </w:r>
      <w:hyperlink r:id="rId30" w:tgtFrame="_new" w:history="1">
        <w:r w:rsidR="001B57A3">
          <w:rPr>
            <w:rStyle w:val="Hyperlink"/>
          </w:rPr>
          <w:t>https://doi.org/10.1007/s11846-022-00562-4</w:t>
        </w:r>
      </w:hyperlink>
    </w:p>
    <w:p w14:paraId="5A129F75" w14:textId="77777777" w:rsidR="001B57A3" w:rsidRDefault="001B57A3" w:rsidP="001B57A3">
      <w:pPr>
        <w:spacing w:after="70"/>
        <w:ind w:left="360" w:hanging="360"/>
      </w:pPr>
      <w:r>
        <w:lastRenderedPageBreak/>
        <w:t xml:space="preserve">Whalley, J., &amp; Curwen, P. (2024). Creating value from 5G: The challenge for mobile operators. </w:t>
      </w:r>
      <w:r>
        <w:rPr>
          <w:rStyle w:val="Emphasis"/>
        </w:rPr>
        <w:t>Telecommunications Policy, 48</w:t>
      </w:r>
      <w:r>
        <w:t xml:space="preserve">(2), Article 102647. </w:t>
      </w:r>
      <w:hyperlink r:id="rId31" w:tgtFrame="_new" w:history="1">
        <w:r>
          <w:rPr>
            <w:rStyle w:val="Hyperlink"/>
          </w:rPr>
          <w:t>https://doi.org/10.1016/j.telpol.2023.102647</w:t>
        </w:r>
      </w:hyperlink>
    </w:p>
    <w:p w14:paraId="177C2BDD" w14:textId="77777777" w:rsidR="001B57A3" w:rsidRPr="001B57A3" w:rsidRDefault="001B57A3" w:rsidP="001B57A3"/>
    <w:sectPr w:rsidR="001B57A3" w:rsidRPr="001B57A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A99CB" w14:textId="77777777" w:rsidR="00B10F56" w:rsidRDefault="00B10F56" w:rsidP="004876D4">
      <w:pPr>
        <w:spacing w:after="0" w:line="240" w:lineRule="auto"/>
      </w:pPr>
      <w:r>
        <w:separator/>
      </w:r>
    </w:p>
  </w:endnote>
  <w:endnote w:type="continuationSeparator" w:id="0">
    <w:p w14:paraId="7F7C846D" w14:textId="77777777" w:rsidR="00B10F56" w:rsidRDefault="00B10F56" w:rsidP="00487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1747D" w14:textId="77777777" w:rsidR="00B10F56" w:rsidRDefault="00B10F56" w:rsidP="004876D4">
      <w:pPr>
        <w:spacing w:after="0" w:line="240" w:lineRule="auto"/>
      </w:pPr>
      <w:r>
        <w:separator/>
      </w:r>
    </w:p>
  </w:footnote>
  <w:footnote w:type="continuationSeparator" w:id="0">
    <w:p w14:paraId="5CDC5C92" w14:textId="77777777" w:rsidR="00B10F56" w:rsidRDefault="00B10F56" w:rsidP="004876D4">
      <w:pPr>
        <w:spacing w:after="0" w:line="240" w:lineRule="auto"/>
      </w:pPr>
      <w:r>
        <w:continuationSeparator/>
      </w:r>
    </w:p>
  </w:footnote>
  <w:footnote w:id="1">
    <w:p w14:paraId="65315BF4" w14:textId="30C8BF21" w:rsidR="00F043C2" w:rsidRPr="00F043C2" w:rsidRDefault="00F043C2">
      <w:pPr>
        <w:pStyle w:val="FootnoteText"/>
        <w:rPr>
          <w:lang w:val="en-GB"/>
        </w:rPr>
      </w:pPr>
      <w:r>
        <w:rPr>
          <w:rStyle w:val="FootnoteReference"/>
        </w:rPr>
        <w:footnoteRef/>
      </w:r>
      <w:r>
        <w:t xml:space="preserve"> </w:t>
      </w:r>
      <w:r>
        <w:rPr>
          <w:lang w:val="en-GB"/>
        </w:rPr>
        <w:t>Vodafone 2026</w:t>
      </w:r>
    </w:p>
  </w:footnote>
  <w:footnote w:id="2">
    <w:p w14:paraId="141F1DF7" w14:textId="54CFC07E" w:rsidR="00F043C2" w:rsidRPr="00F043C2" w:rsidRDefault="00F043C2">
      <w:pPr>
        <w:pStyle w:val="FootnoteText"/>
        <w:rPr>
          <w:lang w:val="en-GB"/>
        </w:rPr>
      </w:pPr>
      <w:r>
        <w:rPr>
          <w:rStyle w:val="FootnoteReference"/>
        </w:rPr>
        <w:footnoteRef/>
      </w:r>
      <w:r>
        <w:t xml:space="preserve"> </w:t>
      </w:r>
      <w:r>
        <w:rPr>
          <w:lang w:val="en-GB"/>
        </w:rPr>
        <w:t>CK Hutchinson</w:t>
      </w:r>
    </w:p>
  </w:footnote>
  <w:footnote w:id="3">
    <w:p w14:paraId="10EA81C0" w14:textId="2D357ACE" w:rsidR="00F043C2" w:rsidRPr="00F043C2" w:rsidRDefault="00F043C2">
      <w:pPr>
        <w:pStyle w:val="FootnoteText"/>
        <w:rPr>
          <w:lang w:val="en-GB"/>
        </w:rPr>
      </w:pPr>
      <w:r>
        <w:rPr>
          <w:rStyle w:val="FootnoteReference"/>
        </w:rPr>
        <w:footnoteRef/>
      </w:r>
      <w:r>
        <w:t xml:space="preserve"> </w:t>
      </w:r>
      <w:r>
        <w:rPr>
          <w:lang w:val="en-GB"/>
        </w:rPr>
        <w:t>Vodafone group</w:t>
      </w:r>
    </w:p>
  </w:footnote>
  <w:footnote w:id="4">
    <w:p w14:paraId="3CEB61DC" w14:textId="63CD1699" w:rsidR="00F043C2" w:rsidRPr="00F043C2" w:rsidRDefault="00F043C2">
      <w:pPr>
        <w:pStyle w:val="FootnoteText"/>
        <w:rPr>
          <w:lang w:val="en-GB"/>
        </w:rPr>
      </w:pPr>
      <w:r>
        <w:rPr>
          <w:rStyle w:val="FootnoteReference"/>
        </w:rPr>
        <w:footnoteRef/>
      </w:r>
      <w:r>
        <w:t xml:space="preserve"> </w:t>
      </w:r>
      <w:r>
        <w:rPr>
          <w:lang w:val="en-GB"/>
        </w:rPr>
        <w:t>Grant 2021</w:t>
      </w:r>
    </w:p>
  </w:footnote>
  <w:footnote w:id="5">
    <w:p w14:paraId="5EDEFC67" w14:textId="2D0D7E38" w:rsidR="00F043C2" w:rsidRPr="00F043C2" w:rsidRDefault="00F043C2">
      <w:pPr>
        <w:pStyle w:val="FootnoteText"/>
        <w:rPr>
          <w:lang w:val="en-GB"/>
        </w:rPr>
      </w:pPr>
      <w:r>
        <w:rPr>
          <w:rStyle w:val="FootnoteReference"/>
        </w:rPr>
        <w:footnoteRef/>
      </w:r>
      <w:r>
        <w:t xml:space="preserve"> </w:t>
      </w:r>
      <w:r w:rsidRPr="00F043C2">
        <w:t>Whalley and Curwen (2024)</w:t>
      </w:r>
    </w:p>
  </w:footnote>
  <w:footnote w:id="6">
    <w:p w14:paraId="6D8962B1" w14:textId="4DBC1035" w:rsidR="00F043C2" w:rsidRPr="00F043C2" w:rsidRDefault="00F043C2">
      <w:pPr>
        <w:pStyle w:val="FootnoteText"/>
        <w:rPr>
          <w:lang w:val="en-GB"/>
        </w:rPr>
      </w:pPr>
      <w:r>
        <w:rPr>
          <w:rStyle w:val="FootnoteReference"/>
        </w:rPr>
        <w:footnoteRef/>
      </w:r>
      <w:r>
        <w:t xml:space="preserve"> </w:t>
      </w:r>
      <w:r w:rsidRPr="00F043C2">
        <w:t>Haucap (2021)</w:t>
      </w:r>
    </w:p>
  </w:footnote>
  <w:footnote w:id="7">
    <w:p w14:paraId="5FDB0D8E" w14:textId="72AF1321" w:rsidR="00F043C2" w:rsidRPr="00F043C2" w:rsidRDefault="00F043C2">
      <w:pPr>
        <w:pStyle w:val="FootnoteText"/>
        <w:rPr>
          <w:lang w:val="en-GB"/>
        </w:rPr>
      </w:pPr>
      <w:r>
        <w:rPr>
          <w:rStyle w:val="FootnoteReference"/>
        </w:rPr>
        <w:footnoteRef/>
      </w:r>
      <w:r>
        <w:t xml:space="preserve"> </w:t>
      </w:r>
      <w:r w:rsidRPr="00F043C2">
        <w:t>(CMA, 2024).</w:t>
      </w:r>
    </w:p>
  </w:footnote>
  <w:footnote w:id="8">
    <w:p w14:paraId="115E7CDE" w14:textId="6319B3AD" w:rsidR="00F043C2" w:rsidRPr="00F043C2" w:rsidRDefault="00F043C2">
      <w:pPr>
        <w:pStyle w:val="FootnoteText"/>
        <w:rPr>
          <w:lang w:val="en-GB"/>
        </w:rPr>
      </w:pPr>
      <w:r>
        <w:rPr>
          <w:rStyle w:val="FootnoteReference"/>
        </w:rPr>
        <w:footnoteRef/>
      </w:r>
      <w:r>
        <w:t xml:space="preserve"> </w:t>
      </w:r>
      <w:r>
        <w:rPr>
          <w:lang w:val="en-GB"/>
        </w:rPr>
        <w:t>Vodafone 2006</w:t>
      </w:r>
    </w:p>
  </w:footnote>
  <w:footnote w:id="9">
    <w:p w14:paraId="4BB09F27" w14:textId="7CAD19E1" w:rsidR="00F043C2" w:rsidRPr="00F043C2" w:rsidRDefault="00F043C2">
      <w:pPr>
        <w:pStyle w:val="FootnoteText"/>
        <w:rPr>
          <w:lang w:val="en-GB"/>
        </w:rPr>
      </w:pPr>
      <w:r>
        <w:rPr>
          <w:rStyle w:val="FootnoteReference"/>
        </w:rPr>
        <w:footnoteRef/>
      </w:r>
      <w:r>
        <w:t xml:space="preserve"> </w:t>
      </w:r>
      <w:r w:rsidRPr="00F043C2">
        <w:t>Tsatsou, 2022; Vodafone UK, 2025</w:t>
      </w:r>
    </w:p>
  </w:footnote>
  <w:footnote w:id="10">
    <w:p w14:paraId="69D3E94B" w14:textId="76AF1C0A" w:rsidR="00F043C2" w:rsidRPr="00F043C2" w:rsidRDefault="00F043C2">
      <w:pPr>
        <w:pStyle w:val="FootnoteText"/>
        <w:rPr>
          <w:lang w:val="en-GB"/>
        </w:rPr>
      </w:pPr>
      <w:r>
        <w:rPr>
          <w:rStyle w:val="FootnoteReference"/>
        </w:rPr>
        <w:footnoteRef/>
      </w:r>
      <w:r>
        <w:t xml:space="preserve"> </w:t>
      </w:r>
      <w:r w:rsidRPr="00F043C2">
        <w:t>(BT Group, 2026; Virgin Media O2, 2026).</w:t>
      </w:r>
    </w:p>
  </w:footnote>
  <w:footnote w:id="11">
    <w:p w14:paraId="5E626955" w14:textId="61C97043" w:rsidR="00F043C2" w:rsidRPr="00F043C2" w:rsidRDefault="00F043C2">
      <w:pPr>
        <w:pStyle w:val="FootnoteText"/>
        <w:rPr>
          <w:lang w:val="en-GB"/>
        </w:rPr>
      </w:pPr>
      <w:r>
        <w:rPr>
          <w:rStyle w:val="FootnoteReference"/>
        </w:rPr>
        <w:footnoteRef/>
      </w:r>
      <w:r>
        <w:t xml:space="preserve"> </w:t>
      </w:r>
      <w:r w:rsidRPr="00F043C2">
        <w:t>(Kalia et al., 2021; Ribeiro et al., 2024).</w:t>
      </w:r>
    </w:p>
  </w:footnote>
  <w:footnote w:id="12">
    <w:p w14:paraId="6883514F" w14:textId="457630B1" w:rsidR="00F043C2" w:rsidRPr="00F043C2" w:rsidRDefault="00F043C2">
      <w:pPr>
        <w:pStyle w:val="FootnoteText"/>
        <w:rPr>
          <w:lang w:val="en-GB"/>
        </w:rPr>
      </w:pPr>
      <w:r>
        <w:rPr>
          <w:rStyle w:val="FootnoteReference"/>
        </w:rPr>
        <w:footnoteRef/>
      </w:r>
      <w:r>
        <w:t xml:space="preserve"> </w:t>
      </w:r>
      <w:r w:rsidRPr="00F043C2">
        <w:t>Kroon (2022),</w:t>
      </w:r>
    </w:p>
  </w:footnote>
  <w:footnote w:id="13">
    <w:p w14:paraId="17FD9304" w14:textId="150C14DA" w:rsidR="007A2C83" w:rsidRPr="007A2C83" w:rsidRDefault="007A2C83">
      <w:pPr>
        <w:pStyle w:val="FootnoteText"/>
        <w:rPr>
          <w:lang w:val="en-GB"/>
        </w:rPr>
      </w:pPr>
      <w:r>
        <w:rPr>
          <w:rStyle w:val="FootnoteReference"/>
        </w:rPr>
        <w:footnoteRef/>
      </w:r>
      <w:r>
        <w:t xml:space="preserve"> </w:t>
      </w:r>
      <w:r w:rsidRPr="007A2C83">
        <w:t>Dhir et al., 2020</w:t>
      </w:r>
    </w:p>
  </w:footnote>
  <w:footnote w:id="14">
    <w:p w14:paraId="242B7C01" w14:textId="3BB649F9" w:rsidR="007A2C83" w:rsidRPr="007A2C83" w:rsidRDefault="007A2C83">
      <w:pPr>
        <w:pStyle w:val="FootnoteText"/>
        <w:rPr>
          <w:lang w:val="en-GB"/>
        </w:rPr>
      </w:pPr>
      <w:r>
        <w:rPr>
          <w:rStyle w:val="FootnoteReference"/>
        </w:rPr>
        <w:footnoteRef/>
      </w:r>
      <w:r>
        <w:t xml:space="preserve"> </w:t>
      </w:r>
      <w:r w:rsidRPr="007A2C83">
        <w:t>Kalia et al., 2021</w:t>
      </w:r>
    </w:p>
  </w:footnote>
  <w:footnote w:id="15">
    <w:p w14:paraId="2857A6E8" w14:textId="20CA57AE" w:rsidR="007A2C83" w:rsidRPr="007A2C83" w:rsidRDefault="007A2C83">
      <w:pPr>
        <w:pStyle w:val="FootnoteText"/>
        <w:rPr>
          <w:lang w:val="en-GB"/>
        </w:rPr>
      </w:pPr>
      <w:r>
        <w:rPr>
          <w:rStyle w:val="FootnoteReference"/>
        </w:rPr>
        <w:footnoteRef/>
      </w:r>
      <w:r>
        <w:t xml:space="preserve"> </w:t>
      </w:r>
      <w:r w:rsidRPr="007A2C83">
        <w:t xml:space="preserve">Awuku, Agyei and </w:t>
      </w:r>
      <w:proofErr w:type="spellStart"/>
      <w:r w:rsidRPr="007A2C83">
        <w:t>Gonu</w:t>
      </w:r>
      <w:proofErr w:type="spellEnd"/>
      <w:r w:rsidRPr="007A2C83">
        <w:t>, 2023</w:t>
      </w:r>
    </w:p>
  </w:footnote>
  <w:footnote w:id="16">
    <w:p w14:paraId="38D3C2E5" w14:textId="0696E546" w:rsidR="007A2C83" w:rsidRPr="007A2C83" w:rsidRDefault="007A2C83">
      <w:pPr>
        <w:pStyle w:val="FootnoteText"/>
        <w:rPr>
          <w:lang w:val="en-GB"/>
        </w:rPr>
      </w:pPr>
      <w:r>
        <w:rPr>
          <w:rStyle w:val="FootnoteReference"/>
        </w:rPr>
        <w:footnoteRef/>
      </w:r>
      <w:r>
        <w:t xml:space="preserve"> </w:t>
      </w:r>
      <w:r w:rsidRPr="007A2C83">
        <w:t>Lähteenmäki, 2021, Anantha Kumar and Oughton, 2023</w:t>
      </w:r>
    </w:p>
  </w:footnote>
  <w:footnote w:id="17">
    <w:p w14:paraId="69CBB2B2" w14:textId="604D4992" w:rsidR="007A2C83" w:rsidRPr="007A2C83" w:rsidRDefault="007A2C83">
      <w:pPr>
        <w:pStyle w:val="FootnoteText"/>
        <w:rPr>
          <w:lang w:val="en-GB"/>
        </w:rPr>
      </w:pPr>
      <w:r>
        <w:rPr>
          <w:rStyle w:val="FootnoteReference"/>
        </w:rPr>
        <w:footnoteRef/>
      </w:r>
      <w:r>
        <w:t xml:space="preserve"> </w:t>
      </w:r>
      <w:r w:rsidRPr="007A2C83">
        <w:t>Ebert and Winzer, 2024; Whalley and Curwen, 2024</w:t>
      </w:r>
    </w:p>
  </w:footnote>
  <w:footnote w:id="18">
    <w:p w14:paraId="48C5B8FA" w14:textId="07F3F030" w:rsidR="007A2C83" w:rsidRPr="007A2C83" w:rsidRDefault="007A2C83">
      <w:pPr>
        <w:pStyle w:val="FootnoteText"/>
        <w:rPr>
          <w:lang w:val="en-GB"/>
        </w:rPr>
      </w:pPr>
      <w:r>
        <w:rPr>
          <w:rStyle w:val="FootnoteReference"/>
        </w:rPr>
        <w:footnoteRef/>
      </w:r>
      <w:r>
        <w:t xml:space="preserve"> </w:t>
      </w:r>
      <w:r w:rsidRPr="007A2C83">
        <w:t>Vrontis et al., (2023)</w:t>
      </w:r>
    </w:p>
  </w:footnote>
  <w:footnote w:id="19">
    <w:p w14:paraId="075CD15B" w14:textId="5856E503" w:rsidR="007A2C83" w:rsidRPr="007A2C83" w:rsidRDefault="007A2C83">
      <w:pPr>
        <w:pStyle w:val="FootnoteText"/>
        <w:rPr>
          <w:lang w:val="en-GB"/>
        </w:rPr>
      </w:pPr>
      <w:r>
        <w:rPr>
          <w:rStyle w:val="FootnoteReference"/>
        </w:rPr>
        <w:footnoteRef/>
      </w:r>
      <w:r>
        <w:t xml:space="preserve"> </w:t>
      </w:r>
      <w:r w:rsidRPr="007A2C83">
        <w:t>(Whalley and Curwen, 2024).</w:t>
      </w:r>
    </w:p>
  </w:footnote>
  <w:footnote w:id="20">
    <w:p w14:paraId="6FB16FD4" w14:textId="44B47B6D" w:rsidR="007A2C83" w:rsidRPr="007A2C83" w:rsidRDefault="007A2C83">
      <w:pPr>
        <w:pStyle w:val="FootnoteText"/>
        <w:rPr>
          <w:lang w:val="en-GB"/>
        </w:rPr>
      </w:pPr>
      <w:r>
        <w:rPr>
          <w:rStyle w:val="FootnoteReference"/>
        </w:rPr>
        <w:footnoteRef/>
      </w:r>
      <w:r>
        <w:t xml:space="preserve"> </w:t>
      </w:r>
      <w:r w:rsidRPr="007A2C83">
        <w:t>(Grant, 2021).</w:t>
      </w:r>
    </w:p>
  </w:footnote>
  <w:footnote w:id="21">
    <w:p w14:paraId="4E2E1647" w14:textId="2CF5ED18" w:rsidR="007A2C83" w:rsidRPr="007A2C83" w:rsidRDefault="007A2C83">
      <w:pPr>
        <w:pStyle w:val="FootnoteText"/>
        <w:rPr>
          <w:lang w:val="en-GB"/>
        </w:rPr>
      </w:pPr>
      <w:r>
        <w:rPr>
          <w:rStyle w:val="FootnoteReference"/>
        </w:rPr>
        <w:footnoteRef/>
      </w:r>
      <w:r>
        <w:t xml:space="preserve"> </w:t>
      </w:r>
      <w:r w:rsidRPr="007A2C83">
        <w:t>Kroon (2022)</w:t>
      </w:r>
    </w:p>
  </w:footnote>
  <w:footnote w:id="22">
    <w:p w14:paraId="483D881F" w14:textId="7E87E79D" w:rsidR="007A2C83" w:rsidRPr="007A2C83" w:rsidRDefault="007A2C83">
      <w:pPr>
        <w:pStyle w:val="FootnoteText"/>
        <w:rPr>
          <w:lang w:val="en-GB"/>
        </w:rPr>
      </w:pPr>
      <w:r>
        <w:rPr>
          <w:rStyle w:val="FootnoteReference"/>
        </w:rPr>
        <w:footnoteRef/>
      </w:r>
      <w:r>
        <w:t xml:space="preserve"> </w:t>
      </w:r>
      <w:r w:rsidRPr="007A2C83">
        <w:t>(Tsatsou, 202</w:t>
      </w:r>
      <w:r w:rsidRPr="007A2C83">
        <w:t>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6727035"/>
      <w:docPartObj>
        <w:docPartGallery w:val="Page Numbers (Top of Page)"/>
        <w:docPartUnique/>
      </w:docPartObj>
    </w:sdtPr>
    <w:sdtEndPr>
      <w:rPr>
        <w:noProof/>
      </w:rPr>
    </w:sdtEndPr>
    <w:sdtContent>
      <w:p w14:paraId="37C9239F" w14:textId="5C4F92B2" w:rsidR="000329CD" w:rsidRDefault="000329CD" w:rsidP="00D11C57">
        <w:pPr>
          <w:pStyle w:val="Header"/>
        </w:pPr>
        <w:r>
          <w:t xml:space="preserve">Management Report                                                                                                    </w:t>
        </w:r>
        <w:r w:rsidR="00D11C57">
          <w:tab/>
        </w:r>
        <w:r>
          <w:t xml:space="preserve">  </w:t>
        </w:r>
        <w:r>
          <w:fldChar w:fldCharType="begin"/>
        </w:r>
        <w:r>
          <w:instrText xml:space="preserve"> PAGE   \* MERGEFORMAT </w:instrText>
        </w:r>
        <w:r>
          <w:fldChar w:fldCharType="separate"/>
        </w:r>
        <w:r w:rsidR="003701E3">
          <w:rPr>
            <w:noProof/>
          </w:rPr>
          <w:t>21</w:t>
        </w:r>
        <w:r>
          <w:rPr>
            <w:noProof/>
          </w:rPr>
          <w:fldChar w:fldCharType="end"/>
        </w:r>
      </w:p>
    </w:sdtContent>
  </w:sdt>
  <w:p w14:paraId="3A685098" w14:textId="77777777" w:rsidR="000329CD" w:rsidRDefault="000329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E2E94"/>
    <w:multiLevelType w:val="multilevel"/>
    <w:tmpl w:val="2BB630E4"/>
    <w:lvl w:ilvl="0">
      <w:start w:val="1"/>
      <w:numFmt w:val="decimal"/>
      <w:lvlText w:val="%1."/>
      <w:lvlJc w:val="left"/>
      <w:pPr>
        <w:ind w:left="720" w:hanging="360"/>
      </w:pPr>
      <w:rPr>
        <w:b/>
        <w:sz w:val="28"/>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00345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248E"/>
    <w:rsid w:val="00006C3E"/>
    <w:rsid w:val="000329CD"/>
    <w:rsid w:val="00067792"/>
    <w:rsid w:val="000A6915"/>
    <w:rsid w:val="000C126E"/>
    <w:rsid w:val="001469E2"/>
    <w:rsid w:val="001B57A3"/>
    <w:rsid w:val="001E0037"/>
    <w:rsid w:val="003701E3"/>
    <w:rsid w:val="003F2491"/>
    <w:rsid w:val="00432EDA"/>
    <w:rsid w:val="004736F9"/>
    <w:rsid w:val="004876D4"/>
    <w:rsid w:val="004C6364"/>
    <w:rsid w:val="00584347"/>
    <w:rsid w:val="00693990"/>
    <w:rsid w:val="0072709F"/>
    <w:rsid w:val="007A248E"/>
    <w:rsid w:val="007A2C83"/>
    <w:rsid w:val="007B0D9C"/>
    <w:rsid w:val="00B10F56"/>
    <w:rsid w:val="00C87074"/>
    <w:rsid w:val="00D11C57"/>
    <w:rsid w:val="00D55DA3"/>
    <w:rsid w:val="00D77E07"/>
    <w:rsid w:val="00D87475"/>
    <w:rsid w:val="00DB576D"/>
    <w:rsid w:val="00E22EF8"/>
    <w:rsid w:val="00EB370B"/>
    <w:rsid w:val="00F043C2"/>
    <w:rsid w:val="00F56D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7C6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6D4"/>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4876D4"/>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4876D4"/>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6D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876D4"/>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4876D4"/>
    <w:pPr>
      <w:tabs>
        <w:tab w:val="center" w:pos="4320"/>
        <w:tab w:val="right" w:pos="8640"/>
      </w:tabs>
      <w:spacing w:after="0" w:line="240" w:lineRule="auto"/>
    </w:pPr>
  </w:style>
  <w:style w:type="character" w:customStyle="1" w:styleId="HeaderChar">
    <w:name w:val="Header Char"/>
    <w:basedOn w:val="DefaultParagraphFont"/>
    <w:link w:val="Header"/>
    <w:uiPriority w:val="99"/>
    <w:rsid w:val="004876D4"/>
    <w:rPr>
      <w:rFonts w:ascii="Times New Roman" w:hAnsi="Times New Roman"/>
      <w:sz w:val="24"/>
    </w:rPr>
  </w:style>
  <w:style w:type="paragraph" w:styleId="Footer">
    <w:name w:val="footer"/>
    <w:basedOn w:val="Normal"/>
    <w:link w:val="FooterChar"/>
    <w:uiPriority w:val="99"/>
    <w:unhideWhenUsed/>
    <w:rsid w:val="004876D4"/>
    <w:pPr>
      <w:tabs>
        <w:tab w:val="center" w:pos="4320"/>
        <w:tab w:val="right" w:pos="8640"/>
      </w:tabs>
      <w:spacing w:after="0" w:line="240" w:lineRule="auto"/>
    </w:pPr>
  </w:style>
  <w:style w:type="character" w:customStyle="1" w:styleId="FooterChar">
    <w:name w:val="Footer Char"/>
    <w:basedOn w:val="DefaultParagraphFont"/>
    <w:link w:val="Footer"/>
    <w:uiPriority w:val="99"/>
    <w:rsid w:val="004876D4"/>
    <w:rPr>
      <w:rFonts w:ascii="Times New Roman" w:hAnsi="Times New Roman"/>
      <w:sz w:val="24"/>
    </w:rPr>
  </w:style>
  <w:style w:type="paragraph" w:styleId="TOCHeading">
    <w:name w:val="TOC Heading"/>
    <w:basedOn w:val="Heading1"/>
    <w:next w:val="Normal"/>
    <w:uiPriority w:val="39"/>
    <w:unhideWhenUsed/>
    <w:qFormat/>
    <w:rsid w:val="004876D4"/>
    <w:pPr>
      <w:spacing w:line="259" w:lineRule="auto"/>
      <w:outlineLvl w:val="9"/>
    </w:pPr>
    <w:rPr>
      <w:rFonts w:asciiTheme="majorHAnsi" w:hAnsiTheme="majorHAnsi"/>
      <w:b w:val="0"/>
      <w:color w:val="2E74B5" w:themeColor="accent1" w:themeShade="BF"/>
      <w:sz w:val="32"/>
      <w:lang w:eastAsia="en-US"/>
    </w:rPr>
  </w:style>
  <w:style w:type="paragraph" w:styleId="TOC1">
    <w:name w:val="toc 1"/>
    <w:basedOn w:val="Normal"/>
    <w:next w:val="Normal"/>
    <w:autoRedefine/>
    <w:uiPriority w:val="39"/>
    <w:unhideWhenUsed/>
    <w:rsid w:val="004876D4"/>
    <w:pPr>
      <w:spacing w:after="100"/>
    </w:pPr>
  </w:style>
  <w:style w:type="character" w:styleId="Hyperlink">
    <w:name w:val="Hyperlink"/>
    <w:basedOn w:val="DefaultParagraphFont"/>
    <w:uiPriority w:val="99"/>
    <w:unhideWhenUsed/>
    <w:rsid w:val="004876D4"/>
    <w:rPr>
      <w:color w:val="0563C1" w:themeColor="hyperlink"/>
      <w:u w:val="single"/>
    </w:rPr>
  </w:style>
  <w:style w:type="paragraph" w:styleId="ListParagraph">
    <w:name w:val="List Paragraph"/>
    <w:basedOn w:val="Normal"/>
    <w:uiPriority w:val="34"/>
    <w:qFormat/>
    <w:rsid w:val="004876D4"/>
    <w:pPr>
      <w:ind w:left="720"/>
      <w:contextualSpacing/>
    </w:pPr>
  </w:style>
  <w:style w:type="table" w:styleId="TableGrid">
    <w:name w:val="Table Grid"/>
    <w:basedOn w:val="TableNormal"/>
    <w:uiPriority w:val="39"/>
    <w:rsid w:val="006939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B57A3"/>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1B57A3"/>
    <w:rPr>
      <w:i/>
      <w:iCs/>
    </w:rPr>
  </w:style>
  <w:style w:type="character" w:styleId="FollowedHyperlink">
    <w:name w:val="FollowedHyperlink"/>
    <w:basedOn w:val="DefaultParagraphFont"/>
    <w:uiPriority w:val="99"/>
    <w:semiHidden/>
    <w:unhideWhenUsed/>
    <w:rsid w:val="001E0037"/>
    <w:rPr>
      <w:color w:val="954F72" w:themeColor="followedHyperlink"/>
      <w:u w:val="single"/>
    </w:rPr>
  </w:style>
  <w:style w:type="paragraph" w:styleId="TOC2">
    <w:name w:val="toc 2"/>
    <w:basedOn w:val="Normal"/>
    <w:next w:val="Normal"/>
    <w:autoRedefine/>
    <w:uiPriority w:val="39"/>
    <w:unhideWhenUsed/>
    <w:rsid w:val="00EB370B"/>
    <w:pPr>
      <w:spacing w:after="100"/>
      <w:ind w:left="240"/>
    </w:pPr>
  </w:style>
  <w:style w:type="paragraph" w:styleId="FootnoteText">
    <w:name w:val="footnote text"/>
    <w:basedOn w:val="Normal"/>
    <w:link w:val="FootnoteTextChar"/>
    <w:uiPriority w:val="99"/>
    <w:semiHidden/>
    <w:unhideWhenUsed/>
    <w:rsid w:val="00F043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43C2"/>
    <w:rPr>
      <w:rFonts w:ascii="Times New Roman" w:hAnsi="Times New Roman"/>
      <w:sz w:val="20"/>
      <w:szCs w:val="20"/>
    </w:rPr>
  </w:style>
  <w:style w:type="character" w:styleId="FootnoteReference">
    <w:name w:val="footnote reference"/>
    <w:basedOn w:val="DefaultParagraphFont"/>
    <w:uiPriority w:val="99"/>
    <w:semiHidden/>
    <w:unhideWhenUsed/>
    <w:rsid w:val="00F043C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8634305">
      <w:bodyDiv w:val="1"/>
      <w:marLeft w:val="0"/>
      <w:marRight w:val="0"/>
      <w:marTop w:val="0"/>
      <w:marBottom w:val="0"/>
      <w:divBdr>
        <w:top w:val="none" w:sz="0" w:space="0" w:color="auto"/>
        <w:left w:val="none" w:sz="0" w:space="0" w:color="auto"/>
        <w:bottom w:val="none" w:sz="0" w:space="0" w:color="auto"/>
        <w:right w:val="none" w:sz="0" w:space="0" w:color="auto"/>
      </w:divBdr>
    </w:div>
    <w:div w:id="1114835076">
      <w:bodyDiv w:val="1"/>
      <w:marLeft w:val="0"/>
      <w:marRight w:val="0"/>
      <w:marTop w:val="0"/>
      <w:marBottom w:val="0"/>
      <w:divBdr>
        <w:top w:val="none" w:sz="0" w:space="0" w:color="auto"/>
        <w:left w:val="none" w:sz="0" w:space="0" w:color="auto"/>
        <w:bottom w:val="none" w:sz="0" w:space="0" w:color="auto"/>
        <w:right w:val="none" w:sz="0" w:space="0" w:color="auto"/>
      </w:divBdr>
    </w:div>
    <w:div w:id="136547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cma-clears-vodafone-three-merger-subject-to-legally-binding-commitments?utm_source=chatgpt.com" TargetMode="External"/><Relationship Id="rId18" Type="http://schemas.openxmlformats.org/officeDocument/2006/relationships/hyperlink" Target="https://doi.org/10.1111/joms.12766" TargetMode="External"/><Relationship Id="rId26" Type="http://schemas.openxmlformats.org/officeDocument/2006/relationships/hyperlink" Target="https://reports.investors.vodafone.com/view/500231330/3/" TargetMode="External"/><Relationship Id="rId3" Type="http://schemas.openxmlformats.org/officeDocument/2006/relationships/styles" Target="styles.xml"/><Relationship Id="rId21" Type="http://schemas.openxmlformats.org/officeDocument/2006/relationships/hyperlink" Target="https://www.ofcom.org.uk/phones-and-broadband/coverage-and-speeds/brits-devour-data-at-record-levels-as-mobile-networks-race-to-improve-5g" TargetMode="External"/><Relationship Id="rId7" Type="http://schemas.openxmlformats.org/officeDocument/2006/relationships/endnotes" Target="endnotes.xml"/><Relationship Id="rId12" Type="http://schemas.openxmlformats.org/officeDocument/2006/relationships/hyperlink" Target="https://www.bt.com/about/investors/financial-reporting-and-news/annual-reports?utm_source=chatgpt.com" TargetMode="External"/><Relationship Id="rId17" Type="http://schemas.openxmlformats.org/officeDocument/2006/relationships/hyperlink" Target="https://doi.org/10.1108/TQM-04-2021-0108" TargetMode="External"/><Relationship Id="rId25" Type="http://schemas.openxmlformats.org/officeDocument/2006/relationships/hyperlink" Target="https://news.virginmediao2.co.uk/o2-doubles-down-on-mobile-network-improvements-in-2026-with-700m-investment/?utm_source=chatgpt.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02683962231219518" TargetMode="External"/><Relationship Id="rId20" Type="http://schemas.openxmlformats.org/officeDocument/2006/relationships/hyperlink" Target="https://doi.org/10.1016/j.telpol.2020.102086" TargetMode="External"/><Relationship Id="rId29" Type="http://schemas.openxmlformats.org/officeDocument/2006/relationships/hyperlink" Target="https://www.vodafone.co.uk/newscentre/news/network-awards-and-recognition/?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1756-2171.12405" TargetMode="External"/><Relationship Id="rId24" Type="http://schemas.openxmlformats.org/officeDocument/2006/relationships/hyperlink" Target="https://doi.org/10.1080/1369118X.2021.187340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57/s41272-023-00467-1" TargetMode="External"/><Relationship Id="rId23" Type="http://schemas.openxmlformats.org/officeDocument/2006/relationships/hyperlink" Target="https://doi.org/10.1177/21582440241245191" TargetMode="External"/><Relationship Id="rId28" Type="http://schemas.openxmlformats.org/officeDocument/2006/relationships/hyperlink" Target="https://www.vodafone.co.uk/mobile/everyone-connected?utm_source=chatgpt.com" TargetMode="External"/><Relationship Id="rId10" Type="http://schemas.openxmlformats.org/officeDocument/2006/relationships/hyperlink" Target="https://doi.org/10.1371/journal.pone.0282588?utm_source=chatgpt.com" TargetMode="External"/><Relationship Id="rId19" Type="http://schemas.openxmlformats.org/officeDocument/2006/relationships/hyperlink" Target="https://doi.org/10.1016/j.telpol.2021.102201?utm_source=chatgpt.com" TargetMode="External"/><Relationship Id="rId31" Type="http://schemas.openxmlformats.org/officeDocument/2006/relationships/hyperlink" Target="https://doi.org/10.1016/j.telpol.2023.102647" TargetMode="External"/><Relationship Id="rId4" Type="http://schemas.openxmlformats.org/officeDocument/2006/relationships/settings" Target="settings.xml"/><Relationship Id="rId9" Type="http://schemas.openxmlformats.org/officeDocument/2006/relationships/hyperlink" Target="https://doi.org/10.3389/fcomp.2023.1191853?utm_source=chatgpt.com" TargetMode="External"/><Relationship Id="rId14" Type="http://schemas.openxmlformats.org/officeDocument/2006/relationships/hyperlink" Target="https://doi.org/10.1016/j.jbusres.2019.02.056" TargetMode="External"/><Relationship Id="rId22" Type="http://schemas.openxmlformats.org/officeDocument/2006/relationships/hyperlink" Target="https://www.ofcom.org.uk/phones-and-broadband/mobile-phones/mobile-matters-download-speeds-connection-rates-and-latency-levels-revealed" TargetMode="External"/><Relationship Id="rId27" Type="http://schemas.openxmlformats.org/officeDocument/2006/relationships/hyperlink" Target="https://www.vodafone.com/news/newsroom/corporate-and-financial/vodafone-takes-full-ownership-of-vodafonethree?utm_source=chatgpt.com" TargetMode="External"/><Relationship Id="rId30" Type="http://schemas.openxmlformats.org/officeDocument/2006/relationships/hyperlink" Target="https://doi.org/10.1007/s11846-022-00562-4?utm_source=chatgpt.com"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AFD38B3-74CE-4F8D-AE69-ABA156285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5194</Words>
  <Characters>29609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2026-08-06T13:38:00Z</dcterms:created>
  <dcterms:modified xsi:type="dcterms:W3CDTF">2026-08-06T13:38:00Z</dcterms:modified>
</cp:coreProperties>
</file>