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0C89320A" w14:textId="77777777" w:rsidR="00C779A2" w:rsidRDefault="00C779A2">
          <w:pPr>
            <w:pStyle w:val="NoSpacing"/>
          </w:pPr>
          <w:r>
            <w:rPr>
              <w:noProof/>
              <w:lang w:val="en-GB" w:eastAsia="en-GB"/>
            </w:rPr>
            <mc:AlternateContent>
              <mc:Choice Requires="wpg">
                <w:drawing>
                  <wp:anchor distT="0" distB="0" distL="114300" distR="114300" simplePos="0" relativeHeight="251659264" behindDoc="1" locked="0" layoutInCell="1" allowOverlap="1" wp14:anchorId="3A2811E5" wp14:editId="2E4352B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EndPr/>
                                  <w:sdtContent>
                                    <w:p w14:paraId="319ECFAC" w14:textId="69E693F5" w:rsidR="00C779A2" w:rsidRDefault="004C54EF">
                                      <w:pPr>
                                        <w:pStyle w:val="NoSpacing"/>
                                        <w:jc w:val="right"/>
                                        <w:rPr>
                                          <w:color w:val="FFFFFF" w:themeColor="background1"/>
                                          <w:sz w:val="28"/>
                                          <w:szCs w:val="28"/>
                                        </w:rPr>
                                      </w:pPr>
                                      <w:r>
                                        <w:rPr>
                                          <w:color w:val="FFFFFF" w:themeColor="background1"/>
                                          <w:sz w:val="28"/>
                                          <w:szCs w:val="28"/>
                                        </w:rPr>
                                        <w:t>12/18/2025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2811E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8T00:00:00Z">
                                <w:dateFormat w:val="M/d/yyyy"/>
                                <w:lid w:val="en-US"/>
                                <w:storeMappedDataAs w:val="dateTime"/>
                                <w:calendar w:val="gregorian"/>
                              </w:date>
                            </w:sdtPr>
                            <w:sdtEndPr/>
                            <w:sdtContent>
                              <w:p w14:paraId="319ECFAC" w14:textId="69E693F5" w:rsidR="00C779A2" w:rsidRDefault="004C54EF">
                                <w:pPr>
                                  <w:pStyle w:val="NoSpacing"/>
                                  <w:jc w:val="right"/>
                                  <w:rPr>
                                    <w:color w:val="FFFFFF" w:themeColor="background1"/>
                                    <w:sz w:val="28"/>
                                    <w:szCs w:val="28"/>
                                  </w:rPr>
                                </w:pPr>
                                <w:r>
                                  <w:rPr>
                                    <w:color w:val="FFFFFF" w:themeColor="background1"/>
                                    <w:sz w:val="28"/>
                                    <w:szCs w:val="28"/>
                                  </w:rPr>
                                  <w:t>12/18/2025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7C8E5C2" wp14:editId="212334E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4BB807" w14:textId="77777777" w:rsidR="00C779A2" w:rsidRPr="00C779A2" w:rsidRDefault="00F66719">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54DFC5F3" w14:textId="77777777" w:rsidR="00C779A2" w:rsidRDefault="00F66719">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C8E5C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54BB807" w14:textId="77777777" w:rsidR="00C779A2" w:rsidRPr="00C779A2" w:rsidRDefault="00F66719">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End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54DFC5F3" w14:textId="77777777" w:rsidR="00C779A2" w:rsidRDefault="00F66719">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EndPr/>
                            <w:sdtContent>
                              <w:r w:rsidR="00C779A2">
                                <w:rPr>
                                  <w:color w:val="404040" w:themeColor="text1" w:themeTint="BF"/>
                                  <w:sz w:val="36"/>
                                  <w:szCs w:val="36"/>
                                </w:rPr>
                                <w:t xml:space="preserve">     </w:t>
                              </w:r>
                            </w:sdtContent>
                          </w:sdt>
                        </w:p>
                      </w:txbxContent>
                    </v:textbox>
                    <w10:wrap anchorx="page" anchory="page"/>
                  </v:shape>
                </w:pict>
              </mc:Fallback>
            </mc:AlternateContent>
          </w:r>
        </w:p>
        <w:p w14:paraId="06517012" w14:textId="77777777" w:rsidR="00C779A2" w:rsidRDefault="006A40DA">
          <w:pPr>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67456" behindDoc="0" locked="0" layoutInCell="1" allowOverlap="1" wp14:anchorId="5EB1F55C" wp14:editId="6C1EAA07">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1FF528C7"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1F55C"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">
                    <v:textbox>
                      <w:txbxContent>
                        <w:p w14:paraId="1FF528C7"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65408" behindDoc="0" locked="0" layoutInCell="1" allowOverlap="1" wp14:anchorId="6F6DC60D" wp14:editId="6153D622">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3B4D22FA" w14:textId="0933EDEE"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4C54EF">
                                  <w:rPr>
                                    <w:i/>
                                    <w:iCs/>
                                    <w:color w:val="5B9BD5" w:themeColor="accent1"/>
                                    <w:sz w:val="24"/>
                                    <w:szCs w:val="24"/>
                                  </w:rPr>
                                  <w:t xml:space="preserve"> </w:t>
                                </w:r>
                                <w:r w:rsidR="004C54EF" w:rsidRPr="004C54EF">
                                  <w:rPr>
                                    <w:b/>
                                    <w:bCs/>
                                    <w:i/>
                                    <w:iCs/>
                                    <w:color w:val="2E74B5" w:themeColor="accent1" w:themeShade="BF"/>
                                    <w:sz w:val="24"/>
                                    <w:szCs w:val="24"/>
                                  </w:rPr>
                                  <w:t>Mohama Bagher Ghotbi Karimi</w:t>
                                </w:r>
                              </w:p>
                              <w:p w14:paraId="19439349" w14:textId="04C809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4C54EF">
                                  <w:rPr>
                                    <w:i/>
                                    <w:iCs/>
                                    <w:color w:val="5B9BD5" w:themeColor="accent1"/>
                                    <w:sz w:val="24"/>
                                    <w:szCs w:val="24"/>
                                  </w:rPr>
                                  <w:t xml:space="preserve">: </w:t>
                                </w:r>
                                <w:r w:rsidR="004C54EF" w:rsidRPr="004C54EF">
                                  <w:rPr>
                                    <w:b/>
                                    <w:bCs/>
                                    <w:i/>
                                    <w:iCs/>
                                    <w:color w:val="2E74B5" w:themeColor="accent1" w:themeShade="BF"/>
                                    <w:sz w:val="24"/>
                                    <w:szCs w:val="24"/>
                                  </w:rPr>
                                  <w:t>2422377</w:t>
                                </w:r>
                              </w:p>
                              <w:p w14:paraId="50760F6A"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6DC60D"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" filled="f" stroked="f">
                    <v:textbox>
                      <w:txbxContent>
                        <w:p w14:paraId="3B4D22FA" w14:textId="0933EDEE"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4C54EF">
                            <w:rPr>
                              <w:i/>
                              <w:iCs/>
                              <w:color w:val="5B9BD5" w:themeColor="accent1"/>
                              <w:sz w:val="24"/>
                              <w:szCs w:val="24"/>
                            </w:rPr>
                            <w:t xml:space="preserve"> </w:t>
                          </w:r>
                          <w:r w:rsidR="004C54EF" w:rsidRPr="004C54EF">
                            <w:rPr>
                              <w:b/>
                              <w:bCs/>
                              <w:i/>
                              <w:iCs/>
                              <w:color w:val="2E74B5" w:themeColor="accent1" w:themeShade="BF"/>
                              <w:sz w:val="24"/>
                              <w:szCs w:val="24"/>
                            </w:rPr>
                            <w:t>Mohama Bagher Ghotbi Karimi</w:t>
                          </w:r>
                        </w:p>
                        <w:p w14:paraId="19439349" w14:textId="04C809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Number</w:t>
                          </w:r>
                          <w:r w:rsidR="004C54EF">
                            <w:rPr>
                              <w:i/>
                              <w:iCs/>
                              <w:color w:val="5B9BD5" w:themeColor="accent1"/>
                              <w:sz w:val="24"/>
                              <w:szCs w:val="24"/>
                            </w:rPr>
                            <w:t xml:space="preserve">: </w:t>
                          </w:r>
                          <w:r w:rsidR="004C54EF" w:rsidRPr="004C54EF">
                            <w:rPr>
                              <w:b/>
                              <w:bCs/>
                              <w:i/>
                              <w:iCs/>
                              <w:color w:val="2E74B5" w:themeColor="accent1" w:themeShade="BF"/>
                              <w:sz w:val="24"/>
                              <w:szCs w:val="24"/>
                            </w:rPr>
                            <w:t>2422377</w:t>
                          </w:r>
                        </w:p>
                        <w:p w14:paraId="50760F6A"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63360" behindDoc="0" locked="0" layoutInCell="1" allowOverlap="1" wp14:anchorId="684AC877" wp14:editId="17F96F93">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7D450C1F"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5CEEFA32" w14:textId="77777777" w:rsidR="00C779A2" w:rsidRPr="00C779A2" w:rsidRDefault="00C779A2" w:rsidP="00C779A2">
          <w:pPr>
            <w:rPr>
              <w:rFonts w:ascii="Arial" w:hAnsi="Arial" w:cs="Arial"/>
            </w:rPr>
          </w:pPr>
          <w:r w:rsidRPr="00C779A2">
            <w:rPr>
              <w:rFonts w:ascii="Arial" w:hAnsi="Arial" w:cs="Arial"/>
              <w:sz w:val="36"/>
              <w:szCs w:val="36"/>
            </w:rPr>
            <w:t>Table of Contents</w:t>
          </w:r>
        </w:p>
        <w:p w14:paraId="57013098" w14:textId="77777777" w:rsidR="00355669" w:rsidRDefault="00C779A2">
          <w:pPr>
            <w:pStyle w:val="TOC1"/>
            <w:tabs>
              <w:tab w:val="right" w:leader="dot" w:pos="9016"/>
            </w:tabs>
            <w:rPr>
              <w:rFonts w:eastAsiaTheme="minorEastAsia"/>
              <w:noProof/>
              <w:lang w:eastAsia="en-GB"/>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16772316" w:history="1">
            <w:r w:rsidR="00355669" w:rsidRPr="0040699C">
              <w:rPr>
                <w:rStyle w:val="Hyperlink"/>
                <w:noProof/>
              </w:rPr>
              <w:t xml:space="preserve">Cybersecurity Policy Development for </w:t>
            </w:r>
            <w:r w:rsidR="00355669" w:rsidRPr="0040699C">
              <w:rPr>
                <w:rStyle w:val="Hyperlink"/>
                <w:noProof/>
                <w:highlight w:val="yellow"/>
              </w:rPr>
              <w:t>XYZ Company</w:t>
            </w:r>
            <w:r w:rsidR="00355669">
              <w:rPr>
                <w:noProof/>
                <w:webHidden/>
              </w:rPr>
              <w:tab/>
            </w:r>
            <w:r w:rsidR="00355669">
              <w:rPr>
                <w:noProof/>
                <w:webHidden/>
              </w:rPr>
              <w:fldChar w:fldCharType="begin"/>
            </w:r>
            <w:r w:rsidR="00355669">
              <w:rPr>
                <w:noProof/>
                <w:webHidden/>
              </w:rPr>
              <w:instrText xml:space="preserve"> PAGEREF _Toc216772316 \h </w:instrText>
            </w:r>
            <w:r w:rsidR="00355669">
              <w:rPr>
                <w:noProof/>
                <w:webHidden/>
              </w:rPr>
            </w:r>
            <w:r w:rsidR="00355669">
              <w:rPr>
                <w:noProof/>
                <w:webHidden/>
              </w:rPr>
              <w:fldChar w:fldCharType="separate"/>
            </w:r>
            <w:r w:rsidR="00355669">
              <w:rPr>
                <w:noProof/>
                <w:webHidden/>
              </w:rPr>
              <w:t>1</w:t>
            </w:r>
            <w:r w:rsidR="00355669">
              <w:rPr>
                <w:noProof/>
                <w:webHidden/>
              </w:rPr>
              <w:fldChar w:fldCharType="end"/>
            </w:r>
          </w:hyperlink>
        </w:p>
        <w:p w14:paraId="63B22EA7" w14:textId="77777777" w:rsidR="00355669" w:rsidRDefault="00355669">
          <w:pPr>
            <w:pStyle w:val="TOC1"/>
            <w:tabs>
              <w:tab w:val="right" w:leader="dot" w:pos="9016"/>
            </w:tabs>
            <w:rPr>
              <w:rFonts w:eastAsiaTheme="minorEastAsia"/>
              <w:noProof/>
              <w:lang w:eastAsia="en-GB"/>
            </w:rPr>
          </w:pPr>
          <w:hyperlink w:anchor="_Toc216772317" w:history="1">
            <w:r w:rsidRPr="0040699C">
              <w:rPr>
                <w:rStyle w:val="Hyperlink"/>
                <w:noProof/>
              </w:rPr>
              <w:t>Abstract</w:t>
            </w:r>
            <w:r>
              <w:rPr>
                <w:noProof/>
                <w:webHidden/>
              </w:rPr>
              <w:tab/>
            </w:r>
            <w:r>
              <w:rPr>
                <w:noProof/>
                <w:webHidden/>
              </w:rPr>
              <w:fldChar w:fldCharType="begin"/>
            </w:r>
            <w:r>
              <w:rPr>
                <w:noProof/>
                <w:webHidden/>
              </w:rPr>
              <w:instrText xml:space="preserve"> PAGEREF _Toc216772317 \h </w:instrText>
            </w:r>
            <w:r>
              <w:rPr>
                <w:noProof/>
                <w:webHidden/>
              </w:rPr>
            </w:r>
            <w:r>
              <w:rPr>
                <w:noProof/>
                <w:webHidden/>
              </w:rPr>
              <w:fldChar w:fldCharType="separate"/>
            </w:r>
            <w:r>
              <w:rPr>
                <w:noProof/>
                <w:webHidden/>
              </w:rPr>
              <w:t>1</w:t>
            </w:r>
            <w:r>
              <w:rPr>
                <w:noProof/>
                <w:webHidden/>
              </w:rPr>
              <w:fldChar w:fldCharType="end"/>
            </w:r>
          </w:hyperlink>
        </w:p>
        <w:p w14:paraId="45B4AB0A" w14:textId="77777777" w:rsidR="00355669" w:rsidRDefault="00355669">
          <w:pPr>
            <w:pStyle w:val="TOC1"/>
            <w:tabs>
              <w:tab w:val="right" w:leader="dot" w:pos="9016"/>
            </w:tabs>
            <w:rPr>
              <w:rFonts w:eastAsiaTheme="minorEastAsia"/>
              <w:noProof/>
              <w:lang w:eastAsia="en-GB"/>
            </w:rPr>
          </w:pPr>
          <w:hyperlink w:anchor="_Toc216772318" w:history="1">
            <w:r w:rsidRPr="0040699C">
              <w:rPr>
                <w:rStyle w:val="Hyperlink"/>
                <w:noProof/>
              </w:rPr>
              <w:t>Introduction</w:t>
            </w:r>
            <w:r>
              <w:rPr>
                <w:noProof/>
                <w:webHidden/>
              </w:rPr>
              <w:tab/>
            </w:r>
            <w:r>
              <w:rPr>
                <w:noProof/>
                <w:webHidden/>
              </w:rPr>
              <w:fldChar w:fldCharType="begin"/>
            </w:r>
            <w:r>
              <w:rPr>
                <w:noProof/>
                <w:webHidden/>
              </w:rPr>
              <w:instrText xml:space="preserve"> PAGEREF _Toc216772318 \h </w:instrText>
            </w:r>
            <w:r>
              <w:rPr>
                <w:noProof/>
                <w:webHidden/>
              </w:rPr>
            </w:r>
            <w:r>
              <w:rPr>
                <w:noProof/>
                <w:webHidden/>
              </w:rPr>
              <w:fldChar w:fldCharType="separate"/>
            </w:r>
            <w:r>
              <w:rPr>
                <w:noProof/>
                <w:webHidden/>
              </w:rPr>
              <w:t>1</w:t>
            </w:r>
            <w:r>
              <w:rPr>
                <w:noProof/>
                <w:webHidden/>
              </w:rPr>
              <w:fldChar w:fldCharType="end"/>
            </w:r>
          </w:hyperlink>
        </w:p>
        <w:p w14:paraId="3F126777" w14:textId="77777777" w:rsidR="00355669" w:rsidRDefault="00355669">
          <w:pPr>
            <w:pStyle w:val="TOC1"/>
            <w:tabs>
              <w:tab w:val="right" w:leader="dot" w:pos="9016"/>
            </w:tabs>
            <w:rPr>
              <w:rFonts w:eastAsiaTheme="minorEastAsia"/>
              <w:noProof/>
              <w:lang w:eastAsia="en-GB"/>
            </w:rPr>
          </w:pPr>
          <w:hyperlink w:anchor="_Toc216772319" w:history="1">
            <w:r w:rsidRPr="0040699C">
              <w:rPr>
                <w:rStyle w:val="Hyperlink"/>
                <w:noProof/>
              </w:rPr>
              <w:t>Identification of Modern Threats</w:t>
            </w:r>
            <w:r>
              <w:rPr>
                <w:noProof/>
                <w:webHidden/>
              </w:rPr>
              <w:tab/>
            </w:r>
            <w:r>
              <w:rPr>
                <w:noProof/>
                <w:webHidden/>
              </w:rPr>
              <w:fldChar w:fldCharType="begin"/>
            </w:r>
            <w:r>
              <w:rPr>
                <w:noProof/>
                <w:webHidden/>
              </w:rPr>
              <w:instrText xml:space="preserve"> PAGEREF _Toc216772319 \h </w:instrText>
            </w:r>
            <w:r>
              <w:rPr>
                <w:noProof/>
                <w:webHidden/>
              </w:rPr>
            </w:r>
            <w:r>
              <w:rPr>
                <w:noProof/>
                <w:webHidden/>
              </w:rPr>
              <w:fldChar w:fldCharType="separate"/>
            </w:r>
            <w:r>
              <w:rPr>
                <w:noProof/>
                <w:webHidden/>
              </w:rPr>
              <w:t>2</w:t>
            </w:r>
            <w:r>
              <w:rPr>
                <w:noProof/>
                <w:webHidden/>
              </w:rPr>
              <w:fldChar w:fldCharType="end"/>
            </w:r>
          </w:hyperlink>
        </w:p>
        <w:p w14:paraId="401808FC" w14:textId="77777777" w:rsidR="00355669" w:rsidRDefault="00355669">
          <w:pPr>
            <w:pStyle w:val="TOC1"/>
            <w:tabs>
              <w:tab w:val="right" w:leader="dot" w:pos="9016"/>
            </w:tabs>
            <w:rPr>
              <w:rFonts w:eastAsiaTheme="minorEastAsia"/>
              <w:noProof/>
              <w:lang w:eastAsia="en-GB"/>
            </w:rPr>
          </w:pPr>
          <w:hyperlink w:anchor="_Toc216772320" w:history="1">
            <w:r w:rsidRPr="0040699C">
              <w:rPr>
                <w:rStyle w:val="Hyperlink"/>
                <w:noProof/>
              </w:rPr>
              <w:t>Modern Security Policies</w:t>
            </w:r>
            <w:r>
              <w:rPr>
                <w:noProof/>
                <w:webHidden/>
              </w:rPr>
              <w:tab/>
            </w:r>
            <w:r>
              <w:rPr>
                <w:noProof/>
                <w:webHidden/>
              </w:rPr>
              <w:fldChar w:fldCharType="begin"/>
            </w:r>
            <w:r>
              <w:rPr>
                <w:noProof/>
                <w:webHidden/>
              </w:rPr>
              <w:instrText xml:space="preserve"> PAGEREF _Toc216772320 \h </w:instrText>
            </w:r>
            <w:r>
              <w:rPr>
                <w:noProof/>
                <w:webHidden/>
              </w:rPr>
            </w:r>
            <w:r>
              <w:rPr>
                <w:noProof/>
                <w:webHidden/>
              </w:rPr>
              <w:fldChar w:fldCharType="separate"/>
            </w:r>
            <w:r>
              <w:rPr>
                <w:noProof/>
                <w:webHidden/>
              </w:rPr>
              <w:t>2</w:t>
            </w:r>
            <w:r>
              <w:rPr>
                <w:noProof/>
                <w:webHidden/>
              </w:rPr>
              <w:fldChar w:fldCharType="end"/>
            </w:r>
          </w:hyperlink>
        </w:p>
        <w:p w14:paraId="751D93B2" w14:textId="77777777" w:rsidR="00355669" w:rsidRDefault="00355669">
          <w:pPr>
            <w:pStyle w:val="TOC1"/>
            <w:tabs>
              <w:tab w:val="right" w:leader="dot" w:pos="9016"/>
            </w:tabs>
            <w:rPr>
              <w:rFonts w:eastAsiaTheme="minorEastAsia"/>
              <w:noProof/>
              <w:lang w:eastAsia="en-GB"/>
            </w:rPr>
          </w:pPr>
          <w:hyperlink w:anchor="_Toc216772321" w:history="1">
            <w:r w:rsidRPr="0040699C">
              <w:rPr>
                <w:rStyle w:val="Hyperlink"/>
                <w:noProof/>
              </w:rPr>
              <w:t>Technical Mitigation Measures</w:t>
            </w:r>
            <w:r>
              <w:rPr>
                <w:noProof/>
                <w:webHidden/>
              </w:rPr>
              <w:tab/>
            </w:r>
            <w:r>
              <w:rPr>
                <w:noProof/>
                <w:webHidden/>
              </w:rPr>
              <w:fldChar w:fldCharType="begin"/>
            </w:r>
            <w:r>
              <w:rPr>
                <w:noProof/>
                <w:webHidden/>
              </w:rPr>
              <w:instrText xml:space="preserve"> PAGEREF _Toc216772321 \h </w:instrText>
            </w:r>
            <w:r>
              <w:rPr>
                <w:noProof/>
                <w:webHidden/>
              </w:rPr>
            </w:r>
            <w:r>
              <w:rPr>
                <w:noProof/>
                <w:webHidden/>
              </w:rPr>
              <w:fldChar w:fldCharType="separate"/>
            </w:r>
            <w:r>
              <w:rPr>
                <w:noProof/>
                <w:webHidden/>
              </w:rPr>
              <w:t>3</w:t>
            </w:r>
            <w:r>
              <w:rPr>
                <w:noProof/>
                <w:webHidden/>
              </w:rPr>
              <w:fldChar w:fldCharType="end"/>
            </w:r>
          </w:hyperlink>
        </w:p>
        <w:p w14:paraId="0AB7FFF0" w14:textId="77777777" w:rsidR="00355669" w:rsidRDefault="00355669">
          <w:pPr>
            <w:pStyle w:val="TOC1"/>
            <w:tabs>
              <w:tab w:val="right" w:leader="dot" w:pos="9016"/>
            </w:tabs>
            <w:rPr>
              <w:rFonts w:eastAsiaTheme="minorEastAsia"/>
              <w:noProof/>
              <w:lang w:eastAsia="en-GB"/>
            </w:rPr>
          </w:pPr>
          <w:hyperlink w:anchor="_Toc216772322" w:history="1">
            <w:r w:rsidRPr="0040699C">
              <w:rPr>
                <w:rStyle w:val="Hyperlink"/>
                <w:noProof/>
              </w:rPr>
              <w:t>Proactive Monitoring and Incident Response</w:t>
            </w:r>
            <w:r>
              <w:rPr>
                <w:noProof/>
                <w:webHidden/>
              </w:rPr>
              <w:tab/>
            </w:r>
            <w:r>
              <w:rPr>
                <w:noProof/>
                <w:webHidden/>
              </w:rPr>
              <w:fldChar w:fldCharType="begin"/>
            </w:r>
            <w:r>
              <w:rPr>
                <w:noProof/>
                <w:webHidden/>
              </w:rPr>
              <w:instrText xml:space="preserve"> PAGEREF _Toc216772322 \h </w:instrText>
            </w:r>
            <w:r>
              <w:rPr>
                <w:noProof/>
                <w:webHidden/>
              </w:rPr>
            </w:r>
            <w:r>
              <w:rPr>
                <w:noProof/>
                <w:webHidden/>
              </w:rPr>
              <w:fldChar w:fldCharType="separate"/>
            </w:r>
            <w:r>
              <w:rPr>
                <w:noProof/>
                <w:webHidden/>
              </w:rPr>
              <w:t>3</w:t>
            </w:r>
            <w:r>
              <w:rPr>
                <w:noProof/>
                <w:webHidden/>
              </w:rPr>
              <w:fldChar w:fldCharType="end"/>
            </w:r>
          </w:hyperlink>
        </w:p>
        <w:p w14:paraId="4FE25FCC" w14:textId="77777777" w:rsidR="00355669" w:rsidRDefault="00355669">
          <w:pPr>
            <w:pStyle w:val="TOC1"/>
            <w:tabs>
              <w:tab w:val="right" w:leader="dot" w:pos="9016"/>
            </w:tabs>
            <w:rPr>
              <w:rFonts w:eastAsiaTheme="minorEastAsia"/>
              <w:noProof/>
              <w:lang w:eastAsia="en-GB"/>
            </w:rPr>
          </w:pPr>
          <w:hyperlink w:anchor="_Toc216772323" w:history="1">
            <w:r w:rsidRPr="0040699C">
              <w:rPr>
                <w:rStyle w:val="Hyperlink"/>
                <w:noProof/>
              </w:rPr>
              <w:t>Continuous Training and Awareness</w:t>
            </w:r>
            <w:r>
              <w:rPr>
                <w:noProof/>
                <w:webHidden/>
              </w:rPr>
              <w:tab/>
            </w:r>
            <w:r>
              <w:rPr>
                <w:noProof/>
                <w:webHidden/>
              </w:rPr>
              <w:fldChar w:fldCharType="begin"/>
            </w:r>
            <w:r>
              <w:rPr>
                <w:noProof/>
                <w:webHidden/>
              </w:rPr>
              <w:instrText xml:space="preserve"> PAGEREF _Toc216772323 \h </w:instrText>
            </w:r>
            <w:r>
              <w:rPr>
                <w:noProof/>
                <w:webHidden/>
              </w:rPr>
            </w:r>
            <w:r>
              <w:rPr>
                <w:noProof/>
                <w:webHidden/>
              </w:rPr>
              <w:fldChar w:fldCharType="separate"/>
            </w:r>
            <w:r>
              <w:rPr>
                <w:noProof/>
                <w:webHidden/>
              </w:rPr>
              <w:t>4</w:t>
            </w:r>
            <w:r>
              <w:rPr>
                <w:noProof/>
                <w:webHidden/>
              </w:rPr>
              <w:fldChar w:fldCharType="end"/>
            </w:r>
          </w:hyperlink>
        </w:p>
        <w:p w14:paraId="3A81E522" w14:textId="77777777" w:rsidR="00355669" w:rsidRDefault="00355669">
          <w:pPr>
            <w:pStyle w:val="TOC1"/>
            <w:tabs>
              <w:tab w:val="right" w:leader="dot" w:pos="9016"/>
            </w:tabs>
            <w:rPr>
              <w:rFonts w:eastAsiaTheme="minorEastAsia"/>
              <w:noProof/>
              <w:lang w:eastAsia="en-GB"/>
            </w:rPr>
          </w:pPr>
          <w:hyperlink w:anchor="_Toc216772324" w:history="1">
            <w:r w:rsidRPr="0040699C">
              <w:rPr>
                <w:rStyle w:val="Hyperlink"/>
                <w:noProof/>
              </w:rPr>
              <w:t>Conclusion</w:t>
            </w:r>
            <w:r>
              <w:rPr>
                <w:noProof/>
                <w:webHidden/>
              </w:rPr>
              <w:tab/>
            </w:r>
            <w:r>
              <w:rPr>
                <w:noProof/>
                <w:webHidden/>
              </w:rPr>
              <w:fldChar w:fldCharType="begin"/>
            </w:r>
            <w:r>
              <w:rPr>
                <w:noProof/>
                <w:webHidden/>
              </w:rPr>
              <w:instrText xml:space="preserve"> PAGEREF _Toc216772324 \h </w:instrText>
            </w:r>
            <w:r>
              <w:rPr>
                <w:noProof/>
                <w:webHidden/>
              </w:rPr>
            </w:r>
            <w:r>
              <w:rPr>
                <w:noProof/>
                <w:webHidden/>
              </w:rPr>
              <w:fldChar w:fldCharType="separate"/>
            </w:r>
            <w:r>
              <w:rPr>
                <w:noProof/>
                <w:webHidden/>
              </w:rPr>
              <w:t>4</w:t>
            </w:r>
            <w:r>
              <w:rPr>
                <w:noProof/>
                <w:webHidden/>
              </w:rPr>
              <w:fldChar w:fldCharType="end"/>
            </w:r>
          </w:hyperlink>
        </w:p>
        <w:p w14:paraId="244022E5" w14:textId="77777777" w:rsidR="00355669" w:rsidRDefault="00355669">
          <w:pPr>
            <w:pStyle w:val="TOC1"/>
            <w:tabs>
              <w:tab w:val="right" w:leader="dot" w:pos="9016"/>
            </w:tabs>
            <w:rPr>
              <w:rFonts w:eastAsiaTheme="minorEastAsia"/>
              <w:noProof/>
              <w:lang w:eastAsia="en-GB"/>
            </w:rPr>
          </w:pPr>
          <w:hyperlink w:anchor="_Toc216772325" w:history="1">
            <w:r w:rsidRPr="0040699C">
              <w:rPr>
                <w:rStyle w:val="Hyperlink"/>
                <w:noProof/>
              </w:rPr>
              <w:t>References</w:t>
            </w:r>
            <w:r>
              <w:rPr>
                <w:noProof/>
                <w:webHidden/>
              </w:rPr>
              <w:tab/>
            </w:r>
            <w:r>
              <w:rPr>
                <w:noProof/>
                <w:webHidden/>
              </w:rPr>
              <w:fldChar w:fldCharType="begin"/>
            </w:r>
            <w:r>
              <w:rPr>
                <w:noProof/>
                <w:webHidden/>
              </w:rPr>
              <w:instrText xml:space="preserve"> PAGEREF _Toc216772325 \h </w:instrText>
            </w:r>
            <w:r>
              <w:rPr>
                <w:noProof/>
                <w:webHidden/>
              </w:rPr>
            </w:r>
            <w:r>
              <w:rPr>
                <w:noProof/>
                <w:webHidden/>
              </w:rPr>
              <w:fldChar w:fldCharType="separate"/>
            </w:r>
            <w:r>
              <w:rPr>
                <w:noProof/>
                <w:webHidden/>
              </w:rPr>
              <w:t>5</w:t>
            </w:r>
            <w:r>
              <w:rPr>
                <w:noProof/>
                <w:webHidden/>
              </w:rPr>
              <w:fldChar w:fldCharType="end"/>
            </w:r>
          </w:hyperlink>
        </w:p>
        <w:p w14:paraId="4B8760FD" w14:textId="77777777" w:rsidR="00355669" w:rsidRDefault="00355669">
          <w:pPr>
            <w:pStyle w:val="TOC1"/>
            <w:tabs>
              <w:tab w:val="right" w:leader="dot" w:pos="9016"/>
            </w:tabs>
            <w:rPr>
              <w:rFonts w:eastAsiaTheme="minorEastAsia"/>
              <w:noProof/>
              <w:lang w:eastAsia="en-GB"/>
            </w:rPr>
          </w:pPr>
          <w:hyperlink w:anchor="_Toc216772326" w:history="1">
            <w:r w:rsidRPr="0040699C">
              <w:rPr>
                <w:rStyle w:val="Hyperlink"/>
                <w:noProof/>
              </w:rPr>
              <w:t>Appendix A: Screenshot of the Board of Directors PowerPoint presentation</w:t>
            </w:r>
            <w:r>
              <w:rPr>
                <w:noProof/>
                <w:webHidden/>
              </w:rPr>
              <w:tab/>
            </w:r>
            <w:r>
              <w:rPr>
                <w:noProof/>
                <w:webHidden/>
              </w:rPr>
              <w:fldChar w:fldCharType="begin"/>
            </w:r>
            <w:r>
              <w:rPr>
                <w:noProof/>
                <w:webHidden/>
              </w:rPr>
              <w:instrText xml:space="preserve"> PAGEREF _Toc216772326 \h </w:instrText>
            </w:r>
            <w:r>
              <w:rPr>
                <w:noProof/>
                <w:webHidden/>
              </w:rPr>
            </w:r>
            <w:r>
              <w:rPr>
                <w:noProof/>
                <w:webHidden/>
              </w:rPr>
              <w:fldChar w:fldCharType="separate"/>
            </w:r>
            <w:r>
              <w:rPr>
                <w:noProof/>
                <w:webHidden/>
              </w:rPr>
              <w:t>7</w:t>
            </w:r>
            <w:r>
              <w:rPr>
                <w:noProof/>
                <w:webHidden/>
              </w:rPr>
              <w:fldChar w:fldCharType="end"/>
            </w:r>
          </w:hyperlink>
        </w:p>
        <w:p w14:paraId="23A0B3C9" w14:textId="77777777" w:rsidR="00355669" w:rsidRDefault="00355669">
          <w:pPr>
            <w:pStyle w:val="TOC1"/>
            <w:tabs>
              <w:tab w:val="right" w:leader="dot" w:pos="9016"/>
            </w:tabs>
            <w:rPr>
              <w:rFonts w:eastAsiaTheme="minorEastAsia"/>
              <w:noProof/>
              <w:lang w:eastAsia="en-GB"/>
            </w:rPr>
          </w:pPr>
          <w:hyperlink w:anchor="_Toc216772327" w:history="1">
            <w:r w:rsidRPr="0040699C">
              <w:rPr>
                <w:rStyle w:val="Hyperlink"/>
                <w:noProof/>
              </w:rPr>
              <w:t>Appendix B: Screenshot of the Badge</w:t>
            </w:r>
            <w:r>
              <w:rPr>
                <w:noProof/>
                <w:webHidden/>
              </w:rPr>
              <w:tab/>
            </w:r>
            <w:r>
              <w:rPr>
                <w:noProof/>
                <w:webHidden/>
              </w:rPr>
              <w:fldChar w:fldCharType="begin"/>
            </w:r>
            <w:r>
              <w:rPr>
                <w:noProof/>
                <w:webHidden/>
              </w:rPr>
              <w:instrText xml:space="preserve"> PAGEREF _Toc216772327 \h </w:instrText>
            </w:r>
            <w:r>
              <w:rPr>
                <w:noProof/>
                <w:webHidden/>
              </w:rPr>
            </w:r>
            <w:r>
              <w:rPr>
                <w:noProof/>
                <w:webHidden/>
              </w:rPr>
              <w:fldChar w:fldCharType="separate"/>
            </w:r>
            <w:r>
              <w:rPr>
                <w:noProof/>
                <w:webHidden/>
              </w:rPr>
              <w:t>7</w:t>
            </w:r>
            <w:r>
              <w:rPr>
                <w:noProof/>
                <w:webHidden/>
              </w:rPr>
              <w:fldChar w:fldCharType="end"/>
            </w:r>
          </w:hyperlink>
        </w:p>
        <w:p w14:paraId="671DF2BE" w14:textId="77777777" w:rsidR="00C779A2" w:rsidRDefault="00C779A2">
          <w:r w:rsidRPr="006A40DA">
            <w:rPr>
              <w:rFonts w:ascii="Arial" w:hAnsi="Arial" w:cs="Arial"/>
              <w:b/>
              <w:bCs/>
              <w:noProof/>
            </w:rPr>
            <w:fldChar w:fldCharType="end"/>
          </w:r>
        </w:p>
      </w:sdtContent>
    </w:sdt>
    <w:p w14:paraId="02F6633B" w14:textId="77777777" w:rsidR="00C779A2" w:rsidRDefault="00C779A2">
      <w:pPr>
        <w:rPr>
          <w:rFonts w:ascii="Arial" w:hAnsi="Arial" w:cs="Arial"/>
        </w:rPr>
      </w:pPr>
      <w:r>
        <w:rPr>
          <w:rFonts w:ascii="Arial" w:hAnsi="Arial" w:cs="Arial"/>
        </w:rPr>
        <w:br w:type="page"/>
      </w:r>
    </w:p>
    <w:p w14:paraId="414979BE"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3AD0476A" w14:textId="77777777" w:rsidR="00C779A2" w:rsidRDefault="00C779A2" w:rsidP="00C779A2">
      <w:pPr>
        <w:pStyle w:val="Heading1"/>
      </w:pPr>
      <w:bookmarkStart w:id="0" w:name="_Toc216772316"/>
      <w:r w:rsidRPr="00C779A2">
        <w:lastRenderedPageBreak/>
        <w:t xml:space="preserve">Cybersecurity Policy Development for </w:t>
      </w:r>
      <w:r w:rsidRPr="00C779A2">
        <w:rPr>
          <w:highlight w:val="yellow"/>
        </w:rPr>
        <w:t>XYZ Company</w:t>
      </w:r>
      <w:bookmarkEnd w:id="0"/>
    </w:p>
    <w:p w14:paraId="635092BC" w14:textId="77777777" w:rsidR="00C779A2" w:rsidRDefault="00C779A2" w:rsidP="003F2B3E">
      <w:pPr>
        <w:spacing w:after="0"/>
        <w:rPr>
          <w:rFonts w:ascii="Arial" w:hAnsi="Arial" w:cs="Arial"/>
        </w:rPr>
      </w:pPr>
    </w:p>
    <w:p w14:paraId="251A1F59" w14:textId="77777777" w:rsidR="003F2B3E" w:rsidRDefault="003F2B3E" w:rsidP="00C779A2">
      <w:pPr>
        <w:pStyle w:val="Heading1"/>
      </w:pPr>
      <w:bookmarkStart w:id="1" w:name="_Toc216772317"/>
      <w:r w:rsidRPr="003F2B3E">
        <w:t>Abstract</w:t>
      </w:r>
      <w:bookmarkEnd w:id="1"/>
    </w:p>
    <w:p w14:paraId="76316621" w14:textId="77777777" w:rsidR="00C749F2" w:rsidRPr="00C749F2" w:rsidRDefault="00C749F2" w:rsidP="00C749F2">
      <w:pPr>
        <w:spacing w:after="0" w:line="300" w:lineRule="atLeast"/>
        <w:rPr>
          <w:rFonts w:ascii="Segoe UI" w:eastAsia="Times New Roman" w:hAnsi="Segoe UI" w:cs="Segoe UI"/>
          <w:sz w:val="21"/>
          <w:szCs w:val="21"/>
          <w:lang w:eastAsia="en-GB"/>
        </w:rPr>
      </w:pPr>
      <w:r w:rsidRPr="00C749F2">
        <w:rPr>
          <w:rFonts w:ascii="Segoe UI" w:eastAsia="Times New Roman" w:hAnsi="Segoe UI" w:cs="Segoe UI"/>
          <w:sz w:val="21"/>
          <w:szCs w:val="21"/>
          <w:lang w:eastAsia="en-GB"/>
        </w:rPr>
        <w:t xml:space="preserve">Financial institutions face growing cybersecurity challenges due to advanced threats such as ransomware-as-a-service, AI-driven vishing, and supply chain compromises. Recent studies emphasize that traditional security models are insufficient for hybrid and cloud environments [1], [3]. Zero Trust architecture has emerged as a critical paradigm to mitigate these risks by enforcing strict identity verification and least-privilege access [1], [2]. Research also highlights the integration of blockchain and Zero Trust as a comprehensive </w:t>
      </w:r>
      <w:proofErr w:type="spellStart"/>
      <w:r w:rsidRPr="00C749F2">
        <w:rPr>
          <w:rFonts w:ascii="Segoe UI" w:eastAsia="Times New Roman" w:hAnsi="Segoe UI" w:cs="Segoe UI"/>
          <w:sz w:val="21"/>
          <w:szCs w:val="21"/>
          <w:lang w:eastAsia="en-GB"/>
        </w:rPr>
        <w:t>defense</w:t>
      </w:r>
      <w:proofErr w:type="spellEnd"/>
      <w:r w:rsidRPr="00C749F2">
        <w:rPr>
          <w:rFonts w:ascii="Segoe UI" w:eastAsia="Times New Roman" w:hAnsi="Segoe UI" w:cs="Segoe UI"/>
          <w:sz w:val="21"/>
          <w:szCs w:val="21"/>
          <w:lang w:eastAsia="en-GB"/>
        </w:rPr>
        <w:t xml:space="preserve"> strategy for sensitive financial data [2]. This report outlines modern threats, proposes policies aligned with NIST CSF and ISO/IEC 27001, and recommends technical measures such as multi-factor authentication, SIEM/SOAR, and immutable backups [4]. Additionally, continuous monitoring and staff awareness programs are included to strengthen resilience. Implementing these strategies can reduce operational, financial, and reputational risks while ensuring compliance with global standards [3].</w:t>
      </w:r>
    </w:p>
    <w:p w14:paraId="60280728" w14:textId="77777777" w:rsidR="00C749F2" w:rsidRDefault="00C749F2" w:rsidP="00C749F2"/>
    <w:p w14:paraId="7AA77D71" w14:textId="77777777" w:rsidR="00C749F2" w:rsidRDefault="00C749F2" w:rsidP="00C749F2"/>
    <w:p w14:paraId="0684582F" w14:textId="77777777" w:rsidR="00C749F2" w:rsidRPr="00C749F2" w:rsidRDefault="00C749F2" w:rsidP="00C749F2"/>
    <w:p w14:paraId="1E37A791" w14:textId="77777777" w:rsidR="00C779A2" w:rsidRDefault="00C779A2" w:rsidP="003F2B3E">
      <w:pPr>
        <w:spacing w:after="0"/>
        <w:rPr>
          <w:rFonts w:ascii="Arial" w:hAnsi="Arial" w:cs="Arial"/>
        </w:rPr>
      </w:pPr>
    </w:p>
    <w:p w14:paraId="58242AC2" w14:textId="77777777" w:rsidR="00C779A2" w:rsidRDefault="00C779A2" w:rsidP="003F2B3E">
      <w:pPr>
        <w:spacing w:after="0"/>
        <w:rPr>
          <w:rFonts w:ascii="Arial" w:hAnsi="Arial" w:cs="Arial"/>
        </w:rPr>
      </w:pPr>
    </w:p>
    <w:p w14:paraId="7E894072" w14:textId="77777777" w:rsidR="00C779A2" w:rsidRDefault="00C779A2" w:rsidP="003F2B3E">
      <w:pPr>
        <w:spacing w:after="0"/>
        <w:rPr>
          <w:rFonts w:ascii="Arial" w:hAnsi="Arial" w:cs="Arial"/>
        </w:rPr>
      </w:pPr>
    </w:p>
    <w:p w14:paraId="727A4BCC" w14:textId="77777777" w:rsidR="00C779A2" w:rsidRDefault="00C779A2" w:rsidP="003F2B3E">
      <w:pPr>
        <w:spacing w:after="0"/>
        <w:rPr>
          <w:rFonts w:ascii="Arial" w:hAnsi="Arial" w:cs="Arial"/>
        </w:rPr>
      </w:pPr>
    </w:p>
    <w:p w14:paraId="58BAD103" w14:textId="77777777" w:rsidR="00C779A2" w:rsidRDefault="00C779A2" w:rsidP="003F2B3E">
      <w:pPr>
        <w:spacing w:after="0"/>
        <w:rPr>
          <w:rFonts w:ascii="Arial" w:hAnsi="Arial" w:cs="Arial"/>
        </w:rPr>
      </w:pPr>
    </w:p>
    <w:p w14:paraId="11F13C54" w14:textId="77777777" w:rsidR="00C779A2" w:rsidRDefault="00C779A2" w:rsidP="003F2B3E">
      <w:pPr>
        <w:spacing w:after="0"/>
        <w:rPr>
          <w:rFonts w:ascii="Arial" w:hAnsi="Arial" w:cs="Arial"/>
        </w:rPr>
      </w:pPr>
    </w:p>
    <w:p w14:paraId="6EA42CFE" w14:textId="77777777" w:rsidR="00C779A2" w:rsidRDefault="00C779A2" w:rsidP="003F2B3E">
      <w:pPr>
        <w:spacing w:after="0"/>
        <w:rPr>
          <w:rFonts w:ascii="Arial" w:hAnsi="Arial" w:cs="Arial"/>
        </w:rPr>
      </w:pPr>
    </w:p>
    <w:p w14:paraId="2B5EFB3E" w14:textId="77777777" w:rsidR="00C779A2" w:rsidRDefault="00C779A2" w:rsidP="003F2B3E">
      <w:pPr>
        <w:spacing w:after="0"/>
        <w:rPr>
          <w:rFonts w:ascii="Arial" w:hAnsi="Arial" w:cs="Arial"/>
        </w:rPr>
      </w:pPr>
    </w:p>
    <w:p w14:paraId="75D953CF" w14:textId="77777777" w:rsidR="00C779A2" w:rsidRPr="003F2B3E" w:rsidRDefault="00C779A2" w:rsidP="003F2B3E">
      <w:pPr>
        <w:spacing w:after="0"/>
        <w:rPr>
          <w:rFonts w:ascii="Arial" w:hAnsi="Arial" w:cs="Arial"/>
        </w:rPr>
      </w:pPr>
    </w:p>
    <w:p w14:paraId="2D7127AF" w14:textId="77777777" w:rsidR="003F2B3E" w:rsidRDefault="003F2B3E" w:rsidP="00C779A2">
      <w:pPr>
        <w:pStyle w:val="Heading1"/>
      </w:pPr>
      <w:bookmarkStart w:id="2" w:name="_Toc216772318"/>
      <w:r w:rsidRPr="003F2B3E">
        <w:t>Introduction</w:t>
      </w:r>
      <w:bookmarkEnd w:id="2"/>
    </w:p>
    <w:p w14:paraId="0F953D42" w14:textId="77777777" w:rsidR="00C779A2" w:rsidRDefault="00C779A2" w:rsidP="003F2B3E">
      <w:pPr>
        <w:spacing w:after="0"/>
        <w:rPr>
          <w:rFonts w:ascii="Arial" w:hAnsi="Arial" w:cs="Arial"/>
        </w:rPr>
      </w:pPr>
    </w:p>
    <w:p w14:paraId="25FC2E42" w14:textId="77777777" w:rsidR="008D730F" w:rsidRPr="008D730F" w:rsidRDefault="008D730F" w:rsidP="008D730F">
      <w:pPr>
        <w:spacing w:after="0"/>
        <w:rPr>
          <w:rFonts w:ascii="Arial" w:hAnsi="Arial" w:cs="Arial"/>
        </w:rPr>
      </w:pPr>
      <w:r w:rsidRPr="008D730F">
        <w:rPr>
          <w:rFonts w:ascii="Arial" w:hAnsi="Arial" w:cs="Arial"/>
        </w:rPr>
        <w:t>Cybersecurity has become one of the most critical challenges for financial institutions today. The rapid adoption of hybrid work and cloud services has significantly expanded the attack surface, making traditional perimeter-based security models ineffective [1], [3]. Recent studies highlight the growing impact of ransomware-as-a-service and supply chain attacks on banking systems, which can lead to severe financial and reputational damage [3]. To address these evolving threats, experts recommend implementing Zero Trust architecture as a foundational security approach [1], [2]. Zero Trust enforces strict identity verification, least-privilege access, and continuous monitoring, which are essential for protecting sensitive financial data [2].</w:t>
      </w:r>
    </w:p>
    <w:p w14:paraId="56875FBC" w14:textId="77777777" w:rsidR="008D730F" w:rsidRPr="008D730F" w:rsidRDefault="008D730F" w:rsidP="008D730F">
      <w:pPr>
        <w:spacing w:after="0"/>
        <w:rPr>
          <w:rFonts w:ascii="Arial" w:hAnsi="Arial" w:cs="Arial"/>
        </w:rPr>
      </w:pPr>
      <w:r w:rsidRPr="008D730F">
        <w:rPr>
          <w:rFonts w:ascii="Arial" w:hAnsi="Arial" w:cs="Arial"/>
        </w:rPr>
        <w:t>Vigilant Trust &amp; Asset Management (VTAM), a mid-sized financial services firm, has recently faced advanced cyber incidents, including a phishing campaign and an attempted ransomware infection. These events exposed weaknesses in traditional perimeter-based security models, especially in a hybrid work and cloud-driven environment. To address these challenges, the board has mandated the adoption of a Zero Trust approach as the foundation of VTAM’s security strategy.</w:t>
      </w:r>
    </w:p>
    <w:p w14:paraId="6B5BC492" w14:textId="22708D42" w:rsidR="00C779A2" w:rsidRDefault="008D730F" w:rsidP="008D730F">
      <w:pPr>
        <w:spacing w:after="0"/>
        <w:rPr>
          <w:rFonts w:ascii="Arial" w:hAnsi="Arial" w:cs="Arial"/>
        </w:rPr>
      </w:pPr>
      <w:r w:rsidRPr="008D730F">
        <w:rPr>
          <w:rFonts w:ascii="Arial" w:hAnsi="Arial" w:cs="Arial"/>
        </w:rPr>
        <w:lastRenderedPageBreak/>
        <w:t>This report aims to develop a comprehensive cybersecurity framework aligned with global standards such as NIST Cybersecurity Framework, ISO/IEC 27001, and CISA Known Exploited Vulnerabilities (KEV) guidelines. It will identify modern threats, propose Zero Trust-based policies, outline technical and administrative controls, and recommend proactive monitoring and continuous training programs [4]. The goal is to reduce operational, financial, and reputational risks while ensuring regulatory compliance and long-term resilience.</w:t>
      </w:r>
    </w:p>
    <w:p w14:paraId="3A910CB3" w14:textId="77777777" w:rsidR="00C779A2" w:rsidRDefault="00C779A2" w:rsidP="003F2B3E">
      <w:pPr>
        <w:spacing w:after="0"/>
        <w:rPr>
          <w:rFonts w:ascii="Arial" w:hAnsi="Arial" w:cs="Arial"/>
        </w:rPr>
      </w:pPr>
    </w:p>
    <w:p w14:paraId="69A10C03" w14:textId="77777777" w:rsidR="00C779A2" w:rsidRDefault="00C779A2" w:rsidP="003F2B3E">
      <w:pPr>
        <w:spacing w:after="0"/>
        <w:rPr>
          <w:rFonts w:ascii="Arial" w:hAnsi="Arial" w:cs="Arial"/>
        </w:rPr>
      </w:pPr>
    </w:p>
    <w:p w14:paraId="6256B8E3" w14:textId="77777777" w:rsidR="00C779A2" w:rsidRPr="003F2B3E" w:rsidRDefault="00C779A2" w:rsidP="003F2B3E">
      <w:pPr>
        <w:spacing w:after="0"/>
        <w:rPr>
          <w:rFonts w:ascii="Arial" w:hAnsi="Arial" w:cs="Arial"/>
        </w:rPr>
      </w:pPr>
    </w:p>
    <w:p w14:paraId="33FFC896" w14:textId="77777777" w:rsidR="003F2B3E" w:rsidRDefault="00C779A2" w:rsidP="00C779A2">
      <w:pPr>
        <w:pStyle w:val="Heading1"/>
      </w:pPr>
      <w:bookmarkStart w:id="3" w:name="_Toc216772319"/>
      <w:r>
        <w:t>Identification of Modern Threats</w:t>
      </w:r>
      <w:bookmarkEnd w:id="3"/>
    </w:p>
    <w:p w14:paraId="76BF0073"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Financial institutions face a growing number of advanced cyber threats that require immediate attention. </w:t>
      </w:r>
      <w:r>
        <w:rPr>
          <w:rStyle w:val="Strong"/>
          <w:rFonts w:ascii="Segoe UI" w:hAnsi="Segoe UI" w:cs="Segoe UI"/>
          <w:sz w:val="21"/>
          <w:szCs w:val="21"/>
        </w:rPr>
        <w:t>Ransomware-as-a-Service (RaaS)</w:t>
      </w:r>
      <w:r>
        <w:rPr>
          <w:rFonts w:ascii="Segoe UI" w:hAnsi="Segoe UI" w:cs="Segoe UI"/>
          <w:sz w:val="21"/>
          <w:szCs w:val="21"/>
        </w:rPr>
        <w:t xml:space="preserve"> remains one of the most critical threats, enabling attackers to launch ransomware campaigns easily and target sensitive financial data [1], [3]. Another major risk is </w:t>
      </w:r>
      <w:r>
        <w:rPr>
          <w:rStyle w:val="Strong"/>
          <w:rFonts w:ascii="Segoe UI" w:hAnsi="Segoe UI" w:cs="Segoe UI"/>
          <w:sz w:val="21"/>
          <w:szCs w:val="21"/>
        </w:rPr>
        <w:t>AI-driven vishing</w:t>
      </w:r>
      <w:r>
        <w:rPr>
          <w:rFonts w:ascii="Segoe UI" w:hAnsi="Segoe UI" w:cs="Segoe UI"/>
          <w:sz w:val="21"/>
          <w:szCs w:val="21"/>
        </w:rPr>
        <w:t xml:space="preserve">, where attackers use voice cloning and social engineering to trick employees into revealing confidential information [2]. </w:t>
      </w:r>
      <w:r>
        <w:rPr>
          <w:rStyle w:val="Strong"/>
          <w:rFonts w:ascii="Segoe UI" w:hAnsi="Segoe UI" w:cs="Segoe UI"/>
          <w:sz w:val="21"/>
          <w:szCs w:val="21"/>
        </w:rPr>
        <w:t>Supply chain attacks</w:t>
      </w:r>
      <w:r>
        <w:rPr>
          <w:rFonts w:ascii="Segoe UI" w:hAnsi="Segoe UI" w:cs="Segoe UI"/>
          <w:sz w:val="21"/>
          <w:szCs w:val="21"/>
        </w:rPr>
        <w:t xml:space="preserve"> have also increased, as seen in recent global breaches, where vulnerabilities in third-party software led to significant data exposure [3]. Studies show that modern threat techniques are evolving rapidly, including phishing, malware injection, and exploitation of misconfigured cloud environments [6]. Additionally, the shift to </w:t>
      </w:r>
      <w:r>
        <w:rPr>
          <w:rStyle w:val="Strong"/>
          <w:rFonts w:ascii="Segoe UI" w:hAnsi="Segoe UI" w:cs="Segoe UI"/>
          <w:sz w:val="21"/>
          <w:szCs w:val="21"/>
        </w:rPr>
        <w:t>hybrid work and cloud adoption</w:t>
      </w:r>
      <w:r>
        <w:rPr>
          <w:rFonts w:ascii="Segoe UI" w:hAnsi="Segoe UI" w:cs="Segoe UI"/>
          <w:sz w:val="21"/>
          <w:szCs w:val="21"/>
        </w:rPr>
        <w:t xml:space="preserve"> has expanded the attack surface, creating new challenges for identity management and endpoint security [4], [5]. These threats can cause severe financial losses, operational disruptions, and reputational damage if not addressed with modern security strategies.</w:t>
      </w:r>
    </w:p>
    <w:p w14:paraId="18813371" w14:textId="77777777" w:rsidR="00C749F2" w:rsidRPr="00C749F2" w:rsidRDefault="00C749F2" w:rsidP="00C749F2"/>
    <w:p w14:paraId="2F9F2CAD" w14:textId="77777777" w:rsidR="00C779A2" w:rsidRDefault="00C779A2" w:rsidP="003F2B3E">
      <w:pPr>
        <w:spacing w:after="0"/>
        <w:rPr>
          <w:rFonts w:ascii="Arial" w:hAnsi="Arial" w:cs="Arial"/>
        </w:rPr>
      </w:pPr>
    </w:p>
    <w:p w14:paraId="0881AC49" w14:textId="77777777" w:rsidR="00C779A2" w:rsidRDefault="00C779A2" w:rsidP="003F2B3E">
      <w:pPr>
        <w:spacing w:after="0"/>
        <w:rPr>
          <w:rFonts w:ascii="Arial" w:hAnsi="Arial" w:cs="Arial"/>
        </w:rPr>
      </w:pPr>
    </w:p>
    <w:p w14:paraId="71BB3246" w14:textId="77777777" w:rsidR="00C779A2" w:rsidRDefault="00C779A2" w:rsidP="003F2B3E">
      <w:pPr>
        <w:spacing w:after="0"/>
        <w:rPr>
          <w:rFonts w:ascii="Arial" w:hAnsi="Arial" w:cs="Arial"/>
        </w:rPr>
      </w:pPr>
    </w:p>
    <w:p w14:paraId="3584ABC1" w14:textId="77777777" w:rsidR="00C779A2" w:rsidRDefault="00C779A2" w:rsidP="003F2B3E">
      <w:pPr>
        <w:spacing w:after="0"/>
        <w:rPr>
          <w:rFonts w:ascii="Arial" w:hAnsi="Arial" w:cs="Arial"/>
        </w:rPr>
      </w:pPr>
    </w:p>
    <w:p w14:paraId="3DBDDC90" w14:textId="77777777" w:rsidR="00C779A2" w:rsidRDefault="00C779A2" w:rsidP="003F2B3E">
      <w:pPr>
        <w:spacing w:after="0"/>
        <w:rPr>
          <w:rFonts w:ascii="Arial" w:hAnsi="Arial" w:cs="Arial"/>
        </w:rPr>
      </w:pPr>
    </w:p>
    <w:p w14:paraId="37C344CC" w14:textId="77777777" w:rsidR="00C779A2" w:rsidRDefault="00C779A2" w:rsidP="003F2B3E">
      <w:pPr>
        <w:spacing w:after="0"/>
        <w:rPr>
          <w:rFonts w:ascii="Arial" w:hAnsi="Arial" w:cs="Arial"/>
        </w:rPr>
      </w:pPr>
    </w:p>
    <w:p w14:paraId="593320B2" w14:textId="77777777" w:rsidR="00C779A2" w:rsidRPr="003F2B3E" w:rsidRDefault="00C779A2" w:rsidP="003F2B3E">
      <w:pPr>
        <w:spacing w:after="0"/>
        <w:rPr>
          <w:rFonts w:ascii="Arial" w:hAnsi="Arial" w:cs="Arial"/>
        </w:rPr>
      </w:pPr>
    </w:p>
    <w:p w14:paraId="197A3DA9" w14:textId="77777777" w:rsidR="003F2B3E" w:rsidRDefault="003F2B3E" w:rsidP="00C779A2">
      <w:pPr>
        <w:pStyle w:val="Heading1"/>
      </w:pPr>
      <w:bookmarkStart w:id="4" w:name="_Toc216772320"/>
      <w:r w:rsidRPr="003F2B3E">
        <w:t>Modern Security Policies</w:t>
      </w:r>
      <w:bookmarkEnd w:id="4"/>
      <w:r w:rsidRPr="003F2B3E">
        <w:t xml:space="preserve"> </w:t>
      </w:r>
    </w:p>
    <w:p w14:paraId="019C2C94"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Modern security policies for financial institutions must enforce strict controls to address evolving threats. Zero Trust principles—“never trust, always verify”—are essential for preventing unauthorized access [1], [2]. Policies should include </w:t>
      </w:r>
      <w:r>
        <w:rPr>
          <w:rStyle w:val="Strong"/>
          <w:rFonts w:ascii="Segoe UI" w:hAnsi="Segoe UI" w:cs="Segoe UI"/>
          <w:sz w:val="21"/>
          <w:szCs w:val="21"/>
        </w:rPr>
        <w:t>identity and access management</w:t>
      </w:r>
      <w:r>
        <w:rPr>
          <w:rFonts w:ascii="Segoe UI" w:hAnsi="Segoe UI" w:cs="Segoe UI"/>
          <w:sz w:val="21"/>
          <w:szCs w:val="21"/>
        </w:rPr>
        <w:t xml:space="preserve"> with multi-factor authentication and least-privilege access [1]. Data protection policies must enforce encryption and data loss prevention measures [2]. Governance policies should define clear roles and compliance reporting aligned with NIST CSF and ISO/IEC 27001 [3], [4]. Research also emphasizes the importance of policy enforcement mechanisms in modern system-on-chip (SoC) designs, which can inspire robust enforcement strategies in enterprise systems [7]. Additionally, conceptual frameworks from security literature highlight the need for continuous policy updates to address emerging threats [8]. These policies create a strong foundation for resilience and regulatory compliance.</w:t>
      </w:r>
    </w:p>
    <w:p w14:paraId="73931534" w14:textId="77777777" w:rsidR="00F42188" w:rsidRDefault="00F42188" w:rsidP="002A0C41">
      <w:pPr>
        <w:pStyle w:val="NormalWeb"/>
        <w:spacing w:line="300" w:lineRule="atLeast"/>
        <w:rPr>
          <w:rFonts w:ascii="Segoe UI" w:hAnsi="Segoe UI" w:cs="Segoe UI"/>
          <w:sz w:val="21"/>
          <w:szCs w:val="21"/>
        </w:rPr>
      </w:pPr>
    </w:p>
    <w:p w14:paraId="5F66D55F" w14:textId="77777777" w:rsidR="00C779A2" w:rsidRDefault="00C779A2" w:rsidP="003F2B3E">
      <w:pPr>
        <w:spacing w:after="0"/>
        <w:rPr>
          <w:rFonts w:ascii="Arial" w:hAnsi="Arial" w:cs="Arial"/>
        </w:rPr>
      </w:pPr>
    </w:p>
    <w:p w14:paraId="071492C8" w14:textId="61928254" w:rsidR="00C779A2" w:rsidRDefault="00F42188" w:rsidP="003F2B3E">
      <w:pPr>
        <w:spacing w:after="0"/>
        <w:rPr>
          <w:rFonts w:ascii="Arial" w:hAnsi="Arial" w:cs="Arial"/>
        </w:rPr>
      </w:pPr>
      <w:r w:rsidRPr="00F42188">
        <w:rPr>
          <w:rFonts w:ascii="Arial" w:hAnsi="Arial" w:cs="Arial"/>
          <w:i/>
          <w:iCs/>
        </w:rPr>
        <w:t>Zero Trust Architecture for</w:t>
      </w:r>
      <w:r w:rsidRPr="00F42188">
        <w:rPr>
          <w:rFonts w:ascii="Arial" w:hAnsi="Arial" w:cs="Arial"/>
        </w:rPr>
        <w:t xml:space="preserve"> </w:t>
      </w:r>
      <w:proofErr w:type="gramStart"/>
      <w:r w:rsidRPr="00F42188">
        <w:rPr>
          <w:rFonts w:ascii="Arial" w:hAnsi="Arial" w:cs="Arial"/>
          <w:color w:val="C45911" w:themeColor="accent2" w:themeShade="BF"/>
        </w:rPr>
        <w:t>VTAM</w:t>
      </w:r>
      <w:r>
        <w:rPr>
          <w:rFonts w:ascii="Arial" w:hAnsi="Arial" w:cs="Arial"/>
        </w:rPr>
        <w:t xml:space="preserve"> :</w:t>
      </w:r>
      <w:proofErr w:type="gramEnd"/>
    </w:p>
    <w:p w14:paraId="3B4FA580" w14:textId="3ECF5D55" w:rsidR="00C779A2" w:rsidRDefault="00F42188" w:rsidP="003F2B3E">
      <w:pPr>
        <w:spacing w:after="0"/>
        <w:rPr>
          <w:rFonts w:ascii="Arial" w:hAnsi="Arial" w:cs="Arial"/>
        </w:rPr>
      </w:pPr>
      <w:r>
        <w:rPr>
          <w:noProof/>
        </w:rPr>
        <w:drawing>
          <wp:inline distT="0" distB="0" distL="0" distR="0" wp14:anchorId="2F2F4C5A" wp14:editId="529B2D58">
            <wp:extent cx="5645150" cy="4063112"/>
            <wp:effectExtent l="0" t="0" r="0" b="0"/>
            <wp:docPr id="1675363323" name="Picture 30"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63323" name="Picture 30" descr="A diagram of a syste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1972" cy="4104010"/>
                    </a:xfrm>
                    <a:prstGeom prst="rect">
                      <a:avLst/>
                    </a:prstGeom>
                    <a:noFill/>
                    <a:ln>
                      <a:noFill/>
                    </a:ln>
                  </pic:spPr>
                </pic:pic>
              </a:graphicData>
            </a:graphic>
          </wp:inline>
        </w:drawing>
      </w:r>
    </w:p>
    <w:p w14:paraId="522E580A" w14:textId="77777777" w:rsidR="00F42188" w:rsidRDefault="00F42188" w:rsidP="003F2B3E">
      <w:pPr>
        <w:spacing w:after="0"/>
        <w:rPr>
          <w:rFonts w:ascii="Arial" w:hAnsi="Arial" w:cs="Arial"/>
        </w:rPr>
      </w:pPr>
    </w:p>
    <w:p w14:paraId="77FD0892" w14:textId="77777777" w:rsidR="00F42188" w:rsidRDefault="00F42188" w:rsidP="003F2B3E">
      <w:pPr>
        <w:spacing w:after="0"/>
        <w:rPr>
          <w:rFonts w:ascii="Arial" w:hAnsi="Arial" w:cs="Arial"/>
        </w:rPr>
      </w:pPr>
    </w:p>
    <w:p w14:paraId="03CCAA8B" w14:textId="77777777" w:rsidR="00F42188" w:rsidRPr="00F42188" w:rsidRDefault="00F42188" w:rsidP="00F42188">
      <w:pPr>
        <w:spacing w:after="0"/>
        <w:rPr>
          <w:rFonts w:ascii="Arial" w:hAnsi="Arial" w:cs="Arial"/>
        </w:rPr>
      </w:pPr>
      <w:r w:rsidRPr="00F42188">
        <w:rPr>
          <w:rFonts w:ascii="Arial" w:hAnsi="Arial" w:cs="Arial"/>
        </w:rPr>
        <w:t>Modern security policies for VTAM must enforce strict controls to address evolving threats and align with global standards. The following policies are mapped to NIST Cybersecurity Framework (CSF) functions and ISO/IEC 27001 Annex A controls:</w:t>
      </w:r>
    </w:p>
    <w:p w14:paraId="5DB744CD" w14:textId="77777777" w:rsidR="00F42188" w:rsidRPr="00F42188" w:rsidRDefault="00F42188" w:rsidP="00F42188">
      <w:pPr>
        <w:spacing w:after="0"/>
        <w:rPr>
          <w:rFonts w:ascii="Arial" w:hAnsi="Arial" w:cs="Arial"/>
        </w:rPr>
      </w:pPr>
    </w:p>
    <w:p w14:paraId="5AD7500D"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1. Identity &amp; Access Management (IAM)</w:t>
      </w:r>
    </w:p>
    <w:p w14:paraId="1126EBED" w14:textId="77777777" w:rsidR="00F42188" w:rsidRPr="00F42188" w:rsidRDefault="00F42188" w:rsidP="00F42188">
      <w:pPr>
        <w:spacing w:after="0"/>
        <w:rPr>
          <w:rFonts w:ascii="Arial" w:hAnsi="Arial" w:cs="Arial"/>
        </w:rPr>
      </w:pPr>
    </w:p>
    <w:p w14:paraId="1D35977A" w14:textId="77777777" w:rsidR="00F42188" w:rsidRPr="00F42188" w:rsidRDefault="00F42188" w:rsidP="00F42188">
      <w:pPr>
        <w:spacing w:after="0"/>
        <w:rPr>
          <w:rFonts w:ascii="Arial" w:hAnsi="Arial" w:cs="Arial"/>
        </w:rPr>
      </w:pPr>
      <w:r w:rsidRPr="00F42188">
        <w:rPr>
          <w:rFonts w:ascii="Arial" w:hAnsi="Arial" w:cs="Arial"/>
        </w:rPr>
        <w:t>Policy: Enforce Multi-Factor Authentication (MFA), least-privilege access, and periodic access reviews.</w:t>
      </w:r>
    </w:p>
    <w:p w14:paraId="2C00D586" w14:textId="77777777" w:rsidR="00F42188" w:rsidRPr="00F42188" w:rsidRDefault="00F42188" w:rsidP="00F42188">
      <w:pPr>
        <w:spacing w:after="0"/>
        <w:rPr>
          <w:rFonts w:ascii="Arial" w:hAnsi="Arial" w:cs="Arial"/>
        </w:rPr>
      </w:pPr>
      <w:r w:rsidRPr="00F42188">
        <w:rPr>
          <w:rFonts w:ascii="Arial" w:hAnsi="Arial" w:cs="Arial"/>
        </w:rPr>
        <w:t>NIST CSF: Protect – PR.AC-1 (Identities and credentials are managed), PR.AC-4 (Access permissions are managed)</w:t>
      </w:r>
    </w:p>
    <w:p w14:paraId="370C43FB" w14:textId="77777777" w:rsidR="00F42188" w:rsidRPr="00F42188" w:rsidRDefault="00F42188" w:rsidP="00F42188">
      <w:pPr>
        <w:spacing w:after="0"/>
        <w:rPr>
          <w:rFonts w:ascii="Arial" w:hAnsi="Arial" w:cs="Arial"/>
        </w:rPr>
      </w:pPr>
      <w:r w:rsidRPr="00F42188">
        <w:rPr>
          <w:rFonts w:ascii="Arial" w:hAnsi="Arial" w:cs="Arial"/>
        </w:rPr>
        <w:t>ISO 27001: A.9.2.3 (User Access Provisioning), A.9.4.2 (Secure Log-on Procedures)</w:t>
      </w:r>
    </w:p>
    <w:p w14:paraId="6C98C6E7" w14:textId="77777777" w:rsidR="00F42188" w:rsidRPr="00F42188" w:rsidRDefault="00F42188" w:rsidP="00F42188">
      <w:pPr>
        <w:spacing w:after="0"/>
        <w:rPr>
          <w:rFonts w:ascii="Arial" w:hAnsi="Arial" w:cs="Arial"/>
        </w:rPr>
      </w:pPr>
    </w:p>
    <w:p w14:paraId="3C137A23" w14:textId="77777777" w:rsidR="00F42188" w:rsidRPr="00F42188" w:rsidRDefault="00F42188" w:rsidP="00F42188">
      <w:pPr>
        <w:spacing w:after="0"/>
        <w:rPr>
          <w:rFonts w:ascii="Arial" w:hAnsi="Arial" w:cs="Arial"/>
        </w:rPr>
      </w:pPr>
    </w:p>
    <w:p w14:paraId="5241720C"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2. Data Protection Policy</w:t>
      </w:r>
    </w:p>
    <w:p w14:paraId="33C10E54" w14:textId="77777777" w:rsidR="00F42188" w:rsidRPr="00F42188" w:rsidRDefault="00F42188" w:rsidP="00F42188">
      <w:pPr>
        <w:spacing w:after="0"/>
        <w:rPr>
          <w:rFonts w:ascii="Arial" w:hAnsi="Arial" w:cs="Arial"/>
        </w:rPr>
      </w:pPr>
    </w:p>
    <w:p w14:paraId="104F6970" w14:textId="77777777" w:rsidR="00F42188" w:rsidRPr="00F42188" w:rsidRDefault="00F42188" w:rsidP="00F42188">
      <w:pPr>
        <w:spacing w:after="0"/>
        <w:rPr>
          <w:rFonts w:ascii="Arial" w:hAnsi="Arial" w:cs="Arial"/>
        </w:rPr>
      </w:pPr>
      <w:r w:rsidRPr="00F42188">
        <w:rPr>
          <w:rFonts w:ascii="Arial" w:hAnsi="Arial" w:cs="Arial"/>
        </w:rPr>
        <w:t>Policy: Encrypt data at rest and in transit; implement Data Loss Prevention (DLP) and secure key management.</w:t>
      </w:r>
    </w:p>
    <w:p w14:paraId="518C94A6" w14:textId="77777777" w:rsidR="00F42188" w:rsidRPr="00F42188" w:rsidRDefault="00F42188" w:rsidP="00F42188">
      <w:pPr>
        <w:spacing w:after="0"/>
        <w:rPr>
          <w:rFonts w:ascii="Arial" w:hAnsi="Arial" w:cs="Arial"/>
        </w:rPr>
      </w:pPr>
      <w:r w:rsidRPr="00F42188">
        <w:rPr>
          <w:rFonts w:ascii="Arial" w:hAnsi="Arial" w:cs="Arial"/>
        </w:rPr>
        <w:t>NIST CSF: Protect – PR.DS-1 (Data-at-rest is protected), PR.DS-2 (Data-in-transit is protected)</w:t>
      </w:r>
    </w:p>
    <w:p w14:paraId="192F8F88" w14:textId="77777777" w:rsidR="00F42188" w:rsidRPr="00F42188" w:rsidRDefault="00F42188" w:rsidP="00F42188">
      <w:pPr>
        <w:spacing w:after="0"/>
        <w:rPr>
          <w:rFonts w:ascii="Arial" w:hAnsi="Arial" w:cs="Arial"/>
        </w:rPr>
      </w:pPr>
      <w:r w:rsidRPr="00F42188">
        <w:rPr>
          <w:rFonts w:ascii="Arial" w:hAnsi="Arial" w:cs="Arial"/>
        </w:rPr>
        <w:t>ISO 27001: A.10.1 (Cryptographic Controls), A.8.2.3 (Handling of Assets)</w:t>
      </w:r>
    </w:p>
    <w:p w14:paraId="50A2051C" w14:textId="77777777" w:rsidR="00F42188" w:rsidRPr="00F42188" w:rsidRDefault="00F42188" w:rsidP="00F42188">
      <w:pPr>
        <w:spacing w:after="0"/>
        <w:rPr>
          <w:rFonts w:ascii="Arial" w:hAnsi="Arial" w:cs="Arial"/>
        </w:rPr>
      </w:pPr>
    </w:p>
    <w:p w14:paraId="72AADF8E" w14:textId="77777777" w:rsidR="00F42188" w:rsidRPr="00F42188" w:rsidRDefault="00F42188" w:rsidP="00F42188">
      <w:pPr>
        <w:spacing w:after="0"/>
        <w:rPr>
          <w:rFonts w:ascii="Arial" w:hAnsi="Arial" w:cs="Arial"/>
        </w:rPr>
      </w:pPr>
    </w:p>
    <w:p w14:paraId="204F495E"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3. Governance &amp; Compliance Policy</w:t>
      </w:r>
    </w:p>
    <w:p w14:paraId="1CBE5B84" w14:textId="77777777" w:rsidR="00F42188" w:rsidRPr="00F42188" w:rsidRDefault="00F42188" w:rsidP="00F42188">
      <w:pPr>
        <w:spacing w:after="0"/>
        <w:rPr>
          <w:rFonts w:ascii="Arial" w:hAnsi="Arial" w:cs="Arial"/>
        </w:rPr>
      </w:pPr>
    </w:p>
    <w:p w14:paraId="4DC98B8D" w14:textId="77777777" w:rsidR="00F42188" w:rsidRPr="00F42188" w:rsidRDefault="00F42188" w:rsidP="00F42188">
      <w:pPr>
        <w:spacing w:after="0"/>
        <w:rPr>
          <w:rFonts w:ascii="Arial" w:hAnsi="Arial" w:cs="Arial"/>
        </w:rPr>
      </w:pPr>
      <w:r w:rsidRPr="00F42188">
        <w:rPr>
          <w:rFonts w:ascii="Arial" w:hAnsi="Arial" w:cs="Arial"/>
        </w:rPr>
        <w:t>Policy: Define roles, responsibilities, and compliance reporting aligned with regulatory requirements.</w:t>
      </w:r>
    </w:p>
    <w:p w14:paraId="47FB8DB1" w14:textId="77777777" w:rsidR="00F42188" w:rsidRPr="00F42188" w:rsidRDefault="00F42188" w:rsidP="00F42188">
      <w:pPr>
        <w:spacing w:after="0"/>
        <w:rPr>
          <w:rFonts w:ascii="Arial" w:hAnsi="Arial" w:cs="Arial"/>
        </w:rPr>
      </w:pPr>
      <w:r w:rsidRPr="00F42188">
        <w:rPr>
          <w:rFonts w:ascii="Arial" w:hAnsi="Arial" w:cs="Arial"/>
        </w:rPr>
        <w:t xml:space="preserve">NIST CSF: Identify – </w:t>
      </w:r>
      <w:proofErr w:type="gramStart"/>
      <w:r w:rsidRPr="00F42188">
        <w:rPr>
          <w:rFonts w:ascii="Arial" w:hAnsi="Arial" w:cs="Arial"/>
        </w:rPr>
        <w:t>ID.GV</w:t>
      </w:r>
      <w:proofErr w:type="gramEnd"/>
      <w:r w:rsidRPr="00F42188">
        <w:rPr>
          <w:rFonts w:ascii="Arial" w:hAnsi="Arial" w:cs="Arial"/>
        </w:rPr>
        <w:t xml:space="preserve">-1 (Governance policies established), </w:t>
      </w:r>
      <w:proofErr w:type="gramStart"/>
      <w:r w:rsidRPr="00F42188">
        <w:rPr>
          <w:rFonts w:ascii="Arial" w:hAnsi="Arial" w:cs="Arial"/>
        </w:rPr>
        <w:t>ID.GV</w:t>
      </w:r>
      <w:proofErr w:type="gramEnd"/>
      <w:r w:rsidRPr="00F42188">
        <w:rPr>
          <w:rFonts w:ascii="Arial" w:hAnsi="Arial" w:cs="Arial"/>
        </w:rPr>
        <w:t>-2 (Cybersecurity roles and responsibilities are coordinated)</w:t>
      </w:r>
    </w:p>
    <w:p w14:paraId="1877A79B" w14:textId="77777777" w:rsidR="00F42188" w:rsidRPr="00F42188" w:rsidRDefault="00F42188" w:rsidP="00F42188">
      <w:pPr>
        <w:spacing w:after="0"/>
        <w:rPr>
          <w:rFonts w:ascii="Arial" w:hAnsi="Arial" w:cs="Arial"/>
        </w:rPr>
      </w:pPr>
      <w:r w:rsidRPr="00F42188">
        <w:rPr>
          <w:rFonts w:ascii="Arial" w:hAnsi="Arial" w:cs="Arial"/>
        </w:rPr>
        <w:t>ISO 27001: A.5.1 (Information Security Policies), A.18.1 (Compliance with legal and contractual requirements)</w:t>
      </w:r>
    </w:p>
    <w:p w14:paraId="416592CA" w14:textId="77777777" w:rsidR="00F42188" w:rsidRPr="00F42188" w:rsidRDefault="00F42188" w:rsidP="00F42188">
      <w:pPr>
        <w:spacing w:after="0"/>
        <w:rPr>
          <w:rFonts w:ascii="Arial" w:hAnsi="Arial" w:cs="Arial"/>
        </w:rPr>
      </w:pPr>
    </w:p>
    <w:p w14:paraId="70BD3309" w14:textId="77777777" w:rsidR="00F42188" w:rsidRPr="00F42188" w:rsidRDefault="00F42188" w:rsidP="00F42188">
      <w:pPr>
        <w:spacing w:after="0"/>
        <w:rPr>
          <w:rFonts w:ascii="Arial" w:hAnsi="Arial" w:cs="Arial"/>
        </w:rPr>
      </w:pPr>
    </w:p>
    <w:p w14:paraId="255BD070"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4. Network Segmentation &amp; Zero Trust Enforcement</w:t>
      </w:r>
    </w:p>
    <w:p w14:paraId="4E582F61" w14:textId="77777777" w:rsidR="00F42188" w:rsidRPr="00F42188" w:rsidRDefault="00F42188" w:rsidP="00F42188">
      <w:pPr>
        <w:spacing w:after="0"/>
        <w:rPr>
          <w:rFonts w:ascii="Arial" w:hAnsi="Arial" w:cs="Arial"/>
        </w:rPr>
      </w:pPr>
    </w:p>
    <w:p w14:paraId="281E7C26" w14:textId="77777777" w:rsidR="00F42188" w:rsidRPr="00F42188" w:rsidRDefault="00F42188" w:rsidP="00F42188">
      <w:pPr>
        <w:spacing w:after="0"/>
        <w:rPr>
          <w:rFonts w:ascii="Arial" w:hAnsi="Arial" w:cs="Arial"/>
        </w:rPr>
      </w:pPr>
      <w:r w:rsidRPr="00F42188">
        <w:rPr>
          <w:rFonts w:ascii="Arial" w:hAnsi="Arial" w:cs="Arial"/>
        </w:rPr>
        <w:t>Policy: Implement micro-segmentation, continuous verification, and strict access control for all network traffic.</w:t>
      </w:r>
    </w:p>
    <w:p w14:paraId="348D8477" w14:textId="77777777" w:rsidR="00F42188" w:rsidRPr="00F42188" w:rsidRDefault="00F42188" w:rsidP="00F42188">
      <w:pPr>
        <w:spacing w:after="0"/>
        <w:rPr>
          <w:rFonts w:ascii="Arial" w:hAnsi="Arial" w:cs="Arial"/>
        </w:rPr>
      </w:pPr>
      <w:r w:rsidRPr="00F42188">
        <w:rPr>
          <w:rFonts w:ascii="Arial" w:hAnsi="Arial" w:cs="Arial"/>
        </w:rPr>
        <w:t>NIST CSF: Protect – PR.AC-5 (Network integrity is protected)</w:t>
      </w:r>
    </w:p>
    <w:p w14:paraId="341F87B9" w14:textId="77777777" w:rsidR="00F42188" w:rsidRPr="00F42188" w:rsidRDefault="00F42188" w:rsidP="00F42188">
      <w:pPr>
        <w:spacing w:after="0"/>
        <w:rPr>
          <w:rFonts w:ascii="Arial" w:hAnsi="Arial" w:cs="Arial"/>
        </w:rPr>
      </w:pPr>
      <w:r w:rsidRPr="00F42188">
        <w:rPr>
          <w:rFonts w:ascii="Arial" w:hAnsi="Arial" w:cs="Arial"/>
        </w:rPr>
        <w:t>ISO 27001: A.13.1 (Network Security Management)</w:t>
      </w:r>
    </w:p>
    <w:p w14:paraId="38A68A6A" w14:textId="77777777" w:rsidR="00F42188" w:rsidRPr="00F42188" w:rsidRDefault="00F42188" w:rsidP="00F42188">
      <w:pPr>
        <w:spacing w:after="0"/>
        <w:rPr>
          <w:rFonts w:ascii="Arial" w:hAnsi="Arial" w:cs="Arial"/>
        </w:rPr>
      </w:pPr>
    </w:p>
    <w:p w14:paraId="6818E5EA" w14:textId="77777777" w:rsidR="00F42188" w:rsidRPr="00F42188" w:rsidRDefault="00F42188" w:rsidP="00F42188">
      <w:pPr>
        <w:spacing w:after="0"/>
        <w:rPr>
          <w:rFonts w:ascii="Arial" w:hAnsi="Arial" w:cs="Arial"/>
        </w:rPr>
      </w:pPr>
    </w:p>
    <w:p w14:paraId="1E3920F2"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5. Patch Management &amp; Vulnerability Handling</w:t>
      </w:r>
    </w:p>
    <w:p w14:paraId="10B19CB7" w14:textId="77777777" w:rsidR="00F42188" w:rsidRPr="00F42188" w:rsidRDefault="00F42188" w:rsidP="00F42188">
      <w:pPr>
        <w:spacing w:after="0"/>
        <w:rPr>
          <w:rFonts w:ascii="Arial" w:hAnsi="Arial" w:cs="Arial"/>
        </w:rPr>
      </w:pPr>
    </w:p>
    <w:p w14:paraId="08D5BFD2" w14:textId="77777777" w:rsidR="00F42188" w:rsidRPr="00F42188" w:rsidRDefault="00F42188" w:rsidP="00F42188">
      <w:pPr>
        <w:spacing w:after="0"/>
        <w:rPr>
          <w:rFonts w:ascii="Arial" w:hAnsi="Arial" w:cs="Arial"/>
        </w:rPr>
      </w:pPr>
      <w:r w:rsidRPr="00F42188">
        <w:rPr>
          <w:rFonts w:ascii="Arial" w:hAnsi="Arial" w:cs="Arial"/>
        </w:rPr>
        <w:t xml:space="preserve">Policy: Apply timely patches based on CISA Known Exploited Vulnerabilities (KEV) </w:t>
      </w:r>
      <w:proofErr w:type="spellStart"/>
      <w:r w:rsidRPr="00F42188">
        <w:rPr>
          <w:rFonts w:ascii="Arial" w:hAnsi="Arial" w:cs="Arial"/>
        </w:rPr>
        <w:t>catalog</w:t>
      </w:r>
      <w:proofErr w:type="spellEnd"/>
      <w:r w:rsidRPr="00F42188">
        <w:rPr>
          <w:rFonts w:ascii="Arial" w:hAnsi="Arial" w:cs="Arial"/>
        </w:rPr>
        <w:t>; maintain a vulnerability management program.</w:t>
      </w:r>
    </w:p>
    <w:p w14:paraId="0B2C9CA1" w14:textId="77777777" w:rsidR="00F42188" w:rsidRPr="00F42188" w:rsidRDefault="00F42188" w:rsidP="00F42188">
      <w:pPr>
        <w:spacing w:after="0"/>
        <w:rPr>
          <w:rFonts w:ascii="Arial" w:hAnsi="Arial" w:cs="Arial"/>
        </w:rPr>
      </w:pPr>
      <w:r w:rsidRPr="00F42188">
        <w:rPr>
          <w:rFonts w:ascii="Arial" w:hAnsi="Arial" w:cs="Arial"/>
        </w:rPr>
        <w:t xml:space="preserve">NIST CSF: Detect &amp; </w:t>
      </w:r>
      <w:proofErr w:type="gramStart"/>
      <w:r w:rsidRPr="00F42188">
        <w:rPr>
          <w:rFonts w:ascii="Arial" w:hAnsi="Arial" w:cs="Arial"/>
        </w:rPr>
        <w:t>Respond</w:t>
      </w:r>
      <w:proofErr w:type="gramEnd"/>
      <w:r w:rsidRPr="00F42188">
        <w:rPr>
          <w:rFonts w:ascii="Arial" w:hAnsi="Arial" w:cs="Arial"/>
        </w:rPr>
        <w:t xml:space="preserve"> – DE.CM-8 (Vulnerability scans are performed), RS.MI-3 (Mitigation of vulnerabilities)</w:t>
      </w:r>
    </w:p>
    <w:p w14:paraId="49818EF3" w14:textId="77777777" w:rsidR="00F42188" w:rsidRPr="00F42188" w:rsidRDefault="00F42188" w:rsidP="00F42188">
      <w:pPr>
        <w:spacing w:after="0"/>
        <w:rPr>
          <w:rFonts w:ascii="Arial" w:hAnsi="Arial" w:cs="Arial"/>
        </w:rPr>
      </w:pPr>
      <w:r w:rsidRPr="00F42188">
        <w:rPr>
          <w:rFonts w:ascii="Arial" w:hAnsi="Arial" w:cs="Arial"/>
        </w:rPr>
        <w:t>ISO 27001: A.12.6.1 (Management of Technical Vulnerabilities)</w:t>
      </w:r>
    </w:p>
    <w:p w14:paraId="0A55DE8A" w14:textId="77777777" w:rsidR="00F42188" w:rsidRPr="00F42188" w:rsidRDefault="00F42188" w:rsidP="00F42188">
      <w:pPr>
        <w:spacing w:after="0"/>
        <w:rPr>
          <w:rFonts w:ascii="Arial" w:hAnsi="Arial" w:cs="Arial"/>
        </w:rPr>
      </w:pPr>
    </w:p>
    <w:p w14:paraId="1B471AF1" w14:textId="77777777" w:rsidR="00F42188" w:rsidRPr="00F42188" w:rsidRDefault="00F42188" w:rsidP="00F42188">
      <w:pPr>
        <w:spacing w:after="0"/>
        <w:rPr>
          <w:rFonts w:ascii="Arial" w:hAnsi="Arial" w:cs="Arial"/>
        </w:rPr>
      </w:pPr>
    </w:p>
    <w:p w14:paraId="11E15BFB" w14:textId="77777777" w:rsidR="00F42188" w:rsidRPr="00F42188" w:rsidRDefault="00F42188" w:rsidP="00F42188">
      <w:pPr>
        <w:spacing w:after="0"/>
        <w:rPr>
          <w:rFonts w:ascii="Arial" w:hAnsi="Arial" w:cs="Arial"/>
          <w:i/>
          <w:iCs/>
          <w:color w:val="0070C0"/>
        </w:rPr>
      </w:pPr>
      <w:r w:rsidRPr="00F42188">
        <w:rPr>
          <w:rFonts w:ascii="Arial" w:hAnsi="Arial" w:cs="Arial"/>
          <w:i/>
          <w:iCs/>
          <w:color w:val="0070C0"/>
        </w:rPr>
        <w:t>6. Continuous Monitoring &amp; Incident Response Policy</w:t>
      </w:r>
    </w:p>
    <w:p w14:paraId="0D926A27" w14:textId="77777777" w:rsidR="00F42188" w:rsidRPr="00F42188" w:rsidRDefault="00F42188" w:rsidP="00F42188">
      <w:pPr>
        <w:spacing w:after="0"/>
        <w:rPr>
          <w:rFonts w:ascii="Arial" w:hAnsi="Arial" w:cs="Arial"/>
        </w:rPr>
      </w:pPr>
    </w:p>
    <w:p w14:paraId="44FF15F6" w14:textId="77777777" w:rsidR="00F42188" w:rsidRPr="00F42188" w:rsidRDefault="00F42188" w:rsidP="00F42188">
      <w:pPr>
        <w:spacing w:after="0"/>
        <w:rPr>
          <w:rFonts w:ascii="Arial" w:hAnsi="Arial" w:cs="Arial"/>
        </w:rPr>
      </w:pPr>
      <w:r w:rsidRPr="00F42188">
        <w:rPr>
          <w:rFonts w:ascii="Arial" w:hAnsi="Arial" w:cs="Arial"/>
        </w:rPr>
        <w:t>Policy: Deploy SIEM/SOAR for real-time monitoring and automated response; maintain an incident response runbook.</w:t>
      </w:r>
    </w:p>
    <w:p w14:paraId="08FA5643" w14:textId="77777777" w:rsidR="00F42188" w:rsidRPr="00F42188" w:rsidRDefault="00F42188" w:rsidP="00F42188">
      <w:pPr>
        <w:spacing w:after="0"/>
        <w:rPr>
          <w:rFonts w:ascii="Arial" w:hAnsi="Arial" w:cs="Arial"/>
        </w:rPr>
      </w:pPr>
      <w:r w:rsidRPr="00F42188">
        <w:rPr>
          <w:rFonts w:ascii="Arial" w:hAnsi="Arial" w:cs="Arial"/>
        </w:rPr>
        <w:t xml:space="preserve">NIST CSF: Detect &amp; </w:t>
      </w:r>
      <w:proofErr w:type="gramStart"/>
      <w:r w:rsidRPr="00F42188">
        <w:rPr>
          <w:rFonts w:ascii="Arial" w:hAnsi="Arial" w:cs="Arial"/>
        </w:rPr>
        <w:t>Respond</w:t>
      </w:r>
      <w:proofErr w:type="gramEnd"/>
      <w:r w:rsidRPr="00F42188">
        <w:rPr>
          <w:rFonts w:ascii="Arial" w:hAnsi="Arial" w:cs="Arial"/>
        </w:rPr>
        <w:t xml:space="preserve"> – DE.CM-1 (Monitoring for anomalies), RS.RP-1 (Incident response plan executed)</w:t>
      </w:r>
    </w:p>
    <w:p w14:paraId="06CBFE4B" w14:textId="77777777" w:rsidR="00F42188" w:rsidRPr="00F42188" w:rsidRDefault="00F42188" w:rsidP="00F42188">
      <w:pPr>
        <w:spacing w:after="0"/>
        <w:rPr>
          <w:rFonts w:ascii="Arial" w:hAnsi="Arial" w:cs="Arial"/>
        </w:rPr>
      </w:pPr>
      <w:r w:rsidRPr="00F42188">
        <w:rPr>
          <w:rFonts w:ascii="Arial" w:hAnsi="Arial" w:cs="Arial"/>
        </w:rPr>
        <w:t>ISO 27001: A.16.1 (Management of Information Security Incidents)</w:t>
      </w:r>
    </w:p>
    <w:p w14:paraId="798CE4BB" w14:textId="77777777" w:rsidR="00C779A2" w:rsidRDefault="00C779A2" w:rsidP="003F2B3E">
      <w:pPr>
        <w:spacing w:after="0"/>
        <w:rPr>
          <w:rFonts w:ascii="Arial" w:hAnsi="Arial" w:cs="Arial"/>
        </w:rPr>
      </w:pPr>
    </w:p>
    <w:p w14:paraId="2D2FD3D8" w14:textId="77777777" w:rsidR="00C779A2" w:rsidRDefault="00C779A2" w:rsidP="003F2B3E">
      <w:pPr>
        <w:spacing w:after="0"/>
        <w:rPr>
          <w:rFonts w:ascii="Arial" w:hAnsi="Arial" w:cs="Arial"/>
        </w:rPr>
      </w:pPr>
    </w:p>
    <w:p w14:paraId="1EDECD54" w14:textId="77777777" w:rsidR="00C779A2" w:rsidRPr="003F2B3E" w:rsidRDefault="00C779A2" w:rsidP="003F2B3E">
      <w:pPr>
        <w:spacing w:after="0"/>
        <w:rPr>
          <w:rFonts w:ascii="Arial" w:hAnsi="Arial" w:cs="Arial"/>
        </w:rPr>
      </w:pPr>
    </w:p>
    <w:p w14:paraId="6477CA68" w14:textId="77777777" w:rsidR="003F2B3E" w:rsidRDefault="003F2B3E" w:rsidP="00C779A2">
      <w:pPr>
        <w:pStyle w:val="Heading1"/>
      </w:pPr>
      <w:bookmarkStart w:id="5" w:name="_Toc216772321"/>
      <w:r w:rsidRPr="003F2B3E">
        <w:t>Technical Mitigation Measures</w:t>
      </w:r>
      <w:bookmarkEnd w:id="5"/>
      <w:r w:rsidRPr="003F2B3E">
        <w:t xml:space="preserve"> </w:t>
      </w:r>
    </w:p>
    <w:p w14:paraId="629CEF24"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To reduce the impact of modern cyber threats, financial institutions need a combination of technical and administrative measures. First, </w:t>
      </w:r>
      <w:r>
        <w:rPr>
          <w:rStyle w:val="Strong"/>
          <w:rFonts w:ascii="Segoe UI" w:hAnsi="Segoe UI" w:cs="Segoe UI"/>
          <w:sz w:val="21"/>
          <w:szCs w:val="21"/>
        </w:rPr>
        <w:t>multi-factor authentication (MFA)</w:t>
      </w:r>
      <w:r>
        <w:rPr>
          <w:rFonts w:ascii="Segoe UI" w:hAnsi="Segoe UI" w:cs="Segoe UI"/>
          <w:sz w:val="21"/>
          <w:szCs w:val="21"/>
        </w:rPr>
        <w:t xml:space="preserve"> and strong identity management should be enforced to prevent unauthorized access [1], [2]. Implementing </w:t>
      </w:r>
      <w:r>
        <w:rPr>
          <w:rStyle w:val="Strong"/>
          <w:rFonts w:ascii="Segoe UI" w:hAnsi="Segoe UI" w:cs="Segoe UI"/>
          <w:sz w:val="21"/>
          <w:szCs w:val="21"/>
        </w:rPr>
        <w:t>SIEM (Security Information and Event Management)</w:t>
      </w:r>
      <w:r>
        <w:rPr>
          <w:rFonts w:ascii="Segoe UI" w:hAnsi="Segoe UI" w:cs="Segoe UI"/>
          <w:sz w:val="21"/>
          <w:szCs w:val="21"/>
        </w:rPr>
        <w:t xml:space="preserve"> and </w:t>
      </w:r>
      <w:r>
        <w:rPr>
          <w:rStyle w:val="Strong"/>
          <w:rFonts w:ascii="Segoe UI" w:hAnsi="Segoe UI" w:cs="Segoe UI"/>
          <w:sz w:val="21"/>
          <w:szCs w:val="21"/>
        </w:rPr>
        <w:t>SOAR (Security Orchestration, Automation, and Response)</w:t>
      </w:r>
      <w:r>
        <w:rPr>
          <w:rFonts w:ascii="Segoe UI" w:hAnsi="Segoe UI" w:cs="Segoe UI"/>
          <w:sz w:val="21"/>
          <w:szCs w:val="21"/>
        </w:rPr>
        <w:t xml:space="preserve"> tools enables real-time monitoring and automated incident response [3]. For cloud environments, </w:t>
      </w:r>
      <w:r>
        <w:rPr>
          <w:rStyle w:val="Strong"/>
          <w:rFonts w:ascii="Segoe UI" w:hAnsi="Segoe UI" w:cs="Segoe UI"/>
          <w:sz w:val="21"/>
          <w:szCs w:val="21"/>
        </w:rPr>
        <w:t>Cloud Security Posture Management (CSPM)</w:t>
      </w:r>
      <w:r>
        <w:rPr>
          <w:rFonts w:ascii="Segoe UI" w:hAnsi="Segoe UI" w:cs="Segoe UI"/>
          <w:sz w:val="21"/>
          <w:szCs w:val="21"/>
        </w:rPr>
        <w:t xml:space="preserve"> helps detect misconfigurations and enforce compliance [4]. Immutable backups and regular recovery tests are essential to protect against ransomware attacks [6]. Research also recommends </w:t>
      </w:r>
      <w:r>
        <w:rPr>
          <w:rFonts w:ascii="Segoe UI" w:hAnsi="Segoe UI" w:cs="Segoe UI"/>
          <w:sz w:val="21"/>
          <w:szCs w:val="21"/>
        </w:rPr>
        <w:lastRenderedPageBreak/>
        <w:t xml:space="preserve">integrated technical and non-technical solutions for IoT and distributed systems, which can be adapted for enterprise environments [9]. Additionally, adopting advanced cryptographic methods and continuous patch management based on known vulnerabilities strengthens overall resilience [10]. These measures, combined with strict policy enforcement, create a layered </w:t>
      </w:r>
      <w:proofErr w:type="spellStart"/>
      <w:r>
        <w:rPr>
          <w:rFonts w:ascii="Segoe UI" w:hAnsi="Segoe UI" w:cs="Segoe UI"/>
          <w:sz w:val="21"/>
          <w:szCs w:val="21"/>
        </w:rPr>
        <w:t>defense</w:t>
      </w:r>
      <w:proofErr w:type="spellEnd"/>
      <w:r>
        <w:rPr>
          <w:rFonts w:ascii="Segoe UI" w:hAnsi="Segoe UI" w:cs="Segoe UI"/>
          <w:sz w:val="21"/>
          <w:szCs w:val="21"/>
        </w:rPr>
        <w:t xml:space="preserve"> strategy against evolving threats.</w:t>
      </w:r>
    </w:p>
    <w:p w14:paraId="6615F199" w14:textId="77777777" w:rsidR="00B847D2" w:rsidRDefault="00B847D2" w:rsidP="00355669">
      <w:pPr>
        <w:pStyle w:val="NormalWeb"/>
        <w:spacing w:line="300" w:lineRule="atLeast"/>
        <w:rPr>
          <w:rFonts w:ascii="Segoe UI" w:hAnsi="Segoe UI" w:cs="Segoe UI"/>
          <w:sz w:val="21"/>
          <w:szCs w:val="21"/>
        </w:rPr>
      </w:pPr>
    </w:p>
    <w:p w14:paraId="47647C1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To reduce the impact of modern cyber threats, VTAM must implement a combination of technical and administrative measures. Each recommendation is aligned with NIST CSF and ISO/IEC 27001 standards:</w:t>
      </w:r>
    </w:p>
    <w:p w14:paraId="74F8EC98" w14:textId="77777777" w:rsidR="00B847D2" w:rsidRPr="00B847D2" w:rsidRDefault="00B847D2" w:rsidP="00B847D2">
      <w:pPr>
        <w:pStyle w:val="NormalWeb"/>
        <w:spacing w:line="300" w:lineRule="atLeast"/>
        <w:rPr>
          <w:rFonts w:ascii="Segoe UI" w:hAnsi="Segoe UI" w:cs="Segoe UI"/>
          <w:sz w:val="21"/>
          <w:szCs w:val="21"/>
        </w:rPr>
      </w:pPr>
    </w:p>
    <w:p w14:paraId="0C99818D"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1. Multi-Factor Authentication (MFA)</w:t>
      </w:r>
    </w:p>
    <w:p w14:paraId="780BBB49" w14:textId="77777777" w:rsidR="00B847D2" w:rsidRPr="00B847D2" w:rsidRDefault="00B847D2" w:rsidP="00B847D2">
      <w:pPr>
        <w:pStyle w:val="NormalWeb"/>
        <w:spacing w:line="300" w:lineRule="atLeast"/>
        <w:rPr>
          <w:rFonts w:ascii="Segoe UI" w:hAnsi="Segoe UI" w:cs="Segoe UI"/>
          <w:sz w:val="21"/>
          <w:szCs w:val="21"/>
        </w:rPr>
      </w:pPr>
    </w:p>
    <w:p w14:paraId="751CE12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Enforce MFA for all privileged accounts, remote access, and critical applications. Configure adaptive authentication for high-risk transactions.</w:t>
      </w:r>
    </w:p>
    <w:p w14:paraId="6FF62B92"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Protect – PR.AC-7 (Users are authenticated commensurate with risk)</w:t>
      </w:r>
    </w:p>
    <w:p w14:paraId="51F265DE"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A.9.4.2 (Secure Log-on Procedures)</w:t>
      </w:r>
    </w:p>
    <w:p w14:paraId="5B3AC9CB" w14:textId="77777777" w:rsidR="00B847D2" w:rsidRPr="00B847D2" w:rsidRDefault="00B847D2" w:rsidP="00B847D2">
      <w:pPr>
        <w:pStyle w:val="NormalWeb"/>
        <w:spacing w:line="300" w:lineRule="atLeast"/>
        <w:rPr>
          <w:rFonts w:ascii="Segoe UI" w:hAnsi="Segoe UI" w:cs="Segoe UI"/>
          <w:sz w:val="21"/>
          <w:szCs w:val="21"/>
        </w:rPr>
      </w:pPr>
    </w:p>
    <w:p w14:paraId="795C49E8" w14:textId="77777777" w:rsidR="00B847D2" w:rsidRPr="00B847D2" w:rsidRDefault="00B847D2" w:rsidP="00B847D2">
      <w:pPr>
        <w:pStyle w:val="NormalWeb"/>
        <w:spacing w:line="300" w:lineRule="atLeast"/>
        <w:rPr>
          <w:rFonts w:ascii="Segoe UI" w:hAnsi="Segoe UI" w:cs="Segoe UI"/>
          <w:sz w:val="21"/>
          <w:szCs w:val="21"/>
        </w:rPr>
      </w:pPr>
    </w:p>
    <w:p w14:paraId="648C4F53"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2. SIEM &amp; SOAR Integration</w:t>
      </w:r>
    </w:p>
    <w:p w14:paraId="75CC21B4" w14:textId="77777777" w:rsidR="00B847D2" w:rsidRPr="00B847D2" w:rsidRDefault="00B847D2" w:rsidP="00B847D2">
      <w:pPr>
        <w:pStyle w:val="NormalWeb"/>
        <w:spacing w:line="300" w:lineRule="atLeast"/>
        <w:rPr>
          <w:rFonts w:ascii="Segoe UI" w:hAnsi="Segoe UI" w:cs="Segoe UI"/>
          <w:sz w:val="21"/>
          <w:szCs w:val="21"/>
        </w:rPr>
      </w:pPr>
    </w:p>
    <w:p w14:paraId="3335EE9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Deploy a Security Information and Event Management (SIEM) system for centralized log collection and correlation. Integrate Security Orchestration, Automation, and Response (SOAR) to automate incident triage and response workflows.</w:t>
      </w:r>
    </w:p>
    <w:p w14:paraId="370E64B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Detect – DE.CM-1 (Monitoring for anomalies and events)</w:t>
      </w:r>
    </w:p>
    <w:p w14:paraId="3E3B1FE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A.16.1 (Management of Information Security Incidents)</w:t>
      </w:r>
    </w:p>
    <w:p w14:paraId="7D4446DF" w14:textId="77777777" w:rsidR="00B847D2" w:rsidRPr="00B847D2" w:rsidRDefault="00B847D2" w:rsidP="00B847D2">
      <w:pPr>
        <w:pStyle w:val="NormalWeb"/>
        <w:spacing w:line="300" w:lineRule="atLeast"/>
        <w:rPr>
          <w:rFonts w:ascii="Segoe UI" w:hAnsi="Segoe UI" w:cs="Segoe UI"/>
          <w:sz w:val="21"/>
          <w:szCs w:val="21"/>
        </w:rPr>
      </w:pPr>
    </w:p>
    <w:p w14:paraId="3F5FC44F" w14:textId="77777777" w:rsidR="00B847D2" w:rsidRPr="00B847D2" w:rsidRDefault="00B847D2" w:rsidP="00B847D2">
      <w:pPr>
        <w:pStyle w:val="NormalWeb"/>
        <w:spacing w:line="300" w:lineRule="atLeast"/>
        <w:rPr>
          <w:rFonts w:ascii="Segoe UI" w:hAnsi="Segoe UI" w:cs="Segoe UI"/>
          <w:sz w:val="21"/>
          <w:szCs w:val="21"/>
        </w:rPr>
      </w:pPr>
    </w:p>
    <w:p w14:paraId="57FAE8BC"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3. Cloud Security Posture Management (CSPM)</w:t>
      </w:r>
    </w:p>
    <w:p w14:paraId="4FBF4C90" w14:textId="77777777" w:rsidR="00B847D2" w:rsidRPr="00B847D2" w:rsidRDefault="00B847D2" w:rsidP="00B847D2">
      <w:pPr>
        <w:pStyle w:val="NormalWeb"/>
        <w:spacing w:line="300" w:lineRule="atLeast"/>
        <w:rPr>
          <w:rFonts w:ascii="Segoe UI" w:hAnsi="Segoe UI" w:cs="Segoe UI"/>
          <w:sz w:val="21"/>
          <w:szCs w:val="21"/>
        </w:rPr>
      </w:pPr>
    </w:p>
    <w:p w14:paraId="78E90919"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Use CSPM tools to continuously scan cloud environments for misconfigurations, enforce compliance baselines, and remediate risks automatically.</w:t>
      </w:r>
    </w:p>
    <w:p w14:paraId="1F0F0DA7"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 xml:space="preserve">NIST CSF: Protect – </w:t>
      </w:r>
      <w:proofErr w:type="gramStart"/>
      <w:r w:rsidRPr="00B847D2">
        <w:rPr>
          <w:rFonts w:ascii="Segoe UI" w:hAnsi="Segoe UI" w:cs="Segoe UI"/>
          <w:sz w:val="21"/>
          <w:szCs w:val="21"/>
        </w:rPr>
        <w:t>PR.IP</w:t>
      </w:r>
      <w:proofErr w:type="gramEnd"/>
      <w:r w:rsidRPr="00B847D2">
        <w:rPr>
          <w:rFonts w:ascii="Segoe UI" w:hAnsi="Segoe UI" w:cs="Segoe UI"/>
          <w:sz w:val="21"/>
          <w:szCs w:val="21"/>
        </w:rPr>
        <w:t>-1 (Baseline configuration established and maintained)</w:t>
      </w:r>
    </w:p>
    <w:p w14:paraId="1F8B8607"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A.12.1 (Operational Procedures and Responsibilities)</w:t>
      </w:r>
    </w:p>
    <w:p w14:paraId="46A18386" w14:textId="77777777" w:rsidR="00B847D2" w:rsidRPr="00B847D2" w:rsidRDefault="00B847D2" w:rsidP="00B847D2">
      <w:pPr>
        <w:pStyle w:val="NormalWeb"/>
        <w:spacing w:line="300" w:lineRule="atLeast"/>
        <w:rPr>
          <w:rFonts w:ascii="Segoe UI" w:hAnsi="Segoe UI" w:cs="Segoe UI"/>
          <w:sz w:val="21"/>
          <w:szCs w:val="21"/>
        </w:rPr>
      </w:pPr>
    </w:p>
    <w:p w14:paraId="3D3F825F" w14:textId="77777777" w:rsidR="00B847D2" w:rsidRPr="00B847D2" w:rsidRDefault="00B847D2" w:rsidP="00B847D2">
      <w:pPr>
        <w:pStyle w:val="NormalWeb"/>
        <w:spacing w:line="300" w:lineRule="atLeast"/>
        <w:rPr>
          <w:rFonts w:ascii="Segoe UI" w:hAnsi="Segoe UI" w:cs="Segoe UI"/>
          <w:i/>
          <w:iCs/>
          <w:color w:val="0070C0"/>
          <w:sz w:val="21"/>
          <w:szCs w:val="21"/>
        </w:rPr>
      </w:pPr>
    </w:p>
    <w:p w14:paraId="4879566B"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4. Immutable Backups</w:t>
      </w:r>
    </w:p>
    <w:p w14:paraId="71F533E4" w14:textId="77777777" w:rsidR="00B847D2" w:rsidRPr="00B847D2" w:rsidRDefault="00B847D2" w:rsidP="00B847D2">
      <w:pPr>
        <w:pStyle w:val="NormalWeb"/>
        <w:spacing w:line="300" w:lineRule="atLeast"/>
        <w:rPr>
          <w:rFonts w:ascii="Segoe UI" w:hAnsi="Segoe UI" w:cs="Segoe UI"/>
          <w:sz w:val="21"/>
          <w:szCs w:val="21"/>
        </w:rPr>
      </w:pPr>
    </w:p>
    <w:p w14:paraId="66D496AE"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 xml:space="preserve">Implementation: Store backups in write-once-read-many (WORM) </w:t>
      </w:r>
      <w:proofErr w:type="gramStart"/>
      <w:r w:rsidRPr="00B847D2">
        <w:rPr>
          <w:rFonts w:ascii="Segoe UI" w:hAnsi="Segoe UI" w:cs="Segoe UI"/>
          <w:sz w:val="21"/>
          <w:szCs w:val="21"/>
        </w:rPr>
        <w:t>format</w:t>
      </w:r>
      <w:proofErr w:type="gramEnd"/>
      <w:r w:rsidRPr="00B847D2">
        <w:rPr>
          <w:rFonts w:ascii="Segoe UI" w:hAnsi="Segoe UI" w:cs="Segoe UI"/>
          <w:sz w:val="21"/>
          <w:szCs w:val="21"/>
        </w:rPr>
        <w:t xml:space="preserve"> to prevent tampering. Perform monthly recovery tests to validate integrity and ensure business continuity.</w:t>
      </w:r>
    </w:p>
    <w:p w14:paraId="04A57DF0"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 xml:space="preserve">NIST CSF: Recover – </w:t>
      </w:r>
      <w:proofErr w:type="gramStart"/>
      <w:r w:rsidRPr="00B847D2">
        <w:rPr>
          <w:rFonts w:ascii="Segoe UI" w:hAnsi="Segoe UI" w:cs="Segoe UI"/>
          <w:sz w:val="21"/>
          <w:szCs w:val="21"/>
        </w:rPr>
        <w:t>RC.BC</w:t>
      </w:r>
      <w:proofErr w:type="gramEnd"/>
      <w:r w:rsidRPr="00B847D2">
        <w:rPr>
          <w:rFonts w:ascii="Segoe UI" w:hAnsi="Segoe UI" w:cs="Segoe UI"/>
          <w:sz w:val="21"/>
          <w:szCs w:val="21"/>
        </w:rPr>
        <w:t>-1 (Recovery plan implemented and maintained)</w:t>
      </w:r>
    </w:p>
    <w:p w14:paraId="5BDD02CE"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A.12.3 (Backup)</w:t>
      </w:r>
    </w:p>
    <w:p w14:paraId="48C16F87" w14:textId="77777777" w:rsidR="00B847D2" w:rsidRPr="00B847D2" w:rsidRDefault="00B847D2" w:rsidP="00B847D2">
      <w:pPr>
        <w:pStyle w:val="NormalWeb"/>
        <w:spacing w:line="300" w:lineRule="atLeast"/>
        <w:rPr>
          <w:rFonts w:ascii="Segoe UI" w:hAnsi="Segoe UI" w:cs="Segoe UI"/>
          <w:sz w:val="21"/>
          <w:szCs w:val="21"/>
        </w:rPr>
      </w:pPr>
    </w:p>
    <w:p w14:paraId="3FE06DF4" w14:textId="77777777" w:rsidR="00B847D2" w:rsidRPr="00B847D2" w:rsidRDefault="00B847D2" w:rsidP="00B847D2">
      <w:pPr>
        <w:pStyle w:val="NormalWeb"/>
        <w:spacing w:line="300" w:lineRule="atLeast"/>
        <w:rPr>
          <w:rFonts w:ascii="Segoe UI" w:hAnsi="Segoe UI" w:cs="Segoe UI"/>
          <w:sz w:val="21"/>
          <w:szCs w:val="21"/>
        </w:rPr>
      </w:pPr>
    </w:p>
    <w:p w14:paraId="1FE6F04D"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5. Patch Management (CISA KEV)</w:t>
      </w:r>
    </w:p>
    <w:p w14:paraId="799D7876" w14:textId="77777777" w:rsidR="00B847D2" w:rsidRPr="00B847D2" w:rsidRDefault="00B847D2" w:rsidP="00B847D2">
      <w:pPr>
        <w:pStyle w:val="NormalWeb"/>
        <w:spacing w:line="300" w:lineRule="atLeast"/>
        <w:rPr>
          <w:rFonts w:ascii="Segoe UI" w:hAnsi="Segoe UI" w:cs="Segoe UI"/>
          <w:sz w:val="21"/>
          <w:szCs w:val="21"/>
        </w:rPr>
      </w:pPr>
    </w:p>
    <w:p w14:paraId="29233371"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 xml:space="preserve">Implementation: Apply security patches within 48 hours for vulnerabilities listed in the CISA Known Exploited Vulnerabilities (KEV) </w:t>
      </w:r>
      <w:proofErr w:type="spellStart"/>
      <w:r w:rsidRPr="00B847D2">
        <w:rPr>
          <w:rFonts w:ascii="Segoe UI" w:hAnsi="Segoe UI" w:cs="Segoe UI"/>
          <w:sz w:val="21"/>
          <w:szCs w:val="21"/>
        </w:rPr>
        <w:t>catalog</w:t>
      </w:r>
      <w:proofErr w:type="spellEnd"/>
      <w:r w:rsidRPr="00B847D2">
        <w:rPr>
          <w:rFonts w:ascii="Segoe UI" w:hAnsi="Segoe UI" w:cs="Segoe UI"/>
          <w:sz w:val="21"/>
          <w:szCs w:val="21"/>
        </w:rPr>
        <w:t>. Maintain a vulnerability management program with automated scanning and prioritization based on exploitability.</w:t>
      </w:r>
    </w:p>
    <w:p w14:paraId="4679312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Respond – RS.MI-3 (Mitigation of vulnerabilities)</w:t>
      </w:r>
    </w:p>
    <w:p w14:paraId="32602486"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A.12.6.1 (Management of Technical Vulnerabilities)</w:t>
      </w:r>
    </w:p>
    <w:p w14:paraId="72A1E450" w14:textId="77777777" w:rsidR="00B847D2" w:rsidRDefault="00B847D2" w:rsidP="00355669">
      <w:pPr>
        <w:pStyle w:val="NormalWeb"/>
        <w:spacing w:line="300" w:lineRule="atLeast"/>
        <w:rPr>
          <w:rFonts w:ascii="Segoe UI" w:hAnsi="Segoe UI" w:cs="Segoe UI"/>
          <w:sz w:val="21"/>
          <w:szCs w:val="21"/>
        </w:rPr>
      </w:pPr>
    </w:p>
    <w:p w14:paraId="398F1F7B" w14:textId="77777777" w:rsidR="00355669" w:rsidRPr="00355669" w:rsidRDefault="00355669" w:rsidP="00355669"/>
    <w:p w14:paraId="42B77EA3" w14:textId="77777777" w:rsidR="00C779A2" w:rsidRDefault="00C779A2" w:rsidP="003F2B3E">
      <w:pPr>
        <w:spacing w:after="0"/>
        <w:rPr>
          <w:rFonts w:ascii="Arial" w:hAnsi="Arial" w:cs="Arial"/>
        </w:rPr>
      </w:pPr>
    </w:p>
    <w:p w14:paraId="1481FB99" w14:textId="77777777" w:rsidR="00C779A2" w:rsidRDefault="00C779A2" w:rsidP="003F2B3E">
      <w:pPr>
        <w:spacing w:after="0"/>
        <w:rPr>
          <w:rFonts w:ascii="Arial" w:hAnsi="Arial" w:cs="Arial"/>
        </w:rPr>
      </w:pPr>
    </w:p>
    <w:p w14:paraId="599DE1E4" w14:textId="77777777" w:rsidR="00C779A2" w:rsidRDefault="00C779A2" w:rsidP="003F2B3E">
      <w:pPr>
        <w:spacing w:after="0"/>
        <w:rPr>
          <w:rFonts w:ascii="Arial" w:hAnsi="Arial" w:cs="Arial"/>
        </w:rPr>
      </w:pPr>
    </w:p>
    <w:p w14:paraId="18EFC258" w14:textId="77777777" w:rsidR="00C779A2" w:rsidRDefault="00C779A2" w:rsidP="003F2B3E">
      <w:pPr>
        <w:spacing w:after="0"/>
        <w:rPr>
          <w:rFonts w:ascii="Arial" w:hAnsi="Arial" w:cs="Arial"/>
        </w:rPr>
      </w:pPr>
    </w:p>
    <w:p w14:paraId="40FF6DA1" w14:textId="77777777" w:rsidR="00C779A2" w:rsidRDefault="00C779A2" w:rsidP="003F2B3E">
      <w:pPr>
        <w:spacing w:after="0"/>
        <w:rPr>
          <w:rFonts w:ascii="Arial" w:hAnsi="Arial" w:cs="Arial"/>
        </w:rPr>
      </w:pPr>
    </w:p>
    <w:p w14:paraId="221D9427" w14:textId="77777777" w:rsidR="00C779A2" w:rsidRDefault="00C779A2" w:rsidP="003F2B3E">
      <w:pPr>
        <w:spacing w:after="0"/>
        <w:rPr>
          <w:rFonts w:ascii="Arial" w:hAnsi="Arial" w:cs="Arial"/>
        </w:rPr>
      </w:pPr>
    </w:p>
    <w:p w14:paraId="63C96DC3" w14:textId="77777777" w:rsidR="00C779A2" w:rsidRDefault="00C779A2" w:rsidP="003F2B3E">
      <w:pPr>
        <w:spacing w:after="0"/>
        <w:rPr>
          <w:rFonts w:ascii="Arial" w:hAnsi="Arial" w:cs="Arial"/>
        </w:rPr>
      </w:pPr>
    </w:p>
    <w:p w14:paraId="4184CAA0" w14:textId="77777777" w:rsidR="00C779A2" w:rsidRPr="003F2B3E" w:rsidRDefault="00C779A2" w:rsidP="003F2B3E">
      <w:pPr>
        <w:spacing w:after="0"/>
        <w:rPr>
          <w:rFonts w:ascii="Arial" w:hAnsi="Arial" w:cs="Arial"/>
        </w:rPr>
      </w:pPr>
    </w:p>
    <w:p w14:paraId="1E5E2E79" w14:textId="77777777" w:rsidR="003F2B3E" w:rsidRDefault="003F2B3E" w:rsidP="00C779A2">
      <w:pPr>
        <w:pStyle w:val="Heading1"/>
      </w:pPr>
      <w:bookmarkStart w:id="6" w:name="_Toc216772322"/>
      <w:r w:rsidRPr="003F2B3E">
        <w:t>Proactive Monitoring and Incident Response</w:t>
      </w:r>
      <w:bookmarkEnd w:id="6"/>
      <w:r w:rsidRPr="003F2B3E">
        <w:t xml:space="preserve"> </w:t>
      </w:r>
    </w:p>
    <w:p w14:paraId="1E29A356"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Continuous monitoring and a strong incident response plan are essential for financial institutions to detect and respond to cyber threats quickly. Implementing </w:t>
      </w:r>
      <w:r>
        <w:rPr>
          <w:rStyle w:val="Strong"/>
          <w:rFonts w:ascii="Segoe UI" w:hAnsi="Segoe UI" w:cs="Segoe UI"/>
          <w:sz w:val="21"/>
          <w:szCs w:val="21"/>
        </w:rPr>
        <w:t>SIEM (Security Information and Event Management)</w:t>
      </w:r>
      <w:r>
        <w:rPr>
          <w:rFonts w:ascii="Segoe UI" w:hAnsi="Segoe UI" w:cs="Segoe UI"/>
          <w:sz w:val="21"/>
          <w:szCs w:val="21"/>
        </w:rPr>
        <w:t xml:space="preserve"> and </w:t>
      </w:r>
      <w:r>
        <w:rPr>
          <w:rStyle w:val="Strong"/>
          <w:rFonts w:ascii="Segoe UI" w:hAnsi="Segoe UI" w:cs="Segoe UI"/>
          <w:sz w:val="21"/>
          <w:szCs w:val="21"/>
        </w:rPr>
        <w:t>SOAR (Security Orchestration, Automation, and Response)</w:t>
      </w:r>
      <w:r>
        <w:rPr>
          <w:rFonts w:ascii="Segoe UI" w:hAnsi="Segoe UI" w:cs="Segoe UI"/>
          <w:sz w:val="21"/>
          <w:szCs w:val="21"/>
        </w:rPr>
        <w:t xml:space="preserve"> tools enables real-time log analysis, threat correlation, and automated response actions [3]. Security auditing and monitoring policies should include regular vulnerability scans, log reviews, and compliance checks to maintain visibility across all systems [12]. Integrated approaches to incident response, such as combining technical controls with project management principles, help organizations handle complex incidents effectively and reduce downtime [11]. A clear workflow should define steps for detection, containment, eradication, recovery, and post-incident analysis. This proactive strategy ensures that threats like ransomware and phishing are addressed before they cause major damage, improving resilience and regulatory compliance.</w:t>
      </w:r>
    </w:p>
    <w:p w14:paraId="7879BC92" w14:textId="77777777" w:rsidR="00B0620B" w:rsidRDefault="00B0620B" w:rsidP="00355669">
      <w:pPr>
        <w:pStyle w:val="NormalWeb"/>
        <w:spacing w:line="300" w:lineRule="atLeast"/>
        <w:rPr>
          <w:rFonts w:ascii="Segoe UI" w:hAnsi="Segoe UI" w:cs="Segoe UI"/>
          <w:sz w:val="21"/>
          <w:szCs w:val="21"/>
        </w:rPr>
      </w:pPr>
    </w:p>
    <w:p w14:paraId="60BC0781" w14:textId="3F69C729" w:rsidR="00B0620B" w:rsidRDefault="00B0620B" w:rsidP="00355669">
      <w:pPr>
        <w:pStyle w:val="NormalWeb"/>
        <w:spacing w:line="300" w:lineRule="atLeast"/>
        <w:rPr>
          <w:rFonts w:ascii="Segoe UI" w:hAnsi="Segoe UI" w:cs="Segoe UI"/>
          <w:sz w:val="21"/>
          <w:szCs w:val="21"/>
        </w:rPr>
      </w:pPr>
      <w:r>
        <w:rPr>
          <w:rFonts w:ascii="Segoe UI" w:hAnsi="Segoe UI" w:cs="Segoe UI"/>
          <w:noProof/>
          <w:sz w:val="21"/>
          <w:szCs w:val="21"/>
        </w:rPr>
        <w:drawing>
          <wp:inline distT="0" distB="0" distL="0" distR="0" wp14:anchorId="580A3F18" wp14:editId="064A9D55">
            <wp:extent cx="4978400" cy="3892550"/>
            <wp:effectExtent l="0" t="0" r="0" b="0"/>
            <wp:docPr id="199565271" name="Picture 61" descr="A diagram of a software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65271" name="Picture 61" descr="A diagram of a software syste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978400" cy="3892550"/>
                    </a:xfrm>
                    <a:prstGeom prst="rect">
                      <a:avLst/>
                    </a:prstGeom>
                  </pic:spPr>
                </pic:pic>
              </a:graphicData>
            </a:graphic>
          </wp:inline>
        </w:drawing>
      </w:r>
    </w:p>
    <w:p w14:paraId="3DA977EB" w14:textId="77777777" w:rsidR="00B847D2" w:rsidRDefault="00B847D2" w:rsidP="00355669">
      <w:pPr>
        <w:pStyle w:val="NormalWeb"/>
        <w:spacing w:line="300" w:lineRule="atLeast"/>
        <w:rPr>
          <w:rFonts w:ascii="Segoe UI" w:hAnsi="Segoe UI" w:cs="Segoe UI"/>
          <w:sz w:val="21"/>
          <w:szCs w:val="21"/>
        </w:rPr>
      </w:pPr>
    </w:p>
    <w:p w14:paraId="6F198AD5" w14:textId="0CCE2826" w:rsidR="00B847D2" w:rsidRPr="00B847D2" w:rsidRDefault="00B847D2" w:rsidP="00F65F2D">
      <w:pPr>
        <w:pStyle w:val="NormalWeb"/>
        <w:numPr>
          <w:ilvl w:val="0"/>
          <w:numId w:val="1"/>
        </w:numPr>
        <w:spacing w:line="300" w:lineRule="atLeast"/>
        <w:rPr>
          <w:rFonts w:ascii="Segoe UI" w:hAnsi="Segoe UI" w:cs="Segoe UI"/>
          <w:sz w:val="21"/>
          <w:szCs w:val="21"/>
        </w:rPr>
      </w:pPr>
      <w:r w:rsidRPr="00B847D2">
        <w:rPr>
          <w:rFonts w:ascii="Segoe UI" w:hAnsi="Segoe UI" w:cs="Segoe UI"/>
          <w:sz w:val="21"/>
          <w:szCs w:val="21"/>
        </w:rPr>
        <w:lastRenderedPageBreak/>
        <w:t>Continuous monitoring and a robust incident response plan are essential for VTAM to detect and respond to cyber threats quickly. The following measures are aligned with NIST CSF and ISO/IEC 27001 standards:</w:t>
      </w:r>
    </w:p>
    <w:p w14:paraId="41EFEF03" w14:textId="77777777" w:rsidR="00B847D2" w:rsidRPr="00B847D2" w:rsidRDefault="00B847D2" w:rsidP="00B847D2">
      <w:pPr>
        <w:pStyle w:val="NormalWeb"/>
        <w:spacing w:line="300" w:lineRule="atLeast"/>
        <w:rPr>
          <w:rFonts w:ascii="Segoe UI" w:hAnsi="Segoe UI" w:cs="Segoe UI"/>
          <w:sz w:val="21"/>
          <w:szCs w:val="21"/>
        </w:rPr>
      </w:pPr>
    </w:p>
    <w:p w14:paraId="2CB113A4"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1. SIEM &amp; SOAR Deployment</w:t>
      </w:r>
    </w:p>
    <w:p w14:paraId="204B5458" w14:textId="77777777" w:rsidR="00B847D2" w:rsidRPr="00B847D2" w:rsidRDefault="00B847D2" w:rsidP="00B847D2">
      <w:pPr>
        <w:pStyle w:val="NormalWeb"/>
        <w:spacing w:line="300" w:lineRule="atLeast"/>
        <w:rPr>
          <w:rFonts w:ascii="Segoe UI" w:hAnsi="Segoe UI" w:cs="Segoe UI"/>
          <w:sz w:val="21"/>
          <w:szCs w:val="21"/>
        </w:rPr>
      </w:pPr>
    </w:p>
    <w:p w14:paraId="04EF7EAD"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Deploy a Security Information and Event Management (SIEM) system for real-time log aggregation, correlation, and alerting. Integrate Security Orchestration, Automation, and Response (SOAR) to automate triage and containment actions.</w:t>
      </w:r>
    </w:p>
    <w:p w14:paraId="72DB69FE"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Detect – DE.CM-1 (Monitoring for anomalies and events)</w:t>
      </w:r>
    </w:p>
    <w:p w14:paraId="667E297C"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A.16.1 (Management of Information Security Incidents)</w:t>
      </w:r>
    </w:p>
    <w:p w14:paraId="110A6FC3" w14:textId="77777777" w:rsidR="00B847D2" w:rsidRPr="00B847D2" w:rsidRDefault="00B847D2" w:rsidP="00B847D2">
      <w:pPr>
        <w:pStyle w:val="NormalWeb"/>
        <w:spacing w:line="300" w:lineRule="atLeast"/>
        <w:rPr>
          <w:rFonts w:ascii="Segoe UI" w:hAnsi="Segoe UI" w:cs="Segoe UI"/>
          <w:sz w:val="21"/>
          <w:szCs w:val="21"/>
        </w:rPr>
      </w:pPr>
    </w:p>
    <w:p w14:paraId="586E4D07" w14:textId="77777777" w:rsidR="00B847D2" w:rsidRPr="00B847D2" w:rsidRDefault="00B847D2" w:rsidP="00B847D2">
      <w:pPr>
        <w:pStyle w:val="NormalWeb"/>
        <w:spacing w:line="300" w:lineRule="atLeast"/>
        <w:rPr>
          <w:rFonts w:ascii="Segoe UI" w:hAnsi="Segoe UI" w:cs="Segoe UI"/>
          <w:sz w:val="21"/>
          <w:szCs w:val="21"/>
        </w:rPr>
      </w:pPr>
    </w:p>
    <w:p w14:paraId="1A8DE06F"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2. Continuous Vulnerability Scanning</w:t>
      </w:r>
    </w:p>
    <w:p w14:paraId="4FE7C276" w14:textId="77777777" w:rsidR="00B847D2" w:rsidRPr="00B847D2" w:rsidRDefault="00B847D2" w:rsidP="00B847D2">
      <w:pPr>
        <w:pStyle w:val="NormalWeb"/>
        <w:spacing w:line="300" w:lineRule="atLeast"/>
        <w:rPr>
          <w:rFonts w:ascii="Segoe UI" w:hAnsi="Segoe UI" w:cs="Segoe UI"/>
          <w:sz w:val="21"/>
          <w:szCs w:val="21"/>
        </w:rPr>
      </w:pPr>
    </w:p>
    <w:p w14:paraId="091C154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 xml:space="preserve">Implementation: Perform weekly vulnerability scans and daily log reviews. Prioritize remediation based on exploitability and CISA KEV </w:t>
      </w:r>
      <w:proofErr w:type="spellStart"/>
      <w:r w:rsidRPr="00B847D2">
        <w:rPr>
          <w:rFonts w:ascii="Segoe UI" w:hAnsi="Segoe UI" w:cs="Segoe UI"/>
          <w:sz w:val="21"/>
          <w:szCs w:val="21"/>
        </w:rPr>
        <w:t>catalog</w:t>
      </w:r>
      <w:proofErr w:type="spellEnd"/>
      <w:r w:rsidRPr="00B847D2">
        <w:rPr>
          <w:rFonts w:ascii="Segoe UI" w:hAnsi="Segoe UI" w:cs="Segoe UI"/>
          <w:sz w:val="21"/>
          <w:szCs w:val="21"/>
        </w:rPr>
        <w:t>.</w:t>
      </w:r>
    </w:p>
    <w:p w14:paraId="15698B5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Detect – DE.CM-8 (Vulnerability scans are performed)</w:t>
      </w:r>
    </w:p>
    <w:p w14:paraId="0D13E2E0"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A.12.6.1 (Management of Technical Vulnerabilities)</w:t>
      </w:r>
    </w:p>
    <w:p w14:paraId="4EF3636C" w14:textId="77777777" w:rsidR="00B847D2" w:rsidRPr="00B847D2" w:rsidRDefault="00B847D2" w:rsidP="00B847D2">
      <w:pPr>
        <w:pStyle w:val="NormalWeb"/>
        <w:spacing w:line="300" w:lineRule="atLeast"/>
        <w:rPr>
          <w:rFonts w:ascii="Segoe UI" w:hAnsi="Segoe UI" w:cs="Segoe UI"/>
          <w:sz w:val="21"/>
          <w:szCs w:val="21"/>
        </w:rPr>
      </w:pPr>
    </w:p>
    <w:p w14:paraId="6A39FAFA" w14:textId="77777777" w:rsidR="00B847D2" w:rsidRPr="00B847D2" w:rsidRDefault="00B847D2" w:rsidP="00B847D2">
      <w:pPr>
        <w:pStyle w:val="NormalWeb"/>
        <w:spacing w:line="300" w:lineRule="atLeast"/>
        <w:rPr>
          <w:rFonts w:ascii="Segoe UI" w:hAnsi="Segoe UI" w:cs="Segoe UI"/>
          <w:sz w:val="21"/>
          <w:szCs w:val="21"/>
        </w:rPr>
      </w:pPr>
    </w:p>
    <w:p w14:paraId="4D5E335E"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3. Incident Response Runbook</w:t>
      </w:r>
    </w:p>
    <w:p w14:paraId="31E5823A" w14:textId="77777777" w:rsidR="00B847D2" w:rsidRPr="00B847D2" w:rsidRDefault="00B847D2" w:rsidP="00B847D2">
      <w:pPr>
        <w:pStyle w:val="NormalWeb"/>
        <w:spacing w:line="300" w:lineRule="atLeast"/>
        <w:rPr>
          <w:rFonts w:ascii="Segoe UI" w:hAnsi="Segoe UI" w:cs="Segoe UI"/>
          <w:sz w:val="21"/>
          <w:szCs w:val="21"/>
        </w:rPr>
      </w:pPr>
    </w:p>
    <w:p w14:paraId="4CC1C62F"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Workflow:</w:t>
      </w:r>
    </w:p>
    <w:p w14:paraId="40DCCE1E" w14:textId="77777777" w:rsidR="00B847D2" w:rsidRPr="00B847D2" w:rsidRDefault="00B847D2" w:rsidP="00B847D2">
      <w:pPr>
        <w:pStyle w:val="NormalWeb"/>
        <w:spacing w:line="300" w:lineRule="atLeast"/>
        <w:rPr>
          <w:rFonts w:ascii="Segoe UI" w:hAnsi="Segoe UI" w:cs="Segoe UI"/>
          <w:sz w:val="21"/>
          <w:szCs w:val="21"/>
        </w:rPr>
      </w:pPr>
    </w:p>
    <w:p w14:paraId="71DC34F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Detection: Identify anomalies through SIEM alerts and threat intelligence feeds.</w:t>
      </w:r>
    </w:p>
    <w:p w14:paraId="27E86F9A"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lastRenderedPageBreak/>
        <w:t>Containment: Isolate affected systems using SOAR playbooks and network segmentation.</w:t>
      </w:r>
    </w:p>
    <w:p w14:paraId="1B0E1D45"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Eradication: Remove malware, revoke compromised credentials, and patch vulnerabilities.</w:t>
      </w:r>
    </w:p>
    <w:p w14:paraId="0785ADFF"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Recovery: Restore systems from immutable backups and validate integrity.</w:t>
      </w:r>
    </w:p>
    <w:p w14:paraId="2E70BF8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Post-Incident Analysis: Conduct root cause analysis and update policies to prevent recurrence.</w:t>
      </w:r>
    </w:p>
    <w:p w14:paraId="3670076A" w14:textId="77777777" w:rsidR="00B847D2" w:rsidRPr="00B847D2" w:rsidRDefault="00B847D2" w:rsidP="00B847D2">
      <w:pPr>
        <w:pStyle w:val="NormalWeb"/>
        <w:spacing w:line="300" w:lineRule="atLeast"/>
        <w:rPr>
          <w:rFonts w:ascii="Segoe UI" w:hAnsi="Segoe UI" w:cs="Segoe UI"/>
          <w:sz w:val="21"/>
          <w:szCs w:val="21"/>
        </w:rPr>
      </w:pPr>
    </w:p>
    <w:p w14:paraId="02D94CE5" w14:textId="77777777" w:rsidR="00B847D2" w:rsidRPr="00B847D2" w:rsidRDefault="00B847D2" w:rsidP="00B847D2">
      <w:pPr>
        <w:pStyle w:val="NormalWeb"/>
        <w:spacing w:line="300" w:lineRule="atLeast"/>
        <w:rPr>
          <w:rFonts w:ascii="Segoe UI" w:hAnsi="Segoe UI" w:cs="Segoe UI"/>
          <w:sz w:val="21"/>
          <w:szCs w:val="21"/>
        </w:rPr>
      </w:pPr>
    </w:p>
    <w:p w14:paraId="6567A96F"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Respond – RS.RP-1 (Incident response plan executed), RS.MI-3 (Mitigation of vulnerabilities)</w:t>
      </w:r>
    </w:p>
    <w:p w14:paraId="54DBE2AA"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A.16.1.5 (Response to Information Security Incidents)</w:t>
      </w:r>
    </w:p>
    <w:p w14:paraId="12936E59" w14:textId="77777777" w:rsidR="00B847D2" w:rsidRPr="00B847D2" w:rsidRDefault="00B847D2" w:rsidP="00B847D2">
      <w:pPr>
        <w:pStyle w:val="NormalWeb"/>
        <w:spacing w:line="300" w:lineRule="atLeast"/>
        <w:rPr>
          <w:rFonts w:ascii="Segoe UI" w:hAnsi="Segoe UI" w:cs="Segoe UI"/>
          <w:sz w:val="21"/>
          <w:szCs w:val="21"/>
        </w:rPr>
      </w:pPr>
    </w:p>
    <w:p w14:paraId="3CFD16F6" w14:textId="77777777" w:rsidR="00B847D2" w:rsidRPr="00B847D2" w:rsidRDefault="00B847D2" w:rsidP="00B847D2">
      <w:pPr>
        <w:pStyle w:val="NormalWeb"/>
        <w:spacing w:line="300" w:lineRule="atLeast"/>
        <w:rPr>
          <w:rFonts w:ascii="Segoe UI" w:hAnsi="Segoe UI" w:cs="Segoe UI"/>
          <w:i/>
          <w:iCs/>
          <w:color w:val="0070C0"/>
          <w:sz w:val="21"/>
          <w:szCs w:val="21"/>
        </w:rPr>
      </w:pPr>
    </w:p>
    <w:p w14:paraId="5466B1E9"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4. Monitoring Dashboard &amp; KPIs</w:t>
      </w:r>
    </w:p>
    <w:p w14:paraId="02C4099F" w14:textId="77777777" w:rsidR="00B847D2" w:rsidRPr="00B847D2" w:rsidRDefault="00B847D2" w:rsidP="00B847D2">
      <w:pPr>
        <w:pStyle w:val="NormalWeb"/>
        <w:spacing w:line="300" w:lineRule="atLeast"/>
        <w:rPr>
          <w:rFonts w:ascii="Segoe UI" w:hAnsi="Segoe UI" w:cs="Segoe UI"/>
          <w:sz w:val="21"/>
          <w:szCs w:val="21"/>
        </w:rPr>
      </w:pPr>
    </w:p>
    <w:p w14:paraId="35B1C14D"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Maintain a centralized dashboard for threat metrics, including Mean Time to Detect (MTTD), Mean Time to Respond (MTTR), and patch compliance rate.</w:t>
      </w:r>
    </w:p>
    <w:p w14:paraId="7F5164B6"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Detect – DE.CM-7 (Monitoring for unauthorized access)</w:t>
      </w:r>
    </w:p>
    <w:p w14:paraId="7091A4B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A.16.1.6 (Learning from Information Security Incidents)</w:t>
      </w:r>
    </w:p>
    <w:p w14:paraId="6F873371" w14:textId="77777777" w:rsidR="00B847D2" w:rsidRDefault="00B847D2" w:rsidP="00355669">
      <w:pPr>
        <w:pStyle w:val="NormalWeb"/>
        <w:spacing w:line="300" w:lineRule="atLeast"/>
        <w:rPr>
          <w:rFonts w:ascii="Segoe UI" w:hAnsi="Segoe UI" w:cs="Segoe UI"/>
          <w:sz w:val="21"/>
          <w:szCs w:val="21"/>
        </w:rPr>
      </w:pPr>
    </w:p>
    <w:p w14:paraId="3E6BE9BE" w14:textId="77777777" w:rsidR="00355669" w:rsidRPr="00355669" w:rsidRDefault="00355669" w:rsidP="00355669"/>
    <w:p w14:paraId="4CF2ED26" w14:textId="77777777" w:rsidR="00C779A2" w:rsidRDefault="00C779A2" w:rsidP="003F2B3E">
      <w:pPr>
        <w:spacing w:after="0"/>
        <w:rPr>
          <w:rFonts w:ascii="Arial" w:hAnsi="Arial" w:cs="Arial"/>
        </w:rPr>
      </w:pPr>
    </w:p>
    <w:p w14:paraId="1E809D74" w14:textId="5E680AE3" w:rsidR="00C779A2" w:rsidRDefault="00364507" w:rsidP="003F2B3E">
      <w:pPr>
        <w:spacing w:after="0"/>
        <w:rPr>
          <w:rFonts w:ascii="Arial" w:hAnsi="Arial" w:cs="Arial"/>
        </w:rPr>
      </w:pPr>
      <w:r>
        <w:rPr>
          <w:rFonts w:ascii="Arial" w:hAnsi="Arial" w:cs="Arial"/>
          <w:noProof/>
        </w:rPr>
        <w:lastRenderedPageBreak/>
        <w:drawing>
          <wp:inline distT="0" distB="0" distL="0" distR="0" wp14:anchorId="5876A17F" wp14:editId="5135B441">
            <wp:extent cx="5943600" cy="4064000"/>
            <wp:effectExtent l="0" t="0" r="0" b="0"/>
            <wp:docPr id="1660463298" name="Picture 29" descr="A diagram of a softwar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463298" name="Picture 29" descr="A diagram of a software proces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943600" cy="4064000"/>
                    </a:xfrm>
                    <a:prstGeom prst="rect">
                      <a:avLst/>
                    </a:prstGeom>
                  </pic:spPr>
                </pic:pic>
              </a:graphicData>
            </a:graphic>
          </wp:inline>
        </w:drawing>
      </w:r>
    </w:p>
    <w:p w14:paraId="47252C07" w14:textId="77777777" w:rsidR="00C779A2" w:rsidRDefault="00C779A2" w:rsidP="003F2B3E">
      <w:pPr>
        <w:spacing w:after="0"/>
        <w:rPr>
          <w:rFonts w:ascii="Arial" w:hAnsi="Arial" w:cs="Arial"/>
        </w:rPr>
      </w:pPr>
    </w:p>
    <w:p w14:paraId="7816EDEB" w14:textId="77777777" w:rsidR="00C779A2" w:rsidRDefault="00C779A2" w:rsidP="003F2B3E">
      <w:pPr>
        <w:spacing w:after="0"/>
        <w:rPr>
          <w:rFonts w:ascii="Arial" w:hAnsi="Arial" w:cs="Arial"/>
        </w:rPr>
      </w:pPr>
    </w:p>
    <w:p w14:paraId="22B2475C" w14:textId="77777777" w:rsidR="00C779A2" w:rsidRDefault="00C779A2" w:rsidP="003F2B3E">
      <w:pPr>
        <w:spacing w:after="0"/>
        <w:rPr>
          <w:rFonts w:ascii="Arial" w:hAnsi="Arial" w:cs="Arial"/>
        </w:rPr>
      </w:pPr>
    </w:p>
    <w:p w14:paraId="2C6858FC" w14:textId="77777777" w:rsidR="00C779A2" w:rsidRDefault="00C779A2" w:rsidP="003F2B3E">
      <w:pPr>
        <w:spacing w:after="0"/>
        <w:rPr>
          <w:rFonts w:ascii="Arial" w:hAnsi="Arial" w:cs="Arial"/>
        </w:rPr>
      </w:pPr>
    </w:p>
    <w:p w14:paraId="3A2A76BE" w14:textId="77777777" w:rsidR="00C779A2" w:rsidRPr="003F2B3E" w:rsidRDefault="00C779A2" w:rsidP="003F2B3E">
      <w:pPr>
        <w:spacing w:after="0"/>
        <w:rPr>
          <w:rFonts w:ascii="Arial" w:hAnsi="Arial" w:cs="Arial"/>
        </w:rPr>
      </w:pPr>
    </w:p>
    <w:p w14:paraId="0A1A1D89" w14:textId="77777777" w:rsidR="003F2B3E" w:rsidRDefault="003F2B3E" w:rsidP="00C779A2">
      <w:pPr>
        <w:pStyle w:val="Heading1"/>
      </w:pPr>
      <w:bookmarkStart w:id="7" w:name="_Toc216772323"/>
      <w:r w:rsidRPr="003F2B3E">
        <w:t>Continuous Training and Awareness</w:t>
      </w:r>
      <w:bookmarkEnd w:id="7"/>
    </w:p>
    <w:p w14:paraId="26EBC153"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Human error remains one of the biggest risks in cybersecurity, so continuous training and awareness programs are essential for financial institutions. Research shows that effective training must go beyond annual sessions and include </w:t>
      </w:r>
      <w:r>
        <w:rPr>
          <w:rStyle w:val="Strong"/>
          <w:rFonts w:ascii="Segoe UI" w:hAnsi="Segoe UI" w:cs="Segoe UI"/>
          <w:sz w:val="21"/>
          <w:szCs w:val="21"/>
        </w:rPr>
        <w:t>interactive simulations of phishing and vishing attacks</w:t>
      </w:r>
      <w:r>
        <w:rPr>
          <w:rFonts w:ascii="Segoe UI" w:hAnsi="Segoe UI" w:cs="Segoe UI"/>
          <w:sz w:val="21"/>
          <w:szCs w:val="21"/>
        </w:rPr>
        <w:t xml:space="preserve"> to build real-world skills [13]. Programs should focus on practical steps employees can take to identify suspicious emails, voice calls, and social engineering attempts [14]. Lifelong learning strategies, such as short, frequent modules and role-specific training, help maintain engagement and reinforce security culture [15]. Studies confirm that awareness and training significantly reduce the likelihood of successful attacks and improve incident reporting [16]. By implementing these programs, organizations can create a proactive security mindset and reduce risks caused by human factors.</w:t>
      </w:r>
    </w:p>
    <w:p w14:paraId="54847FE0" w14:textId="77777777" w:rsidR="00B847D2" w:rsidRDefault="00B847D2" w:rsidP="00355669">
      <w:pPr>
        <w:pStyle w:val="NormalWeb"/>
        <w:spacing w:line="300" w:lineRule="atLeast"/>
        <w:rPr>
          <w:rFonts w:ascii="Segoe UI" w:hAnsi="Segoe UI" w:cs="Segoe UI"/>
          <w:sz w:val="21"/>
          <w:szCs w:val="21"/>
        </w:rPr>
      </w:pPr>
    </w:p>
    <w:p w14:paraId="34F02E25"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Human error remains one of the biggest risks in cybersecurity, so VTAM must implement an engaging and continuous training program. The following recommendations align with NIST CSF and ISO/IEC 27001 standards:</w:t>
      </w:r>
    </w:p>
    <w:p w14:paraId="7D270403" w14:textId="77777777" w:rsidR="00B847D2" w:rsidRPr="00B847D2" w:rsidRDefault="00B847D2" w:rsidP="00B847D2">
      <w:pPr>
        <w:pStyle w:val="NormalWeb"/>
        <w:spacing w:line="300" w:lineRule="atLeast"/>
        <w:rPr>
          <w:rFonts w:ascii="Segoe UI" w:hAnsi="Segoe UI" w:cs="Segoe UI"/>
          <w:sz w:val="21"/>
          <w:szCs w:val="21"/>
        </w:rPr>
      </w:pPr>
    </w:p>
    <w:p w14:paraId="5CD1E2FB"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1. Interactive Attack Simulations</w:t>
      </w:r>
    </w:p>
    <w:p w14:paraId="7AFDB163" w14:textId="77777777" w:rsidR="00B847D2" w:rsidRPr="00B847D2" w:rsidRDefault="00B847D2" w:rsidP="00B847D2">
      <w:pPr>
        <w:pStyle w:val="NormalWeb"/>
        <w:spacing w:line="300" w:lineRule="atLeast"/>
        <w:rPr>
          <w:rFonts w:ascii="Segoe UI" w:hAnsi="Segoe UI" w:cs="Segoe UI"/>
          <w:sz w:val="21"/>
          <w:szCs w:val="21"/>
        </w:rPr>
      </w:pPr>
    </w:p>
    <w:p w14:paraId="718B2CFB"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Conduct monthly phishing and vishing simulations to test employee awareness and response. Use real-world scenarios to build practical skills.</w:t>
      </w:r>
    </w:p>
    <w:p w14:paraId="03498981"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Protect – PR.AT-1 (Awareness and training are provided to all users)</w:t>
      </w:r>
    </w:p>
    <w:p w14:paraId="372CD821"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A.7.2.2 (Information Security Awareness, Education, and Training)</w:t>
      </w:r>
    </w:p>
    <w:p w14:paraId="4E6C41A8" w14:textId="77777777" w:rsidR="00B847D2" w:rsidRPr="00B847D2" w:rsidRDefault="00B847D2" w:rsidP="00B847D2">
      <w:pPr>
        <w:pStyle w:val="NormalWeb"/>
        <w:spacing w:line="300" w:lineRule="atLeast"/>
        <w:rPr>
          <w:rFonts w:ascii="Segoe UI" w:hAnsi="Segoe UI" w:cs="Segoe UI"/>
          <w:sz w:val="21"/>
          <w:szCs w:val="21"/>
        </w:rPr>
      </w:pPr>
    </w:p>
    <w:p w14:paraId="2A1FA871" w14:textId="77777777" w:rsidR="00B847D2" w:rsidRPr="00B847D2" w:rsidRDefault="00B847D2" w:rsidP="00B847D2">
      <w:pPr>
        <w:pStyle w:val="NormalWeb"/>
        <w:spacing w:line="300" w:lineRule="atLeast"/>
        <w:rPr>
          <w:rFonts w:ascii="Segoe UI" w:hAnsi="Segoe UI" w:cs="Segoe UI"/>
          <w:sz w:val="21"/>
          <w:szCs w:val="21"/>
        </w:rPr>
      </w:pPr>
    </w:p>
    <w:p w14:paraId="1B8DCBCC" w14:textId="77777777" w:rsidR="00B847D2" w:rsidRPr="00B847D2" w:rsidRDefault="00B847D2" w:rsidP="00B847D2">
      <w:pPr>
        <w:pStyle w:val="NormalWeb"/>
        <w:spacing w:line="300" w:lineRule="atLeast"/>
        <w:rPr>
          <w:rFonts w:ascii="Segoe UI" w:hAnsi="Segoe UI" w:cs="Segoe UI"/>
          <w:i/>
          <w:iCs/>
          <w:sz w:val="21"/>
          <w:szCs w:val="21"/>
        </w:rPr>
      </w:pPr>
      <w:r w:rsidRPr="00B847D2">
        <w:rPr>
          <w:rFonts w:ascii="Segoe UI" w:hAnsi="Segoe UI" w:cs="Segoe UI"/>
          <w:i/>
          <w:iCs/>
          <w:color w:val="0070C0"/>
          <w:sz w:val="21"/>
          <w:szCs w:val="21"/>
        </w:rPr>
        <w:t>2. Role-Based Training</w:t>
      </w:r>
    </w:p>
    <w:p w14:paraId="29D0154C" w14:textId="77777777" w:rsidR="00B847D2" w:rsidRPr="00B847D2" w:rsidRDefault="00B847D2" w:rsidP="00B847D2">
      <w:pPr>
        <w:pStyle w:val="NormalWeb"/>
        <w:spacing w:line="300" w:lineRule="atLeast"/>
        <w:rPr>
          <w:rFonts w:ascii="Segoe UI" w:hAnsi="Segoe UI" w:cs="Segoe UI"/>
          <w:sz w:val="21"/>
          <w:szCs w:val="21"/>
        </w:rPr>
      </w:pPr>
    </w:p>
    <w:p w14:paraId="2ECDC353"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Deliver tailored modules for different roles (e.g., finance, IT, executives) focusing on relevant threats and responsibilities.</w:t>
      </w:r>
    </w:p>
    <w:p w14:paraId="26CB2244"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Protect – PR.AT-3 (Third-party stakeholders receive training)</w:t>
      </w:r>
    </w:p>
    <w:p w14:paraId="59EE5FBF"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A.7.2.2 (Role-specific training)</w:t>
      </w:r>
    </w:p>
    <w:p w14:paraId="28DC0272" w14:textId="77777777" w:rsidR="00B847D2" w:rsidRPr="00B847D2" w:rsidRDefault="00B847D2" w:rsidP="00B847D2">
      <w:pPr>
        <w:pStyle w:val="NormalWeb"/>
        <w:spacing w:line="300" w:lineRule="atLeast"/>
        <w:rPr>
          <w:rFonts w:ascii="Segoe UI" w:hAnsi="Segoe UI" w:cs="Segoe UI"/>
          <w:sz w:val="21"/>
          <w:szCs w:val="21"/>
        </w:rPr>
      </w:pPr>
    </w:p>
    <w:p w14:paraId="1B56A403" w14:textId="77777777" w:rsidR="00B847D2" w:rsidRPr="00B847D2" w:rsidRDefault="00B847D2" w:rsidP="00B847D2">
      <w:pPr>
        <w:pStyle w:val="NormalWeb"/>
        <w:spacing w:line="300" w:lineRule="atLeast"/>
        <w:rPr>
          <w:rFonts w:ascii="Segoe UI" w:hAnsi="Segoe UI" w:cs="Segoe UI"/>
          <w:sz w:val="21"/>
          <w:szCs w:val="21"/>
        </w:rPr>
      </w:pPr>
    </w:p>
    <w:p w14:paraId="65DEBD56"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t>3. Continuous Learning Approach</w:t>
      </w:r>
    </w:p>
    <w:p w14:paraId="2D127990" w14:textId="77777777" w:rsidR="00B847D2" w:rsidRPr="00B847D2" w:rsidRDefault="00B847D2" w:rsidP="00B847D2">
      <w:pPr>
        <w:pStyle w:val="NormalWeb"/>
        <w:spacing w:line="300" w:lineRule="atLeast"/>
        <w:rPr>
          <w:rFonts w:ascii="Segoe UI" w:hAnsi="Segoe UI" w:cs="Segoe UI"/>
          <w:sz w:val="21"/>
          <w:szCs w:val="21"/>
        </w:rPr>
      </w:pPr>
    </w:p>
    <w:p w14:paraId="38CE63AD"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Replace annual sessions with short, frequent micro-learning modules delivered via LMS. Include gamified quizzes and leaderboards to maintain engagement.</w:t>
      </w:r>
    </w:p>
    <w:p w14:paraId="60D2BFEF"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Protect – PR.AT-2 (Privileged users receive training)</w:t>
      </w:r>
    </w:p>
    <w:p w14:paraId="101A16BC"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A.7.2.2 (Ongoing awareness programs)</w:t>
      </w:r>
    </w:p>
    <w:p w14:paraId="53E6D4C8" w14:textId="77777777" w:rsidR="00B847D2" w:rsidRPr="00B847D2" w:rsidRDefault="00B847D2" w:rsidP="00B847D2">
      <w:pPr>
        <w:pStyle w:val="NormalWeb"/>
        <w:spacing w:line="300" w:lineRule="atLeast"/>
        <w:rPr>
          <w:rFonts w:ascii="Segoe UI" w:hAnsi="Segoe UI" w:cs="Segoe UI"/>
          <w:sz w:val="21"/>
          <w:szCs w:val="21"/>
        </w:rPr>
      </w:pPr>
    </w:p>
    <w:p w14:paraId="597DD61F" w14:textId="77777777" w:rsidR="00B847D2" w:rsidRPr="00B847D2" w:rsidRDefault="00B847D2" w:rsidP="00B847D2">
      <w:pPr>
        <w:pStyle w:val="NormalWeb"/>
        <w:spacing w:line="300" w:lineRule="atLeast"/>
        <w:rPr>
          <w:rFonts w:ascii="Segoe UI" w:hAnsi="Segoe UI" w:cs="Segoe UI"/>
          <w:sz w:val="21"/>
          <w:szCs w:val="21"/>
        </w:rPr>
      </w:pPr>
    </w:p>
    <w:p w14:paraId="4B8C3874" w14:textId="77777777" w:rsidR="00B847D2" w:rsidRPr="00B847D2" w:rsidRDefault="00B847D2" w:rsidP="00B847D2">
      <w:pPr>
        <w:pStyle w:val="NormalWeb"/>
        <w:spacing w:line="300" w:lineRule="atLeast"/>
        <w:rPr>
          <w:rFonts w:ascii="Segoe UI" w:hAnsi="Segoe UI" w:cs="Segoe UI"/>
          <w:i/>
          <w:iCs/>
          <w:color w:val="0070C0"/>
          <w:sz w:val="21"/>
          <w:szCs w:val="21"/>
        </w:rPr>
      </w:pPr>
      <w:r w:rsidRPr="00B847D2">
        <w:rPr>
          <w:rFonts w:ascii="Segoe UI" w:hAnsi="Segoe UI" w:cs="Segoe UI"/>
          <w:i/>
          <w:iCs/>
          <w:color w:val="0070C0"/>
          <w:sz w:val="21"/>
          <w:szCs w:val="21"/>
        </w:rPr>
        <w:lastRenderedPageBreak/>
        <w:t>4. Metrics and KPIs</w:t>
      </w:r>
    </w:p>
    <w:p w14:paraId="5D5EA822" w14:textId="77777777" w:rsidR="00B847D2" w:rsidRPr="00B847D2" w:rsidRDefault="00B847D2" w:rsidP="00B847D2">
      <w:pPr>
        <w:pStyle w:val="NormalWeb"/>
        <w:spacing w:line="300" w:lineRule="atLeast"/>
        <w:rPr>
          <w:rFonts w:ascii="Segoe UI" w:hAnsi="Segoe UI" w:cs="Segoe UI"/>
          <w:sz w:val="21"/>
          <w:szCs w:val="21"/>
        </w:rPr>
      </w:pPr>
    </w:p>
    <w:p w14:paraId="13651312"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Implementation: Track key performance indicators such as:</w:t>
      </w:r>
    </w:p>
    <w:p w14:paraId="2799508A" w14:textId="77777777" w:rsidR="00B847D2" w:rsidRPr="00B847D2" w:rsidRDefault="00B847D2" w:rsidP="00B847D2">
      <w:pPr>
        <w:pStyle w:val="NormalWeb"/>
        <w:spacing w:line="300" w:lineRule="atLeast"/>
        <w:rPr>
          <w:rFonts w:ascii="Segoe UI" w:hAnsi="Segoe UI" w:cs="Segoe UI"/>
          <w:sz w:val="21"/>
          <w:szCs w:val="21"/>
        </w:rPr>
      </w:pPr>
    </w:p>
    <w:p w14:paraId="3FB37E0C"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Phishing Click Rate (target &lt;5%)</w:t>
      </w:r>
    </w:p>
    <w:p w14:paraId="63F769E0"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Incident Reporting Rate (increase by 20% quarterly)</w:t>
      </w:r>
    </w:p>
    <w:p w14:paraId="25A59636"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Training Completion Rate (100% for all staff)</w:t>
      </w:r>
    </w:p>
    <w:p w14:paraId="5C80554E" w14:textId="77777777" w:rsidR="00B847D2" w:rsidRPr="00B847D2" w:rsidRDefault="00B847D2" w:rsidP="00B847D2">
      <w:pPr>
        <w:pStyle w:val="NormalWeb"/>
        <w:spacing w:line="300" w:lineRule="atLeast"/>
        <w:rPr>
          <w:rFonts w:ascii="Segoe UI" w:hAnsi="Segoe UI" w:cs="Segoe UI"/>
          <w:sz w:val="21"/>
          <w:szCs w:val="21"/>
        </w:rPr>
      </w:pPr>
    </w:p>
    <w:p w14:paraId="42557A50" w14:textId="77777777" w:rsidR="00B847D2" w:rsidRPr="00B847D2" w:rsidRDefault="00B847D2" w:rsidP="00B847D2">
      <w:pPr>
        <w:pStyle w:val="NormalWeb"/>
        <w:spacing w:line="300" w:lineRule="atLeast"/>
        <w:rPr>
          <w:rFonts w:ascii="Segoe UI" w:hAnsi="Segoe UI" w:cs="Segoe UI"/>
          <w:sz w:val="21"/>
          <w:szCs w:val="21"/>
        </w:rPr>
      </w:pPr>
    </w:p>
    <w:p w14:paraId="644214E5"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NIST CSF: Detect – DE.CM-7 (Monitoring for unauthorized access attempts)</w:t>
      </w:r>
    </w:p>
    <w:p w14:paraId="56287A1E" w14:textId="77777777" w:rsidR="00B847D2" w:rsidRPr="00B847D2" w:rsidRDefault="00B847D2" w:rsidP="00B847D2">
      <w:pPr>
        <w:pStyle w:val="NormalWeb"/>
        <w:spacing w:line="300" w:lineRule="atLeast"/>
        <w:rPr>
          <w:rFonts w:ascii="Segoe UI" w:hAnsi="Segoe UI" w:cs="Segoe UI"/>
          <w:sz w:val="21"/>
          <w:szCs w:val="21"/>
        </w:rPr>
      </w:pPr>
      <w:r w:rsidRPr="00B847D2">
        <w:rPr>
          <w:rFonts w:ascii="Segoe UI" w:hAnsi="Segoe UI" w:cs="Segoe UI"/>
          <w:sz w:val="21"/>
          <w:szCs w:val="21"/>
        </w:rPr>
        <w:t>ISO 27001: A.16.1.6 (Learning from incidents)</w:t>
      </w:r>
    </w:p>
    <w:p w14:paraId="4DBE443B" w14:textId="77777777" w:rsidR="00B847D2" w:rsidRDefault="00B847D2" w:rsidP="00355669">
      <w:pPr>
        <w:pStyle w:val="NormalWeb"/>
        <w:spacing w:line="300" w:lineRule="atLeast"/>
        <w:rPr>
          <w:rFonts w:ascii="Segoe UI" w:hAnsi="Segoe UI" w:cs="Segoe UI"/>
          <w:sz w:val="21"/>
          <w:szCs w:val="21"/>
        </w:rPr>
      </w:pPr>
    </w:p>
    <w:p w14:paraId="3D645B9A" w14:textId="77777777" w:rsidR="00355669" w:rsidRPr="00355669" w:rsidRDefault="00355669" w:rsidP="00355669"/>
    <w:p w14:paraId="4E1B039A" w14:textId="77777777" w:rsidR="00C779A2" w:rsidRDefault="00C779A2" w:rsidP="003F2B3E">
      <w:pPr>
        <w:spacing w:after="0"/>
        <w:rPr>
          <w:rFonts w:ascii="Arial" w:hAnsi="Arial" w:cs="Arial"/>
        </w:rPr>
      </w:pPr>
    </w:p>
    <w:p w14:paraId="7D6610EB" w14:textId="77777777" w:rsidR="00C779A2" w:rsidRDefault="00C779A2" w:rsidP="003F2B3E">
      <w:pPr>
        <w:spacing w:after="0"/>
        <w:rPr>
          <w:rFonts w:ascii="Arial" w:hAnsi="Arial" w:cs="Arial"/>
        </w:rPr>
      </w:pPr>
    </w:p>
    <w:p w14:paraId="4FA40FBD" w14:textId="77777777" w:rsidR="00C779A2" w:rsidRDefault="00C779A2" w:rsidP="003F2B3E">
      <w:pPr>
        <w:spacing w:after="0"/>
        <w:rPr>
          <w:rFonts w:ascii="Arial" w:hAnsi="Arial" w:cs="Arial"/>
        </w:rPr>
      </w:pPr>
    </w:p>
    <w:p w14:paraId="63FCB5FA" w14:textId="77777777" w:rsidR="00C779A2" w:rsidRDefault="00C779A2" w:rsidP="003F2B3E">
      <w:pPr>
        <w:spacing w:after="0"/>
        <w:rPr>
          <w:rFonts w:ascii="Arial" w:hAnsi="Arial" w:cs="Arial"/>
        </w:rPr>
      </w:pPr>
    </w:p>
    <w:p w14:paraId="70DE1C5F" w14:textId="77777777" w:rsidR="00C779A2" w:rsidRDefault="00C779A2" w:rsidP="003F2B3E">
      <w:pPr>
        <w:spacing w:after="0"/>
        <w:rPr>
          <w:rFonts w:ascii="Arial" w:hAnsi="Arial" w:cs="Arial"/>
        </w:rPr>
      </w:pPr>
    </w:p>
    <w:p w14:paraId="13F35F93" w14:textId="77777777" w:rsidR="00C779A2" w:rsidRDefault="00C779A2" w:rsidP="003F2B3E">
      <w:pPr>
        <w:spacing w:after="0"/>
        <w:rPr>
          <w:rFonts w:ascii="Arial" w:hAnsi="Arial" w:cs="Arial"/>
        </w:rPr>
      </w:pPr>
    </w:p>
    <w:p w14:paraId="7AA65600" w14:textId="77777777" w:rsidR="00C779A2" w:rsidRDefault="00C779A2" w:rsidP="003F2B3E">
      <w:pPr>
        <w:spacing w:after="0"/>
        <w:rPr>
          <w:rFonts w:ascii="Arial" w:hAnsi="Arial" w:cs="Arial"/>
        </w:rPr>
      </w:pPr>
    </w:p>
    <w:p w14:paraId="5A3E48C4" w14:textId="77777777" w:rsidR="00C779A2" w:rsidRPr="003F2B3E" w:rsidRDefault="00C779A2" w:rsidP="003F2B3E">
      <w:pPr>
        <w:spacing w:after="0"/>
        <w:rPr>
          <w:rFonts w:ascii="Arial" w:hAnsi="Arial" w:cs="Arial"/>
        </w:rPr>
      </w:pPr>
    </w:p>
    <w:p w14:paraId="227A7054" w14:textId="77777777" w:rsidR="003F2B3E" w:rsidRDefault="003F2B3E" w:rsidP="00C779A2">
      <w:pPr>
        <w:pStyle w:val="Heading1"/>
      </w:pPr>
      <w:bookmarkStart w:id="8" w:name="_Toc216772324"/>
      <w:r w:rsidRPr="003F2B3E">
        <w:t>Conclusion</w:t>
      </w:r>
      <w:bookmarkEnd w:id="8"/>
    </w:p>
    <w:p w14:paraId="4E341A49"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Cybersecurity has become a critical priority for financial institutions as threats continue to evolve rapidly. Traditional security models are no longer effective in hybrid and cloud environments, making modern approaches essential. This report has identified key threats such as ransomware-as-a-service, AI-driven vishing, and supply chain compromises. It has proposed security policies based on Zero Trust principles and global standards like NIST CSF and ISO/IEC 27001. Technical measures such as multi-factor authentication, SIEM/SOAR integration, cloud security posture management, and immutable backups were recommended to strengthen resilience. Additionally, proactive monitoring strategies and integrated incident response frameworks ensure quick detection and containment of attacks. Continuous training and awareness programs further reduce human-related risks and promote a strong security culture. By implementing these strategies, financial institutions can minimize operational, financial, and reputational risks while </w:t>
      </w:r>
      <w:r>
        <w:rPr>
          <w:rFonts w:ascii="Segoe UI" w:hAnsi="Segoe UI" w:cs="Segoe UI"/>
          <w:sz w:val="21"/>
          <w:szCs w:val="21"/>
        </w:rPr>
        <w:lastRenderedPageBreak/>
        <w:t>ensuring compliance with regulatory requirements. A layered approach combining technology, policies, and human factors is the most effective way to stay ahead of emerging cyber threats.</w:t>
      </w:r>
    </w:p>
    <w:p w14:paraId="3FE13F35" w14:textId="77777777" w:rsidR="00355669" w:rsidRPr="00355669" w:rsidRDefault="00355669" w:rsidP="00355669"/>
    <w:p w14:paraId="3F42A22E" w14:textId="77777777" w:rsidR="00C779A2" w:rsidRDefault="00C779A2" w:rsidP="003F2B3E">
      <w:pPr>
        <w:spacing w:after="0"/>
        <w:rPr>
          <w:rFonts w:ascii="Arial" w:hAnsi="Arial" w:cs="Arial"/>
        </w:rPr>
      </w:pPr>
    </w:p>
    <w:p w14:paraId="7A5494F3" w14:textId="77777777" w:rsidR="00C779A2" w:rsidRDefault="00C779A2" w:rsidP="003F2B3E">
      <w:pPr>
        <w:spacing w:after="0"/>
        <w:rPr>
          <w:rFonts w:ascii="Arial" w:hAnsi="Arial" w:cs="Arial"/>
        </w:rPr>
      </w:pPr>
    </w:p>
    <w:p w14:paraId="19E3311B" w14:textId="77777777" w:rsidR="00C779A2" w:rsidRDefault="00C779A2" w:rsidP="003F2B3E">
      <w:pPr>
        <w:spacing w:after="0"/>
        <w:rPr>
          <w:rFonts w:ascii="Arial" w:hAnsi="Arial" w:cs="Arial"/>
        </w:rPr>
      </w:pPr>
    </w:p>
    <w:p w14:paraId="3BDF91FB" w14:textId="77777777" w:rsidR="00C779A2" w:rsidRDefault="00C779A2" w:rsidP="003F2B3E">
      <w:pPr>
        <w:spacing w:after="0"/>
        <w:rPr>
          <w:rFonts w:ascii="Arial" w:hAnsi="Arial" w:cs="Arial"/>
        </w:rPr>
      </w:pPr>
    </w:p>
    <w:p w14:paraId="0AF0145E" w14:textId="77777777" w:rsidR="00C779A2" w:rsidRDefault="00C779A2" w:rsidP="003F2B3E">
      <w:pPr>
        <w:spacing w:after="0"/>
        <w:rPr>
          <w:rFonts w:ascii="Arial" w:hAnsi="Arial" w:cs="Arial"/>
        </w:rPr>
      </w:pPr>
    </w:p>
    <w:p w14:paraId="374A06E2" w14:textId="77777777" w:rsidR="00C779A2" w:rsidRPr="003F2B3E" w:rsidRDefault="00C779A2" w:rsidP="003F2B3E">
      <w:pPr>
        <w:spacing w:after="0"/>
        <w:rPr>
          <w:rFonts w:ascii="Arial" w:hAnsi="Arial" w:cs="Arial"/>
        </w:rPr>
      </w:pPr>
    </w:p>
    <w:p w14:paraId="2DF6D070" w14:textId="77777777" w:rsidR="003F2B3E" w:rsidRDefault="003F2B3E" w:rsidP="00C779A2">
      <w:pPr>
        <w:pStyle w:val="Heading1"/>
      </w:pPr>
      <w:bookmarkStart w:id="9" w:name="_Toc216772325"/>
      <w:r w:rsidRPr="003F2B3E">
        <w:t>References</w:t>
      </w:r>
      <w:bookmarkEnd w:id="9"/>
    </w:p>
    <w:p w14:paraId="70A72556" w14:textId="77777777" w:rsidR="00C749F2" w:rsidRDefault="00C749F2" w:rsidP="00C749F2">
      <w:pPr>
        <w:pStyle w:val="NormalWeb"/>
        <w:spacing w:line="300" w:lineRule="atLeast"/>
        <w:rPr>
          <w:rFonts w:ascii="Segoe UI" w:hAnsi="Segoe UI" w:cs="Segoe UI"/>
          <w:sz w:val="21"/>
          <w:szCs w:val="21"/>
        </w:rPr>
      </w:pPr>
      <w:r>
        <w:rPr>
          <w:rFonts w:ascii="Segoe UI" w:hAnsi="Segoe UI" w:cs="Segoe UI"/>
          <w:sz w:val="21"/>
          <w:szCs w:val="21"/>
        </w:rPr>
        <w:t xml:space="preserve">[1] M. F. </w:t>
      </w:r>
      <w:proofErr w:type="spellStart"/>
      <w:r>
        <w:rPr>
          <w:rFonts w:ascii="Segoe UI" w:hAnsi="Segoe UI" w:cs="Segoe UI"/>
          <w:sz w:val="21"/>
          <w:szCs w:val="21"/>
        </w:rPr>
        <w:t>Umakor</w:t>
      </w:r>
      <w:proofErr w:type="spellEnd"/>
      <w:r>
        <w:rPr>
          <w:rFonts w:ascii="Segoe UI" w:hAnsi="Segoe UI" w:cs="Segoe UI"/>
          <w:sz w:val="21"/>
          <w:szCs w:val="21"/>
        </w:rPr>
        <w:t xml:space="preserve">, “Architectural innovations in cybersecurity: designing resilient zero-trust networks for distributed systems in financial enterprises,” </w:t>
      </w:r>
      <w:r>
        <w:rPr>
          <w:rStyle w:val="Emphasis"/>
          <w:rFonts w:ascii="Segoe UI" w:hAnsi="Segoe UI" w:cs="Segoe UI"/>
          <w:sz w:val="21"/>
          <w:szCs w:val="21"/>
        </w:rPr>
        <w:t>Journal of Engineering Technology Research and Management</w:t>
      </w:r>
      <w:r>
        <w:rPr>
          <w:rFonts w:ascii="Segoe UI" w:hAnsi="Segoe UI" w:cs="Segoe UI"/>
          <w:sz w:val="21"/>
          <w:szCs w:val="21"/>
        </w:rPr>
        <w:t>, 2024. [Online]. Available: ijetrm.com.</w:t>
      </w:r>
    </w:p>
    <w:p w14:paraId="57504D7A" w14:textId="77777777" w:rsidR="00C749F2" w:rsidRDefault="00C749F2" w:rsidP="00C749F2">
      <w:pPr>
        <w:pStyle w:val="NormalWeb"/>
        <w:spacing w:line="300" w:lineRule="atLeast"/>
        <w:rPr>
          <w:rFonts w:ascii="Segoe UI" w:hAnsi="Segoe UI" w:cs="Segoe UI"/>
          <w:sz w:val="21"/>
          <w:szCs w:val="21"/>
        </w:rPr>
      </w:pPr>
      <w:r>
        <w:rPr>
          <w:rFonts w:ascii="Segoe UI" w:hAnsi="Segoe UI" w:cs="Segoe UI"/>
          <w:sz w:val="21"/>
          <w:szCs w:val="21"/>
        </w:rPr>
        <w:t xml:space="preserve">[2] Y. Nawaz and N. Rehman, “Strengthening Financial Institutions' Data Security with Blockchain Technology and Zero Trust Security: A Comprehensive Cyber </w:t>
      </w:r>
      <w:proofErr w:type="spellStart"/>
      <w:r>
        <w:rPr>
          <w:rFonts w:ascii="Segoe UI" w:hAnsi="Segoe UI" w:cs="Segoe UI"/>
          <w:sz w:val="21"/>
          <w:szCs w:val="21"/>
        </w:rPr>
        <w:t>Defense</w:t>
      </w:r>
      <w:proofErr w:type="spellEnd"/>
      <w:r>
        <w:rPr>
          <w:rFonts w:ascii="Segoe UI" w:hAnsi="Segoe UI" w:cs="Segoe UI"/>
          <w:sz w:val="21"/>
          <w:szCs w:val="21"/>
        </w:rPr>
        <w:t xml:space="preserve"> Strategy,” 2024. [Online]. Available: researchgate.net.</w:t>
      </w:r>
    </w:p>
    <w:p w14:paraId="3EB91743" w14:textId="77777777" w:rsidR="00C749F2" w:rsidRDefault="00C749F2" w:rsidP="00C749F2">
      <w:pPr>
        <w:pStyle w:val="NormalWeb"/>
        <w:spacing w:line="300" w:lineRule="atLeast"/>
        <w:rPr>
          <w:rFonts w:ascii="Segoe UI" w:hAnsi="Segoe UI" w:cs="Segoe UI"/>
          <w:sz w:val="21"/>
          <w:szCs w:val="21"/>
        </w:rPr>
      </w:pPr>
      <w:r>
        <w:rPr>
          <w:rFonts w:ascii="Segoe UI" w:hAnsi="Segoe UI" w:cs="Segoe UI"/>
          <w:sz w:val="21"/>
          <w:szCs w:val="21"/>
        </w:rPr>
        <w:t xml:space="preserve">[3] P. G. A. N. Gowda, “Cybersecurity Measures in Financial Institutions Protecting Sensitive Data from Emerging Threats and Vulnerabilities - Zero Trust: A Paradigm Shift in Banking Cybersecurity,” </w:t>
      </w:r>
      <w:r>
        <w:rPr>
          <w:rStyle w:val="Emphasis"/>
          <w:rFonts w:ascii="Segoe UI" w:hAnsi="Segoe UI" w:cs="Segoe UI"/>
          <w:sz w:val="21"/>
          <w:szCs w:val="21"/>
        </w:rPr>
        <w:t>Journal of Economics &amp; Management Research</w:t>
      </w:r>
      <w:r>
        <w:rPr>
          <w:rFonts w:ascii="Segoe UI" w:hAnsi="Segoe UI" w:cs="Segoe UI"/>
          <w:sz w:val="21"/>
          <w:szCs w:val="21"/>
        </w:rPr>
        <w:t>, 2022. [Online]. Available: srcpublishers.com.</w:t>
      </w:r>
    </w:p>
    <w:p w14:paraId="5DBE4C4A" w14:textId="77777777" w:rsidR="00C749F2" w:rsidRDefault="00C749F2" w:rsidP="00C749F2">
      <w:pPr>
        <w:pStyle w:val="NormalWeb"/>
        <w:spacing w:line="300" w:lineRule="atLeast"/>
        <w:rPr>
          <w:rFonts w:ascii="Segoe UI" w:hAnsi="Segoe UI" w:cs="Segoe UI"/>
          <w:sz w:val="21"/>
          <w:szCs w:val="21"/>
        </w:rPr>
      </w:pPr>
      <w:r>
        <w:rPr>
          <w:rFonts w:ascii="Segoe UI" w:hAnsi="Segoe UI" w:cs="Segoe UI"/>
          <w:sz w:val="21"/>
          <w:szCs w:val="21"/>
        </w:rPr>
        <w:t xml:space="preserve">[4] K. K. </w:t>
      </w:r>
      <w:proofErr w:type="spellStart"/>
      <w:r>
        <w:rPr>
          <w:rFonts w:ascii="Segoe UI" w:hAnsi="Segoe UI" w:cs="Segoe UI"/>
          <w:sz w:val="21"/>
          <w:szCs w:val="21"/>
        </w:rPr>
        <w:t>Boorugupalli</w:t>
      </w:r>
      <w:proofErr w:type="spellEnd"/>
      <w:r>
        <w:rPr>
          <w:rFonts w:ascii="Segoe UI" w:hAnsi="Segoe UI" w:cs="Segoe UI"/>
          <w:sz w:val="21"/>
          <w:szCs w:val="21"/>
        </w:rPr>
        <w:t xml:space="preserve">, A. K. Kulkarni, A. Suzana, “(Title needed),” </w:t>
      </w:r>
      <w:r>
        <w:rPr>
          <w:rStyle w:val="Emphasis"/>
          <w:rFonts w:ascii="Segoe UI" w:hAnsi="Segoe UI" w:cs="Segoe UI"/>
          <w:sz w:val="21"/>
          <w:szCs w:val="21"/>
        </w:rPr>
        <w:t>ITM Web of Conferences</w:t>
      </w:r>
      <w:r>
        <w:rPr>
          <w:rFonts w:ascii="Segoe UI" w:hAnsi="Segoe UI" w:cs="Segoe UI"/>
          <w:sz w:val="21"/>
          <w:szCs w:val="21"/>
        </w:rPr>
        <w:t>, 2025. [Online]. Available: itm-conferences.org.</w:t>
      </w:r>
    </w:p>
    <w:p w14:paraId="6881A2C0"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[5] C. S. Kruse, B. Frederick, T. Jacobson, “Cybersecurity in healthcare: A systematic review of modern threats and trends,” </w:t>
      </w:r>
      <w:r>
        <w:rPr>
          <w:rStyle w:val="Emphasis"/>
          <w:rFonts w:ascii="Segoe UI" w:hAnsi="Segoe UI" w:cs="Segoe UI"/>
          <w:sz w:val="21"/>
          <w:szCs w:val="21"/>
        </w:rPr>
        <w:t>Journal of Health and Health Care</w:t>
      </w:r>
      <w:r>
        <w:rPr>
          <w:rFonts w:ascii="Segoe UI" w:hAnsi="Segoe UI" w:cs="Segoe UI"/>
          <w:sz w:val="21"/>
          <w:szCs w:val="21"/>
        </w:rPr>
        <w:t>, 2017. [Online]. Available: journals.sagepub.com.</w:t>
      </w:r>
    </w:p>
    <w:p w14:paraId="504D80DB"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[6] W. Ajayi, O. </w:t>
      </w:r>
      <w:proofErr w:type="spellStart"/>
      <w:r>
        <w:rPr>
          <w:rFonts w:ascii="Segoe UI" w:hAnsi="Segoe UI" w:cs="Segoe UI"/>
          <w:sz w:val="21"/>
          <w:szCs w:val="21"/>
        </w:rPr>
        <w:t>Ibeto</w:t>
      </w:r>
      <w:proofErr w:type="spellEnd"/>
      <w:r>
        <w:rPr>
          <w:rFonts w:ascii="Segoe UI" w:hAnsi="Segoe UI" w:cs="Segoe UI"/>
          <w:sz w:val="21"/>
          <w:szCs w:val="21"/>
        </w:rPr>
        <w:t xml:space="preserve">, T. </w:t>
      </w:r>
      <w:proofErr w:type="spellStart"/>
      <w:r>
        <w:rPr>
          <w:rFonts w:ascii="Segoe UI" w:hAnsi="Segoe UI" w:cs="Segoe UI"/>
          <w:sz w:val="21"/>
          <w:szCs w:val="21"/>
        </w:rPr>
        <w:t>Olomola</w:t>
      </w:r>
      <w:proofErr w:type="spellEnd"/>
      <w:r>
        <w:rPr>
          <w:rFonts w:ascii="Segoe UI" w:hAnsi="Segoe UI" w:cs="Segoe UI"/>
          <w:sz w:val="21"/>
          <w:szCs w:val="21"/>
        </w:rPr>
        <w:t xml:space="preserve">, “Analysis of modern cybersecurity threat techniques and available mitigating methods,” </w:t>
      </w:r>
      <w:r>
        <w:rPr>
          <w:rStyle w:val="Emphasis"/>
          <w:rFonts w:ascii="Segoe UI" w:hAnsi="Segoe UI" w:cs="Segoe UI"/>
          <w:sz w:val="21"/>
          <w:szCs w:val="21"/>
        </w:rPr>
        <w:t>International Journal of …</w:t>
      </w:r>
      <w:r>
        <w:rPr>
          <w:rFonts w:ascii="Segoe UI" w:hAnsi="Segoe UI" w:cs="Segoe UI"/>
          <w:sz w:val="21"/>
          <w:szCs w:val="21"/>
        </w:rPr>
        <w:t>, 2022. [Online]. Available: researchgate.net.</w:t>
      </w:r>
    </w:p>
    <w:p w14:paraId="48553AFC"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[7] S. Ray and Y. Jin, “Security policy enforcement in modern SoC designs,” </w:t>
      </w:r>
      <w:r>
        <w:rPr>
          <w:rStyle w:val="Emphasis"/>
          <w:rFonts w:ascii="Segoe UI" w:hAnsi="Segoe UI" w:cs="Segoe UI"/>
          <w:sz w:val="21"/>
          <w:szCs w:val="21"/>
        </w:rPr>
        <w:t>Proc. IEEE/ACM Int. Conf.</w:t>
      </w:r>
      <w:r>
        <w:rPr>
          <w:rFonts w:ascii="Segoe UI" w:hAnsi="Segoe UI" w:cs="Segoe UI"/>
          <w:sz w:val="21"/>
          <w:szCs w:val="21"/>
        </w:rPr>
        <w:t>, 2015. [Online]. Available: ieeexplore.ieee.org.</w:t>
      </w:r>
    </w:p>
    <w:p w14:paraId="08C49ED5" w14:textId="77777777" w:rsidR="002A0C41" w:rsidRDefault="002A0C41" w:rsidP="002A0C41">
      <w:pPr>
        <w:pStyle w:val="NormalWeb"/>
        <w:spacing w:line="300" w:lineRule="atLeast"/>
        <w:rPr>
          <w:rFonts w:ascii="Segoe UI" w:hAnsi="Segoe UI" w:cs="Segoe UI"/>
          <w:sz w:val="21"/>
          <w:szCs w:val="21"/>
        </w:rPr>
      </w:pPr>
      <w:r>
        <w:rPr>
          <w:rFonts w:ascii="Segoe UI" w:hAnsi="Segoe UI" w:cs="Segoe UI"/>
          <w:sz w:val="21"/>
          <w:szCs w:val="21"/>
        </w:rPr>
        <w:t xml:space="preserve">[8] J. O. </w:t>
      </w:r>
      <w:proofErr w:type="spellStart"/>
      <w:r>
        <w:rPr>
          <w:rFonts w:ascii="Segoe UI" w:hAnsi="Segoe UI" w:cs="Segoe UI"/>
          <w:sz w:val="21"/>
          <w:szCs w:val="21"/>
        </w:rPr>
        <w:t>Akpeninor</w:t>
      </w:r>
      <w:proofErr w:type="spellEnd"/>
      <w:r>
        <w:rPr>
          <w:rFonts w:ascii="Segoe UI" w:hAnsi="Segoe UI" w:cs="Segoe UI"/>
          <w:sz w:val="21"/>
          <w:szCs w:val="21"/>
        </w:rPr>
        <w:t xml:space="preserve">, </w:t>
      </w:r>
      <w:r>
        <w:rPr>
          <w:rStyle w:val="Emphasis"/>
          <w:rFonts w:ascii="Segoe UI" w:hAnsi="Segoe UI" w:cs="Segoe UI"/>
          <w:sz w:val="21"/>
          <w:szCs w:val="21"/>
        </w:rPr>
        <w:t>Modern Concepts of Security</w:t>
      </w:r>
      <w:r>
        <w:rPr>
          <w:rFonts w:ascii="Segoe UI" w:hAnsi="Segoe UI" w:cs="Segoe UI"/>
          <w:sz w:val="21"/>
          <w:szCs w:val="21"/>
        </w:rPr>
        <w:t>, 2013. [Online]. Available: books.google.com</w:t>
      </w:r>
    </w:p>
    <w:p w14:paraId="7A0DF737"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[9] H. S. Al-Sibai, T. </w:t>
      </w:r>
      <w:proofErr w:type="spellStart"/>
      <w:r>
        <w:rPr>
          <w:rFonts w:ascii="Segoe UI" w:hAnsi="Segoe UI" w:cs="Segoe UI"/>
          <w:sz w:val="21"/>
          <w:szCs w:val="21"/>
        </w:rPr>
        <w:t>Alrubaie</w:t>
      </w:r>
      <w:proofErr w:type="spellEnd"/>
      <w:r>
        <w:rPr>
          <w:rFonts w:ascii="Segoe UI" w:hAnsi="Segoe UI" w:cs="Segoe UI"/>
          <w:sz w:val="21"/>
          <w:szCs w:val="21"/>
        </w:rPr>
        <w:t xml:space="preserve">, “IoT cybersecurity threats mitigation via integrated technical and non-technical solutions,” </w:t>
      </w:r>
      <w:r>
        <w:rPr>
          <w:rStyle w:val="Emphasis"/>
          <w:rFonts w:ascii="Segoe UI" w:hAnsi="Segoe UI" w:cs="Segoe UI"/>
          <w:sz w:val="21"/>
          <w:szCs w:val="21"/>
        </w:rPr>
        <w:t>Journal of Electronic Security</w:t>
      </w:r>
      <w:r>
        <w:rPr>
          <w:rFonts w:ascii="Segoe UI" w:hAnsi="Segoe UI" w:cs="Segoe UI"/>
          <w:sz w:val="21"/>
          <w:szCs w:val="21"/>
        </w:rPr>
        <w:t>, 2021. [Online]. Available: inderscienceonline.com.</w:t>
      </w:r>
    </w:p>
    <w:p w14:paraId="04D1EEC6"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lastRenderedPageBreak/>
        <w:t xml:space="preserve">[10] A. Phillips, I. </w:t>
      </w:r>
      <w:proofErr w:type="spellStart"/>
      <w:r>
        <w:rPr>
          <w:rFonts w:ascii="Segoe UI" w:hAnsi="Segoe UI" w:cs="Segoe UI"/>
          <w:sz w:val="21"/>
          <w:szCs w:val="21"/>
        </w:rPr>
        <w:t>Ojalade</w:t>
      </w:r>
      <w:proofErr w:type="spellEnd"/>
      <w:r>
        <w:rPr>
          <w:rFonts w:ascii="Segoe UI" w:hAnsi="Segoe UI" w:cs="Segoe UI"/>
          <w:sz w:val="21"/>
          <w:szCs w:val="21"/>
        </w:rPr>
        <w:t xml:space="preserve">, E. Taiwo, C. </w:t>
      </w:r>
      <w:proofErr w:type="spellStart"/>
      <w:r>
        <w:rPr>
          <w:rFonts w:ascii="Segoe UI" w:hAnsi="Segoe UI" w:cs="Segoe UI"/>
          <w:sz w:val="21"/>
          <w:szCs w:val="21"/>
        </w:rPr>
        <w:t>Obunadike</w:t>
      </w:r>
      <w:proofErr w:type="spellEnd"/>
      <w:r>
        <w:rPr>
          <w:rFonts w:ascii="Segoe UI" w:hAnsi="Segoe UI" w:cs="Segoe UI"/>
          <w:sz w:val="21"/>
          <w:szCs w:val="21"/>
        </w:rPr>
        <w:t xml:space="preserve">, “Cyber-security tactics in mitigating cyber-crimes: A review and proposal,” </w:t>
      </w:r>
      <w:r>
        <w:rPr>
          <w:rStyle w:val="Emphasis"/>
          <w:rFonts w:ascii="Segoe UI" w:hAnsi="Segoe UI" w:cs="Segoe UI"/>
          <w:sz w:val="21"/>
          <w:szCs w:val="21"/>
        </w:rPr>
        <w:t xml:space="preserve">Int. J. </w:t>
      </w:r>
      <w:proofErr w:type="spellStart"/>
      <w:r>
        <w:rPr>
          <w:rStyle w:val="Emphasis"/>
          <w:rFonts w:ascii="Segoe UI" w:hAnsi="Segoe UI" w:cs="Segoe UI"/>
          <w:sz w:val="21"/>
          <w:szCs w:val="21"/>
        </w:rPr>
        <w:t>Cryptogr</w:t>
      </w:r>
      <w:proofErr w:type="spellEnd"/>
      <w:r>
        <w:rPr>
          <w:rStyle w:val="Emphasis"/>
          <w:rFonts w:ascii="Segoe UI" w:hAnsi="Segoe UI" w:cs="Segoe UI"/>
          <w:sz w:val="21"/>
          <w:szCs w:val="21"/>
        </w:rPr>
        <w:t>. Inf.</w:t>
      </w:r>
      <w:r>
        <w:rPr>
          <w:rFonts w:ascii="Segoe UI" w:hAnsi="Segoe UI" w:cs="Segoe UI"/>
          <w:sz w:val="21"/>
          <w:szCs w:val="21"/>
        </w:rPr>
        <w:t>, 2023. [Online]. Available: academia.edu.</w:t>
      </w:r>
    </w:p>
    <w:p w14:paraId="04C1C3BA"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[11] S. Somanathan, “A Study </w:t>
      </w:r>
      <w:proofErr w:type="gramStart"/>
      <w:r>
        <w:rPr>
          <w:rFonts w:ascii="Segoe UI" w:hAnsi="Segoe UI" w:cs="Segoe UI"/>
          <w:sz w:val="21"/>
          <w:szCs w:val="21"/>
        </w:rPr>
        <w:t>On</w:t>
      </w:r>
      <w:proofErr w:type="gramEnd"/>
      <w:r>
        <w:rPr>
          <w:rFonts w:ascii="Segoe UI" w:hAnsi="Segoe UI" w:cs="Segoe UI"/>
          <w:sz w:val="21"/>
          <w:szCs w:val="21"/>
        </w:rPr>
        <w:t xml:space="preserve"> Integrated Approaches </w:t>
      </w:r>
      <w:proofErr w:type="gramStart"/>
      <w:r>
        <w:rPr>
          <w:rFonts w:ascii="Segoe UI" w:hAnsi="Segoe UI" w:cs="Segoe UI"/>
          <w:sz w:val="21"/>
          <w:szCs w:val="21"/>
        </w:rPr>
        <w:t>In</w:t>
      </w:r>
      <w:proofErr w:type="gramEnd"/>
      <w:r>
        <w:rPr>
          <w:rFonts w:ascii="Segoe UI" w:hAnsi="Segoe UI" w:cs="Segoe UI"/>
          <w:sz w:val="21"/>
          <w:szCs w:val="21"/>
        </w:rPr>
        <w:t xml:space="preserve"> Cybersecurity Incident Response: A Project Management Perspective,” </w:t>
      </w:r>
      <w:proofErr w:type="spellStart"/>
      <w:r>
        <w:rPr>
          <w:rStyle w:val="Emphasis"/>
          <w:rFonts w:ascii="Segoe UI" w:hAnsi="Segoe UI" w:cs="Segoe UI"/>
          <w:sz w:val="21"/>
          <w:szCs w:val="21"/>
        </w:rPr>
        <w:t>Webology</w:t>
      </w:r>
      <w:proofErr w:type="spellEnd"/>
      <w:r>
        <w:rPr>
          <w:rFonts w:ascii="Segoe UI" w:hAnsi="Segoe UI" w:cs="Segoe UI"/>
          <w:sz w:val="21"/>
          <w:szCs w:val="21"/>
        </w:rPr>
        <w:t>, 2021. [Online]. Available: researchgate.net.</w:t>
      </w:r>
    </w:p>
    <w:p w14:paraId="187E66FA"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[12] E. Blessing and K. Hubert, “Security Auditing and Monitoring: Incident response and management,” 2024. [Online]. Available: </w:t>
      </w:r>
      <w:proofErr w:type="spellStart"/>
      <w:r>
        <w:rPr>
          <w:rFonts w:ascii="Segoe UI" w:hAnsi="Segoe UI" w:cs="Segoe UI"/>
          <w:sz w:val="21"/>
          <w:szCs w:val="21"/>
        </w:rPr>
        <w:t>hal.science</w:t>
      </w:r>
      <w:proofErr w:type="spellEnd"/>
      <w:r>
        <w:rPr>
          <w:rFonts w:ascii="Segoe UI" w:hAnsi="Segoe UI" w:cs="Segoe UI"/>
          <w:sz w:val="21"/>
          <w:szCs w:val="21"/>
        </w:rPr>
        <w:t>.</w:t>
      </w:r>
    </w:p>
    <w:p w14:paraId="44414555"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[13] D. Ussher-Eke, “From Awareness to Action: Designing effective cybersecurity training programs,” </w:t>
      </w:r>
      <w:r>
        <w:rPr>
          <w:rStyle w:val="Emphasis"/>
          <w:rFonts w:ascii="Segoe UI" w:hAnsi="Segoe UI" w:cs="Segoe UI"/>
          <w:sz w:val="21"/>
          <w:szCs w:val="21"/>
        </w:rPr>
        <w:t>International Journal of Science and Research</w:t>
      </w:r>
      <w:r>
        <w:rPr>
          <w:rFonts w:ascii="Segoe UI" w:hAnsi="Segoe UI" w:cs="Segoe UI"/>
          <w:sz w:val="21"/>
          <w:szCs w:val="21"/>
        </w:rPr>
        <w:t>, 2023. [Online]. Available: researchgate.net.</w:t>
      </w:r>
    </w:p>
    <w:p w14:paraId="170DB6C8"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[14] A. </w:t>
      </w:r>
      <w:proofErr w:type="spellStart"/>
      <w:r>
        <w:rPr>
          <w:rFonts w:ascii="Segoe UI" w:hAnsi="Segoe UI" w:cs="Segoe UI"/>
          <w:sz w:val="21"/>
          <w:szCs w:val="21"/>
        </w:rPr>
        <w:t>Udroiu</w:t>
      </w:r>
      <w:proofErr w:type="spellEnd"/>
      <w:r>
        <w:rPr>
          <w:rFonts w:ascii="Segoe UI" w:hAnsi="Segoe UI" w:cs="Segoe UI"/>
          <w:sz w:val="21"/>
          <w:szCs w:val="21"/>
        </w:rPr>
        <w:t xml:space="preserve"> and V. </w:t>
      </w:r>
      <w:proofErr w:type="spellStart"/>
      <w:r>
        <w:rPr>
          <w:rFonts w:ascii="Segoe UI" w:hAnsi="Segoe UI" w:cs="Segoe UI"/>
          <w:sz w:val="21"/>
          <w:szCs w:val="21"/>
        </w:rPr>
        <w:t>Vevera</w:t>
      </w:r>
      <w:proofErr w:type="spellEnd"/>
      <w:r>
        <w:rPr>
          <w:rFonts w:ascii="Segoe UI" w:hAnsi="Segoe UI" w:cs="Segoe UI"/>
          <w:sz w:val="21"/>
          <w:szCs w:val="21"/>
        </w:rPr>
        <w:t xml:space="preserve">, “Lifelong learning for raising cybersecurity awareness,” </w:t>
      </w:r>
      <w:r>
        <w:rPr>
          <w:rStyle w:val="Emphasis"/>
          <w:rFonts w:ascii="Segoe UI" w:hAnsi="Segoe UI" w:cs="Segoe UI"/>
          <w:sz w:val="21"/>
          <w:szCs w:val="21"/>
        </w:rPr>
        <w:t>INTED2018 Proceedings</w:t>
      </w:r>
      <w:r>
        <w:rPr>
          <w:rFonts w:ascii="Segoe UI" w:hAnsi="Segoe UI" w:cs="Segoe UI"/>
          <w:sz w:val="21"/>
          <w:szCs w:val="21"/>
        </w:rPr>
        <w:t>, 2018. [Online]. Available: library.iated.org.</w:t>
      </w:r>
    </w:p>
    <w:p w14:paraId="0429D586" w14:textId="77777777" w:rsidR="00355669" w:rsidRDefault="00355669" w:rsidP="00355669">
      <w:pPr>
        <w:pStyle w:val="NormalWeb"/>
        <w:spacing w:line="300" w:lineRule="atLeast"/>
        <w:rPr>
          <w:rFonts w:ascii="Segoe UI" w:hAnsi="Segoe UI" w:cs="Segoe UI"/>
          <w:sz w:val="21"/>
          <w:szCs w:val="21"/>
        </w:rPr>
      </w:pPr>
      <w:r>
        <w:rPr>
          <w:rFonts w:ascii="Segoe UI" w:hAnsi="Segoe UI" w:cs="Segoe UI"/>
          <w:sz w:val="21"/>
          <w:szCs w:val="21"/>
        </w:rPr>
        <w:t xml:space="preserve">[15] K. F. McCrohan, K. Engel, J. W. Harvey, “Influence of awareness and training on cyber security,” </w:t>
      </w:r>
      <w:r>
        <w:rPr>
          <w:rStyle w:val="Emphasis"/>
          <w:rFonts w:ascii="Segoe UI" w:hAnsi="Segoe UI" w:cs="Segoe UI"/>
          <w:sz w:val="21"/>
          <w:szCs w:val="21"/>
        </w:rPr>
        <w:t>Journal of Internet Commerce</w:t>
      </w:r>
      <w:r>
        <w:rPr>
          <w:rFonts w:ascii="Segoe UI" w:hAnsi="Segoe UI" w:cs="Segoe UI"/>
          <w:sz w:val="21"/>
          <w:szCs w:val="21"/>
        </w:rPr>
        <w:t>, 2010. [Online]. Available: Taylor &amp; Francis.</w:t>
      </w:r>
    </w:p>
    <w:p w14:paraId="53F1385D" w14:textId="77777777" w:rsidR="00355669" w:rsidRDefault="00355669" w:rsidP="00355669">
      <w:pPr>
        <w:pStyle w:val="NormalWeb"/>
        <w:spacing w:line="300" w:lineRule="atLeast"/>
        <w:rPr>
          <w:rFonts w:ascii="Segoe UI" w:hAnsi="Segoe UI" w:cs="Segoe UI"/>
          <w:sz w:val="21"/>
          <w:szCs w:val="21"/>
        </w:rPr>
      </w:pPr>
    </w:p>
    <w:p w14:paraId="680C3AF3" w14:textId="77777777" w:rsidR="00355669" w:rsidRDefault="00355669" w:rsidP="00355669">
      <w:pPr>
        <w:pStyle w:val="NormalWeb"/>
        <w:spacing w:line="300" w:lineRule="atLeast"/>
        <w:rPr>
          <w:rFonts w:ascii="Segoe UI" w:hAnsi="Segoe UI" w:cs="Segoe UI"/>
          <w:sz w:val="21"/>
          <w:szCs w:val="21"/>
        </w:rPr>
      </w:pPr>
    </w:p>
    <w:p w14:paraId="383E5D16" w14:textId="77777777" w:rsidR="00355669" w:rsidRDefault="00355669" w:rsidP="002A0C41">
      <w:pPr>
        <w:pStyle w:val="NormalWeb"/>
        <w:spacing w:line="300" w:lineRule="atLeast"/>
        <w:rPr>
          <w:rFonts w:ascii="Segoe UI" w:hAnsi="Segoe UI" w:cs="Segoe UI"/>
          <w:sz w:val="21"/>
          <w:szCs w:val="21"/>
        </w:rPr>
      </w:pPr>
    </w:p>
    <w:p w14:paraId="4B85E28B" w14:textId="77777777" w:rsidR="00355669" w:rsidRDefault="00355669" w:rsidP="002A0C41">
      <w:pPr>
        <w:pStyle w:val="NormalWeb"/>
        <w:spacing w:line="300" w:lineRule="atLeast"/>
        <w:rPr>
          <w:rFonts w:ascii="Segoe UI" w:hAnsi="Segoe UI" w:cs="Segoe UI"/>
          <w:sz w:val="21"/>
          <w:szCs w:val="21"/>
        </w:rPr>
      </w:pPr>
    </w:p>
    <w:p w14:paraId="6A50C842" w14:textId="77777777" w:rsidR="002A0C41" w:rsidRDefault="002A0C41" w:rsidP="002A0C41">
      <w:pPr>
        <w:pStyle w:val="NormalWeb"/>
        <w:spacing w:line="300" w:lineRule="atLeast"/>
        <w:rPr>
          <w:rFonts w:ascii="Segoe UI" w:hAnsi="Segoe UI" w:cs="Segoe UI"/>
          <w:sz w:val="21"/>
          <w:szCs w:val="21"/>
        </w:rPr>
      </w:pPr>
    </w:p>
    <w:p w14:paraId="381F7D0B" w14:textId="77777777" w:rsidR="002A0C41" w:rsidRDefault="002A0C41" w:rsidP="00C749F2">
      <w:pPr>
        <w:pStyle w:val="NormalWeb"/>
        <w:spacing w:line="300" w:lineRule="atLeast"/>
        <w:rPr>
          <w:rFonts w:ascii="Segoe UI" w:hAnsi="Segoe UI" w:cs="Segoe UI"/>
          <w:sz w:val="21"/>
          <w:szCs w:val="21"/>
        </w:rPr>
      </w:pPr>
    </w:p>
    <w:p w14:paraId="2B0CEC82" w14:textId="77777777" w:rsidR="00C749F2" w:rsidRPr="00C749F2" w:rsidRDefault="00C749F2" w:rsidP="00C749F2"/>
    <w:p w14:paraId="29DA0514" w14:textId="77777777" w:rsidR="00C749F2" w:rsidRDefault="00C749F2" w:rsidP="00C749F2"/>
    <w:p w14:paraId="2C019F8B" w14:textId="77777777" w:rsidR="00C749F2" w:rsidRPr="00C749F2" w:rsidRDefault="00C749F2" w:rsidP="00C749F2"/>
    <w:p w14:paraId="555251B7" w14:textId="77777777" w:rsidR="00C779A2" w:rsidRDefault="00C779A2" w:rsidP="00C779A2"/>
    <w:p w14:paraId="5215B87D" w14:textId="77777777" w:rsidR="006A40DA" w:rsidRDefault="006A40DA">
      <w:r>
        <w:br w:type="page"/>
      </w:r>
    </w:p>
    <w:p w14:paraId="2653798A" w14:textId="77777777" w:rsidR="00C779A2" w:rsidRDefault="00C779A2" w:rsidP="00C779A2"/>
    <w:p w14:paraId="6B6A6CB6" w14:textId="77777777" w:rsidR="00C779A2" w:rsidRPr="00C779A2" w:rsidRDefault="00C779A2" w:rsidP="00C779A2"/>
    <w:p w14:paraId="6CD96A31" w14:textId="77777777" w:rsidR="003F2B3E" w:rsidRDefault="003F2B3E" w:rsidP="00C779A2">
      <w:pPr>
        <w:pStyle w:val="Heading1"/>
      </w:pPr>
      <w:bookmarkStart w:id="10" w:name="_Toc216772326"/>
      <w:r w:rsidRPr="003F2B3E">
        <w:t>Appendix A: Screenshot of the Board of Directors PowerPoint presentation</w:t>
      </w:r>
      <w:bookmarkEnd w:id="10"/>
    </w:p>
    <w:p w14:paraId="54920754" w14:textId="77777777" w:rsidR="001A00F2" w:rsidRDefault="001A00F2" w:rsidP="001A00F2"/>
    <w:p w14:paraId="2ADE6BCF" w14:textId="60456009" w:rsidR="001A00F2" w:rsidRPr="001A00F2" w:rsidRDefault="000C1BE5" w:rsidP="001A00F2">
      <w:r>
        <w:rPr>
          <w:noProof/>
        </w:rPr>
        <w:drawing>
          <wp:inline distT="0" distB="0" distL="0" distR="0" wp14:anchorId="19F3042D" wp14:editId="0657DD89">
            <wp:extent cx="5731510" cy="3204210"/>
            <wp:effectExtent l="0" t="0" r="2540" b="0"/>
            <wp:docPr id="790737438" name="Picture 51" descr="A person standing in front of a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737438" name="Picture 51" descr="A person standing in front of a wall&#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inline>
        </w:drawing>
      </w:r>
      <w:r>
        <w:rPr>
          <w:noProof/>
        </w:rPr>
        <w:drawing>
          <wp:inline distT="0" distB="0" distL="0" distR="0" wp14:anchorId="01F49928" wp14:editId="2CD23A93">
            <wp:extent cx="5731510" cy="3195320"/>
            <wp:effectExtent l="0" t="0" r="2540" b="5080"/>
            <wp:docPr id="382888404" name="Picture 52"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88404" name="Picture 52" descr="A white board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r>
        <w:rPr>
          <w:noProof/>
        </w:rPr>
        <w:lastRenderedPageBreak/>
        <w:drawing>
          <wp:inline distT="0" distB="0" distL="0" distR="0" wp14:anchorId="7ABADE72" wp14:editId="159E7BD8">
            <wp:extent cx="5731510" cy="3196590"/>
            <wp:effectExtent l="0" t="0" r="2540" b="3810"/>
            <wp:docPr id="2076467427" name="Picture 53"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67427" name="Picture 53" descr="A white board with black tex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r>
        <w:rPr>
          <w:noProof/>
        </w:rPr>
        <w:drawing>
          <wp:inline distT="0" distB="0" distL="0" distR="0" wp14:anchorId="067A380E" wp14:editId="790E26E1">
            <wp:extent cx="5731510" cy="3196590"/>
            <wp:effectExtent l="0" t="0" r="2540" b="3810"/>
            <wp:docPr id="1273216795" name="Picture 54"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216795" name="Picture 54" descr="A white board with black tex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r>
        <w:rPr>
          <w:noProof/>
        </w:rPr>
        <w:lastRenderedPageBreak/>
        <w:drawing>
          <wp:inline distT="0" distB="0" distL="0" distR="0" wp14:anchorId="01C6B3AD" wp14:editId="422D3BC5">
            <wp:extent cx="5731510" cy="3197860"/>
            <wp:effectExtent l="0" t="0" r="2540" b="2540"/>
            <wp:docPr id="161892567" name="Picture 55"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92567" name="Picture 55" descr="A white board with black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197860"/>
                    </a:xfrm>
                    <a:prstGeom prst="rect">
                      <a:avLst/>
                    </a:prstGeom>
                  </pic:spPr>
                </pic:pic>
              </a:graphicData>
            </a:graphic>
          </wp:inline>
        </w:drawing>
      </w:r>
      <w:r>
        <w:rPr>
          <w:noProof/>
        </w:rPr>
        <w:drawing>
          <wp:inline distT="0" distB="0" distL="0" distR="0" wp14:anchorId="712CD6AB" wp14:editId="7E06F674">
            <wp:extent cx="5731510" cy="3237230"/>
            <wp:effectExtent l="0" t="0" r="2540" b="1270"/>
            <wp:docPr id="1052904601" name="Picture 56"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04601" name="Picture 56" descr="A white board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r>
        <w:rPr>
          <w:noProof/>
        </w:rPr>
        <w:lastRenderedPageBreak/>
        <w:drawing>
          <wp:inline distT="0" distB="0" distL="0" distR="0" wp14:anchorId="4A9E5339" wp14:editId="7E2A1AD6">
            <wp:extent cx="5731510" cy="3201670"/>
            <wp:effectExtent l="0" t="0" r="2540" b="0"/>
            <wp:docPr id="2087784590" name="Picture 57"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84590" name="Picture 57" descr="A white board with black tex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3201670"/>
                    </a:xfrm>
                    <a:prstGeom prst="rect">
                      <a:avLst/>
                    </a:prstGeom>
                  </pic:spPr>
                </pic:pic>
              </a:graphicData>
            </a:graphic>
          </wp:inline>
        </w:drawing>
      </w:r>
      <w:r>
        <w:rPr>
          <w:noProof/>
        </w:rPr>
        <w:drawing>
          <wp:inline distT="0" distB="0" distL="0" distR="0" wp14:anchorId="1ACB3654" wp14:editId="1DC27CA4">
            <wp:extent cx="5731510" cy="3167380"/>
            <wp:effectExtent l="0" t="0" r="2540" b="0"/>
            <wp:docPr id="753498615" name="Picture 58"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498615" name="Picture 58" descr="A white board with black tex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3167380"/>
                    </a:xfrm>
                    <a:prstGeom prst="rect">
                      <a:avLst/>
                    </a:prstGeom>
                  </pic:spPr>
                </pic:pic>
              </a:graphicData>
            </a:graphic>
          </wp:inline>
        </w:drawing>
      </w:r>
      <w:r>
        <w:rPr>
          <w:noProof/>
        </w:rPr>
        <w:lastRenderedPageBreak/>
        <w:drawing>
          <wp:inline distT="0" distB="0" distL="0" distR="0" wp14:anchorId="05E692EB" wp14:editId="0705662B">
            <wp:extent cx="5731510" cy="3175635"/>
            <wp:effectExtent l="0" t="0" r="2540" b="5715"/>
            <wp:docPr id="1605613338" name="Picture 59"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613338" name="Picture 59" descr="A white board with black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3175635"/>
                    </a:xfrm>
                    <a:prstGeom prst="rect">
                      <a:avLst/>
                    </a:prstGeom>
                  </pic:spPr>
                </pic:pic>
              </a:graphicData>
            </a:graphic>
          </wp:inline>
        </w:drawing>
      </w:r>
      <w:r>
        <w:rPr>
          <w:noProof/>
        </w:rPr>
        <w:drawing>
          <wp:inline distT="0" distB="0" distL="0" distR="0" wp14:anchorId="6082217E" wp14:editId="44E5F3D4">
            <wp:extent cx="5731510" cy="3214370"/>
            <wp:effectExtent l="0" t="0" r="2540" b="5080"/>
            <wp:docPr id="1930189557" name="Picture 60" descr="A white boar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89557" name="Picture 60" descr="A white board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3214370"/>
                    </a:xfrm>
                    <a:prstGeom prst="rect">
                      <a:avLst/>
                    </a:prstGeom>
                  </pic:spPr>
                </pic:pic>
              </a:graphicData>
            </a:graphic>
          </wp:inline>
        </w:drawing>
      </w:r>
    </w:p>
    <w:p w14:paraId="6BCBBF2D" w14:textId="77777777" w:rsidR="00C779A2" w:rsidRDefault="00C779A2" w:rsidP="003F2B3E">
      <w:pPr>
        <w:spacing w:after="0"/>
        <w:rPr>
          <w:rFonts w:ascii="Arial" w:hAnsi="Arial" w:cs="Arial"/>
        </w:rPr>
      </w:pPr>
    </w:p>
    <w:p w14:paraId="0272186A" w14:textId="77777777" w:rsidR="00C779A2" w:rsidRDefault="00C779A2" w:rsidP="003F2B3E">
      <w:pPr>
        <w:spacing w:after="0"/>
        <w:rPr>
          <w:rFonts w:ascii="Arial" w:hAnsi="Arial" w:cs="Arial"/>
        </w:rPr>
      </w:pPr>
    </w:p>
    <w:p w14:paraId="6E1F3FBF" w14:textId="77777777" w:rsidR="00C779A2" w:rsidRDefault="00C779A2" w:rsidP="003F2B3E">
      <w:pPr>
        <w:spacing w:after="0"/>
        <w:rPr>
          <w:rFonts w:ascii="Arial" w:hAnsi="Arial" w:cs="Arial"/>
        </w:rPr>
      </w:pPr>
    </w:p>
    <w:p w14:paraId="3FDD66CB" w14:textId="77777777" w:rsidR="00C779A2" w:rsidRDefault="00C779A2" w:rsidP="003F2B3E">
      <w:pPr>
        <w:spacing w:after="0"/>
        <w:rPr>
          <w:rFonts w:ascii="Arial" w:hAnsi="Arial" w:cs="Arial"/>
        </w:rPr>
      </w:pPr>
    </w:p>
    <w:p w14:paraId="2BBD5396" w14:textId="77777777" w:rsidR="00C779A2" w:rsidRDefault="00C779A2" w:rsidP="003F2B3E">
      <w:pPr>
        <w:spacing w:after="0"/>
        <w:rPr>
          <w:rFonts w:ascii="Arial" w:hAnsi="Arial" w:cs="Arial"/>
        </w:rPr>
      </w:pPr>
    </w:p>
    <w:p w14:paraId="193C732B" w14:textId="77777777" w:rsidR="00C779A2" w:rsidRDefault="00C779A2" w:rsidP="003F2B3E">
      <w:pPr>
        <w:spacing w:after="0"/>
        <w:rPr>
          <w:rFonts w:ascii="Arial" w:hAnsi="Arial" w:cs="Arial"/>
        </w:rPr>
      </w:pPr>
    </w:p>
    <w:p w14:paraId="3F1AEBA6" w14:textId="77777777" w:rsidR="00C779A2" w:rsidRDefault="00C779A2" w:rsidP="003F2B3E">
      <w:pPr>
        <w:spacing w:after="0"/>
        <w:rPr>
          <w:rFonts w:ascii="Arial" w:hAnsi="Arial" w:cs="Arial"/>
        </w:rPr>
      </w:pPr>
    </w:p>
    <w:p w14:paraId="06CF0D89" w14:textId="77777777" w:rsidR="00C779A2" w:rsidRDefault="00C779A2" w:rsidP="003F2B3E">
      <w:pPr>
        <w:spacing w:after="0"/>
        <w:rPr>
          <w:rFonts w:ascii="Arial" w:hAnsi="Arial" w:cs="Arial"/>
        </w:rPr>
      </w:pPr>
    </w:p>
    <w:p w14:paraId="5046E628" w14:textId="77777777" w:rsidR="00C779A2" w:rsidRDefault="00C779A2" w:rsidP="003F2B3E">
      <w:pPr>
        <w:spacing w:after="0"/>
        <w:rPr>
          <w:rFonts w:ascii="Arial" w:hAnsi="Arial" w:cs="Arial"/>
        </w:rPr>
      </w:pPr>
    </w:p>
    <w:p w14:paraId="4AF87EDF" w14:textId="77777777" w:rsidR="003F2B3E" w:rsidRDefault="003F2B3E" w:rsidP="00C779A2">
      <w:pPr>
        <w:pStyle w:val="Heading1"/>
      </w:pPr>
      <w:bookmarkStart w:id="11" w:name="_Toc216772327"/>
      <w:r w:rsidRPr="003F2B3E">
        <w:t>Appendix B: Screenshot of the Badge</w:t>
      </w:r>
      <w:bookmarkEnd w:id="11"/>
    </w:p>
    <w:p w14:paraId="2BEE7257" w14:textId="77777777" w:rsidR="00AD5474" w:rsidRDefault="00AD5474" w:rsidP="00AD5474"/>
    <w:p w14:paraId="0FC0B2B1" w14:textId="77777777" w:rsidR="00AD5474" w:rsidRDefault="00AD5474" w:rsidP="00AD5474">
      <w:r>
        <w:rPr>
          <w:noProof/>
        </w:rPr>
        <w:lastRenderedPageBreak/>
        <w:drawing>
          <wp:inline distT="0" distB="0" distL="0" distR="0" wp14:anchorId="3055D775" wp14:editId="685F2D5A">
            <wp:extent cx="5731510" cy="2439670"/>
            <wp:effectExtent l="0" t="0" r="2540" b="0"/>
            <wp:docPr id="1159646275"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646275" name="Picture 30"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439670"/>
                    </a:xfrm>
                    <a:prstGeom prst="rect">
                      <a:avLst/>
                    </a:prstGeom>
                  </pic:spPr>
                </pic:pic>
              </a:graphicData>
            </a:graphic>
          </wp:inline>
        </w:drawing>
      </w:r>
    </w:p>
    <w:p w14:paraId="394B89D7" w14:textId="77777777" w:rsidR="00AD5474" w:rsidRDefault="00AD5474" w:rsidP="00AD5474"/>
    <w:p w14:paraId="1EC3FF0B" w14:textId="77777777" w:rsidR="00AD5474" w:rsidRDefault="00AD5474" w:rsidP="00AD5474"/>
    <w:p w14:paraId="2D2A3A33" w14:textId="77777777" w:rsidR="00AD5474" w:rsidRDefault="00AD5474" w:rsidP="00AD5474"/>
    <w:p w14:paraId="61230563" w14:textId="601BFF9E" w:rsidR="00AD5474" w:rsidRPr="00AD5474" w:rsidRDefault="00AD5474" w:rsidP="00AD5474">
      <w:r>
        <w:rPr>
          <w:noProof/>
        </w:rPr>
        <w:drawing>
          <wp:inline distT="0" distB="0" distL="0" distR="0" wp14:anchorId="2CABF8A9" wp14:editId="03016A7F">
            <wp:extent cx="5731510" cy="1898015"/>
            <wp:effectExtent l="0" t="0" r="2540" b="6985"/>
            <wp:docPr id="170273383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33838" name="Picture 29"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1898015"/>
                    </a:xfrm>
                    <a:prstGeom prst="rect">
                      <a:avLst/>
                    </a:prstGeom>
                  </pic:spPr>
                </pic:pic>
              </a:graphicData>
            </a:graphic>
          </wp:inline>
        </w:drawing>
      </w:r>
    </w:p>
    <w:sectPr w:rsidR="00AD5474" w:rsidRPr="00AD5474" w:rsidSect="00C779A2">
      <w:footerReference w:type="default" r:id="rId2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5CC05" w14:textId="77777777" w:rsidR="00822C95" w:rsidRDefault="00822C95" w:rsidP="00C779A2">
      <w:pPr>
        <w:spacing w:after="0" w:line="240" w:lineRule="auto"/>
      </w:pPr>
      <w:r>
        <w:separator/>
      </w:r>
    </w:p>
  </w:endnote>
  <w:endnote w:type="continuationSeparator" w:id="0">
    <w:p w14:paraId="705F2E76" w14:textId="77777777" w:rsidR="00822C95" w:rsidRDefault="00822C95"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13A14E1E" w14:textId="77777777" w:rsidR="00C779A2" w:rsidRDefault="00C779A2">
        <w:pPr>
          <w:pStyle w:val="Footer"/>
          <w:jc w:val="right"/>
        </w:pPr>
        <w:r>
          <w:fldChar w:fldCharType="begin"/>
        </w:r>
        <w:r>
          <w:instrText xml:space="preserve"> PAGE   \* MERGEFORMAT </w:instrText>
        </w:r>
        <w:r>
          <w:fldChar w:fldCharType="separate"/>
        </w:r>
        <w:r w:rsidR="00085ABF">
          <w:rPr>
            <w:noProof/>
          </w:rPr>
          <w:t>7</w:t>
        </w:r>
        <w:r>
          <w:rPr>
            <w:noProof/>
          </w:rPr>
          <w:fldChar w:fldCharType="end"/>
        </w:r>
      </w:p>
    </w:sdtContent>
  </w:sdt>
  <w:p w14:paraId="2E3E9DE1"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110E94" w14:textId="77777777" w:rsidR="00822C95" w:rsidRDefault="00822C95" w:rsidP="00C779A2">
      <w:pPr>
        <w:spacing w:after="0" w:line="240" w:lineRule="auto"/>
      </w:pPr>
      <w:r>
        <w:separator/>
      </w:r>
    </w:p>
  </w:footnote>
  <w:footnote w:type="continuationSeparator" w:id="0">
    <w:p w14:paraId="7FC823DE" w14:textId="77777777" w:rsidR="00822C95" w:rsidRDefault="00822C95"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EE2BB2"/>
    <w:multiLevelType w:val="hybridMultilevel"/>
    <w:tmpl w:val="573AE2D4"/>
    <w:lvl w:ilvl="0" w:tplc="9BE414B2">
      <w:numFmt w:val="bullet"/>
      <w:lvlText w:val=""/>
      <w:lvlJc w:val="left"/>
      <w:pPr>
        <w:ind w:left="420" w:hanging="360"/>
      </w:pPr>
      <w:rPr>
        <w:rFonts w:ascii="Symbol" w:eastAsia="Times New Roman" w:hAnsi="Symbol" w:cs="Segoe U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60106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50E53"/>
    <w:rsid w:val="00085ABF"/>
    <w:rsid w:val="000C1BE5"/>
    <w:rsid w:val="00112BB3"/>
    <w:rsid w:val="001A00F2"/>
    <w:rsid w:val="00234541"/>
    <w:rsid w:val="002847DB"/>
    <w:rsid w:val="002A0C41"/>
    <w:rsid w:val="003224A6"/>
    <w:rsid w:val="00354B96"/>
    <w:rsid w:val="00355669"/>
    <w:rsid w:val="00364507"/>
    <w:rsid w:val="003F2B3E"/>
    <w:rsid w:val="004C54EF"/>
    <w:rsid w:val="005D5044"/>
    <w:rsid w:val="006A40DA"/>
    <w:rsid w:val="007B2E08"/>
    <w:rsid w:val="00822C95"/>
    <w:rsid w:val="00832A76"/>
    <w:rsid w:val="0083507E"/>
    <w:rsid w:val="008D730F"/>
    <w:rsid w:val="008E5A78"/>
    <w:rsid w:val="00AC2732"/>
    <w:rsid w:val="00AD5474"/>
    <w:rsid w:val="00B0620B"/>
    <w:rsid w:val="00B847D2"/>
    <w:rsid w:val="00B963B9"/>
    <w:rsid w:val="00C749F2"/>
    <w:rsid w:val="00C779A2"/>
    <w:rsid w:val="00CB6DD8"/>
    <w:rsid w:val="00DE177D"/>
    <w:rsid w:val="00DE6BF5"/>
    <w:rsid w:val="00E11EF8"/>
    <w:rsid w:val="00E82DD5"/>
    <w:rsid w:val="00E8793C"/>
    <w:rsid w:val="00EF3619"/>
    <w:rsid w:val="00F42188"/>
    <w:rsid w:val="00F65F2D"/>
    <w:rsid w:val="00F66719"/>
    <w:rsid w:val="00F959E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184A8"/>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paragraph" w:styleId="NormalWeb">
    <w:name w:val="Normal (Web)"/>
    <w:basedOn w:val="Normal"/>
    <w:uiPriority w:val="99"/>
    <w:semiHidden/>
    <w:unhideWhenUsed/>
    <w:rsid w:val="00C749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749F2"/>
    <w:rPr>
      <w:i/>
      <w:iCs/>
    </w:rPr>
  </w:style>
  <w:style w:type="character" w:styleId="Strong">
    <w:name w:val="Strong"/>
    <w:basedOn w:val="DefaultParagraphFont"/>
    <w:uiPriority w:val="22"/>
    <w:qFormat/>
    <w:rsid w:val="00C749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574493">
      <w:bodyDiv w:val="1"/>
      <w:marLeft w:val="0"/>
      <w:marRight w:val="0"/>
      <w:marTop w:val="0"/>
      <w:marBottom w:val="0"/>
      <w:divBdr>
        <w:top w:val="none" w:sz="0" w:space="0" w:color="auto"/>
        <w:left w:val="none" w:sz="0" w:space="0" w:color="auto"/>
        <w:bottom w:val="none" w:sz="0" w:space="0" w:color="auto"/>
        <w:right w:val="none" w:sz="0" w:space="0" w:color="auto"/>
      </w:divBdr>
      <w:divsChild>
        <w:div w:id="2083285844">
          <w:marLeft w:val="0"/>
          <w:marRight w:val="0"/>
          <w:marTop w:val="0"/>
          <w:marBottom w:val="0"/>
          <w:divBdr>
            <w:top w:val="none" w:sz="0" w:space="0" w:color="auto"/>
            <w:left w:val="none" w:sz="0" w:space="0" w:color="auto"/>
            <w:bottom w:val="none" w:sz="0" w:space="0" w:color="auto"/>
            <w:right w:val="none" w:sz="0" w:space="0" w:color="auto"/>
          </w:divBdr>
        </w:div>
      </w:divsChild>
    </w:div>
    <w:div w:id="310645006">
      <w:bodyDiv w:val="1"/>
      <w:marLeft w:val="0"/>
      <w:marRight w:val="0"/>
      <w:marTop w:val="0"/>
      <w:marBottom w:val="0"/>
      <w:divBdr>
        <w:top w:val="none" w:sz="0" w:space="0" w:color="auto"/>
        <w:left w:val="none" w:sz="0" w:space="0" w:color="auto"/>
        <w:bottom w:val="none" w:sz="0" w:space="0" w:color="auto"/>
        <w:right w:val="none" w:sz="0" w:space="0" w:color="auto"/>
      </w:divBdr>
      <w:divsChild>
        <w:div w:id="1215001869">
          <w:marLeft w:val="0"/>
          <w:marRight w:val="0"/>
          <w:marTop w:val="0"/>
          <w:marBottom w:val="0"/>
          <w:divBdr>
            <w:top w:val="none" w:sz="0" w:space="0" w:color="auto"/>
            <w:left w:val="none" w:sz="0" w:space="0" w:color="auto"/>
            <w:bottom w:val="none" w:sz="0" w:space="0" w:color="auto"/>
            <w:right w:val="none" w:sz="0" w:space="0" w:color="auto"/>
          </w:divBdr>
        </w:div>
      </w:divsChild>
    </w:div>
    <w:div w:id="314846917">
      <w:bodyDiv w:val="1"/>
      <w:marLeft w:val="0"/>
      <w:marRight w:val="0"/>
      <w:marTop w:val="0"/>
      <w:marBottom w:val="0"/>
      <w:divBdr>
        <w:top w:val="none" w:sz="0" w:space="0" w:color="auto"/>
        <w:left w:val="none" w:sz="0" w:space="0" w:color="auto"/>
        <w:bottom w:val="none" w:sz="0" w:space="0" w:color="auto"/>
        <w:right w:val="none" w:sz="0" w:space="0" w:color="auto"/>
      </w:divBdr>
      <w:divsChild>
        <w:div w:id="545028535">
          <w:marLeft w:val="0"/>
          <w:marRight w:val="0"/>
          <w:marTop w:val="0"/>
          <w:marBottom w:val="0"/>
          <w:divBdr>
            <w:top w:val="none" w:sz="0" w:space="0" w:color="auto"/>
            <w:left w:val="none" w:sz="0" w:space="0" w:color="auto"/>
            <w:bottom w:val="none" w:sz="0" w:space="0" w:color="auto"/>
            <w:right w:val="none" w:sz="0" w:space="0" w:color="auto"/>
          </w:divBdr>
          <w:divsChild>
            <w:div w:id="10995942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425464878">
      <w:bodyDiv w:val="1"/>
      <w:marLeft w:val="0"/>
      <w:marRight w:val="0"/>
      <w:marTop w:val="0"/>
      <w:marBottom w:val="0"/>
      <w:divBdr>
        <w:top w:val="none" w:sz="0" w:space="0" w:color="auto"/>
        <w:left w:val="none" w:sz="0" w:space="0" w:color="auto"/>
        <w:bottom w:val="none" w:sz="0" w:space="0" w:color="auto"/>
        <w:right w:val="none" w:sz="0" w:space="0" w:color="auto"/>
      </w:divBdr>
      <w:divsChild>
        <w:div w:id="1374886601">
          <w:marLeft w:val="0"/>
          <w:marRight w:val="0"/>
          <w:marTop w:val="0"/>
          <w:marBottom w:val="0"/>
          <w:divBdr>
            <w:top w:val="none" w:sz="0" w:space="0" w:color="auto"/>
            <w:left w:val="none" w:sz="0" w:space="0" w:color="auto"/>
            <w:bottom w:val="none" w:sz="0" w:space="0" w:color="auto"/>
            <w:right w:val="none" w:sz="0" w:space="0" w:color="auto"/>
          </w:divBdr>
        </w:div>
      </w:divsChild>
    </w:div>
    <w:div w:id="606742525">
      <w:bodyDiv w:val="1"/>
      <w:marLeft w:val="0"/>
      <w:marRight w:val="0"/>
      <w:marTop w:val="0"/>
      <w:marBottom w:val="0"/>
      <w:divBdr>
        <w:top w:val="none" w:sz="0" w:space="0" w:color="auto"/>
        <w:left w:val="none" w:sz="0" w:space="0" w:color="auto"/>
        <w:bottom w:val="none" w:sz="0" w:space="0" w:color="auto"/>
        <w:right w:val="none" w:sz="0" w:space="0" w:color="auto"/>
      </w:divBdr>
      <w:divsChild>
        <w:div w:id="467936713">
          <w:marLeft w:val="0"/>
          <w:marRight w:val="0"/>
          <w:marTop w:val="0"/>
          <w:marBottom w:val="0"/>
          <w:divBdr>
            <w:top w:val="none" w:sz="0" w:space="0" w:color="auto"/>
            <w:left w:val="none" w:sz="0" w:space="0" w:color="auto"/>
            <w:bottom w:val="none" w:sz="0" w:space="0" w:color="auto"/>
            <w:right w:val="none" w:sz="0" w:space="0" w:color="auto"/>
          </w:divBdr>
        </w:div>
      </w:divsChild>
    </w:div>
    <w:div w:id="766391145">
      <w:bodyDiv w:val="1"/>
      <w:marLeft w:val="0"/>
      <w:marRight w:val="0"/>
      <w:marTop w:val="0"/>
      <w:marBottom w:val="0"/>
      <w:divBdr>
        <w:top w:val="none" w:sz="0" w:space="0" w:color="auto"/>
        <w:left w:val="none" w:sz="0" w:space="0" w:color="auto"/>
        <w:bottom w:val="none" w:sz="0" w:space="0" w:color="auto"/>
        <w:right w:val="none" w:sz="0" w:space="0" w:color="auto"/>
      </w:divBdr>
      <w:divsChild>
        <w:div w:id="639270472">
          <w:marLeft w:val="0"/>
          <w:marRight w:val="0"/>
          <w:marTop w:val="0"/>
          <w:marBottom w:val="0"/>
          <w:divBdr>
            <w:top w:val="none" w:sz="0" w:space="0" w:color="auto"/>
            <w:left w:val="none" w:sz="0" w:space="0" w:color="auto"/>
            <w:bottom w:val="none" w:sz="0" w:space="0" w:color="auto"/>
            <w:right w:val="none" w:sz="0" w:space="0" w:color="auto"/>
          </w:divBdr>
        </w:div>
      </w:divsChild>
    </w:div>
    <w:div w:id="893125598">
      <w:bodyDiv w:val="1"/>
      <w:marLeft w:val="0"/>
      <w:marRight w:val="0"/>
      <w:marTop w:val="0"/>
      <w:marBottom w:val="0"/>
      <w:divBdr>
        <w:top w:val="none" w:sz="0" w:space="0" w:color="auto"/>
        <w:left w:val="none" w:sz="0" w:space="0" w:color="auto"/>
        <w:bottom w:val="none" w:sz="0" w:space="0" w:color="auto"/>
        <w:right w:val="none" w:sz="0" w:space="0" w:color="auto"/>
      </w:divBdr>
      <w:divsChild>
        <w:div w:id="1404255965">
          <w:marLeft w:val="0"/>
          <w:marRight w:val="0"/>
          <w:marTop w:val="0"/>
          <w:marBottom w:val="0"/>
          <w:divBdr>
            <w:top w:val="none" w:sz="0" w:space="0" w:color="auto"/>
            <w:left w:val="none" w:sz="0" w:space="0" w:color="auto"/>
            <w:bottom w:val="none" w:sz="0" w:space="0" w:color="auto"/>
            <w:right w:val="none" w:sz="0" w:space="0" w:color="auto"/>
          </w:divBdr>
        </w:div>
      </w:divsChild>
    </w:div>
    <w:div w:id="905919167">
      <w:bodyDiv w:val="1"/>
      <w:marLeft w:val="0"/>
      <w:marRight w:val="0"/>
      <w:marTop w:val="0"/>
      <w:marBottom w:val="0"/>
      <w:divBdr>
        <w:top w:val="none" w:sz="0" w:space="0" w:color="auto"/>
        <w:left w:val="none" w:sz="0" w:space="0" w:color="auto"/>
        <w:bottom w:val="none" w:sz="0" w:space="0" w:color="auto"/>
        <w:right w:val="none" w:sz="0" w:space="0" w:color="auto"/>
      </w:divBdr>
      <w:divsChild>
        <w:div w:id="194388659">
          <w:marLeft w:val="0"/>
          <w:marRight w:val="0"/>
          <w:marTop w:val="0"/>
          <w:marBottom w:val="0"/>
          <w:divBdr>
            <w:top w:val="none" w:sz="0" w:space="0" w:color="auto"/>
            <w:left w:val="none" w:sz="0" w:space="0" w:color="auto"/>
            <w:bottom w:val="none" w:sz="0" w:space="0" w:color="auto"/>
            <w:right w:val="none" w:sz="0" w:space="0" w:color="auto"/>
          </w:divBdr>
          <w:divsChild>
            <w:div w:id="19267183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85016536">
      <w:bodyDiv w:val="1"/>
      <w:marLeft w:val="0"/>
      <w:marRight w:val="0"/>
      <w:marTop w:val="0"/>
      <w:marBottom w:val="0"/>
      <w:divBdr>
        <w:top w:val="none" w:sz="0" w:space="0" w:color="auto"/>
        <w:left w:val="none" w:sz="0" w:space="0" w:color="auto"/>
        <w:bottom w:val="none" w:sz="0" w:space="0" w:color="auto"/>
        <w:right w:val="none" w:sz="0" w:space="0" w:color="auto"/>
      </w:divBdr>
      <w:divsChild>
        <w:div w:id="1623345876">
          <w:marLeft w:val="0"/>
          <w:marRight w:val="0"/>
          <w:marTop w:val="0"/>
          <w:marBottom w:val="0"/>
          <w:divBdr>
            <w:top w:val="none" w:sz="0" w:space="0" w:color="auto"/>
            <w:left w:val="none" w:sz="0" w:space="0" w:color="auto"/>
            <w:bottom w:val="none" w:sz="0" w:space="0" w:color="auto"/>
            <w:right w:val="none" w:sz="0" w:space="0" w:color="auto"/>
          </w:divBdr>
          <w:divsChild>
            <w:div w:id="911227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322854229">
      <w:bodyDiv w:val="1"/>
      <w:marLeft w:val="0"/>
      <w:marRight w:val="0"/>
      <w:marTop w:val="0"/>
      <w:marBottom w:val="0"/>
      <w:divBdr>
        <w:top w:val="none" w:sz="0" w:space="0" w:color="auto"/>
        <w:left w:val="none" w:sz="0" w:space="0" w:color="auto"/>
        <w:bottom w:val="none" w:sz="0" w:space="0" w:color="auto"/>
        <w:right w:val="none" w:sz="0" w:space="0" w:color="auto"/>
      </w:divBdr>
      <w:divsChild>
        <w:div w:id="394206842">
          <w:marLeft w:val="0"/>
          <w:marRight w:val="0"/>
          <w:marTop w:val="0"/>
          <w:marBottom w:val="0"/>
          <w:divBdr>
            <w:top w:val="none" w:sz="0" w:space="0" w:color="auto"/>
            <w:left w:val="none" w:sz="0" w:space="0" w:color="auto"/>
            <w:bottom w:val="none" w:sz="0" w:space="0" w:color="auto"/>
            <w:right w:val="none" w:sz="0" w:space="0" w:color="auto"/>
          </w:divBdr>
          <w:divsChild>
            <w:div w:id="287303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711373276">
      <w:bodyDiv w:val="1"/>
      <w:marLeft w:val="0"/>
      <w:marRight w:val="0"/>
      <w:marTop w:val="0"/>
      <w:marBottom w:val="0"/>
      <w:divBdr>
        <w:top w:val="none" w:sz="0" w:space="0" w:color="auto"/>
        <w:left w:val="none" w:sz="0" w:space="0" w:color="auto"/>
        <w:bottom w:val="none" w:sz="0" w:space="0" w:color="auto"/>
        <w:right w:val="none" w:sz="0" w:space="0" w:color="auto"/>
      </w:divBdr>
      <w:divsChild>
        <w:div w:id="1335569664">
          <w:marLeft w:val="0"/>
          <w:marRight w:val="0"/>
          <w:marTop w:val="0"/>
          <w:marBottom w:val="0"/>
          <w:divBdr>
            <w:top w:val="none" w:sz="0" w:space="0" w:color="auto"/>
            <w:left w:val="none" w:sz="0" w:space="0" w:color="auto"/>
            <w:bottom w:val="none" w:sz="0" w:space="0" w:color="auto"/>
            <w:right w:val="none" w:sz="0" w:space="0" w:color="auto"/>
          </w:divBdr>
        </w:div>
      </w:divsChild>
    </w:div>
    <w:div w:id="1910185291">
      <w:bodyDiv w:val="1"/>
      <w:marLeft w:val="0"/>
      <w:marRight w:val="0"/>
      <w:marTop w:val="0"/>
      <w:marBottom w:val="0"/>
      <w:divBdr>
        <w:top w:val="none" w:sz="0" w:space="0" w:color="auto"/>
        <w:left w:val="none" w:sz="0" w:space="0" w:color="auto"/>
        <w:bottom w:val="none" w:sz="0" w:space="0" w:color="auto"/>
        <w:right w:val="none" w:sz="0" w:space="0" w:color="auto"/>
      </w:divBdr>
      <w:divsChild>
        <w:div w:id="358699981">
          <w:marLeft w:val="0"/>
          <w:marRight w:val="0"/>
          <w:marTop w:val="0"/>
          <w:marBottom w:val="0"/>
          <w:divBdr>
            <w:top w:val="none" w:sz="0" w:space="0" w:color="auto"/>
            <w:left w:val="none" w:sz="0" w:space="0" w:color="auto"/>
            <w:bottom w:val="none" w:sz="0" w:space="0" w:color="auto"/>
            <w:right w:val="none" w:sz="0" w:space="0" w:color="auto"/>
          </w:divBdr>
          <w:divsChild>
            <w:div w:id="1044284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71864270">
      <w:bodyDiv w:val="1"/>
      <w:marLeft w:val="0"/>
      <w:marRight w:val="0"/>
      <w:marTop w:val="0"/>
      <w:marBottom w:val="0"/>
      <w:divBdr>
        <w:top w:val="none" w:sz="0" w:space="0" w:color="auto"/>
        <w:left w:val="none" w:sz="0" w:space="0" w:color="auto"/>
        <w:bottom w:val="none" w:sz="0" w:space="0" w:color="auto"/>
        <w:right w:val="none" w:sz="0" w:space="0" w:color="auto"/>
      </w:divBdr>
      <w:divsChild>
        <w:div w:id="1144543214">
          <w:marLeft w:val="0"/>
          <w:marRight w:val="0"/>
          <w:marTop w:val="0"/>
          <w:marBottom w:val="0"/>
          <w:divBdr>
            <w:top w:val="none" w:sz="0" w:space="0" w:color="auto"/>
            <w:left w:val="none" w:sz="0" w:space="0" w:color="auto"/>
            <w:bottom w:val="none" w:sz="0" w:space="0" w:color="auto"/>
            <w:right w:val="none" w:sz="0" w:space="0" w:color="auto"/>
          </w:divBdr>
          <w:divsChild>
            <w:div w:id="12198983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98722624">
      <w:bodyDiv w:val="1"/>
      <w:marLeft w:val="0"/>
      <w:marRight w:val="0"/>
      <w:marTop w:val="0"/>
      <w:marBottom w:val="0"/>
      <w:divBdr>
        <w:top w:val="none" w:sz="0" w:space="0" w:color="auto"/>
        <w:left w:val="none" w:sz="0" w:space="0" w:color="auto"/>
        <w:bottom w:val="none" w:sz="0" w:space="0" w:color="auto"/>
        <w:right w:val="none" w:sz="0" w:space="0" w:color="auto"/>
      </w:divBdr>
      <w:divsChild>
        <w:div w:id="1640332547">
          <w:marLeft w:val="0"/>
          <w:marRight w:val="0"/>
          <w:marTop w:val="0"/>
          <w:marBottom w:val="0"/>
          <w:divBdr>
            <w:top w:val="none" w:sz="0" w:space="0" w:color="auto"/>
            <w:left w:val="none" w:sz="0" w:space="0" w:color="auto"/>
            <w:bottom w:val="none" w:sz="0" w:space="0" w:color="auto"/>
            <w:right w:val="none" w:sz="0" w:space="0" w:color="auto"/>
          </w:divBdr>
        </w:div>
      </w:divsChild>
    </w:div>
    <w:div w:id="2014717682">
      <w:bodyDiv w:val="1"/>
      <w:marLeft w:val="0"/>
      <w:marRight w:val="0"/>
      <w:marTop w:val="0"/>
      <w:marBottom w:val="0"/>
      <w:divBdr>
        <w:top w:val="none" w:sz="0" w:space="0" w:color="auto"/>
        <w:left w:val="none" w:sz="0" w:space="0" w:color="auto"/>
        <w:bottom w:val="none" w:sz="0" w:space="0" w:color="auto"/>
        <w:right w:val="none" w:sz="0" w:space="0" w:color="auto"/>
      </w:divBdr>
      <w:divsChild>
        <w:div w:id="1225095176">
          <w:marLeft w:val="0"/>
          <w:marRight w:val="0"/>
          <w:marTop w:val="0"/>
          <w:marBottom w:val="0"/>
          <w:divBdr>
            <w:top w:val="none" w:sz="0" w:space="0" w:color="auto"/>
            <w:left w:val="none" w:sz="0" w:space="0" w:color="auto"/>
            <w:bottom w:val="none" w:sz="0" w:space="0" w:color="auto"/>
            <w:right w:val="none" w:sz="0" w:space="0" w:color="auto"/>
          </w:divBdr>
        </w:div>
      </w:divsChild>
    </w:div>
    <w:div w:id="2057195369">
      <w:bodyDiv w:val="1"/>
      <w:marLeft w:val="0"/>
      <w:marRight w:val="0"/>
      <w:marTop w:val="0"/>
      <w:marBottom w:val="0"/>
      <w:divBdr>
        <w:top w:val="none" w:sz="0" w:space="0" w:color="auto"/>
        <w:left w:val="none" w:sz="0" w:space="0" w:color="auto"/>
        <w:bottom w:val="none" w:sz="0" w:space="0" w:color="auto"/>
        <w:right w:val="none" w:sz="0" w:space="0" w:color="auto"/>
      </w:divBdr>
      <w:divsChild>
        <w:div w:id="2107268025">
          <w:marLeft w:val="0"/>
          <w:marRight w:val="0"/>
          <w:marTop w:val="0"/>
          <w:marBottom w:val="0"/>
          <w:divBdr>
            <w:top w:val="none" w:sz="0" w:space="0" w:color="auto"/>
            <w:left w:val="none" w:sz="0" w:space="0" w:color="auto"/>
            <w:bottom w:val="none" w:sz="0" w:space="0" w:color="auto"/>
            <w:right w:val="none" w:sz="0" w:space="0" w:color="auto"/>
          </w:divBdr>
          <w:divsChild>
            <w:div w:id="1503469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jp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jp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6.jpeg"/><Relationship Id="rId5" Type="http://schemas.openxmlformats.org/officeDocument/2006/relationships/settings" Target="settings.xml"/><Relationship Id="rId15" Type="http://schemas.openxmlformats.org/officeDocument/2006/relationships/image" Target="media/image7.jpg"/><Relationship Id="rId23" Type="http://schemas.openxmlformats.org/officeDocument/2006/relationships/image" Target="media/image15.jpeg"/><Relationship Id="rId10" Type="http://schemas.openxmlformats.org/officeDocument/2006/relationships/image" Target="media/image2.jpeg"/><Relationship Id="rId19" Type="http://schemas.openxmlformats.org/officeDocument/2006/relationships/image" Target="media/image11.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image" Target="media/image14.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744DFC-85D6-4CB6-920A-AF73D5D34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3163</Words>
  <Characters>18031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Network and Cyber Security Essentials</vt:lpstr>
    </vt:vector>
  </TitlesOfParts>
  <Company/>
  <LinksUpToDate>false</LinksUpToDate>
  <CharactersWithSpaces>21152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Mohamad Bagher Ghotbi Karimi (2422377)</cp:lastModifiedBy>
  <cp:revision>2</cp:revision>
  <dcterms:created xsi:type="dcterms:W3CDTF">2025-12-19T10:30:00Z</dcterms:created>
  <dcterms:modified xsi:type="dcterms:W3CDTF">2025-12-19T10:30:00Z</dcterms:modified>
</cp:coreProperties>
</file>