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A5A" w:rsidRDefault="00007A5A" w:rsidP="00007A5A">
      <w:pPr>
        <w:spacing w:after="160" w:line="259" w:lineRule="auto"/>
        <w:jc w:val="center"/>
        <w:rPr>
          <w:rFonts w:ascii="Verdana" w:hAnsi="Verdana"/>
          <w:b/>
          <w:i/>
          <w:sz w:val="44"/>
        </w:rPr>
      </w:pPr>
    </w:p>
    <w:p w:rsidR="00007A5A" w:rsidRDefault="00007A5A" w:rsidP="00007A5A">
      <w:pPr>
        <w:spacing w:after="160" w:line="259" w:lineRule="auto"/>
        <w:jc w:val="center"/>
        <w:rPr>
          <w:rFonts w:ascii="Verdana" w:hAnsi="Verdana"/>
          <w:b/>
          <w:i/>
          <w:sz w:val="44"/>
        </w:rPr>
      </w:pPr>
    </w:p>
    <w:p w:rsidR="00007A5A" w:rsidRPr="006A297A" w:rsidRDefault="006A297A" w:rsidP="00007A5A">
      <w:pPr>
        <w:spacing w:after="160" w:line="259" w:lineRule="auto"/>
        <w:jc w:val="center"/>
        <w:rPr>
          <w:rFonts w:cs="Arial"/>
          <w:b/>
          <w:caps/>
          <w:sz w:val="16"/>
          <w:szCs w:val="18"/>
        </w:rPr>
      </w:pPr>
      <w:r w:rsidRPr="006A297A">
        <w:rPr>
          <w:rFonts w:cs="Arial"/>
          <w:b/>
          <w:sz w:val="40"/>
        </w:rPr>
        <w:t>Global Marketing Strategy</w:t>
      </w:r>
    </w:p>
    <w:p w:rsidR="00007A5A" w:rsidRDefault="00007A5A" w:rsidP="00007A5A">
      <w:pPr>
        <w:spacing w:after="160" w:line="259" w:lineRule="auto"/>
        <w:jc w:val="center"/>
        <w:rPr>
          <w:rFonts w:ascii="Verdana" w:hAnsi="Verdana"/>
          <w:b/>
          <w:caps/>
          <w:sz w:val="18"/>
          <w:szCs w:val="18"/>
        </w:rPr>
      </w:pPr>
      <w:r>
        <w:rPr>
          <w:noProof/>
          <w:lang w:val="en-US"/>
        </w:rPr>
        <w:drawing>
          <wp:inline distT="0" distB="0" distL="0" distR="0" wp14:anchorId="52FFC464" wp14:editId="391E1E19">
            <wp:extent cx="2860040" cy="3172460"/>
            <wp:effectExtent l="0" t="0" r="0" b="8890"/>
            <wp:docPr id="9"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007A5A" w:rsidRDefault="00007A5A" w:rsidP="00007A5A">
      <w:pPr>
        <w:spacing w:after="160" w:line="259" w:lineRule="auto"/>
        <w:rPr>
          <w:rFonts w:ascii="Verdana" w:hAnsi="Verdana"/>
          <w:b/>
          <w:caps/>
          <w:sz w:val="18"/>
          <w:szCs w:val="18"/>
        </w:rPr>
      </w:pPr>
    </w:p>
    <w:p w:rsidR="00007A5A" w:rsidRPr="002A1AD3" w:rsidRDefault="00007A5A" w:rsidP="00007A5A">
      <w:pPr>
        <w:spacing w:after="160" w:line="259" w:lineRule="auto"/>
        <w:jc w:val="center"/>
        <w:rPr>
          <w:rFonts w:ascii="Verdana" w:hAnsi="Verdana"/>
          <w:b/>
          <w:sz w:val="44"/>
        </w:rPr>
      </w:pPr>
      <w:r w:rsidRPr="00092F86">
        <w:rPr>
          <w:rFonts w:ascii="Verdana" w:hAnsi="Verdana"/>
          <w:b/>
          <w:sz w:val="44"/>
        </w:rPr>
        <w:t>M</w:t>
      </w:r>
      <w:r w:rsidR="00E36A82">
        <w:rPr>
          <w:rFonts w:ascii="Verdana" w:hAnsi="Verdana"/>
          <w:b/>
          <w:sz w:val="44"/>
        </w:rPr>
        <w:t>ay</w:t>
      </w:r>
      <w:r>
        <w:rPr>
          <w:rFonts w:ascii="Verdana" w:hAnsi="Verdana"/>
          <w:b/>
          <w:sz w:val="44"/>
        </w:rPr>
        <w:t xml:space="preserve"> 2019</w:t>
      </w:r>
    </w:p>
    <w:p w:rsidR="00007A5A" w:rsidRDefault="00007A5A" w:rsidP="00007A5A">
      <w:pPr>
        <w:spacing w:after="160" w:line="259" w:lineRule="auto"/>
        <w:rPr>
          <w:rFonts w:ascii="Verdana" w:hAnsi="Verdana"/>
          <w:b/>
          <w:caps/>
          <w:sz w:val="18"/>
          <w:szCs w:val="18"/>
        </w:rPr>
      </w:pPr>
    </w:p>
    <w:p w:rsidR="00007A5A" w:rsidRPr="00092F86" w:rsidRDefault="00007A5A" w:rsidP="005C275A">
      <w:pPr>
        <w:spacing w:after="160" w:line="259" w:lineRule="auto"/>
        <w:jc w:val="center"/>
        <w:rPr>
          <w:rFonts w:cs="Arial"/>
          <w:b/>
          <w:caps/>
        </w:rPr>
      </w:pPr>
      <w:r w:rsidRPr="00092F86">
        <w:rPr>
          <w:rFonts w:cs="Arial"/>
          <w:b/>
          <w:caps/>
        </w:rPr>
        <w:t>MODULE NAME:</w:t>
      </w:r>
      <w:r w:rsidRPr="00092F86">
        <w:rPr>
          <w:rFonts w:cs="Arial"/>
          <w:b/>
          <w:caps/>
        </w:rPr>
        <w:tab/>
      </w:r>
      <w:r w:rsidRPr="00092F86">
        <w:rPr>
          <w:rFonts w:cs="Arial"/>
          <w:b/>
          <w:caps/>
        </w:rPr>
        <w:tab/>
        <w:t>M3X9086</w:t>
      </w:r>
    </w:p>
    <w:p w:rsidR="00007A5A" w:rsidRPr="00092F86" w:rsidRDefault="00007A5A" w:rsidP="005C275A">
      <w:pPr>
        <w:spacing w:after="160" w:line="259" w:lineRule="auto"/>
        <w:jc w:val="center"/>
        <w:rPr>
          <w:rFonts w:cs="Arial"/>
          <w:b/>
          <w:caps/>
        </w:rPr>
      </w:pPr>
      <w:r w:rsidRPr="00092F86">
        <w:rPr>
          <w:rFonts w:cs="Arial"/>
          <w:b/>
          <w:caps/>
        </w:rPr>
        <w:t>Name:</w:t>
      </w:r>
      <w:r w:rsidRPr="00092F86">
        <w:rPr>
          <w:rFonts w:cs="Arial"/>
          <w:b/>
          <w:caps/>
        </w:rPr>
        <w:tab/>
      </w:r>
      <w:r w:rsidRPr="00092F86">
        <w:rPr>
          <w:rFonts w:cs="Arial"/>
          <w:b/>
          <w:caps/>
        </w:rPr>
        <w:tab/>
      </w:r>
      <w:r w:rsidRPr="00092F86">
        <w:rPr>
          <w:rFonts w:cs="Arial"/>
          <w:b/>
          <w:caps/>
        </w:rPr>
        <w:tab/>
      </w:r>
      <w:r w:rsidRPr="00092F86">
        <w:rPr>
          <w:rFonts w:cs="Arial"/>
          <w:b/>
          <w:caps/>
        </w:rPr>
        <w:tab/>
        <w:t>Yifei li</w:t>
      </w:r>
    </w:p>
    <w:p w:rsidR="00007A5A" w:rsidRPr="00092F86" w:rsidRDefault="00007A5A" w:rsidP="005C275A">
      <w:pPr>
        <w:spacing w:after="160" w:line="259" w:lineRule="auto"/>
        <w:jc w:val="center"/>
        <w:rPr>
          <w:rFonts w:cs="Arial"/>
          <w:b/>
          <w:caps/>
        </w:rPr>
      </w:pPr>
      <w:r w:rsidRPr="00092F86">
        <w:rPr>
          <w:rFonts w:cs="Arial"/>
          <w:b/>
          <w:caps/>
        </w:rPr>
        <w:t>Student Number:</w:t>
      </w:r>
      <w:r w:rsidRPr="00092F86">
        <w:rPr>
          <w:rFonts w:cs="Arial"/>
          <w:b/>
          <w:caps/>
        </w:rPr>
        <w:tab/>
        <w:t>1700899</w:t>
      </w:r>
    </w:p>
    <w:p w:rsidR="00007A5A" w:rsidRDefault="00007A5A" w:rsidP="00007A5A">
      <w:pPr>
        <w:spacing w:after="160" w:line="259" w:lineRule="auto"/>
        <w:rPr>
          <w:rFonts w:ascii="Verdana" w:hAnsi="Verdana"/>
          <w:b/>
          <w:caps/>
          <w:sz w:val="18"/>
          <w:szCs w:val="18"/>
        </w:rPr>
      </w:pPr>
      <w:r>
        <w:rPr>
          <w:rFonts w:ascii="Verdana" w:hAnsi="Verdana"/>
          <w:b/>
          <w:caps/>
          <w:sz w:val="18"/>
          <w:szCs w:val="18"/>
        </w:rPr>
        <w:br w:type="page"/>
      </w:r>
    </w:p>
    <w:sdt>
      <w:sdtPr>
        <w:rPr>
          <w:rFonts w:ascii="Arial" w:eastAsiaTheme="minorEastAsia" w:hAnsi="Arial" w:cstheme="minorBidi"/>
          <w:color w:val="000000" w:themeColor="text1"/>
          <w:sz w:val="24"/>
          <w:szCs w:val="22"/>
          <w:lang w:val="zh-CN"/>
        </w:rPr>
        <w:id w:val="1348980940"/>
        <w:docPartObj>
          <w:docPartGallery w:val="Table of Contents"/>
          <w:docPartUnique/>
        </w:docPartObj>
      </w:sdtPr>
      <w:sdtEndPr>
        <w:rPr>
          <w:b/>
          <w:bCs/>
        </w:rPr>
      </w:sdtEndPr>
      <w:sdtContent>
        <w:p w:rsidR="00007A5A" w:rsidRPr="0015763D" w:rsidRDefault="00007A5A" w:rsidP="00754D93">
          <w:pPr>
            <w:pStyle w:val="TOC"/>
            <w:jc w:val="center"/>
            <w:rPr>
              <w:rFonts w:ascii="Arial" w:hAnsi="Arial" w:cs="Arial"/>
              <w:b/>
              <w:color w:val="000000" w:themeColor="text1"/>
            </w:rPr>
          </w:pPr>
          <w:r w:rsidRPr="0015763D">
            <w:rPr>
              <w:rFonts w:ascii="Arial" w:hAnsi="Arial" w:cs="Arial"/>
              <w:b/>
              <w:color w:val="000000" w:themeColor="text1"/>
              <w:lang w:val="zh-CN"/>
            </w:rPr>
            <w:t>Content</w:t>
          </w:r>
          <w:bookmarkStart w:id="0" w:name="_GoBack"/>
          <w:bookmarkEnd w:id="0"/>
        </w:p>
        <w:p w:rsidR="008A1B9B" w:rsidRDefault="00007A5A" w:rsidP="008A1B9B">
          <w:pPr>
            <w:pStyle w:val="10"/>
            <w:tabs>
              <w:tab w:val="left" w:pos="390"/>
              <w:tab w:val="right" w:leader="dot" w:pos="8296"/>
            </w:tabs>
            <w:rPr>
              <w:rFonts w:asciiTheme="minorHAnsi" w:hAnsiTheme="minorHAnsi"/>
              <w:noProof/>
              <w:color w:val="auto"/>
              <w:kern w:val="2"/>
              <w:sz w:val="21"/>
              <w:lang w:val="en-US"/>
            </w:rPr>
          </w:pPr>
          <w:r w:rsidRPr="00023F92">
            <w:rPr>
              <w:bCs/>
              <w:lang w:val="zh-CN"/>
            </w:rPr>
            <w:fldChar w:fldCharType="begin"/>
          </w:r>
          <w:r w:rsidRPr="00023F92">
            <w:rPr>
              <w:bCs/>
              <w:lang w:val="zh-CN"/>
            </w:rPr>
            <w:instrText xml:space="preserve"> TOC \o "1-3" \h \z \u </w:instrText>
          </w:r>
          <w:r w:rsidRPr="00023F92">
            <w:rPr>
              <w:bCs/>
              <w:lang w:val="zh-CN"/>
            </w:rPr>
            <w:fldChar w:fldCharType="separate"/>
          </w:r>
          <w:hyperlink w:anchor="_Toc7971947" w:history="1">
            <w:r w:rsidR="008A1B9B" w:rsidRPr="00186C5D">
              <w:rPr>
                <w:rStyle w:val="a5"/>
                <w:noProof/>
              </w:rPr>
              <w:t>1.0</w:t>
            </w:r>
            <w:r w:rsidR="008A1B9B">
              <w:rPr>
                <w:rFonts w:asciiTheme="minorHAnsi" w:hAnsiTheme="minorHAnsi"/>
                <w:noProof/>
                <w:color w:val="auto"/>
                <w:kern w:val="2"/>
                <w:sz w:val="21"/>
                <w:lang w:val="en-US"/>
              </w:rPr>
              <w:tab/>
            </w:r>
            <w:r w:rsidR="008A1B9B" w:rsidRPr="00186C5D">
              <w:rPr>
                <w:rStyle w:val="a5"/>
                <w:noProof/>
              </w:rPr>
              <w:t>The marketing mix combined with TW and market entry strategy</w:t>
            </w:r>
            <w:r w:rsidR="008A1B9B">
              <w:rPr>
                <w:noProof/>
                <w:webHidden/>
              </w:rPr>
              <w:tab/>
            </w:r>
            <w:r w:rsidR="008A1B9B">
              <w:rPr>
                <w:noProof/>
                <w:webHidden/>
              </w:rPr>
              <w:fldChar w:fldCharType="begin"/>
            </w:r>
            <w:r w:rsidR="008A1B9B">
              <w:rPr>
                <w:noProof/>
                <w:webHidden/>
              </w:rPr>
              <w:instrText xml:space="preserve"> PAGEREF _Toc7971947 \h </w:instrText>
            </w:r>
            <w:r w:rsidR="008A1B9B">
              <w:rPr>
                <w:noProof/>
                <w:webHidden/>
              </w:rPr>
            </w:r>
            <w:r w:rsidR="008A1B9B">
              <w:rPr>
                <w:noProof/>
                <w:webHidden/>
              </w:rPr>
              <w:fldChar w:fldCharType="separate"/>
            </w:r>
            <w:r w:rsidR="008A1B9B">
              <w:rPr>
                <w:noProof/>
                <w:webHidden/>
              </w:rPr>
              <w:t>4</w:t>
            </w:r>
            <w:r w:rsidR="008A1B9B">
              <w:rPr>
                <w:noProof/>
                <w:webHidden/>
              </w:rPr>
              <w:fldChar w:fldCharType="end"/>
            </w:r>
          </w:hyperlink>
        </w:p>
        <w:p w:rsidR="008A1B9B" w:rsidRDefault="0013198A">
          <w:pPr>
            <w:pStyle w:val="10"/>
            <w:tabs>
              <w:tab w:val="right" w:leader="dot" w:pos="8296"/>
            </w:tabs>
            <w:rPr>
              <w:rFonts w:asciiTheme="minorHAnsi" w:hAnsiTheme="minorHAnsi"/>
              <w:noProof/>
              <w:color w:val="auto"/>
              <w:kern w:val="2"/>
              <w:sz w:val="21"/>
              <w:lang w:val="en-US"/>
            </w:rPr>
          </w:pPr>
          <w:hyperlink w:anchor="_Toc7971948" w:history="1">
            <w:r w:rsidR="008A1B9B" w:rsidRPr="00186C5D">
              <w:rPr>
                <w:rStyle w:val="a5"/>
                <w:noProof/>
              </w:rPr>
              <w:t>1.1 Product</w:t>
            </w:r>
            <w:r w:rsidR="008A1B9B">
              <w:rPr>
                <w:noProof/>
                <w:webHidden/>
              </w:rPr>
              <w:tab/>
            </w:r>
            <w:r w:rsidR="008A1B9B">
              <w:rPr>
                <w:noProof/>
                <w:webHidden/>
              </w:rPr>
              <w:fldChar w:fldCharType="begin"/>
            </w:r>
            <w:r w:rsidR="008A1B9B">
              <w:rPr>
                <w:noProof/>
                <w:webHidden/>
              </w:rPr>
              <w:instrText xml:space="preserve"> PAGEREF _Toc7971948 \h </w:instrText>
            </w:r>
            <w:r w:rsidR="008A1B9B">
              <w:rPr>
                <w:noProof/>
                <w:webHidden/>
              </w:rPr>
            </w:r>
            <w:r w:rsidR="008A1B9B">
              <w:rPr>
                <w:noProof/>
                <w:webHidden/>
              </w:rPr>
              <w:fldChar w:fldCharType="separate"/>
            </w:r>
            <w:r w:rsidR="008A1B9B">
              <w:rPr>
                <w:noProof/>
                <w:webHidden/>
              </w:rPr>
              <w:t>5</w:t>
            </w:r>
            <w:r w:rsidR="008A1B9B">
              <w:rPr>
                <w:noProof/>
                <w:webHidden/>
              </w:rPr>
              <w:fldChar w:fldCharType="end"/>
            </w:r>
          </w:hyperlink>
        </w:p>
        <w:p w:rsidR="008A1B9B" w:rsidRDefault="0013198A">
          <w:pPr>
            <w:pStyle w:val="10"/>
            <w:tabs>
              <w:tab w:val="right" w:leader="dot" w:pos="8296"/>
            </w:tabs>
            <w:rPr>
              <w:rFonts w:asciiTheme="minorHAnsi" w:hAnsiTheme="minorHAnsi"/>
              <w:noProof/>
              <w:color w:val="auto"/>
              <w:kern w:val="2"/>
              <w:sz w:val="21"/>
              <w:lang w:val="en-US"/>
            </w:rPr>
          </w:pPr>
          <w:hyperlink w:anchor="_Toc7971949" w:history="1">
            <w:r w:rsidR="008A1B9B" w:rsidRPr="00186C5D">
              <w:rPr>
                <w:rStyle w:val="a5"/>
                <w:noProof/>
              </w:rPr>
              <w:t>1.2 Promotion</w:t>
            </w:r>
            <w:r w:rsidR="008A1B9B">
              <w:rPr>
                <w:noProof/>
                <w:webHidden/>
              </w:rPr>
              <w:tab/>
            </w:r>
            <w:r w:rsidR="008A1B9B">
              <w:rPr>
                <w:noProof/>
                <w:webHidden/>
              </w:rPr>
              <w:fldChar w:fldCharType="begin"/>
            </w:r>
            <w:r w:rsidR="008A1B9B">
              <w:rPr>
                <w:noProof/>
                <w:webHidden/>
              </w:rPr>
              <w:instrText xml:space="preserve"> PAGEREF _Toc7971949 \h </w:instrText>
            </w:r>
            <w:r w:rsidR="008A1B9B">
              <w:rPr>
                <w:noProof/>
                <w:webHidden/>
              </w:rPr>
            </w:r>
            <w:r w:rsidR="008A1B9B">
              <w:rPr>
                <w:noProof/>
                <w:webHidden/>
              </w:rPr>
              <w:fldChar w:fldCharType="separate"/>
            </w:r>
            <w:r w:rsidR="008A1B9B">
              <w:rPr>
                <w:noProof/>
                <w:webHidden/>
              </w:rPr>
              <w:t>6</w:t>
            </w:r>
            <w:r w:rsidR="008A1B9B">
              <w:rPr>
                <w:noProof/>
                <w:webHidden/>
              </w:rPr>
              <w:fldChar w:fldCharType="end"/>
            </w:r>
          </w:hyperlink>
        </w:p>
        <w:p w:rsidR="008A1B9B" w:rsidRDefault="0013198A">
          <w:pPr>
            <w:pStyle w:val="10"/>
            <w:tabs>
              <w:tab w:val="right" w:leader="dot" w:pos="8296"/>
            </w:tabs>
            <w:rPr>
              <w:rFonts w:asciiTheme="minorHAnsi" w:hAnsiTheme="minorHAnsi"/>
              <w:noProof/>
              <w:color w:val="auto"/>
              <w:kern w:val="2"/>
              <w:sz w:val="21"/>
              <w:lang w:val="en-US"/>
            </w:rPr>
          </w:pPr>
          <w:hyperlink w:anchor="_Toc7971950" w:history="1">
            <w:r w:rsidR="008A1B9B" w:rsidRPr="00186C5D">
              <w:rPr>
                <w:rStyle w:val="a5"/>
                <w:noProof/>
              </w:rPr>
              <w:t>1.3 Place</w:t>
            </w:r>
            <w:r w:rsidR="008A1B9B">
              <w:rPr>
                <w:noProof/>
                <w:webHidden/>
              </w:rPr>
              <w:tab/>
            </w:r>
            <w:r w:rsidR="008A1B9B">
              <w:rPr>
                <w:noProof/>
                <w:webHidden/>
              </w:rPr>
              <w:fldChar w:fldCharType="begin"/>
            </w:r>
            <w:r w:rsidR="008A1B9B">
              <w:rPr>
                <w:noProof/>
                <w:webHidden/>
              </w:rPr>
              <w:instrText xml:space="preserve"> PAGEREF _Toc7971950 \h </w:instrText>
            </w:r>
            <w:r w:rsidR="008A1B9B">
              <w:rPr>
                <w:noProof/>
                <w:webHidden/>
              </w:rPr>
            </w:r>
            <w:r w:rsidR="008A1B9B">
              <w:rPr>
                <w:noProof/>
                <w:webHidden/>
              </w:rPr>
              <w:fldChar w:fldCharType="separate"/>
            </w:r>
            <w:r w:rsidR="008A1B9B">
              <w:rPr>
                <w:noProof/>
                <w:webHidden/>
              </w:rPr>
              <w:t>7</w:t>
            </w:r>
            <w:r w:rsidR="008A1B9B">
              <w:rPr>
                <w:noProof/>
                <w:webHidden/>
              </w:rPr>
              <w:fldChar w:fldCharType="end"/>
            </w:r>
          </w:hyperlink>
        </w:p>
        <w:p w:rsidR="008A1B9B" w:rsidRDefault="0013198A">
          <w:pPr>
            <w:pStyle w:val="10"/>
            <w:tabs>
              <w:tab w:val="right" w:leader="dot" w:pos="8296"/>
            </w:tabs>
            <w:rPr>
              <w:rFonts w:asciiTheme="minorHAnsi" w:hAnsiTheme="minorHAnsi"/>
              <w:noProof/>
              <w:color w:val="auto"/>
              <w:kern w:val="2"/>
              <w:sz w:val="21"/>
              <w:lang w:val="en-US"/>
            </w:rPr>
          </w:pPr>
          <w:hyperlink w:anchor="_Toc7971951" w:history="1">
            <w:r w:rsidR="008A1B9B" w:rsidRPr="00186C5D">
              <w:rPr>
                <w:rStyle w:val="a5"/>
                <w:noProof/>
              </w:rPr>
              <w:t>1.4 Process management</w:t>
            </w:r>
            <w:r w:rsidR="008A1B9B">
              <w:rPr>
                <w:noProof/>
                <w:webHidden/>
              </w:rPr>
              <w:tab/>
            </w:r>
            <w:r w:rsidR="008A1B9B">
              <w:rPr>
                <w:noProof/>
                <w:webHidden/>
              </w:rPr>
              <w:fldChar w:fldCharType="begin"/>
            </w:r>
            <w:r w:rsidR="008A1B9B">
              <w:rPr>
                <w:noProof/>
                <w:webHidden/>
              </w:rPr>
              <w:instrText xml:space="preserve"> PAGEREF _Toc7971951 \h </w:instrText>
            </w:r>
            <w:r w:rsidR="008A1B9B">
              <w:rPr>
                <w:noProof/>
                <w:webHidden/>
              </w:rPr>
            </w:r>
            <w:r w:rsidR="008A1B9B">
              <w:rPr>
                <w:noProof/>
                <w:webHidden/>
              </w:rPr>
              <w:fldChar w:fldCharType="separate"/>
            </w:r>
            <w:r w:rsidR="008A1B9B">
              <w:rPr>
                <w:noProof/>
                <w:webHidden/>
              </w:rPr>
              <w:t>8</w:t>
            </w:r>
            <w:r w:rsidR="008A1B9B">
              <w:rPr>
                <w:noProof/>
                <w:webHidden/>
              </w:rPr>
              <w:fldChar w:fldCharType="end"/>
            </w:r>
          </w:hyperlink>
        </w:p>
        <w:p w:rsidR="008A1B9B" w:rsidRDefault="0013198A">
          <w:pPr>
            <w:pStyle w:val="10"/>
            <w:tabs>
              <w:tab w:val="right" w:leader="dot" w:pos="8296"/>
            </w:tabs>
            <w:rPr>
              <w:rFonts w:asciiTheme="minorHAnsi" w:hAnsiTheme="minorHAnsi"/>
              <w:noProof/>
              <w:color w:val="auto"/>
              <w:kern w:val="2"/>
              <w:sz w:val="21"/>
              <w:lang w:val="en-US"/>
            </w:rPr>
          </w:pPr>
          <w:hyperlink w:anchor="_Toc7971952" w:history="1">
            <w:r w:rsidR="008A1B9B" w:rsidRPr="00186C5D">
              <w:rPr>
                <w:rStyle w:val="a5"/>
                <w:noProof/>
              </w:rPr>
              <w:t>1.5 People</w:t>
            </w:r>
            <w:r w:rsidR="008A1B9B">
              <w:rPr>
                <w:noProof/>
                <w:webHidden/>
              </w:rPr>
              <w:tab/>
            </w:r>
            <w:r w:rsidR="008A1B9B">
              <w:rPr>
                <w:noProof/>
                <w:webHidden/>
              </w:rPr>
              <w:fldChar w:fldCharType="begin"/>
            </w:r>
            <w:r w:rsidR="008A1B9B">
              <w:rPr>
                <w:noProof/>
                <w:webHidden/>
              </w:rPr>
              <w:instrText xml:space="preserve"> PAGEREF _Toc7971952 \h </w:instrText>
            </w:r>
            <w:r w:rsidR="008A1B9B">
              <w:rPr>
                <w:noProof/>
                <w:webHidden/>
              </w:rPr>
            </w:r>
            <w:r w:rsidR="008A1B9B">
              <w:rPr>
                <w:noProof/>
                <w:webHidden/>
              </w:rPr>
              <w:fldChar w:fldCharType="separate"/>
            </w:r>
            <w:r w:rsidR="008A1B9B">
              <w:rPr>
                <w:noProof/>
                <w:webHidden/>
              </w:rPr>
              <w:t>9</w:t>
            </w:r>
            <w:r w:rsidR="008A1B9B">
              <w:rPr>
                <w:noProof/>
                <w:webHidden/>
              </w:rPr>
              <w:fldChar w:fldCharType="end"/>
            </w:r>
          </w:hyperlink>
        </w:p>
        <w:p w:rsidR="008A1B9B" w:rsidRDefault="0013198A">
          <w:pPr>
            <w:pStyle w:val="10"/>
            <w:tabs>
              <w:tab w:val="right" w:leader="dot" w:pos="8296"/>
            </w:tabs>
            <w:rPr>
              <w:rFonts w:asciiTheme="minorHAnsi" w:hAnsiTheme="minorHAnsi"/>
              <w:noProof/>
              <w:color w:val="auto"/>
              <w:kern w:val="2"/>
              <w:sz w:val="21"/>
              <w:lang w:val="en-US"/>
            </w:rPr>
          </w:pPr>
          <w:hyperlink w:anchor="_Toc7971953" w:history="1">
            <w:r w:rsidR="008A1B9B" w:rsidRPr="00186C5D">
              <w:rPr>
                <w:rStyle w:val="a5"/>
                <w:noProof/>
              </w:rPr>
              <w:t>1.6 Physical evidence</w:t>
            </w:r>
            <w:r w:rsidR="008A1B9B">
              <w:rPr>
                <w:noProof/>
                <w:webHidden/>
              </w:rPr>
              <w:tab/>
            </w:r>
            <w:r w:rsidR="008A1B9B">
              <w:rPr>
                <w:noProof/>
                <w:webHidden/>
              </w:rPr>
              <w:fldChar w:fldCharType="begin"/>
            </w:r>
            <w:r w:rsidR="008A1B9B">
              <w:rPr>
                <w:noProof/>
                <w:webHidden/>
              </w:rPr>
              <w:instrText xml:space="preserve"> PAGEREF _Toc7971953 \h </w:instrText>
            </w:r>
            <w:r w:rsidR="008A1B9B">
              <w:rPr>
                <w:noProof/>
                <w:webHidden/>
              </w:rPr>
            </w:r>
            <w:r w:rsidR="008A1B9B">
              <w:rPr>
                <w:noProof/>
                <w:webHidden/>
              </w:rPr>
              <w:fldChar w:fldCharType="separate"/>
            </w:r>
            <w:r w:rsidR="008A1B9B">
              <w:rPr>
                <w:noProof/>
                <w:webHidden/>
              </w:rPr>
              <w:t>10</w:t>
            </w:r>
            <w:r w:rsidR="008A1B9B">
              <w:rPr>
                <w:noProof/>
                <w:webHidden/>
              </w:rPr>
              <w:fldChar w:fldCharType="end"/>
            </w:r>
          </w:hyperlink>
        </w:p>
        <w:p w:rsidR="008A1B9B" w:rsidRDefault="0013198A">
          <w:pPr>
            <w:pStyle w:val="10"/>
            <w:tabs>
              <w:tab w:val="right" w:leader="dot" w:pos="8296"/>
            </w:tabs>
            <w:rPr>
              <w:rFonts w:asciiTheme="minorHAnsi" w:hAnsiTheme="minorHAnsi"/>
              <w:noProof/>
              <w:color w:val="auto"/>
              <w:kern w:val="2"/>
              <w:sz w:val="21"/>
              <w:lang w:val="en-US"/>
            </w:rPr>
          </w:pPr>
          <w:hyperlink w:anchor="_Toc7971954" w:history="1">
            <w:r w:rsidR="008A1B9B" w:rsidRPr="00186C5D">
              <w:rPr>
                <w:rStyle w:val="a5"/>
                <w:noProof/>
              </w:rPr>
              <w:t>1.7 Price</w:t>
            </w:r>
            <w:r w:rsidR="008A1B9B">
              <w:rPr>
                <w:noProof/>
                <w:webHidden/>
              </w:rPr>
              <w:tab/>
            </w:r>
            <w:r w:rsidR="008A1B9B">
              <w:rPr>
                <w:noProof/>
                <w:webHidden/>
              </w:rPr>
              <w:fldChar w:fldCharType="begin"/>
            </w:r>
            <w:r w:rsidR="008A1B9B">
              <w:rPr>
                <w:noProof/>
                <w:webHidden/>
              </w:rPr>
              <w:instrText xml:space="preserve"> PAGEREF _Toc7971954 \h </w:instrText>
            </w:r>
            <w:r w:rsidR="008A1B9B">
              <w:rPr>
                <w:noProof/>
                <w:webHidden/>
              </w:rPr>
            </w:r>
            <w:r w:rsidR="008A1B9B">
              <w:rPr>
                <w:noProof/>
                <w:webHidden/>
              </w:rPr>
              <w:fldChar w:fldCharType="separate"/>
            </w:r>
            <w:r w:rsidR="008A1B9B">
              <w:rPr>
                <w:noProof/>
                <w:webHidden/>
              </w:rPr>
              <w:t>11</w:t>
            </w:r>
            <w:r w:rsidR="008A1B9B">
              <w:rPr>
                <w:noProof/>
                <w:webHidden/>
              </w:rPr>
              <w:fldChar w:fldCharType="end"/>
            </w:r>
          </w:hyperlink>
        </w:p>
        <w:p w:rsidR="008A1B9B" w:rsidRDefault="0013198A">
          <w:pPr>
            <w:pStyle w:val="10"/>
            <w:tabs>
              <w:tab w:val="right" w:leader="dot" w:pos="8296"/>
            </w:tabs>
            <w:rPr>
              <w:rFonts w:asciiTheme="minorHAnsi" w:hAnsiTheme="minorHAnsi"/>
              <w:noProof/>
              <w:color w:val="auto"/>
              <w:kern w:val="2"/>
              <w:sz w:val="21"/>
              <w:lang w:val="en-US"/>
            </w:rPr>
          </w:pPr>
          <w:hyperlink w:anchor="_Toc7971955" w:history="1">
            <w:r w:rsidR="008A1B9B" w:rsidRPr="00186C5D">
              <w:rPr>
                <w:rStyle w:val="a5"/>
                <w:noProof/>
              </w:rPr>
              <w:t>1.8 Agent’s responsibility and duty</w:t>
            </w:r>
            <w:r w:rsidR="008A1B9B">
              <w:rPr>
                <w:noProof/>
                <w:webHidden/>
              </w:rPr>
              <w:tab/>
            </w:r>
            <w:r w:rsidR="008A1B9B">
              <w:rPr>
                <w:noProof/>
                <w:webHidden/>
              </w:rPr>
              <w:fldChar w:fldCharType="begin"/>
            </w:r>
            <w:r w:rsidR="008A1B9B">
              <w:rPr>
                <w:noProof/>
                <w:webHidden/>
              </w:rPr>
              <w:instrText xml:space="preserve"> PAGEREF _Toc7971955 \h </w:instrText>
            </w:r>
            <w:r w:rsidR="008A1B9B">
              <w:rPr>
                <w:noProof/>
                <w:webHidden/>
              </w:rPr>
            </w:r>
            <w:r w:rsidR="008A1B9B">
              <w:rPr>
                <w:noProof/>
                <w:webHidden/>
              </w:rPr>
              <w:fldChar w:fldCharType="separate"/>
            </w:r>
            <w:r w:rsidR="008A1B9B">
              <w:rPr>
                <w:noProof/>
                <w:webHidden/>
              </w:rPr>
              <w:t>13</w:t>
            </w:r>
            <w:r w:rsidR="008A1B9B">
              <w:rPr>
                <w:noProof/>
                <w:webHidden/>
              </w:rPr>
              <w:fldChar w:fldCharType="end"/>
            </w:r>
          </w:hyperlink>
        </w:p>
        <w:p w:rsidR="008A1B9B" w:rsidRDefault="0013198A">
          <w:pPr>
            <w:pStyle w:val="10"/>
            <w:tabs>
              <w:tab w:val="right" w:leader="dot" w:pos="8296"/>
            </w:tabs>
            <w:rPr>
              <w:rFonts w:asciiTheme="minorHAnsi" w:hAnsiTheme="minorHAnsi"/>
              <w:noProof/>
              <w:color w:val="auto"/>
              <w:kern w:val="2"/>
              <w:sz w:val="21"/>
              <w:lang w:val="en-US"/>
            </w:rPr>
          </w:pPr>
          <w:hyperlink w:anchor="_Toc7971956" w:history="1">
            <w:r w:rsidR="008A1B9B" w:rsidRPr="00186C5D">
              <w:rPr>
                <w:rStyle w:val="a5"/>
                <w:noProof/>
              </w:rPr>
              <w:t>Conclusion</w:t>
            </w:r>
            <w:r w:rsidR="008A1B9B">
              <w:rPr>
                <w:noProof/>
                <w:webHidden/>
              </w:rPr>
              <w:tab/>
            </w:r>
            <w:r w:rsidR="008A1B9B">
              <w:rPr>
                <w:noProof/>
                <w:webHidden/>
              </w:rPr>
              <w:fldChar w:fldCharType="begin"/>
            </w:r>
            <w:r w:rsidR="008A1B9B">
              <w:rPr>
                <w:noProof/>
                <w:webHidden/>
              </w:rPr>
              <w:instrText xml:space="preserve"> PAGEREF _Toc7971956 \h </w:instrText>
            </w:r>
            <w:r w:rsidR="008A1B9B">
              <w:rPr>
                <w:noProof/>
                <w:webHidden/>
              </w:rPr>
            </w:r>
            <w:r w:rsidR="008A1B9B">
              <w:rPr>
                <w:noProof/>
                <w:webHidden/>
              </w:rPr>
              <w:fldChar w:fldCharType="separate"/>
            </w:r>
            <w:r w:rsidR="008A1B9B">
              <w:rPr>
                <w:noProof/>
                <w:webHidden/>
              </w:rPr>
              <w:t>13</w:t>
            </w:r>
            <w:r w:rsidR="008A1B9B">
              <w:rPr>
                <w:noProof/>
                <w:webHidden/>
              </w:rPr>
              <w:fldChar w:fldCharType="end"/>
            </w:r>
          </w:hyperlink>
        </w:p>
        <w:p w:rsidR="00007A5A" w:rsidRDefault="00007A5A" w:rsidP="00007A5A">
          <w:pPr>
            <w:rPr>
              <w:b/>
              <w:bCs/>
              <w:lang w:val="zh-CN"/>
            </w:rPr>
          </w:pPr>
          <w:r w:rsidRPr="00023F92">
            <w:rPr>
              <w:bCs/>
              <w:lang w:val="zh-CN"/>
            </w:rPr>
            <w:fldChar w:fldCharType="end"/>
          </w:r>
        </w:p>
      </w:sdtContent>
    </w:sdt>
    <w:p w:rsidR="00007A5A" w:rsidRDefault="00007A5A"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23F92" w:rsidRDefault="00023F92" w:rsidP="00007A5A">
      <w:pPr>
        <w:rPr>
          <w:b/>
        </w:rPr>
      </w:pPr>
    </w:p>
    <w:p w:rsidR="00007A5A" w:rsidRPr="00C65F16" w:rsidRDefault="00007A5A" w:rsidP="00007A5A">
      <w:pPr>
        <w:rPr>
          <w:b/>
        </w:rPr>
      </w:pPr>
      <w:r w:rsidRPr="00C65F16">
        <w:rPr>
          <w:b/>
        </w:rPr>
        <w:t>Introduction</w:t>
      </w:r>
    </w:p>
    <w:p w:rsidR="00007A5A" w:rsidRDefault="00007A5A" w:rsidP="00007A5A">
      <w:r>
        <w:t xml:space="preserve">There are many reasons for a company expanding its market to an international market. The first reason is the product life cycle. Because the intensified local competition, some business organisations attempt to explore an oversea market </w:t>
      </w:r>
      <w:r w:rsidRPr="001B32C3">
        <w:t xml:space="preserve">(Blanton and </w:t>
      </w:r>
      <w:proofErr w:type="spellStart"/>
      <w:r w:rsidRPr="001B32C3">
        <w:t>Peksen</w:t>
      </w:r>
      <w:proofErr w:type="spellEnd"/>
      <w:r w:rsidRPr="001B32C3">
        <w:t>, 2017</w:t>
      </w:r>
      <w:r>
        <w:t xml:space="preserve">; </w:t>
      </w:r>
      <w:proofErr w:type="spellStart"/>
      <w:r w:rsidRPr="000D3B2D">
        <w:t>Kokemuller</w:t>
      </w:r>
      <w:proofErr w:type="spellEnd"/>
      <w:r w:rsidRPr="000D3B2D">
        <w:t>, 2018</w:t>
      </w:r>
      <w:r w:rsidRPr="001B32C3">
        <w:t>).</w:t>
      </w:r>
      <w:r>
        <w:t xml:space="preserve"> For the contemporary companies, globalisation is also equivalent to expand its business to a greater market. A new market allows company generating extra income and margins in a new market. On the other hand, considering the product life cycle, it is reasonable for a company to start from its product from mature stage when a specific product is at a declining stage in home </w:t>
      </w:r>
      <w:r w:rsidRPr="001B32C3">
        <w:t>market (</w:t>
      </w:r>
      <w:proofErr w:type="spellStart"/>
      <w:r w:rsidRPr="001B32C3">
        <w:t>Bhander</w:t>
      </w:r>
      <w:proofErr w:type="spellEnd"/>
      <w:r w:rsidRPr="001B32C3">
        <w:t xml:space="preserve">, </w:t>
      </w:r>
      <w:proofErr w:type="spellStart"/>
      <w:r w:rsidRPr="001B32C3">
        <w:t>Hauschild</w:t>
      </w:r>
      <w:proofErr w:type="spellEnd"/>
      <w:r w:rsidRPr="001B32C3">
        <w:t xml:space="preserve"> and </w:t>
      </w:r>
      <w:proofErr w:type="spellStart"/>
      <w:r w:rsidRPr="001B32C3">
        <w:t>McAloone</w:t>
      </w:r>
      <w:proofErr w:type="spellEnd"/>
      <w:r w:rsidRPr="001B32C3">
        <w:t>, 2003).</w:t>
      </w:r>
      <w:r>
        <w:t xml:space="preserve"> </w:t>
      </w:r>
      <w:r>
        <w:rPr>
          <w:shd w:val="clear" w:color="auto" w:fill="FFFFFF"/>
        </w:rPr>
        <w:t xml:space="preserve">To define a target market in an international market, marketing screening is a powerful tool for an enterprise to identify a target market in a large geographical </w:t>
      </w:r>
      <w:r w:rsidRPr="00910A4F">
        <w:t>range (</w:t>
      </w:r>
      <w:proofErr w:type="spellStart"/>
      <w:r w:rsidRPr="00910A4F">
        <w:t>Papanikolaou</w:t>
      </w:r>
      <w:proofErr w:type="spellEnd"/>
      <w:r w:rsidRPr="00910A4F">
        <w:t>, 2009).</w:t>
      </w:r>
      <w:r>
        <w:rPr>
          <w:shd w:val="clear" w:color="auto" w:fill="FFFFFF"/>
        </w:rPr>
        <w:t xml:space="preserve"> All the marketing screens are a highly customised way to match the critical success factors for an enterprise </w:t>
      </w:r>
      <w:r w:rsidRPr="00910A4F">
        <w:t>(</w:t>
      </w:r>
      <w:proofErr w:type="spellStart"/>
      <w:r w:rsidRPr="00910A4F">
        <w:t>Papanikolaou</w:t>
      </w:r>
      <w:proofErr w:type="spellEnd"/>
      <w:r w:rsidRPr="00910A4F">
        <w:t xml:space="preserve">, 2009). </w:t>
      </w:r>
      <w:r>
        <w:rPr>
          <w:shd w:val="clear" w:color="auto" w:fill="FFFFFF"/>
        </w:rPr>
        <w:t xml:space="preserve">Therefore, in this given context, </w:t>
      </w:r>
      <w:proofErr w:type="spellStart"/>
      <w:r w:rsidRPr="007C23DA">
        <w:rPr>
          <w:rFonts w:cs="Arial"/>
        </w:rPr>
        <w:t>Tomos</w:t>
      </w:r>
      <w:proofErr w:type="spellEnd"/>
      <w:r w:rsidRPr="007C23DA">
        <w:rPr>
          <w:rFonts w:cs="Arial"/>
        </w:rPr>
        <w:t xml:space="preserve"> Watkins</w:t>
      </w:r>
      <w:r>
        <w:rPr>
          <w:rFonts w:cs="Arial"/>
        </w:rPr>
        <w:t xml:space="preserve"> has to </w:t>
      </w:r>
      <w:r>
        <w:rPr>
          <w:shd w:val="clear" w:color="auto" w:fill="FFFFFF"/>
        </w:rPr>
        <w:t xml:space="preserve">expand its market to overseas, the process of market screen is necessary. Due to the word limitation, to sufficiently conduct a plausible evaluation, there is a country to be entered: Mexico. </w:t>
      </w:r>
      <w:r>
        <w:t xml:space="preserve">This marketing report will present a target market. Then, a suitable marketing mix will be contained. The chosen market is Russia, direct exporting will be adapted by TW. </w:t>
      </w:r>
    </w:p>
    <w:p w:rsidR="00007A5A" w:rsidRDefault="00007A5A" w:rsidP="00007A5A"/>
    <w:p w:rsidR="00007A5A" w:rsidRDefault="00007A5A" w:rsidP="00007A5A"/>
    <w:p w:rsidR="00007A5A" w:rsidRDefault="00007A5A" w:rsidP="00007A5A"/>
    <w:p w:rsidR="00007A5A" w:rsidRDefault="00007A5A" w:rsidP="00007A5A"/>
    <w:p w:rsidR="00007A5A" w:rsidRDefault="00007A5A" w:rsidP="00007A5A"/>
    <w:p w:rsidR="00007A5A" w:rsidRDefault="00007A5A" w:rsidP="00007A5A"/>
    <w:p w:rsidR="00007A5A" w:rsidRDefault="00007A5A" w:rsidP="00007A5A"/>
    <w:p w:rsidR="00007A5A" w:rsidRDefault="00007A5A" w:rsidP="00007A5A"/>
    <w:p w:rsidR="00007A5A" w:rsidRDefault="00007A5A" w:rsidP="00007A5A"/>
    <w:p w:rsidR="00007A5A" w:rsidRDefault="00007A5A" w:rsidP="00007A5A"/>
    <w:p w:rsidR="00007A5A" w:rsidRDefault="00007A5A" w:rsidP="00007A5A">
      <w:pPr>
        <w:pStyle w:val="1"/>
        <w:numPr>
          <w:ilvl w:val="0"/>
          <w:numId w:val="1"/>
        </w:numPr>
      </w:pPr>
      <w:bookmarkStart w:id="1" w:name="_Toc7971947"/>
      <w:r>
        <w:t>The marketing mix combined with TW and market entry strategy</w:t>
      </w:r>
      <w:bookmarkEnd w:id="1"/>
      <w:r>
        <w:t xml:space="preserve"> </w:t>
      </w:r>
    </w:p>
    <w:p w:rsidR="00007A5A" w:rsidRDefault="00007A5A" w:rsidP="00007A5A">
      <w:r>
        <w:t>B</w:t>
      </w:r>
      <w:r>
        <w:rPr>
          <w:rFonts w:hint="eastAsia"/>
        </w:rPr>
        <w:t xml:space="preserve">ased on the market screening and market demographic in Russia, there are </w:t>
      </w:r>
      <w:r>
        <w:t xml:space="preserve">seven dimensions in marketing-mix: product, promotion, place, process, physical evidence, people and price. </w:t>
      </w:r>
      <w:r>
        <w:rPr>
          <w:rFonts w:hint="eastAsia"/>
        </w:rPr>
        <w:t xml:space="preserve">Considering the long-term based strategy, </w:t>
      </w:r>
      <w:r>
        <w:t>the direct exporting would be suitable for TW to enter a new market in other country. A</w:t>
      </w:r>
      <w:r>
        <w:rPr>
          <w:rFonts w:hint="eastAsia"/>
        </w:rPr>
        <w:t xml:space="preserve">s a direct entry mode, direct exporting shows a situation in which an international business exports and sells its products to the foreign customers in overseas market directly. This market entry mode is strictly without any intermediary and any trade agreement. However, there are some trade barriers for different </w:t>
      </w:r>
      <w:r>
        <w:t>countries</w:t>
      </w:r>
      <w:r>
        <w:rPr>
          <w:rFonts w:hint="eastAsia"/>
        </w:rPr>
        <w:t xml:space="preserve">. There are advantages and disadvantages in direct exporting: a) exporters can impose greater control upon the oversea market. b) </w:t>
      </w:r>
      <w:r>
        <w:t>Exporters</w:t>
      </w:r>
      <w:r>
        <w:rPr>
          <w:rFonts w:hint="eastAsia"/>
        </w:rPr>
        <w:t xml:space="preserve"> can protect their trademark, patent rights and copyrights through this market entry mode. c) Customers in foreign countries can directly feedback to the exporters. Correspondingly, there are some </w:t>
      </w:r>
      <w:r>
        <w:t>disadvantages</w:t>
      </w:r>
      <w:r>
        <w:rPr>
          <w:rFonts w:hint="eastAsia"/>
        </w:rPr>
        <w:t xml:space="preserve">: a) it requires more human resource and budget to enter a foreign market. </w:t>
      </w:r>
      <w:r>
        <w:t>b</w:t>
      </w:r>
      <w:r>
        <w:rPr>
          <w:rFonts w:hint="eastAsia"/>
        </w:rPr>
        <w:t xml:space="preserve">) </w:t>
      </w:r>
      <w:r>
        <w:t>It</w:t>
      </w:r>
      <w:r>
        <w:rPr>
          <w:rFonts w:hint="eastAsia"/>
        </w:rPr>
        <w:t xml:space="preserve"> requires more investment at early stage. </w:t>
      </w:r>
      <w:r>
        <w:t xml:space="preserve">According to the advantages and disadvantages, this following marketing-mix will maximise the effect brought by advantages and minimise the effects generated by </w:t>
      </w:r>
      <w:r w:rsidRPr="00C217B7">
        <w:t>disadvantages (</w:t>
      </w:r>
      <w:proofErr w:type="spellStart"/>
      <w:r w:rsidRPr="00C217B7">
        <w:t>Yaşar</w:t>
      </w:r>
      <w:proofErr w:type="spellEnd"/>
      <w:r w:rsidRPr="00C217B7">
        <w:t>, 2013).</w:t>
      </w:r>
      <w:r>
        <w:t xml:space="preserve"> </w:t>
      </w:r>
    </w:p>
    <w:p w:rsidR="00007A5A" w:rsidRDefault="00007A5A" w:rsidP="00007A5A"/>
    <w:p w:rsidR="00007A5A" w:rsidRDefault="00007A5A" w:rsidP="00007A5A">
      <w:r>
        <w:t>On the other hand, in</w:t>
      </w:r>
      <w:r>
        <w:rPr>
          <w:rFonts w:hint="eastAsia"/>
        </w:rPr>
        <w:t xml:space="preserve"> </w:t>
      </w:r>
      <w:r>
        <w:t>the following</w:t>
      </w:r>
      <w:r>
        <w:rPr>
          <w:rFonts w:hint="eastAsia"/>
        </w:rPr>
        <w:t xml:space="preserve"> section</w:t>
      </w:r>
      <w:r>
        <w:t>s</w:t>
      </w:r>
      <w:r>
        <w:rPr>
          <w:rFonts w:hint="eastAsia"/>
        </w:rPr>
        <w:t xml:space="preserve">, </w:t>
      </w:r>
      <w:r>
        <w:t>a marketing mix</w:t>
      </w:r>
      <w:r>
        <w:rPr>
          <w:rFonts w:hint="eastAsia"/>
        </w:rPr>
        <w:t xml:space="preserve"> will be carried out to </w:t>
      </w:r>
      <w:r>
        <w:t>suit</w:t>
      </w:r>
      <w:r>
        <w:rPr>
          <w:rFonts w:hint="eastAsia"/>
        </w:rPr>
        <w:t xml:space="preserve"> th</w:t>
      </w:r>
      <w:r>
        <w:t>e</w:t>
      </w:r>
      <w:r>
        <w:rPr>
          <w:rFonts w:hint="eastAsia"/>
        </w:rPr>
        <w:t xml:space="preserve"> </w:t>
      </w:r>
      <w:proofErr w:type="spellStart"/>
      <w:r>
        <w:t>the</w:t>
      </w:r>
      <w:proofErr w:type="spellEnd"/>
      <w:r>
        <w:rPr>
          <w:rFonts w:hint="eastAsia"/>
        </w:rPr>
        <w:t xml:space="preserve"> proposed market entry </w:t>
      </w:r>
      <w:r>
        <w:t>strategy</w:t>
      </w:r>
      <w:r>
        <w:rPr>
          <w:rFonts w:hint="eastAsia"/>
        </w:rPr>
        <w:t xml:space="preserve">. Considering the contemporary circumstances, TW, as a small and medium sized company, has to carry out a plan by taking </w:t>
      </w:r>
      <w:r>
        <w:t>profitability</w:t>
      </w:r>
      <w:r>
        <w:rPr>
          <w:rFonts w:hint="eastAsia"/>
        </w:rPr>
        <w:t xml:space="preserve"> and feasibility into account. To enter </w:t>
      </w:r>
      <w:r>
        <w:t>an international market, a company has to consider its future development in the target market.</w:t>
      </w:r>
    </w:p>
    <w:p w:rsidR="00007A5A" w:rsidRDefault="00007A5A" w:rsidP="00007A5A"/>
    <w:p w:rsidR="00023F92" w:rsidRDefault="00023F92" w:rsidP="00007A5A"/>
    <w:p w:rsidR="00023F92" w:rsidRDefault="00023F92" w:rsidP="00007A5A"/>
    <w:p w:rsidR="00023F92" w:rsidRDefault="00023F92" w:rsidP="00007A5A"/>
    <w:p w:rsidR="00007A5A" w:rsidRDefault="00007A5A" w:rsidP="00007A5A">
      <w:pPr>
        <w:pStyle w:val="1"/>
      </w:pPr>
      <w:bookmarkStart w:id="2" w:name="_Toc7971948"/>
      <w:r>
        <w:lastRenderedPageBreak/>
        <w:t>1.1</w:t>
      </w:r>
      <w:r w:rsidR="00023F92">
        <w:t xml:space="preserve"> </w:t>
      </w:r>
      <w:r>
        <w:t>Product</w:t>
      </w:r>
      <w:bookmarkEnd w:id="2"/>
      <w:r>
        <w:t xml:space="preserve"> </w:t>
      </w:r>
    </w:p>
    <w:p w:rsidR="00007A5A" w:rsidRDefault="00007A5A" w:rsidP="00007A5A">
      <w:r>
        <w:t>The product strategy should be based on the market demographic and market screening first. By emphasising on</w:t>
      </w:r>
      <w:r>
        <w:rPr>
          <w:rFonts w:hint="eastAsia"/>
        </w:rPr>
        <w:t xml:space="preserve"> the market demographic and consuming </w:t>
      </w:r>
      <w:r>
        <w:t>behavio</w:t>
      </w:r>
      <w:r>
        <w:rPr>
          <w:rFonts w:hint="eastAsia"/>
        </w:rPr>
        <w:t xml:space="preserve">ur, the </w:t>
      </w:r>
      <w:r>
        <w:t>ethnicity</w:t>
      </w:r>
      <w:r>
        <w:rPr>
          <w:rFonts w:hint="eastAsia"/>
        </w:rPr>
        <w:t xml:space="preserve"> and religion believes may affect the beer </w:t>
      </w:r>
      <w:r>
        <w:t>consumption</w:t>
      </w:r>
      <w:r>
        <w:rPr>
          <w:rFonts w:hint="eastAsia"/>
        </w:rPr>
        <w:t xml:space="preserve"> in Russia (</w:t>
      </w:r>
      <w:r w:rsidRPr="00DA26D4">
        <w:t>Chen and Schwartz, 2013</w:t>
      </w:r>
      <w:r>
        <w:t>)</w:t>
      </w:r>
      <w:r>
        <w:rPr>
          <w:rFonts w:hint="eastAsia"/>
        </w:rPr>
        <w:t>.</w:t>
      </w:r>
      <w:r>
        <w:t xml:space="preserve"> Therefore, the research relating to those two factors have to be conducted for a tailored product strategy in Russia market.</w:t>
      </w:r>
      <w:r>
        <w:rPr>
          <w:rFonts w:hint="eastAsia"/>
        </w:rPr>
        <w:t xml:space="preserve">   </w:t>
      </w:r>
      <w:r>
        <w:t xml:space="preserve"> </w:t>
      </w:r>
    </w:p>
    <w:p w:rsidR="00007A5A" w:rsidRDefault="00007A5A" w:rsidP="00007A5A"/>
    <w:p w:rsidR="00007A5A" w:rsidRPr="00A43C3C" w:rsidRDefault="00007A5A" w:rsidP="00007A5A">
      <w:r>
        <w:rPr>
          <w:noProof/>
          <w:lang w:val="en-US"/>
        </w:rPr>
        <w:drawing>
          <wp:inline distT="0" distB="0" distL="0" distR="0" wp14:anchorId="5A592A8E" wp14:editId="29C268AC">
            <wp:extent cx="3800475" cy="2062549"/>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12683" cy="2069174"/>
                    </a:xfrm>
                    <a:prstGeom prst="rect">
                      <a:avLst/>
                    </a:prstGeom>
                  </pic:spPr>
                </pic:pic>
              </a:graphicData>
            </a:graphic>
          </wp:inline>
        </w:drawing>
      </w:r>
    </w:p>
    <w:p w:rsidR="00007A5A" w:rsidRDefault="00007A5A" w:rsidP="00007A5A">
      <w:r>
        <w:t>F</w:t>
      </w:r>
      <w:r>
        <w:rPr>
          <w:rFonts w:hint="eastAsia"/>
        </w:rPr>
        <w:t>igure</w:t>
      </w:r>
      <w:r>
        <w:t xml:space="preserve"> 1.1</w:t>
      </w:r>
      <w:r>
        <w:rPr>
          <w:rFonts w:hint="eastAsia"/>
        </w:rPr>
        <w:t xml:space="preserve">: the </w:t>
      </w:r>
      <w:r>
        <w:t>ethnic</w:t>
      </w:r>
      <w:r>
        <w:rPr>
          <w:rFonts w:hint="eastAsia"/>
        </w:rPr>
        <w:t xml:space="preserve"> groups in RUSSIA 2018 </w:t>
      </w:r>
    </w:p>
    <w:p w:rsidR="00007A5A" w:rsidRDefault="00007A5A" w:rsidP="00007A5A">
      <w:r>
        <w:rPr>
          <w:noProof/>
          <w:lang w:val="en-US"/>
        </w:rPr>
        <w:drawing>
          <wp:inline distT="0" distB="0" distL="0" distR="0" wp14:anchorId="22365538" wp14:editId="19700ACE">
            <wp:extent cx="4006153" cy="14192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7752" r="1855"/>
                    <a:stretch/>
                  </pic:blipFill>
                  <pic:spPr bwMode="auto">
                    <a:xfrm>
                      <a:off x="0" y="0"/>
                      <a:ext cx="4028264" cy="1427058"/>
                    </a:xfrm>
                    <a:prstGeom prst="rect">
                      <a:avLst/>
                    </a:prstGeom>
                    <a:ln>
                      <a:noFill/>
                    </a:ln>
                    <a:extLst>
                      <a:ext uri="{53640926-AAD7-44D8-BBD7-CCE9431645EC}">
                        <a14:shadowObscured xmlns:a14="http://schemas.microsoft.com/office/drawing/2010/main"/>
                      </a:ext>
                    </a:extLst>
                  </pic:spPr>
                </pic:pic>
              </a:graphicData>
            </a:graphic>
          </wp:inline>
        </w:drawing>
      </w:r>
    </w:p>
    <w:p w:rsidR="00007A5A" w:rsidRDefault="00007A5A" w:rsidP="00007A5A">
      <w:r>
        <w:rPr>
          <w:rFonts w:hint="eastAsia"/>
        </w:rPr>
        <w:t>Figure</w:t>
      </w:r>
      <w:r>
        <w:t xml:space="preserve"> 1.2:</w:t>
      </w:r>
      <w:r>
        <w:rPr>
          <w:rFonts w:hint="eastAsia"/>
        </w:rPr>
        <w:t xml:space="preserve"> the </w:t>
      </w:r>
      <w:r>
        <w:t>religion</w:t>
      </w:r>
      <w:r>
        <w:rPr>
          <w:rFonts w:hint="eastAsia"/>
        </w:rPr>
        <w:t xml:space="preserve"> believes in RUSSIA 2018 </w:t>
      </w:r>
    </w:p>
    <w:p w:rsidR="00007A5A" w:rsidRDefault="00007A5A" w:rsidP="00007A5A"/>
    <w:p w:rsidR="00007A5A" w:rsidRDefault="00007A5A" w:rsidP="00007A5A">
      <w:r>
        <w:rPr>
          <w:rFonts w:hint="eastAsia"/>
        </w:rPr>
        <w:t xml:space="preserve">Based on those two chats, Russian market has a relatively </w:t>
      </w:r>
      <w:r>
        <w:t>homogenous</w:t>
      </w:r>
      <w:r>
        <w:rPr>
          <w:rFonts w:hint="eastAsia"/>
        </w:rPr>
        <w:t xml:space="preserve"> </w:t>
      </w:r>
      <w:r>
        <w:t>characteristic</w:t>
      </w:r>
      <w:r>
        <w:rPr>
          <w:rFonts w:hint="eastAsia"/>
        </w:rPr>
        <w:t xml:space="preserve">: the Russian population is combined Russian Orthodox with Russian ethnicity. Those two factors can be considered as the </w:t>
      </w:r>
      <w:r>
        <w:t>emphasized</w:t>
      </w:r>
      <w:r>
        <w:rPr>
          <w:rFonts w:hint="eastAsia"/>
        </w:rPr>
        <w:t xml:space="preserve"> points for TW.</w:t>
      </w:r>
      <w:r>
        <w:t xml:space="preserve"> The product strategy should be based on the religion believes and ethnicity, to meet those needs would be essential to decide a product strategy. The core product, beer, remains unchanged (because it requires extra </w:t>
      </w:r>
      <w:r>
        <w:lastRenderedPageBreak/>
        <w:t xml:space="preserve">research and development fee to develop a new product). However, the product strategy should be combined with the package strategy. The meaningful package, printed religion figure on it, would be highly attractive for those religion believers </w:t>
      </w:r>
      <w:r w:rsidRPr="00FC12A4">
        <w:t>(Callaway, 2019)</w:t>
      </w:r>
      <w:r>
        <w:t xml:space="preserve">. For those non-believers, some religion figures would be reckoned as a “cool” and “fashion” figure </w:t>
      </w:r>
      <w:r w:rsidRPr="00FC12A4">
        <w:t>(Callaway, 2019)</w:t>
      </w:r>
      <w:r>
        <w:t xml:space="preserve">. Therefore, a recognisable figure representing by orthodox cross (figure 1.1) should be printed on TW’s beer exporting to Russia. </w:t>
      </w:r>
    </w:p>
    <w:p w:rsidR="00007A5A" w:rsidRDefault="00007A5A" w:rsidP="00007A5A"/>
    <w:p w:rsidR="00007A5A" w:rsidRDefault="00007A5A" w:rsidP="00007A5A">
      <w:r>
        <w:rPr>
          <w:noProof/>
          <w:lang w:val="en-US"/>
        </w:rPr>
        <w:drawing>
          <wp:inline distT="0" distB="0" distL="0" distR="0" wp14:anchorId="7A5B42EB" wp14:editId="1A233985">
            <wp:extent cx="991404" cy="13049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99632" cy="1315756"/>
                    </a:xfrm>
                    <a:prstGeom prst="rect">
                      <a:avLst/>
                    </a:prstGeom>
                  </pic:spPr>
                </pic:pic>
              </a:graphicData>
            </a:graphic>
          </wp:inline>
        </w:drawing>
      </w:r>
    </w:p>
    <w:p w:rsidR="00007A5A" w:rsidRDefault="00007A5A" w:rsidP="00007A5A">
      <w:r>
        <w:t>Figure 1.3: Russia orthodox cross</w:t>
      </w:r>
    </w:p>
    <w:p w:rsidR="00023F92" w:rsidRPr="00A43C3C" w:rsidRDefault="00023F92" w:rsidP="00007A5A"/>
    <w:p w:rsidR="00007A5A" w:rsidRDefault="00023F92" w:rsidP="0055510D">
      <w:pPr>
        <w:pStyle w:val="1"/>
      </w:pPr>
      <w:bookmarkStart w:id="3" w:name="_Toc7971949"/>
      <w:r>
        <w:t xml:space="preserve">1.2 </w:t>
      </w:r>
      <w:r w:rsidR="00007A5A">
        <w:t>Promotion</w:t>
      </w:r>
      <w:bookmarkEnd w:id="3"/>
    </w:p>
    <w:p w:rsidR="00007A5A" w:rsidRDefault="00007A5A" w:rsidP="00007A5A">
      <w:r>
        <w:t>The advertisements broadcasting is under a strict control imposed by Russian semi-planned economy. The illegal promotion strategy may increase the likelihood that TW be expropriated by RUSSIA government. Therefore, to carry out a promotion mode, the research of political environment is needed. The</w:t>
      </w:r>
      <w:r>
        <w:rPr>
          <w:rFonts w:hint="eastAsia"/>
        </w:rPr>
        <w:t xml:space="preserve"> political structure in Russia differs from other democratic regimes sharply. President</w:t>
      </w:r>
      <w:r>
        <w:t>’</w:t>
      </w:r>
      <w:r>
        <w:rPr>
          <w:rFonts w:hint="eastAsia"/>
        </w:rPr>
        <w:t xml:space="preserve">s </w:t>
      </w:r>
      <w:r w:rsidRPr="005D70D5">
        <w:rPr>
          <w:rFonts w:hint="eastAsia"/>
        </w:rPr>
        <w:t xml:space="preserve">power with system of civil law are forming a semi-presidential federation is </w:t>
      </w:r>
      <w:r w:rsidRPr="005D70D5">
        <w:t xml:space="preserve">Russia </w:t>
      </w:r>
      <w:r w:rsidRPr="005D70D5">
        <w:rPr>
          <w:rFonts w:hint="eastAsia"/>
        </w:rPr>
        <w:t xml:space="preserve">area </w:t>
      </w:r>
      <w:r w:rsidRPr="005D70D5">
        <w:t>(</w:t>
      </w:r>
      <w:proofErr w:type="spellStart"/>
      <w:r w:rsidRPr="005D70D5">
        <w:t>Gorenburg</w:t>
      </w:r>
      <w:proofErr w:type="spellEnd"/>
      <w:r w:rsidRPr="005D70D5">
        <w:t>, 2013)</w:t>
      </w:r>
      <w:r w:rsidRPr="005D70D5">
        <w:rPr>
          <w:rFonts w:hint="eastAsia"/>
        </w:rPr>
        <w:t>.</w:t>
      </w:r>
      <w:r>
        <w:rPr>
          <w:rFonts w:hint="eastAsia"/>
        </w:rPr>
        <w:t xml:space="preserve"> To consider the business </w:t>
      </w:r>
      <w:r>
        <w:t>environment</w:t>
      </w:r>
      <w:r>
        <w:rPr>
          <w:rFonts w:hint="eastAsia"/>
        </w:rPr>
        <w:t xml:space="preserve"> in </w:t>
      </w:r>
      <w:r>
        <w:t>legislation</w:t>
      </w:r>
      <w:r>
        <w:rPr>
          <w:rFonts w:hint="eastAsia"/>
        </w:rPr>
        <w:t xml:space="preserve"> perspective, the legislative branch (bicameral assembly or </w:t>
      </w:r>
      <w:r>
        <w:t>parliament</w:t>
      </w:r>
      <w:r>
        <w:rPr>
          <w:rFonts w:hint="eastAsia"/>
        </w:rPr>
        <w:t xml:space="preserve">) has </w:t>
      </w:r>
      <w:r>
        <w:t>decisive</w:t>
      </w:r>
      <w:r>
        <w:rPr>
          <w:rFonts w:hint="eastAsia"/>
        </w:rPr>
        <w:t xml:space="preserve"> power in a policy-making process </w:t>
      </w:r>
      <w:r w:rsidRPr="005D70D5">
        <w:t>(</w:t>
      </w:r>
      <w:proofErr w:type="spellStart"/>
      <w:r w:rsidRPr="005D70D5">
        <w:t>Gorenburg</w:t>
      </w:r>
      <w:proofErr w:type="spellEnd"/>
      <w:r w:rsidRPr="005D70D5">
        <w:t>, 2013)</w:t>
      </w:r>
      <w:r w:rsidRPr="005D70D5">
        <w:rPr>
          <w:rFonts w:hint="eastAsia"/>
        </w:rPr>
        <w:t>.</w:t>
      </w:r>
    </w:p>
    <w:p w:rsidR="00007A5A" w:rsidRDefault="00007A5A" w:rsidP="00007A5A"/>
    <w:p w:rsidR="00007A5A" w:rsidRDefault="00007A5A" w:rsidP="00007A5A">
      <w:r>
        <w:lastRenderedPageBreak/>
        <w:t xml:space="preserve">The guidance of advertisement in Russia is based on the fourth set in of Russian law stressing that the advertisement should be strictly banned when it contains misleading and false </w:t>
      </w:r>
      <w:r w:rsidRPr="00F57E73">
        <w:t>(</w:t>
      </w:r>
      <w:proofErr w:type="spellStart"/>
      <w:r w:rsidRPr="00F57E73">
        <w:t>Yarnykh</w:t>
      </w:r>
      <w:proofErr w:type="spellEnd"/>
      <w:r w:rsidRPr="00F57E73">
        <w:t>, 2019)</w:t>
      </w:r>
      <w:r>
        <w:t>.</w:t>
      </w:r>
    </w:p>
    <w:p w:rsidR="00007A5A" w:rsidRPr="00F57E73" w:rsidRDefault="00007A5A" w:rsidP="00007A5A">
      <w:pPr>
        <w:pStyle w:val="a3"/>
        <w:numPr>
          <w:ilvl w:val="0"/>
          <w:numId w:val="2"/>
        </w:numPr>
        <w:rPr>
          <w:i/>
        </w:rPr>
      </w:pPr>
      <w:r>
        <w:t>“</w:t>
      </w:r>
      <w:r>
        <w:rPr>
          <w:i/>
        </w:rPr>
        <w:t>C</w:t>
      </w:r>
      <w:r w:rsidRPr="00F57E73">
        <w:rPr>
          <w:i/>
        </w:rPr>
        <w:t>ontains incorrect comparison of the advertised goods with other goods in circulation produced by other manufactures and sold by other sellers;</w:t>
      </w:r>
      <w:r w:rsidRPr="00F57E73">
        <w:rPr>
          <w:i/>
        </w:rPr>
        <w:cr/>
      </w:r>
    </w:p>
    <w:p w:rsidR="00007A5A" w:rsidRPr="00F57E73" w:rsidRDefault="00007A5A" w:rsidP="00007A5A">
      <w:pPr>
        <w:pStyle w:val="a3"/>
        <w:numPr>
          <w:ilvl w:val="0"/>
          <w:numId w:val="2"/>
        </w:numPr>
        <w:rPr>
          <w:i/>
        </w:rPr>
      </w:pPr>
      <w:r>
        <w:rPr>
          <w:i/>
        </w:rPr>
        <w:t>D</w:t>
      </w:r>
      <w:r w:rsidRPr="00F57E73">
        <w:rPr>
          <w:i/>
        </w:rPr>
        <w:t>enigrates the honour, dignity and business reputation of other persons;</w:t>
      </w:r>
      <w:r w:rsidRPr="00F57E73">
        <w:rPr>
          <w:i/>
        </w:rPr>
        <w:cr/>
      </w:r>
    </w:p>
    <w:p w:rsidR="00007A5A" w:rsidRDefault="00007A5A" w:rsidP="00007A5A">
      <w:pPr>
        <w:pStyle w:val="a3"/>
        <w:numPr>
          <w:ilvl w:val="0"/>
          <w:numId w:val="2"/>
        </w:numPr>
      </w:pPr>
      <w:r w:rsidRPr="00F57E73">
        <w:rPr>
          <w:i/>
        </w:rPr>
        <w:t>Advertises goods that are prohibited from being advertised if it is done in the likeness of the advertising of other goods whose trademark is identical or confusingly similar; or constitutes an act of unfair competition</w:t>
      </w:r>
      <w:r w:rsidRPr="00F57E73">
        <w:rPr>
          <w:rFonts w:cs="Arial"/>
          <w:color w:val="000000"/>
          <w:sz w:val="20"/>
          <w:szCs w:val="20"/>
          <w:shd w:val="clear" w:color="auto" w:fill="FFFFFF"/>
        </w:rPr>
        <w:t xml:space="preserve"> </w:t>
      </w:r>
      <w:r w:rsidRPr="00F57E73">
        <w:t>(</w:t>
      </w:r>
      <w:proofErr w:type="spellStart"/>
      <w:r w:rsidRPr="00F57E73">
        <w:t>Yarnykh</w:t>
      </w:r>
      <w:proofErr w:type="spellEnd"/>
      <w:r w:rsidRPr="00F57E73">
        <w:t>, 2019)</w:t>
      </w:r>
      <w:r>
        <w:t>”</w:t>
      </w:r>
      <w:r w:rsidRPr="00D65D43">
        <w:t>.</w:t>
      </w:r>
      <w:r w:rsidRPr="00D65D43">
        <w:cr/>
      </w:r>
    </w:p>
    <w:p w:rsidR="00007A5A" w:rsidRDefault="00007A5A" w:rsidP="00007A5A">
      <w:r>
        <w:t>Therefore, by taking those regulations into account, the promotion strategy should strictly follow the rule of game in Russia. The advertisement broadcasting should not contain any extravagated content.</w:t>
      </w:r>
    </w:p>
    <w:p w:rsidR="00023F92" w:rsidRPr="00ED15D3" w:rsidRDefault="00023F92" w:rsidP="00007A5A"/>
    <w:p w:rsidR="00007A5A" w:rsidRDefault="00007A5A" w:rsidP="00007A5A">
      <w:pPr>
        <w:pStyle w:val="1"/>
      </w:pPr>
      <w:bookmarkStart w:id="4" w:name="_Toc7971950"/>
      <w:r>
        <w:t>1.3 Place</w:t>
      </w:r>
      <w:bookmarkEnd w:id="4"/>
    </w:p>
    <w:p w:rsidR="00007A5A" w:rsidRDefault="00007A5A" w:rsidP="00007A5A">
      <w:r>
        <w:t>Due to budget limitation, TW cannot directly export its product to all districts in RUSSIA. Volga FD, Central FD and Southern FD are the top-three districts of the beer consumptions. TW only needs to rent a storage in the suburb area in Moscow to post its products to those three FDs (rent fee for a storage is cheap in suburb area is Moscow). To minimise the distribution and delivery fee, TW can corporate with Russian Post which is the cheapest carrier in those three districts.</w:t>
      </w:r>
    </w:p>
    <w:p w:rsidR="00007A5A" w:rsidRDefault="00007A5A" w:rsidP="00007A5A"/>
    <w:p w:rsidR="00007A5A" w:rsidRDefault="00007A5A" w:rsidP="00007A5A">
      <w:r>
        <w:t xml:space="preserve">However, the developed technology of e-commerce and other related technology would be the main stream in retailing </w:t>
      </w:r>
      <w:r w:rsidRPr="008E47BB">
        <w:t>sector (Ecommerce News, 2019).</w:t>
      </w:r>
      <w:r>
        <w:rPr>
          <w:rFonts w:cs="Arial"/>
          <w:color w:val="000000"/>
          <w:sz w:val="20"/>
          <w:szCs w:val="20"/>
          <w:shd w:val="clear" w:color="auto" w:fill="FFFFFF"/>
        </w:rPr>
        <w:t xml:space="preserve"> </w:t>
      </w:r>
      <w:r>
        <w:t>Following</w:t>
      </w:r>
      <w:r>
        <w:rPr>
          <w:rFonts w:hint="eastAsia"/>
        </w:rPr>
        <w:t xml:space="preserve"> the logic above, the e-commerce and telecommunication </w:t>
      </w:r>
      <w:r>
        <w:rPr>
          <w:rFonts w:hint="eastAsia"/>
        </w:rPr>
        <w:lastRenderedPageBreak/>
        <w:t xml:space="preserve">technology are the most important factors in </w:t>
      </w:r>
      <w:r>
        <w:t>technological</w:t>
      </w:r>
      <w:r>
        <w:rPr>
          <w:rFonts w:hint="eastAsia"/>
        </w:rPr>
        <w:t xml:space="preserve"> aspect for TW. In 2015, 73.4% </w:t>
      </w:r>
      <w:r>
        <w:t>population</w:t>
      </w:r>
      <w:r>
        <w:rPr>
          <w:rFonts w:hint="eastAsia"/>
        </w:rPr>
        <w:t xml:space="preserve"> in Russia is capable to assess </w:t>
      </w:r>
      <w:r w:rsidRPr="008E47BB">
        <w:rPr>
          <w:rFonts w:hint="eastAsia"/>
        </w:rPr>
        <w:t xml:space="preserve">internet </w:t>
      </w:r>
      <w:r w:rsidRPr="008E47BB">
        <w:t>(Ecommerce News, 2019</w:t>
      </w:r>
      <w:r>
        <w:rPr>
          <w:rFonts w:cs="Arial"/>
          <w:color w:val="000000"/>
          <w:sz w:val="20"/>
          <w:szCs w:val="20"/>
          <w:shd w:val="clear" w:color="auto" w:fill="FFFFFF"/>
        </w:rPr>
        <w:t>)</w:t>
      </w:r>
      <w:r>
        <w:rPr>
          <w:rFonts w:hint="eastAsia"/>
        </w:rPr>
        <w:t xml:space="preserve">. The information technology has been </w:t>
      </w:r>
      <w:r>
        <w:t xml:space="preserve">mainly </w:t>
      </w:r>
      <w:r>
        <w:rPr>
          <w:rFonts w:hint="eastAsia"/>
        </w:rPr>
        <w:t xml:space="preserve">developed in Russian market. This means TWB is capable to develop their business in form of online </w:t>
      </w:r>
      <w:r>
        <w:t>store.</w:t>
      </w:r>
    </w:p>
    <w:p w:rsidR="00007A5A" w:rsidRPr="00284F3E" w:rsidRDefault="00007A5A" w:rsidP="00007A5A"/>
    <w:p w:rsidR="00007A5A" w:rsidRDefault="00007A5A" w:rsidP="00007A5A">
      <w:r>
        <w:rPr>
          <w:noProof/>
          <w:lang w:val="en-US"/>
        </w:rPr>
        <w:drawing>
          <wp:inline distT="0" distB="0" distL="0" distR="0" wp14:anchorId="54625871" wp14:editId="5BE7B892">
            <wp:extent cx="3295650" cy="1716484"/>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03277" cy="1720456"/>
                    </a:xfrm>
                    <a:prstGeom prst="rect">
                      <a:avLst/>
                    </a:prstGeom>
                  </pic:spPr>
                </pic:pic>
              </a:graphicData>
            </a:graphic>
          </wp:inline>
        </w:drawing>
      </w:r>
    </w:p>
    <w:p w:rsidR="00007A5A" w:rsidRDefault="00007A5A" w:rsidP="00007A5A">
      <w:r>
        <w:t xml:space="preserve">Figure 1.4 Russian governance and its </w:t>
      </w:r>
      <w:r w:rsidRPr="00A91CEC">
        <w:t>districts (Russian Federation, 2016)</w:t>
      </w:r>
    </w:p>
    <w:p w:rsidR="00007A5A" w:rsidRDefault="00007A5A" w:rsidP="00007A5A"/>
    <w:p w:rsidR="00007A5A" w:rsidRDefault="00007A5A" w:rsidP="00007A5A">
      <w:r>
        <w:rPr>
          <w:noProof/>
          <w:lang w:val="en-US"/>
        </w:rPr>
        <w:drawing>
          <wp:inline distT="0" distB="0" distL="0" distR="0" wp14:anchorId="63A0AADA" wp14:editId="25C76A07">
            <wp:extent cx="2943225" cy="1712112"/>
            <wp:effectExtent l="0" t="0" r="0" b="254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54587" cy="1718722"/>
                    </a:xfrm>
                    <a:prstGeom prst="rect">
                      <a:avLst/>
                    </a:prstGeom>
                  </pic:spPr>
                </pic:pic>
              </a:graphicData>
            </a:graphic>
          </wp:inline>
        </w:drawing>
      </w:r>
    </w:p>
    <w:p w:rsidR="00007A5A" w:rsidRDefault="00007A5A" w:rsidP="00007A5A">
      <w:r>
        <w:t xml:space="preserve">Figure 1.5 the beer consumption in different districts </w:t>
      </w:r>
      <w:r w:rsidRPr="00A91CEC">
        <w:t>(Russian Federation, 2016)</w:t>
      </w:r>
    </w:p>
    <w:p w:rsidR="00007A5A" w:rsidRDefault="00007A5A" w:rsidP="00007A5A">
      <w:r>
        <w:t xml:space="preserve"> </w:t>
      </w:r>
    </w:p>
    <w:p w:rsidR="00007A5A" w:rsidRDefault="00007A5A" w:rsidP="00007A5A">
      <w:r>
        <w:t>Hence, to enter into Russia market, TW does not need to find a retail seller. The online store combined with a delivery company would be a suitable combination in e-</w:t>
      </w:r>
      <w:r w:rsidRPr="00A91CEC">
        <w:t>commerce era (Russian Federation, 2016).</w:t>
      </w:r>
      <w:r>
        <w:t xml:space="preserve"> </w:t>
      </w:r>
    </w:p>
    <w:p w:rsidR="00023F92" w:rsidRPr="00ED15D3" w:rsidRDefault="00023F92" w:rsidP="00007A5A"/>
    <w:p w:rsidR="00007A5A" w:rsidRDefault="00007A5A" w:rsidP="00007A5A">
      <w:pPr>
        <w:pStyle w:val="1"/>
      </w:pPr>
      <w:bookmarkStart w:id="5" w:name="_Toc7971951"/>
      <w:r>
        <w:t>1.4 Process management</w:t>
      </w:r>
      <w:bookmarkEnd w:id="5"/>
      <w:r>
        <w:t xml:space="preserve"> </w:t>
      </w:r>
    </w:p>
    <w:p w:rsidR="00007A5A" w:rsidRDefault="00007A5A" w:rsidP="00007A5A">
      <w:r>
        <w:t xml:space="preserve">As an indirect exporting in manufacturing sector, the process management is not the issue that needs to be considered seriously. The concept of process </w:t>
      </w:r>
      <w:r>
        <w:lastRenderedPageBreak/>
        <w:t xml:space="preserve">management is widely adapted in service industry. As an international company, to ensure the same service applied to all customers in the world would be vital ( ). However, TW has to consider its product’s quality changes before the international transportation and after the international transportation.  Hence, the logistics and shipping method have to be emphasised in the process management issues. </w:t>
      </w:r>
    </w:p>
    <w:p w:rsidR="00007A5A" w:rsidRDefault="00007A5A" w:rsidP="00007A5A"/>
    <w:p w:rsidR="00007A5A" w:rsidRDefault="00007A5A" w:rsidP="00007A5A">
      <w:r>
        <w:t xml:space="preserve">The only issue in process management for TW is the product transportation. To grant the beer’s tastes and quality, the cold chain logistics ought to be chosen by TW. As a major player of cold chain logistics in Russia, </w:t>
      </w:r>
      <w:proofErr w:type="spellStart"/>
      <w:r>
        <w:t>Pharma</w:t>
      </w:r>
      <w:proofErr w:type="spellEnd"/>
      <w:r>
        <w:t xml:space="preserve"> presents a good offer to liquid transportation through international cargo </w:t>
      </w:r>
      <w:r w:rsidRPr="00160F65">
        <w:t>(</w:t>
      </w:r>
      <w:proofErr w:type="spellStart"/>
      <w:r w:rsidRPr="00160F65">
        <w:t>Pharma</w:t>
      </w:r>
      <w:proofErr w:type="spellEnd"/>
      <w:r w:rsidRPr="00160F65">
        <w:t>, 2019)</w:t>
      </w:r>
      <w:r>
        <w:t xml:space="preserve">. </w:t>
      </w:r>
      <w:proofErr w:type="spellStart"/>
      <w:r>
        <w:t>Pharma</w:t>
      </w:r>
      <w:proofErr w:type="spellEnd"/>
      <w:r>
        <w:t xml:space="preserve"> also offers a good price when an international company purchases the combination of international shipping and Russian inbound distribution</w:t>
      </w:r>
      <w:r w:rsidRPr="00160F65">
        <w:t xml:space="preserve"> (</w:t>
      </w:r>
      <w:proofErr w:type="spellStart"/>
      <w:r w:rsidRPr="00160F65">
        <w:t>Pharma</w:t>
      </w:r>
      <w:proofErr w:type="spellEnd"/>
      <w:r w:rsidRPr="00160F65">
        <w:t>, 2019)</w:t>
      </w:r>
      <w:r>
        <w:t xml:space="preserve">.  </w:t>
      </w:r>
    </w:p>
    <w:p w:rsidR="00007A5A" w:rsidRPr="00E154D1" w:rsidRDefault="00007A5A" w:rsidP="00007A5A"/>
    <w:p w:rsidR="00007A5A" w:rsidRDefault="00007A5A" w:rsidP="00007A5A">
      <w:pPr>
        <w:pStyle w:val="1"/>
      </w:pPr>
      <w:bookmarkStart w:id="6" w:name="_Toc7971952"/>
      <w:r>
        <w:t>1.5 People</w:t>
      </w:r>
      <w:bookmarkEnd w:id="6"/>
      <w:r>
        <w:t xml:space="preserve"> </w:t>
      </w:r>
    </w:p>
    <w:p w:rsidR="00007A5A" w:rsidRDefault="00007A5A" w:rsidP="00007A5A">
      <w:r>
        <w:t xml:space="preserve">People factor, as a critical factor in marketing mix, is implementing the service in an international </w:t>
      </w:r>
      <w:r w:rsidRPr="005D70D5">
        <w:t>market (Pulido Polo, 2018).</w:t>
      </w:r>
      <w:r>
        <w:t xml:space="preserve"> However, people are also an important factor in manufacturing sectors. TW, as a beer manufacturer, has to consider its craftsmanship in manufacturing process in an international market. </w:t>
      </w:r>
    </w:p>
    <w:p w:rsidR="00007A5A" w:rsidRDefault="00007A5A" w:rsidP="00007A5A"/>
    <w:p w:rsidR="00007A5A" w:rsidRDefault="00007A5A" w:rsidP="00007A5A">
      <w:r>
        <w:t xml:space="preserve"> The volume of production has to be inclined due to the increased demands from an international market. </w:t>
      </w:r>
    </w:p>
    <w:p w:rsidR="00007A5A" w:rsidRDefault="00007A5A" w:rsidP="00007A5A"/>
    <w:p w:rsidR="00007A5A" w:rsidRDefault="00007A5A" w:rsidP="00007A5A">
      <w:r>
        <w:rPr>
          <w:noProof/>
          <w:lang w:val="en-US"/>
        </w:rPr>
        <w:lastRenderedPageBreak/>
        <w:drawing>
          <wp:inline distT="0" distB="0" distL="0" distR="0" wp14:anchorId="6E3B598B" wp14:editId="75E722E1">
            <wp:extent cx="2809875" cy="1583124"/>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38997" cy="1599532"/>
                    </a:xfrm>
                    <a:prstGeom prst="rect">
                      <a:avLst/>
                    </a:prstGeom>
                  </pic:spPr>
                </pic:pic>
              </a:graphicData>
            </a:graphic>
          </wp:inline>
        </w:drawing>
      </w:r>
    </w:p>
    <w:p w:rsidR="00007A5A" w:rsidRDefault="00007A5A" w:rsidP="00007A5A">
      <w:r>
        <w:t xml:space="preserve">Figure 1.6: Porter diamond mode </w:t>
      </w:r>
      <w:r w:rsidRPr="007B3955">
        <w:t>(Porter, 2019)</w:t>
      </w:r>
    </w:p>
    <w:p w:rsidR="00007A5A" w:rsidRDefault="00007A5A" w:rsidP="00007A5A"/>
    <w:p w:rsidR="00007A5A" w:rsidRDefault="00007A5A" w:rsidP="00007A5A">
      <w:r>
        <w:t xml:space="preserve">Porter’s diamond mode is trying to transfer the local advantages to the international advantages by developing the core </w:t>
      </w:r>
      <w:r w:rsidRPr="007B3955">
        <w:t>competencies (Porter, 2019).</w:t>
      </w:r>
      <w:r>
        <w:t xml:space="preserve"> Regardless other factors, the craftsmanship within the demand conditions would be an important factor for TW. Therefore, the people factor within the marketing-mix would be critical in terms of the supplies of beer from Wales to Russia. It is certainly that the general demands will increase to enter a new market. Therefore, it may require more workload and more production from TW’s factories in Wales. To sustain a good taste and quality control, the income and motivation should be inclined accordingly by considering the higher volume of product comparing with the production volume before entering Russia market. </w:t>
      </w:r>
    </w:p>
    <w:p w:rsidR="00007A5A" w:rsidRPr="000A2C4E" w:rsidRDefault="00007A5A" w:rsidP="00007A5A"/>
    <w:p w:rsidR="00007A5A" w:rsidRDefault="00007A5A" w:rsidP="00007A5A">
      <w:pPr>
        <w:pStyle w:val="1"/>
      </w:pPr>
      <w:bookmarkStart w:id="7" w:name="_Toc7971953"/>
      <w:r>
        <w:t>1.6 Physical evidence</w:t>
      </w:r>
      <w:bookmarkEnd w:id="7"/>
      <w:r>
        <w:t xml:space="preserve"> </w:t>
      </w:r>
    </w:p>
    <w:p w:rsidR="00007A5A" w:rsidRPr="00F4574D" w:rsidRDefault="00007A5A" w:rsidP="00007A5A">
      <w:pPr>
        <w:rPr>
          <w:rFonts w:ascii="Verdana" w:hAnsi="Verdana"/>
          <w:color w:val="333333"/>
          <w:sz w:val="23"/>
          <w:szCs w:val="23"/>
          <w:shd w:val="clear" w:color="auto" w:fill="FFFFFF"/>
        </w:rPr>
      </w:pPr>
      <w:r>
        <w:t>The definition of physical evidence is relevant to the promotion strategy. This physical evidence would be an extension of the previously proposed promotion strategy. Generally, physical evidence, as an idea from service industry, is a convert mechanism from intangible services to tangible feelings or effects</w:t>
      </w:r>
      <w:r w:rsidRPr="008E47BB">
        <w:t xml:space="preserve"> (The Marketing Mix, 2019).</w:t>
      </w:r>
      <w:r>
        <w:t xml:space="preserve">  </w:t>
      </w:r>
      <w:r>
        <w:rPr>
          <w:shd w:val="clear" w:color="auto" w:fill="FFFFFF"/>
        </w:rPr>
        <w:t xml:space="preserve">Most customers’ decision-making process to buy a product is highly depending on the physical cues to support them examine the product before the purchase. </w:t>
      </w:r>
    </w:p>
    <w:p w:rsidR="00007A5A" w:rsidRDefault="00007A5A" w:rsidP="00007A5A"/>
    <w:p w:rsidR="00007A5A" w:rsidRDefault="00007A5A" w:rsidP="00007A5A">
      <w:r>
        <w:t xml:space="preserve">For TW’s circumstances, the tastes of beer and quality would be two essential points to affect customer’s decision to buy its product. The physical evidence </w:t>
      </w:r>
      <w:r>
        <w:lastRenderedPageBreak/>
        <w:t xml:space="preserve">can be shown in the TV advertisement broadcasting which can present an advertising video to the public. This advertising video has to contain the several critical points in physical evidence perspective: good tastes, good quality and reasonable price. </w:t>
      </w:r>
    </w:p>
    <w:p w:rsidR="00007A5A" w:rsidRDefault="00007A5A" w:rsidP="00007A5A"/>
    <w:p w:rsidR="00007A5A" w:rsidRDefault="00007A5A" w:rsidP="00007A5A">
      <w:r>
        <w:t xml:space="preserve">The general guidance for TW’s TV advertisement video is that “a Russian man drinks TW’s beer, and he is very pleasure for drinking it. Then, he keeps drinking and drinking.” During the advertisement broadcasting, the TW’s slogan can be presented accordingly to emphasis the taste of beers which is authentic Walsh taste. </w:t>
      </w:r>
    </w:p>
    <w:p w:rsidR="00007A5A" w:rsidRPr="0038367D" w:rsidRDefault="00007A5A" w:rsidP="00007A5A"/>
    <w:p w:rsidR="00007A5A" w:rsidRPr="003B4078" w:rsidRDefault="00007A5A" w:rsidP="00007A5A">
      <w:pPr>
        <w:pStyle w:val="1"/>
      </w:pPr>
      <w:bookmarkStart w:id="8" w:name="_Toc7971954"/>
      <w:r>
        <w:t>1.7 Price</w:t>
      </w:r>
      <w:bookmarkEnd w:id="8"/>
      <w:r>
        <w:t xml:space="preserve"> </w:t>
      </w:r>
    </w:p>
    <w:p w:rsidR="00007A5A" w:rsidRDefault="00007A5A" w:rsidP="00007A5A">
      <w:r>
        <w:t xml:space="preserve">Within the generic strategy matrix, the low price strategy can be chosen by TW as a market penetration strategy. </w:t>
      </w:r>
      <w:r>
        <w:rPr>
          <w:rFonts w:hint="eastAsia"/>
        </w:rPr>
        <w:t xml:space="preserve">TW offers beers product </w:t>
      </w:r>
      <w:r>
        <w:t>principally</w:t>
      </w:r>
      <w:r>
        <w:rPr>
          <w:rFonts w:hint="eastAsia"/>
        </w:rPr>
        <w:t xml:space="preserve"> for their exporting products. There </w:t>
      </w:r>
      <w:r>
        <w:t>is a generic strategy</w:t>
      </w:r>
      <w:r>
        <w:rPr>
          <w:rFonts w:hint="eastAsia"/>
        </w:rPr>
        <w:t xml:space="preserve"> in marketing </w:t>
      </w:r>
      <w:r>
        <w:t>strategy</w:t>
      </w:r>
      <w:r>
        <w:rPr>
          <w:rFonts w:hint="eastAsia"/>
        </w:rPr>
        <w:t xml:space="preserve"> in two dimensions (strategic advantage and strategic target). </w:t>
      </w:r>
      <w:r>
        <w:t>C</w:t>
      </w:r>
      <w:r>
        <w:rPr>
          <w:rFonts w:hint="eastAsia"/>
        </w:rPr>
        <w:t>onsidering the TW</w:t>
      </w:r>
      <w:r>
        <w:t>’</w:t>
      </w:r>
      <w:r>
        <w:rPr>
          <w:rFonts w:hint="eastAsia"/>
        </w:rPr>
        <w:t xml:space="preserve">s product and the </w:t>
      </w:r>
      <w:r>
        <w:t>local competitors</w:t>
      </w:r>
      <w:r>
        <w:rPr>
          <w:rFonts w:hint="eastAsia"/>
        </w:rPr>
        <w:t xml:space="preserve"> in Russia, the low cost position and </w:t>
      </w:r>
      <w:proofErr w:type="spellStart"/>
      <w:r>
        <w:rPr>
          <w:rFonts w:hint="eastAsia"/>
        </w:rPr>
        <w:t>industrywide</w:t>
      </w:r>
      <w:proofErr w:type="spellEnd"/>
      <w:r>
        <w:rPr>
          <w:rFonts w:hint="eastAsia"/>
        </w:rPr>
        <w:t xml:space="preserve"> have to be tackled.  </w:t>
      </w:r>
      <w:r>
        <w:t xml:space="preserve">The definition of market penetration shows that to compete with the local competitors, the low price strategy can be selected to penetrate a </w:t>
      </w:r>
      <w:r w:rsidRPr="00FE567E">
        <w:t>foreign market (Prasad, 1997). However</w:t>
      </w:r>
      <w:r>
        <w:t xml:space="preserve">, considering the tariff and trade policies, the low price strategy may be forbidden due to anti-dumping </w:t>
      </w:r>
      <w:r w:rsidRPr="00FE567E">
        <w:t>policies (</w:t>
      </w:r>
      <w:proofErr w:type="spellStart"/>
      <w:r w:rsidRPr="00FE567E">
        <w:t>Kugler</w:t>
      </w:r>
      <w:proofErr w:type="spellEnd"/>
      <w:r w:rsidRPr="00FE567E">
        <w:t>, 2018).</w:t>
      </w:r>
      <w:r>
        <w:rPr>
          <w:rFonts w:cs="Arial"/>
          <w:color w:val="000000"/>
          <w:sz w:val="20"/>
          <w:szCs w:val="20"/>
          <w:shd w:val="clear" w:color="auto" w:fill="FFFFFF"/>
        </w:rPr>
        <w:t xml:space="preserve"> </w:t>
      </w:r>
    </w:p>
    <w:p w:rsidR="00007A5A" w:rsidRDefault="00007A5A" w:rsidP="00007A5A">
      <w:r>
        <w:rPr>
          <w:noProof/>
          <w:lang w:val="en-US"/>
        </w:rPr>
        <w:lastRenderedPageBreak/>
        <w:drawing>
          <wp:anchor distT="0" distB="0" distL="114300" distR="114300" simplePos="0" relativeHeight="251659264" behindDoc="0" locked="0" layoutInCell="1" allowOverlap="1" wp14:anchorId="02347581" wp14:editId="318C84D8">
            <wp:simplePos x="1143000" y="6824663"/>
            <wp:positionH relativeFrom="margin">
              <wp:align>left</wp:align>
            </wp:positionH>
            <wp:positionV relativeFrom="paragraph">
              <wp:align>top</wp:align>
            </wp:positionV>
            <wp:extent cx="3200400" cy="2048510"/>
            <wp:effectExtent l="0" t="0" r="0" b="8890"/>
            <wp:wrapSquare wrapText="bothSides"/>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207790" cy="2053400"/>
                    </a:xfrm>
                    <a:prstGeom prst="rect">
                      <a:avLst/>
                    </a:prstGeom>
                  </pic:spPr>
                </pic:pic>
              </a:graphicData>
            </a:graphic>
            <wp14:sizeRelH relativeFrom="margin">
              <wp14:pctWidth>0</wp14:pctWidth>
            </wp14:sizeRelH>
            <wp14:sizeRelV relativeFrom="margin">
              <wp14:pctHeight>0</wp14:pctHeight>
            </wp14:sizeRelV>
          </wp:anchor>
        </w:drawing>
      </w:r>
      <w:r>
        <w:br w:type="textWrapping" w:clear="all"/>
      </w:r>
    </w:p>
    <w:p w:rsidR="00007A5A" w:rsidRDefault="00007A5A" w:rsidP="00007A5A">
      <w:r>
        <w:t>Table 1.2:</w:t>
      </w:r>
      <w:r>
        <w:rPr>
          <w:rFonts w:hint="eastAsia"/>
        </w:rPr>
        <w:t xml:space="preserve"> </w:t>
      </w:r>
      <w:r>
        <w:t>G</w:t>
      </w:r>
      <w:r>
        <w:rPr>
          <w:rFonts w:hint="eastAsia"/>
        </w:rPr>
        <w:t xml:space="preserve">eneric strategy </w:t>
      </w:r>
      <w:r>
        <w:t xml:space="preserve">matrix table </w:t>
      </w:r>
    </w:p>
    <w:p w:rsidR="00007A5A" w:rsidRDefault="00007A5A" w:rsidP="00007A5A"/>
    <w:p w:rsidR="00007A5A" w:rsidRDefault="00007A5A" w:rsidP="00007A5A">
      <w:r>
        <w:t>But, the pricing strategy has to follow the economic trend in Russia. The</w:t>
      </w:r>
      <w:r>
        <w:rPr>
          <w:rFonts w:hint="eastAsia"/>
        </w:rPr>
        <w:t xml:space="preserve"> economic changes are currently happening in Russia, this changes </w:t>
      </w:r>
      <w:r>
        <w:t>occurred</w:t>
      </w:r>
      <w:r>
        <w:rPr>
          <w:rFonts w:hint="eastAsia"/>
        </w:rPr>
        <w:t xml:space="preserve"> </w:t>
      </w:r>
      <w:r>
        <w:t>because</w:t>
      </w:r>
      <w:r>
        <w:rPr>
          <w:rFonts w:hint="eastAsia"/>
        </w:rPr>
        <w:t xml:space="preserve"> the switched ideology from the Soviet Union (planned economy) to a relatively free </w:t>
      </w:r>
      <w:r w:rsidRPr="00F65161">
        <w:rPr>
          <w:rFonts w:hint="eastAsia"/>
        </w:rPr>
        <w:t xml:space="preserve">economy </w:t>
      </w:r>
      <w:r w:rsidRPr="00F65161">
        <w:t>(FPRI, 2019).</w:t>
      </w:r>
    </w:p>
    <w:p w:rsidR="00007A5A" w:rsidRDefault="00007A5A" w:rsidP="00007A5A"/>
    <w:p w:rsidR="00007A5A" w:rsidRDefault="00007A5A" w:rsidP="00007A5A">
      <w:r>
        <w:rPr>
          <w:noProof/>
          <w:lang w:val="en-US"/>
        </w:rPr>
        <w:drawing>
          <wp:inline distT="0" distB="0" distL="0" distR="0" wp14:anchorId="76D12809" wp14:editId="50F9E2BF">
            <wp:extent cx="2047875" cy="1553006"/>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1385" t="4471" r="10307" b="4690"/>
                    <a:stretch/>
                  </pic:blipFill>
                  <pic:spPr bwMode="auto">
                    <a:xfrm>
                      <a:off x="0" y="0"/>
                      <a:ext cx="2064601" cy="1565691"/>
                    </a:xfrm>
                    <a:prstGeom prst="rect">
                      <a:avLst/>
                    </a:prstGeom>
                    <a:ln>
                      <a:noFill/>
                    </a:ln>
                    <a:extLst>
                      <a:ext uri="{53640926-AAD7-44D8-BBD7-CCE9431645EC}">
                        <a14:shadowObscured xmlns:a14="http://schemas.microsoft.com/office/drawing/2010/main"/>
                      </a:ext>
                    </a:extLst>
                  </pic:spPr>
                </pic:pic>
              </a:graphicData>
            </a:graphic>
          </wp:inline>
        </w:drawing>
      </w:r>
    </w:p>
    <w:p w:rsidR="00007A5A" w:rsidRDefault="00007A5A" w:rsidP="00007A5A">
      <w:r>
        <w:t>F</w:t>
      </w:r>
      <w:r>
        <w:rPr>
          <w:rFonts w:hint="eastAsia"/>
        </w:rPr>
        <w:t>igure</w:t>
      </w:r>
      <w:r>
        <w:t xml:space="preserve"> 1.3:</w:t>
      </w:r>
      <w:r>
        <w:rPr>
          <w:rFonts w:hint="eastAsia"/>
        </w:rPr>
        <w:t xml:space="preserve"> the GDP composition in Russia in 2018</w:t>
      </w:r>
      <w:r w:rsidRPr="0015763D">
        <w:rPr>
          <w:rFonts w:hint="eastAsia"/>
        </w:rPr>
        <w:t xml:space="preserve"> </w:t>
      </w:r>
      <w:r w:rsidRPr="0015763D">
        <w:t>(Russian Federation, 2016)</w:t>
      </w:r>
    </w:p>
    <w:p w:rsidR="00007A5A" w:rsidRDefault="00007A5A" w:rsidP="00007A5A"/>
    <w:p w:rsidR="00007A5A" w:rsidRDefault="00007A5A" w:rsidP="00007A5A">
      <w:r>
        <w:rPr>
          <w:noProof/>
          <w:lang w:val="en-US"/>
        </w:rPr>
        <w:drawing>
          <wp:inline distT="0" distB="0" distL="0" distR="0" wp14:anchorId="1D7C8E6F" wp14:editId="4E70F205">
            <wp:extent cx="2628900" cy="1085821"/>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t="18944"/>
                    <a:stretch/>
                  </pic:blipFill>
                  <pic:spPr bwMode="auto">
                    <a:xfrm>
                      <a:off x="0" y="0"/>
                      <a:ext cx="2657601" cy="1097676"/>
                    </a:xfrm>
                    <a:prstGeom prst="rect">
                      <a:avLst/>
                    </a:prstGeom>
                    <a:ln>
                      <a:noFill/>
                    </a:ln>
                    <a:extLst>
                      <a:ext uri="{53640926-AAD7-44D8-BBD7-CCE9431645EC}">
                        <a14:shadowObscured xmlns:a14="http://schemas.microsoft.com/office/drawing/2010/main"/>
                      </a:ext>
                    </a:extLst>
                  </pic:spPr>
                </pic:pic>
              </a:graphicData>
            </a:graphic>
          </wp:inline>
        </w:drawing>
      </w:r>
      <w:r>
        <w:rPr>
          <w:rFonts w:hint="eastAsia"/>
        </w:rPr>
        <w:t xml:space="preserve"> </w:t>
      </w:r>
    </w:p>
    <w:p w:rsidR="00007A5A" w:rsidRDefault="00007A5A" w:rsidP="00007A5A">
      <w:r>
        <w:t>F</w:t>
      </w:r>
      <w:r>
        <w:rPr>
          <w:rFonts w:hint="eastAsia"/>
        </w:rPr>
        <w:t>igure</w:t>
      </w:r>
      <w:r>
        <w:t xml:space="preserve"> 1.4:</w:t>
      </w:r>
      <w:r>
        <w:rPr>
          <w:rFonts w:hint="eastAsia"/>
        </w:rPr>
        <w:t xml:space="preserve"> </w:t>
      </w:r>
      <w:r w:rsidRPr="00A91CEC">
        <w:t>Russian</w:t>
      </w:r>
      <w:r>
        <w:rPr>
          <w:rFonts w:hint="eastAsia"/>
        </w:rPr>
        <w:t xml:space="preserve"> GDP growth from 2011 to 2014</w:t>
      </w:r>
      <w:r>
        <w:t xml:space="preserve"> </w:t>
      </w:r>
      <w:r w:rsidRPr="00A91CEC">
        <w:t>(Russian Federation, 2016)</w:t>
      </w:r>
    </w:p>
    <w:p w:rsidR="00007A5A" w:rsidRDefault="00007A5A" w:rsidP="00007A5A"/>
    <w:p w:rsidR="00007A5A" w:rsidRDefault="00007A5A" w:rsidP="00007A5A">
      <w:pPr>
        <w:rPr>
          <w:rFonts w:cs="Arial"/>
          <w:color w:val="222222"/>
          <w:shd w:val="clear" w:color="auto" w:fill="FFFFFF"/>
        </w:rPr>
      </w:pPr>
      <w:r w:rsidRPr="0015763D">
        <w:lastRenderedPageBreak/>
        <w:t xml:space="preserve">By acknowledging the price elasticity and the effect income elasticity of demand, beer is a normal goods (income increases demand increases and vice versa) </w:t>
      </w:r>
      <w:r w:rsidRPr="00FE567E">
        <w:t>(</w:t>
      </w:r>
      <w:proofErr w:type="spellStart"/>
      <w:r w:rsidRPr="00FE567E">
        <w:t>Rassenfosse</w:t>
      </w:r>
      <w:proofErr w:type="spellEnd"/>
      <w:r w:rsidRPr="00FE567E">
        <w:t xml:space="preserve"> and </w:t>
      </w:r>
      <w:proofErr w:type="spellStart"/>
      <w:r w:rsidRPr="00FE567E">
        <w:t>Potterie</w:t>
      </w:r>
      <w:proofErr w:type="spellEnd"/>
      <w:r w:rsidRPr="00FE567E">
        <w:t>, 2011).</w:t>
      </w:r>
      <w:r>
        <w:rPr>
          <w:rFonts w:cs="Arial"/>
          <w:color w:val="222222"/>
          <w:shd w:val="clear" w:color="auto" w:fill="FFFFFF"/>
        </w:rPr>
        <w:t xml:space="preserve"> Therefore, Russia is in its economic downturn, beer with low price will present a more attractive option for consumers. The top 3 brands of beer in Russia are following: </w:t>
      </w:r>
      <w:proofErr w:type="spellStart"/>
      <w:r w:rsidRPr="0038367D">
        <w:rPr>
          <w:rFonts w:cs="Arial"/>
          <w:color w:val="222222"/>
          <w:shd w:val="clear" w:color="auto" w:fill="FFFFFF"/>
        </w:rPr>
        <w:t>Baltika</w:t>
      </w:r>
      <w:proofErr w:type="spellEnd"/>
      <w:r w:rsidRPr="0038367D">
        <w:rPr>
          <w:rFonts w:cs="Arial"/>
          <w:color w:val="222222"/>
          <w:shd w:val="clear" w:color="auto" w:fill="FFFFFF"/>
        </w:rPr>
        <w:t xml:space="preserve"> </w:t>
      </w:r>
      <w:proofErr w:type="spellStart"/>
      <w:r>
        <w:rPr>
          <w:rFonts w:cs="Arial"/>
          <w:color w:val="222222"/>
          <w:shd w:val="clear" w:color="auto" w:fill="FFFFFF"/>
        </w:rPr>
        <w:t>Bochkarev</w:t>
      </w:r>
      <w:proofErr w:type="spellEnd"/>
      <w:r>
        <w:rPr>
          <w:rFonts w:cs="Arial"/>
          <w:color w:val="222222"/>
          <w:shd w:val="clear" w:color="auto" w:fill="FFFFFF"/>
        </w:rPr>
        <w:t xml:space="preserve">, </w:t>
      </w:r>
      <w:proofErr w:type="spellStart"/>
      <w:r w:rsidRPr="0038367D">
        <w:rPr>
          <w:rFonts w:cs="Arial"/>
          <w:color w:val="222222"/>
          <w:shd w:val="clear" w:color="auto" w:fill="FFFFFF"/>
        </w:rPr>
        <w:t>Krepkoe</w:t>
      </w:r>
      <w:proofErr w:type="spellEnd"/>
      <w:r w:rsidRPr="0038367D">
        <w:rPr>
          <w:rFonts w:cs="Arial"/>
          <w:color w:val="222222"/>
          <w:shd w:val="clear" w:color="auto" w:fill="FFFFFF"/>
        </w:rPr>
        <w:t xml:space="preserve"> </w:t>
      </w:r>
      <w:proofErr w:type="spellStart"/>
      <w:r>
        <w:rPr>
          <w:rFonts w:cs="Arial"/>
          <w:color w:val="222222"/>
          <w:shd w:val="clear" w:color="auto" w:fill="FFFFFF"/>
        </w:rPr>
        <w:t>Efes</w:t>
      </w:r>
      <w:proofErr w:type="spellEnd"/>
      <w:r>
        <w:rPr>
          <w:rFonts w:cs="Arial"/>
          <w:color w:val="222222"/>
          <w:shd w:val="clear" w:color="auto" w:fill="FFFFFF"/>
        </w:rPr>
        <w:t xml:space="preserve">, </w:t>
      </w:r>
      <w:proofErr w:type="spellStart"/>
      <w:r w:rsidRPr="0038367D">
        <w:rPr>
          <w:rFonts w:cs="Arial"/>
          <w:color w:val="222222"/>
          <w:shd w:val="clear" w:color="auto" w:fill="FFFFFF"/>
        </w:rPr>
        <w:t>Stary</w:t>
      </w:r>
      <w:proofErr w:type="spellEnd"/>
      <w:r w:rsidRPr="0038367D">
        <w:rPr>
          <w:rFonts w:cs="Arial"/>
          <w:color w:val="222222"/>
          <w:shd w:val="clear" w:color="auto" w:fill="FFFFFF"/>
        </w:rPr>
        <w:t xml:space="preserve"> </w:t>
      </w:r>
      <w:proofErr w:type="spellStart"/>
      <w:r w:rsidRPr="0038367D">
        <w:t>Melink</w:t>
      </w:r>
      <w:proofErr w:type="spellEnd"/>
      <w:r w:rsidRPr="0038367D">
        <w:t xml:space="preserve"> (Ranker, 2019).</w:t>
      </w:r>
      <w:r>
        <w:rPr>
          <w:rFonts w:cs="Arial"/>
          <w:color w:val="222222"/>
          <w:shd w:val="clear" w:color="auto" w:fill="FFFFFF"/>
        </w:rPr>
        <w:t xml:space="preserve"> </w:t>
      </w:r>
    </w:p>
    <w:p w:rsidR="00007A5A" w:rsidRDefault="00007A5A" w:rsidP="00007A5A"/>
    <w:tbl>
      <w:tblPr>
        <w:tblStyle w:val="a4"/>
        <w:tblW w:w="0" w:type="auto"/>
        <w:tblLook w:val="04A0" w:firstRow="1" w:lastRow="0" w:firstColumn="1" w:lastColumn="0" w:noHBand="0" w:noVBand="1"/>
      </w:tblPr>
      <w:tblGrid>
        <w:gridCol w:w="4161"/>
        <w:gridCol w:w="4135"/>
      </w:tblGrid>
      <w:tr w:rsidR="00007A5A" w:rsidTr="00DA3C3B">
        <w:tc>
          <w:tcPr>
            <w:tcW w:w="4315" w:type="dxa"/>
          </w:tcPr>
          <w:p w:rsidR="00007A5A" w:rsidRDefault="00007A5A" w:rsidP="00DA3C3B">
            <w:r>
              <w:t>Brand</w:t>
            </w:r>
          </w:p>
        </w:tc>
        <w:tc>
          <w:tcPr>
            <w:tcW w:w="4315" w:type="dxa"/>
          </w:tcPr>
          <w:p w:rsidR="00007A5A" w:rsidRDefault="00007A5A" w:rsidP="00DA3C3B">
            <w:r>
              <w:t>Price/ Litre</w:t>
            </w:r>
          </w:p>
        </w:tc>
      </w:tr>
      <w:tr w:rsidR="00007A5A" w:rsidTr="00DA3C3B">
        <w:tc>
          <w:tcPr>
            <w:tcW w:w="4315" w:type="dxa"/>
          </w:tcPr>
          <w:p w:rsidR="00007A5A" w:rsidRDefault="00007A5A" w:rsidP="00DA3C3B">
            <w:proofErr w:type="spellStart"/>
            <w:r w:rsidRPr="0038367D">
              <w:rPr>
                <w:rFonts w:cs="Arial"/>
                <w:color w:val="222222"/>
                <w:shd w:val="clear" w:color="auto" w:fill="FFFFFF"/>
              </w:rPr>
              <w:t>Baltika</w:t>
            </w:r>
            <w:proofErr w:type="spellEnd"/>
          </w:p>
        </w:tc>
        <w:tc>
          <w:tcPr>
            <w:tcW w:w="4315" w:type="dxa"/>
          </w:tcPr>
          <w:p w:rsidR="00007A5A" w:rsidRDefault="00007A5A" w:rsidP="00DA3C3B">
            <w:r>
              <w:t>2,48 € / Litre</w:t>
            </w:r>
          </w:p>
        </w:tc>
      </w:tr>
      <w:tr w:rsidR="00007A5A" w:rsidTr="00DA3C3B">
        <w:tc>
          <w:tcPr>
            <w:tcW w:w="4315" w:type="dxa"/>
          </w:tcPr>
          <w:p w:rsidR="00007A5A" w:rsidRDefault="00007A5A" w:rsidP="00DA3C3B">
            <w:proofErr w:type="spellStart"/>
            <w:r w:rsidRPr="0038367D">
              <w:rPr>
                <w:rFonts w:cs="Arial"/>
                <w:color w:val="222222"/>
                <w:shd w:val="clear" w:color="auto" w:fill="FFFFFF"/>
              </w:rPr>
              <w:t>Bochkarev</w:t>
            </w:r>
            <w:proofErr w:type="spellEnd"/>
            <w:r w:rsidRPr="0038367D">
              <w:rPr>
                <w:rFonts w:cs="Arial"/>
                <w:color w:val="222222"/>
                <w:shd w:val="clear" w:color="auto" w:fill="FFFFFF"/>
              </w:rPr>
              <w:t xml:space="preserve"> </w:t>
            </w:r>
            <w:proofErr w:type="spellStart"/>
            <w:r w:rsidRPr="0038367D">
              <w:rPr>
                <w:rFonts w:cs="Arial"/>
                <w:color w:val="222222"/>
                <w:shd w:val="clear" w:color="auto" w:fill="FFFFFF"/>
              </w:rPr>
              <w:t>Krepkoe</w:t>
            </w:r>
            <w:proofErr w:type="spellEnd"/>
          </w:p>
        </w:tc>
        <w:tc>
          <w:tcPr>
            <w:tcW w:w="4315" w:type="dxa"/>
          </w:tcPr>
          <w:p w:rsidR="00007A5A" w:rsidRDefault="00007A5A" w:rsidP="00DA3C3B">
            <w:r>
              <w:t>3,47 € / Litre</w:t>
            </w:r>
          </w:p>
        </w:tc>
      </w:tr>
      <w:tr w:rsidR="00007A5A" w:rsidTr="00DA3C3B">
        <w:tc>
          <w:tcPr>
            <w:tcW w:w="4315" w:type="dxa"/>
          </w:tcPr>
          <w:p w:rsidR="00007A5A" w:rsidRDefault="00007A5A" w:rsidP="00DA3C3B">
            <w:proofErr w:type="spellStart"/>
            <w:r w:rsidRPr="0038367D">
              <w:rPr>
                <w:rFonts w:cs="Arial"/>
                <w:color w:val="222222"/>
                <w:shd w:val="clear" w:color="auto" w:fill="FFFFFF"/>
              </w:rPr>
              <w:t>Efes</w:t>
            </w:r>
            <w:proofErr w:type="spellEnd"/>
            <w:r w:rsidRPr="0038367D">
              <w:rPr>
                <w:rFonts w:cs="Arial"/>
                <w:color w:val="222222"/>
                <w:shd w:val="clear" w:color="auto" w:fill="FFFFFF"/>
              </w:rPr>
              <w:t xml:space="preserve"> </w:t>
            </w:r>
            <w:proofErr w:type="spellStart"/>
            <w:r w:rsidRPr="0038367D">
              <w:rPr>
                <w:rFonts w:cs="Arial"/>
                <w:color w:val="222222"/>
                <w:shd w:val="clear" w:color="auto" w:fill="FFFFFF"/>
              </w:rPr>
              <w:t>Stary</w:t>
            </w:r>
            <w:proofErr w:type="spellEnd"/>
            <w:r w:rsidRPr="0038367D">
              <w:rPr>
                <w:rFonts w:cs="Arial"/>
                <w:color w:val="222222"/>
                <w:shd w:val="clear" w:color="auto" w:fill="FFFFFF"/>
              </w:rPr>
              <w:t xml:space="preserve"> </w:t>
            </w:r>
            <w:proofErr w:type="spellStart"/>
            <w:r w:rsidRPr="0038367D">
              <w:rPr>
                <w:rFonts w:cs="Arial"/>
                <w:color w:val="222222"/>
                <w:shd w:val="clear" w:color="auto" w:fill="FFFFFF"/>
              </w:rPr>
              <w:t>Melink</w:t>
            </w:r>
            <w:proofErr w:type="spellEnd"/>
          </w:p>
        </w:tc>
        <w:tc>
          <w:tcPr>
            <w:tcW w:w="4315" w:type="dxa"/>
          </w:tcPr>
          <w:p w:rsidR="00007A5A" w:rsidRDefault="00007A5A" w:rsidP="00DA3C3B">
            <w:r>
              <w:t>4,48 € / Litre</w:t>
            </w:r>
          </w:p>
        </w:tc>
      </w:tr>
    </w:tbl>
    <w:p w:rsidR="00007A5A" w:rsidRDefault="00007A5A" w:rsidP="00007A5A"/>
    <w:p w:rsidR="00007A5A" w:rsidRDefault="00007A5A" w:rsidP="00007A5A">
      <w:r>
        <w:t xml:space="preserve">The pricing strategy adapted by TW would be the lowest among those three. TW may offer 2, 39 € / Litre in the Russian market by direct exporting. </w:t>
      </w:r>
    </w:p>
    <w:p w:rsidR="00007A5A" w:rsidRDefault="00007A5A" w:rsidP="00007A5A"/>
    <w:p w:rsidR="00007A5A" w:rsidRDefault="00007A5A" w:rsidP="00007A5A">
      <w:pPr>
        <w:pStyle w:val="1"/>
      </w:pPr>
      <w:bookmarkStart w:id="9" w:name="_Toc7971955"/>
      <w:r>
        <w:t>1.8 Agent’s responsibility and duty</w:t>
      </w:r>
      <w:bookmarkEnd w:id="9"/>
      <w:r>
        <w:t xml:space="preserve"> </w:t>
      </w:r>
    </w:p>
    <w:p w:rsidR="00007A5A" w:rsidRDefault="00007A5A" w:rsidP="00007A5A">
      <w:r>
        <w:t>The products provided to the agents from TW are standardised. Agent’s responsibilities are roughly focusing on sales. A</w:t>
      </w:r>
      <w:r>
        <w:rPr>
          <w:rFonts w:hint="eastAsia"/>
        </w:rPr>
        <w:t>t</w:t>
      </w:r>
      <w:r>
        <w:t xml:space="preserve"> first, TW will offer 2, 39 € / Litre in the Russian market by direct exporting. TW will set a sales target to its agent, one million euro for example. TW also can require to have some promotions provided by its agent or distributors in Russia.</w:t>
      </w:r>
    </w:p>
    <w:p w:rsidR="00007A5A" w:rsidRDefault="00007A5A" w:rsidP="00007A5A"/>
    <w:p w:rsidR="00007A5A" w:rsidRDefault="00007A5A" w:rsidP="00007A5A"/>
    <w:p w:rsidR="008A1B9B" w:rsidRDefault="008A1B9B" w:rsidP="00007A5A"/>
    <w:p w:rsidR="008A1B9B" w:rsidRDefault="008A1B9B" w:rsidP="00007A5A"/>
    <w:p w:rsidR="0073105D" w:rsidRDefault="0073105D" w:rsidP="00007A5A"/>
    <w:p w:rsidR="008A1B9B" w:rsidRDefault="008A1B9B" w:rsidP="00007A5A"/>
    <w:p w:rsidR="008A1B9B" w:rsidRDefault="008A1B9B" w:rsidP="00007A5A"/>
    <w:p w:rsidR="008A1B9B" w:rsidRDefault="008A1B9B" w:rsidP="00007A5A"/>
    <w:p w:rsidR="008A1B9B" w:rsidRDefault="008A1B9B" w:rsidP="00007A5A"/>
    <w:p w:rsidR="00007A5A" w:rsidRDefault="00007A5A" w:rsidP="00007A5A">
      <w:pPr>
        <w:pStyle w:val="1"/>
      </w:pPr>
      <w:bookmarkStart w:id="10" w:name="_Toc7971956"/>
      <w:r>
        <w:t>Conclusion</w:t>
      </w:r>
      <w:bookmarkEnd w:id="10"/>
      <w:r>
        <w:t xml:space="preserve"> </w:t>
      </w:r>
    </w:p>
    <w:p w:rsidR="00007A5A" w:rsidRDefault="00007A5A" w:rsidP="00007A5A">
      <w:r>
        <w:t>In general, the market entry method for TW is the direct exporting which will maximise the profitability in Russia market. Product standardisation will be selected to enter into this market. In addition, a suitable marketing mix has been provided to suggest that the Russia market is profitable for the direct exporting from TW.</w:t>
      </w:r>
    </w:p>
    <w:p w:rsidR="00007A5A" w:rsidRDefault="00007A5A" w:rsidP="00007A5A"/>
    <w:p w:rsidR="00007A5A" w:rsidRDefault="00007A5A"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8A1B9B" w:rsidRDefault="008A1B9B" w:rsidP="00007A5A"/>
    <w:p w:rsidR="00007A5A" w:rsidRPr="00DC668B" w:rsidRDefault="00007A5A" w:rsidP="00007A5A">
      <w:pPr>
        <w:rPr>
          <w:b/>
        </w:rPr>
      </w:pPr>
      <w:r w:rsidRPr="00C4392B">
        <w:rPr>
          <w:b/>
        </w:rPr>
        <w:t xml:space="preserve">Reference </w:t>
      </w:r>
    </w:p>
    <w:p w:rsidR="00007A5A" w:rsidRPr="00DC668B" w:rsidRDefault="00007A5A" w:rsidP="00007A5A">
      <w:pPr>
        <w:rPr>
          <w:rFonts w:cs="Arial"/>
          <w:color w:val="000000"/>
          <w:szCs w:val="20"/>
          <w:shd w:val="clear" w:color="auto" w:fill="FFFFFF"/>
        </w:rPr>
      </w:pPr>
      <w:proofErr w:type="spellStart"/>
      <w:r w:rsidRPr="00DC668B">
        <w:rPr>
          <w:rFonts w:cs="Arial"/>
          <w:color w:val="000000"/>
          <w:szCs w:val="20"/>
          <w:shd w:val="clear" w:color="auto" w:fill="FFFFFF"/>
        </w:rPr>
        <w:t>Bhander</w:t>
      </w:r>
      <w:proofErr w:type="spellEnd"/>
      <w:r w:rsidRPr="00DC668B">
        <w:rPr>
          <w:rFonts w:cs="Arial"/>
          <w:color w:val="000000"/>
          <w:szCs w:val="20"/>
          <w:shd w:val="clear" w:color="auto" w:fill="FFFFFF"/>
        </w:rPr>
        <w:t xml:space="preserve">, G., </w:t>
      </w:r>
      <w:proofErr w:type="spellStart"/>
      <w:r w:rsidRPr="00DC668B">
        <w:rPr>
          <w:rFonts w:cs="Arial"/>
          <w:color w:val="000000"/>
          <w:szCs w:val="20"/>
          <w:shd w:val="clear" w:color="auto" w:fill="FFFFFF"/>
        </w:rPr>
        <w:t>Hauschild</w:t>
      </w:r>
      <w:proofErr w:type="spellEnd"/>
      <w:r w:rsidRPr="00DC668B">
        <w:rPr>
          <w:rFonts w:cs="Arial"/>
          <w:color w:val="000000"/>
          <w:szCs w:val="20"/>
          <w:shd w:val="clear" w:color="auto" w:fill="FFFFFF"/>
        </w:rPr>
        <w:t xml:space="preserve">, M. and </w:t>
      </w:r>
      <w:proofErr w:type="spellStart"/>
      <w:r w:rsidRPr="00DC668B">
        <w:rPr>
          <w:rFonts w:cs="Arial"/>
          <w:color w:val="000000"/>
          <w:szCs w:val="20"/>
          <w:shd w:val="clear" w:color="auto" w:fill="FFFFFF"/>
        </w:rPr>
        <w:t>McAloone</w:t>
      </w:r>
      <w:proofErr w:type="spellEnd"/>
      <w:r w:rsidRPr="00DC668B">
        <w:rPr>
          <w:rFonts w:cs="Arial"/>
          <w:color w:val="000000"/>
          <w:szCs w:val="20"/>
          <w:shd w:val="clear" w:color="auto" w:fill="FFFFFF"/>
        </w:rPr>
        <w:t>, T. (2003). Implementing life cycle assessment in product development. </w:t>
      </w:r>
      <w:r w:rsidRPr="00DC668B">
        <w:rPr>
          <w:rFonts w:cs="Arial"/>
          <w:i/>
          <w:iCs/>
          <w:color w:val="000000"/>
          <w:szCs w:val="20"/>
          <w:shd w:val="clear" w:color="auto" w:fill="FFFFFF"/>
        </w:rPr>
        <w:t>Environmental Progress</w:t>
      </w:r>
      <w:r w:rsidRPr="00DC668B">
        <w:rPr>
          <w:rFonts w:cs="Arial"/>
          <w:color w:val="000000"/>
          <w:szCs w:val="20"/>
          <w:shd w:val="clear" w:color="auto" w:fill="FFFFFF"/>
        </w:rPr>
        <w:t>, 22(4), pp.255-267.</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r w:rsidRPr="00DC668B">
        <w:rPr>
          <w:rFonts w:cs="Arial"/>
          <w:color w:val="000000"/>
          <w:szCs w:val="20"/>
          <w:shd w:val="clear" w:color="auto" w:fill="FFFFFF"/>
        </w:rPr>
        <w:t xml:space="preserve">Blanton, R. and </w:t>
      </w:r>
      <w:proofErr w:type="spellStart"/>
      <w:r w:rsidRPr="00DC668B">
        <w:rPr>
          <w:rFonts w:cs="Arial"/>
          <w:color w:val="000000"/>
          <w:szCs w:val="20"/>
          <w:shd w:val="clear" w:color="auto" w:fill="FFFFFF"/>
        </w:rPr>
        <w:t>Peksen</w:t>
      </w:r>
      <w:proofErr w:type="spellEnd"/>
      <w:r w:rsidRPr="00DC668B">
        <w:rPr>
          <w:rFonts w:cs="Arial"/>
          <w:color w:val="000000"/>
          <w:szCs w:val="20"/>
          <w:shd w:val="clear" w:color="auto" w:fill="FFFFFF"/>
        </w:rPr>
        <w:t>, D. (2017). Dying for Globalization? The Impact of Economic Globalization on Industrial Accidents. </w:t>
      </w:r>
      <w:r w:rsidRPr="00DC668B">
        <w:rPr>
          <w:rFonts w:cs="Arial"/>
          <w:i/>
          <w:iCs/>
          <w:color w:val="000000"/>
          <w:szCs w:val="20"/>
          <w:shd w:val="clear" w:color="auto" w:fill="FFFFFF"/>
        </w:rPr>
        <w:t>Social Science Quarterly</w:t>
      </w:r>
      <w:r w:rsidRPr="00DC668B">
        <w:rPr>
          <w:rFonts w:cs="Arial"/>
          <w:color w:val="000000"/>
          <w:szCs w:val="20"/>
          <w:shd w:val="clear" w:color="auto" w:fill="FFFFFF"/>
        </w:rPr>
        <w:t>, 98(5), pp.1487-1502. [Accessed 8 Apr. 2019].</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r w:rsidRPr="00DC668B">
        <w:rPr>
          <w:rFonts w:cs="Arial"/>
          <w:color w:val="000000"/>
          <w:szCs w:val="20"/>
          <w:shd w:val="clear" w:color="auto" w:fill="FFFFFF"/>
        </w:rPr>
        <w:t>Callaway, E. (2019). </w:t>
      </w:r>
      <w:r w:rsidRPr="00DC668B">
        <w:rPr>
          <w:rFonts w:cs="Arial"/>
          <w:i/>
          <w:iCs/>
          <w:color w:val="000000"/>
          <w:szCs w:val="20"/>
          <w:shd w:val="clear" w:color="auto" w:fill="FFFFFF"/>
        </w:rPr>
        <w:t>Religion is a product of evolution, software suggests</w:t>
      </w:r>
      <w:r w:rsidRPr="00DC668B">
        <w:rPr>
          <w:rFonts w:cs="Arial"/>
          <w:color w:val="000000"/>
          <w:szCs w:val="20"/>
          <w:shd w:val="clear" w:color="auto" w:fill="FFFFFF"/>
        </w:rPr>
        <w:t>. [</w:t>
      </w:r>
      <w:proofErr w:type="gramStart"/>
      <w:r w:rsidRPr="00DC668B">
        <w:rPr>
          <w:rFonts w:cs="Arial"/>
          <w:color w:val="000000"/>
          <w:szCs w:val="20"/>
          <w:shd w:val="clear" w:color="auto" w:fill="FFFFFF"/>
        </w:rPr>
        <w:t>online</w:t>
      </w:r>
      <w:proofErr w:type="gramEnd"/>
      <w:r w:rsidRPr="00DC668B">
        <w:rPr>
          <w:rFonts w:cs="Arial"/>
          <w:color w:val="000000"/>
          <w:szCs w:val="20"/>
          <w:shd w:val="clear" w:color="auto" w:fill="FFFFFF"/>
        </w:rPr>
        <w:t>] New Scientist. Available at: https://www.newscientist.com/article/dn13983-religion-is-a-product-of-evolution-software-suggests/ [Accessed 8 Apr. 2019].</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proofErr w:type="spellStart"/>
      <w:r w:rsidRPr="00DC668B">
        <w:rPr>
          <w:rFonts w:cs="Arial"/>
          <w:color w:val="000000"/>
          <w:szCs w:val="20"/>
          <w:shd w:val="clear" w:color="auto" w:fill="FFFFFF"/>
        </w:rPr>
        <w:t>Cambell</w:t>
      </w:r>
      <w:proofErr w:type="spellEnd"/>
      <w:r w:rsidRPr="00DC668B">
        <w:rPr>
          <w:rFonts w:cs="Arial"/>
          <w:color w:val="000000"/>
          <w:szCs w:val="20"/>
          <w:shd w:val="clear" w:color="auto" w:fill="FFFFFF"/>
        </w:rPr>
        <w:t xml:space="preserve">, H. (1991). Class, Politics, and Popular Religion in Mexico and Central </w:t>
      </w:r>
      <w:proofErr w:type="spellStart"/>
      <w:r w:rsidRPr="00DC668B">
        <w:rPr>
          <w:rFonts w:cs="Arial"/>
          <w:color w:val="000000"/>
          <w:szCs w:val="20"/>
          <w:shd w:val="clear" w:color="auto" w:fill="FFFFFF"/>
        </w:rPr>
        <w:t>America</w:t>
      </w:r>
      <w:proofErr w:type="gramStart"/>
      <w:r w:rsidRPr="00DC668B">
        <w:rPr>
          <w:rFonts w:cs="Arial"/>
          <w:color w:val="000000"/>
          <w:szCs w:val="20"/>
          <w:shd w:val="clear" w:color="auto" w:fill="FFFFFF"/>
        </w:rPr>
        <w:t>:Class</w:t>
      </w:r>
      <w:proofErr w:type="spellEnd"/>
      <w:proofErr w:type="gramEnd"/>
      <w:r w:rsidRPr="00DC668B">
        <w:rPr>
          <w:rFonts w:cs="Arial"/>
          <w:color w:val="000000"/>
          <w:szCs w:val="20"/>
          <w:shd w:val="clear" w:color="auto" w:fill="FFFFFF"/>
        </w:rPr>
        <w:t>, Politics, and Popular Religion in Mexico and Central America. </w:t>
      </w:r>
      <w:r w:rsidRPr="00DC668B">
        <w:rPr>
          <w:rFonts w:cs="Arial"/>
          <w:i/>
          <w:iCs/>
          <w:color w:val="000000"/>
          <w:szCs w:val="20"/>
          <w:shd w:val="clear" w:color="auto" w:fill="FFFFFF"/>
        </w:rPr>
        <w:t>Latin American Anthropology Review</w:t>
      </w:r>
      <w:r w:rsidRPr="00DC668B">
        <w:rPr>
          <w:rFonts w:cs="Arial"/>
          <w:color w:val="000000"/>
          <w:szCs w:val="20"/>
          <w:shd w:val="clear" w:color="auto" w:fill="FFFFFF"/>
        </w:rPr>
        <w:t>, 3(1), pp.15-16.</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r w:rsidRPr="00DC668B">
        <w:rPr>
          <w:rFonts w:cs="Arial"/>
          <w:color w:val="000000"/>
          <w:szCs w:val="20"/>
          <w:shd w:val="clear" w:color="auto" w:fill="FFFFFF"/>
        </w:rPr>
        <w:t>Chen, Y. and Schwartz, M. (2013). Product Innovation Incentives: Monopoly vs. Competition. </w:t>
      </w:r>
      <w:r w:rsidRPr="00DC668B">
        <w:rPr>
          <w:rFonts w:cs="Arial"/>
          <w:i/>
          <w:iCs/>
          <w:color w:val="000000"/>
          <w:szCs w:val="20"/>
          <w:shd w:val="clear" w:color="auto" w:fill="FFFFFF"/>
        </w:rPr>
        <w:t>Journal of Economics &amp; Management Strategy</w:t>
      </w:r>
      <w:r w:rsidRPr="00DC668B">
        <w:rPr>
          <w:rFonts w:cs="Arial"/>
          <w:color w:val="000000"/>
          <w:szCs w:val="20"/>
          <w:shd w:val="clear" w:color="auto" w:fill="FFFFFF"/>
        </w:rPr>
        <w:t>, 22(3), pp.513-528.</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r w:rsidRPr="00DC668B">
        <w:rPr>
          <w:rFonts w:cs="Arial"/>
          <w:color w:val="000000"/>
          <w:szCs w:val="20"/>
          <w:shd w:val="clear" w:color="auto" w:fill="FFFFFF"/>
        </w:rPr>
        <w:t>FPRI (2019). </w:t>
      </w:r>
      <w:r w:rsidRPr="00DC668B">
        <w:rPr>
          <w:rFonts w:cs="Arial"/>
          <w:i/>
          <w:iCs/>
          <w:color w:val="000000"/>
          <w:szCs w:val="20"/>
          <w:shd w:val="clear" w:color="auto" w:fill="FFFFFF"/>
        </w:rPr>
        <w:t>The Russia Political Economy Project - FPRI</w:t>
      </w:r>
      <w:r w:rsidRPr="00DC668B">
        <w:rPr>
          <w:rFonts w:cs="Arial"/>
          <w:color w:val="000000"/>
          <w:szCs w:val="20"/>
          <w:shd w:val="clear" w:color="auto" w:fill="FFFFFF"/>
        </w:rPr>
        <w:t>. [</w:t>
      </w:r>
      <w:proofErr w:type="gramStart"/>
      <w:r w:rsidRPr="00DC668B">
        <w:rPr>
          <w:rFonts w:cs="Arial"/>
          <w:color w:val="000000"/>
          <w:szCs w:val="20"/>
          <w:shd w:val="clear" w:color="auto" w:fill="FFFFFF"/>
        </w:rPr>
        <w:t>online</w:t>
      </w:r>
      <w:proofErr w:type="gramEnd"/>
      <w:r w:rsidRPr="00DC668B">
        <w:rPr>
          <w:rFonts w:cs="Arial"/>
          <w:color w:val="000000"/>
          <w:szCs w:val="20"/>
          <w:shd w:val="clear" w:color="auto" w:fill="FFFFFF"/>
        </w:rPr>
        <w:t>] Foreign Policy Research Institute. Available at: https://www.fpri.org/research/eurasia/russia-political-economy/ [Accessed 1 May 2019].</w:t>
      </w:r>
    </w:p>
    <w:p w:rsidR="00007A5A" w:rsidRPr="00DC668B" w:rsidRDefault="00007A5A" w:rsidP="00007A5A">
      <w:pPr>
        <w:rPr>
          <w:sz w:val="32"/>
        </w:rPr>
      </w:pPr>
    </w:p>
    <w:p w:rsidR="00007A5A" w:rsidRDefault="00007A5A" w:rsidP="00007A5A">
      <w:pPr>
        <w:rPr>
          <w:rFonts w:cs="Arial"/>
          <w:color w:val="000000"/>
          <w:szCs w:val="20"/>
          <w:shd w:val="clear" w:color="auto" w:fill="FFFFFF"/>
        </w:rPr>
      </w:pPr>
      <w:proofErr w:type="spellStart"/>
      <w:r w:rsidRPr="00DC668B">
        <w:rPr>
          <w:rFonts w:cs="Arial"/>
          <w:color w:val="000000"/>
          <w:szCs w:val="20"/>
          <w:shd w:val="clear" w:color="auto" w:fill="FFFFFF"/>
        </w:rPr>
        <w:t>Gorenburg</w:t>
      </w:r>
      <w:proofErr w:type="spellEnd"/>
      <w:r w:rsidRPr="00DC668B">
        <w:rPr>
          <w:rFonts w:cs="Arial"/>
          <w:color w:val="000000"/>
          <w:szCs w:val="20"/>
          <w:shd w:val="clear" w:color="auto" w:fill="FFFFFF"/>
        </w:rPr>
        <w:t>, D. (2013). Civil Society in Russian Politics. </w:t>
      </w:r>
      <w:r w:rsidRPr="00DC668B">
        <w:rPr>
          <w:rFonts w:cs="Arial"/>
          <w:i/>
          <w:iCs/>
          <w:color w:val="000000"/>
          <w:szCs w:val="20"/>
          <w:shd w:val="clear" w:color="auto" w:fill="FFFFFF"/>
        </w:rPr>
        <w:t>Russian Politics &amp; Law</w:t>
      </w:r>
      <w:r w:rsidRPr="00DC668B">
        <w:rPr>
          <w:rFonts w:cs="Arial"/>
          <w:color w:val="000000"/>
          <w:szCs w:val="20"/>
          <w:shd w:val="clear" w:color="auto" w:fill="FFFFFF"/>
        </w:rPr>
        <w:t xml:space="preserve">, </w:t>
      </w:r>
    </w:p>
    <w:p w:rsidR="00007A5A" w:rsidRDefault="00007A5A" w:rsidP="00007A5A">
      <w:pPr>
        <w:rPr>
          <w:rFonts w:cs="Arial"/>
          <w:color w:val="000000"/>
          <w:szCs w:val="20"/>
          <w:shd w:val="clear" w:color="auto" w:fill="FFFFFF"/>
        </w:rPr>
      </w:pPr>
      <w:r w:rsidRPr="00DC668B">
        <w:rPr>
          <w:rFonts w:cs="Arial"/>
          <w:color w:val="000000"/>
          <w:szCs w:val="20"/>
          <w:shd w:val="clear" w:color="auto" w:fill="FFFFFF"/>
        </w:rPr>
        <w:t>51(2), pp.3-5.</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proofErr w:type="spellStart"/>
      <w:r w:rsidRPr="00DC668B">
        <w:rPr>
          <w:rFonts w:cs="Arial"/>
          <w:color w:val="000000"/>
          <w:szCs w:val="20"/>
          <w:shd w:val="clear" w:color="auto" w:fill="FFFFFF"/>
        </w:rPr>
        <w:t>Kokemuller</w:t>
      </w:r>
      <w:proofErr w:type="spellEnd"/>
      <w:r w:rsidRPr="00DC668B">
        <w:rPr>
          <w:rFonts w:cs="Arial"/>
          <w:color w:val="000000"/>
          <w:szCs w:val="20"/>
          <w:shd w:val="clear" w:color="auto" w:fill="FFFFFF"/>
        </w:rPr>
        <w:t>, N. (2018). </w:t>
      </w:r>
      <w:r w:rsidRPr="00DC668B">
        <w:rPr>
          <w:rFonts w:cs="Arial"/>
          <w:i/>
          <w:iCs/>
          <w:color w:val="000000"/>
          <w:szCs w:val="20"/>
          <w:shd w:val="clear" w:color="auto" w:fill="FFFFFF"/>
        </w:rPr>
        <w:t>Why Do Companies Go International</w:t>
      </w:r>
      <w:proofErr w:type="gramStart"/>
      <w:r w:rsidRPr="00DC668B">
        <w:rPr>
          <w:rFonts w:cs="Arial"/>
          <w:i/>
          <w:iCs/>
          <w:color w:val="000000"/>
          <w:szCs w:val="20"/>
          <w:shd w:val="clear" w:color="auto" w:fill="FFFFFF"/>
        </w:rPr>
        <w:t>?</w:t>
      </w:r>
      <w:r w:rsidRPr="00DC668B">
        <w:rPr>
          <w:rFonts w:cs="Arial"/>
          <w:color w:val="000000"/>
          <w:szCs w:val="20"/>
          <w:shd w:val="clear" w:color="auto" w:fill="FFFFFF"/>
        </w:rPr>
        <w:t>.</w:t>
      </w:r>
      <w:proofErr w:type="gramEnd"/>
      <w:r w:rsidRPr="00DC668B">
        <w:rPr>
          <w:rFonts w:cs="Arial"/>
          <w:color w:val="000000"/>
          <w:szCs w:val="20"/>
          <w:shd w:val="clear" w:color="auto" w:fill="FFFFFF"/>
        </w:rPr>
        <w:t xml:space="preserve"> [</w:t>
      </w:r>
      <w:proofErr w:type="gramStart"/>
      <w:r w:rsidRPr="00DC668B">
        <w:rPr>
          <w:rFonts w:cs="Arial"/>
          <w:color w:val="000000"/>
          <w:szCs w:val="20"/>
          <w:shd w:val="clear" w:color="auto" w:fill="FFFFFF"/>
        </w:rPr>
        <w:t>online</w:t>
      </w:r>
      <w:proofErr w:type="gramEnd"/>
      <w:r w:rsidRPr="00DC668B">
        <w:rPr>
          <w:rFonts w:cs="Arial"/>
          <w:color w:val="000000"/>
          <w:szCs w:val="20"/>
          <w:shd w:val="clear" w:color="auto" w:fill="FFFFFF"/>
        </w:rPr>
        <w:t xml:space="preserve">] </w:t>
      </w:r>
      <w:proofErr w:type="spellStart"/>
      <w:r w:rsidRPr="00DC668B">
        <w:rPr>
          <w:rFonts w:cs="Arial"/>
          <w:color w:val="000000"/>
          <w:szCs w:val="20"/>
          <w:shd w:val="clear" w:color="auto" w:fill="FFFFFF"/>
        </w:rPr>
        <w:t>Bizfluent</w:t>
      </w:r>
      <w:proofErr w:type="spellEnd"/>
      <w:r w:rsidRPr="00DC668B">
        <w:rPr>
          <w:rFonts w:cs="Arial"/>
          <w:color w:val="000000"/>
          <w:szCs w:val="20"/>
          <w:shd w:val="clear" w:color="auto" w:fill="FFFFFF"/>
        </w:rPr>
        <w:t>. Available at: https://bizfluent.com/facts-5256365-do-companies-go-international.html [Accessed 18 Apr. 2019].</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proofErr w:type="spellStart"/>
      <w:r w:rsidRPr="00DC668B">
        <w:rPr>
          <w:rFonts w:cs="Arial"/>
          <w:color w:val="000000"/>
          <w:szCs w:val="20"/>
          <w:shd w:val="clear" w:color="auto" w:fill="FFFFFF"/>
        </w:rPr>
        <w:t>Papanikolaou</w:t>
      </w:r>
      <w:proofErr w:type="spellEnd"/>
      <w:r w:rsidRPr="00DC668B">
        <w:rPr>
          <w:rFonts w:cs="Arial"/>
          <w:color w:val="000000"/>
          <w:szCs w:val="20"/>
          <w:shd w:val="clear" w:color="auto" w:fill="FFFFFF"/>
        </w:rPr>
        <w:t xml:space="preserve">, N. (2009). Market Structure, Screening Activity, and Bank Lending </w:t>
      </w:r>
      <w:proofErr w:type="spellStart"/>
      <w:r w:rsidRPr="00DC668B">
        <w:rPr>
          <w:rFonts w:cs="Arial"/>
          <w:color w:val="000000"/>
          <w:szCs w:val="20"/>
          <w:shd w:val="clear" w:color="auto" w:fill="FFFFFF"/>
        </w:rPr>
        <w:t>Behavior</w:t>
      </w:r>
      <w:proofErr w:type="spellEnd"/>
      <w:r w:rsidRPr="00DC668B">
        <w:rPr>
          <w:rFonts w:cs="Arial"/>
          <w:color w:val="000000"/>
          <w:szCs w:val="20"/>
          <w:shd w:val="clear" w:color="auto" w:fill="FFFFFF"/>
        </w:rPr>
        <w:t>. </w:t>
      </w:r>
      <w:r w:rsidRPr="00DC668B">
        <w:rPr>
          <w:rFonts w:cs="Arial"/>
          <w:i/>
          <w:iCs/>
          <w:color w:val="000000"/>
          <w:szCs w:val="20"/>
          <w:shd w:val="clear" w:color="auto" w:fill="FFFFFF"/>
        </w:rPr>
        <w:t>SSRN Electronic Journal</w:t>
      </w:r>
      <w:r w:rsidRPr="00DC668B">
        <w:rPr>
          <w:rFonts w:cs="Arial"/>
          <w:color w:val="000000"/>
          <w:szCs w:val="20"/>
          <w:shd w:val="clear" w:color="auto" w:fill="FFFFFF"/>
        </w:rPr>
        <w:t>.</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proofErr w:type="spellStart"/>
      <w:r w:rsidRPr="00DC668B">
        <w:rPr>
          <w:rFonts w:cs="Arial"/>
          <w:color w:val="000000"/>
          <w:szCs w:val="20"/>
          <w:shd w:val="clear" w:color="auto" w:fill="FFFFFF"/>
        </w:rPr>
        <w:t>Pharma</w:t>
      </w:r>
      <w:proofErr w:type="spellEnd"/>
      <w:r w:rsidRPr="00DC668B">
        <w:rPr>
          <w:rFonts w:cs="Arial"/>
          <w:color w:val="000000"/>
          <w:szCs w:val="20"/>
          <w:shd w:val="clear" w:color="auto" w:fill="FFFFFF"/>
        </w:rPr>
        <w:t xml:space="preserve"> (2019). </w:t>
      </w:r>
      <w:r w:rsidRPr="00DC668B">
        <w:rPr>
          <w:rFonts w:cs="Arial"/>
          <w:i/>
          <w:iCs/>
          <w:color w:val="000000"/>
          <w:szCs w:val="20"/>
          <w:shd w:val="clear" w:color="auto" w:fill="FFFFFF"/>
        </w:rPr>
        <w:t>IPL | PHARMA LOGISTICS</w:t>
      </w:r>
      <w:r w:rsidRPr="00DC668B">
        <w:rPr>
          <w:rFonts w:cs="Arial"/>
          <w:color w:val="000000"/>
          <w:szCs w:val="20"/>
          <w:shd w:val="clear" w:color="auto" w:fill="FFFFFF"/>
        </w:rPr>
        <w:t>. [</w:t>
      </w:r>
      <w:proofErr w:type="gramStart"/>
      <w:r w:rsidRPr="00DC668B">
        <w:rPr>
          <w:rFonts w:cs="Arial"/>
          <w:color w:val="000000"/>
          <w:szCs w:val="20"/>
          <w:shd w:val="clear" w:color="auto" w:fill="FFFFFF"/>
        </w:rPr>
        <w:t>online</w:t>
      </w:r>
      <w:proofErr w:type="gramEnd"/>
      <w:r w:rsidRPr="00DC668B">
        <w:rPr>
          <w:rFonts w:cs="Arial"/>
          <w:color w:val="000000"/>
          <w:szCs w:val="20"/>
          <w:shd w:val="clear" w:color="auto" w:fill="FFFFFF"/>
        </w:rPr>
        <w:t>] I-p-l.ru. Available at: http://www.i-p-l.ru/index-en.php [Accessed 18 Apr. 2019].</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r w:rsidRPr="00DC668B">
        <w:rPr>
          <w:rFonts w:cs="Arial"/>
          <w:color w:val="000000"/>
          <w:szCs w:val="20"/>
          <w:shd w:val="clear" w:color="auto" w:fill="FFFFFF"/>
        </w:rPr>
        <w:t>Porter, M. (2019). </w:t>
      </w:r>
      <w:r w:rsidRPr="00DC668B">
        <w:rPr>
          <w:rFonts w:cs="Arial"/>
          <w:i/>
          <w:iCs/>
          <w:color w:val="000000"/>
          <w:szCs w:val="20"/>
          <w:shd w:val="clear" w:color="auto" w:fill="FFFFFF"/>
        </w:rPr>
        <w:t xml:space="preserve">Porter Diamond Model, a great competitive advantage analysis | </w:t>
      </w:r>
      <w:proofErr w:type="spellStart"/>
      <w:r w:rsidRPr="00DC668B">
        <w:rPr>
          <w:rFonts w:cs="Arial"/>
          <w:i/>
          <w:iCs/>
          <w:color w:val="000000"/>
          <w:szCs w:val="20"/>
          <w:shd w:val="clear" w:color="auto" w:fill="FFFFFF"/>
        </w:rPr>
        <w:t>ToolsHero</w:t>
      </w:r>
      <w:proofErr w:type="spellEnd"/>
      <w:r w:rsidRPr="00DC668B">
        <w:rPr>
          <w:rFonts w:cs="Arial"/>
          <w:color w:val="000000"/>
          <w:szCs w:val="20"/>
          <w:shd w:val="clear" w:color="auto" w:fill="FFFFFF"/>
        </w:rPr>
        <w:t>. [</w:t>
      </w:r>
      <w:proofErr w:type="gramStart"/>
      <w:r w:rsidRPr="00DC668B">
        <w:rPr>
          <w:rFonts w:cs="Arial"/>
          <w:color w:val="000000"/>
          <w:szCs w:val="20"/>
          <w:shd w:val="clear" w:color="auto" w:fill="FFFFFF"/>
        </w:rPr>
        <w:t>online</w:t>
      </w:r>
      <w:proofErr w:type="gramEnd"/>
      <w:r w:rsidRPr="00DC668B">
        <w:rPr>
          <w:rFonts w:cs="Arial"/>
          <w:color w:val="000000"/>
          <w:szCs w:val="20"/>
          <w:shd w:val="clear" w:color="auto" w:fill="FFFFFF"/>
        </w:rPr>
        <w:t xml:space="preserve">] </w:t>
      </w:r>
      <w:proofErr w:type="spellStart"/>
      <w:r w:rsidRPr="00DC668B">
        <w:rPr>
          <w:rFonts w:cs="Arial"/>
          <w:color w:val="000000"/>
          <w:szCs w:val="20"/>
          <w:shd w:val="clear" w:color="auto" w:fill="FFFFFF"/>
        </w:rPr>
        <w:t>ToolsHero</w:t>
      </w:r>
      <w:proofErr w:type="spellEnd"/>
      <w:r w:rsidRPr="00DC668B">
        <w:rPr>
          <w:rFonts w:cs="Arial"/>
          <w:color w:val="000000"/>
          <w:szCs w:val="20"/>
          <w:shd w:val="clear" w:color="auto" w:fill="FFFFFF"/>
        </w:rPr>
        <w:t>. Available at: https://www.toolshero.com/strategy/porter-diamond-model/ [Accessed 18 Apr. 2019].</w:t>
      </w:r>
    </w:p>
    <w:p w:rsidR="00007A5A" w:rsidRPr="00DC668B" w:rsidRDefault="00007A5A" w:rsidP="00007A5A">
      <w:pPr>
        <w:rPr>
          <w:rFonts w:cs="Arial"/>
          <w:color w:val="000000"/>
          <w:szCs w:val="20"/>
          <w:shd w:val="clear" w:color="auto" w:fill="FFFFFF"/>
        </w:rPr>
      </w:pPr>
      <w:r w:rsidRPr="00DC668B">
        <w:rPr>
          <w:rFonts w:cs="Arial"/>
          <w:color w:val="000000"/>
          <w:szCs w:val="20"/>
          <w:shd w:val="clear" w:color="auto" w:fill="FFFFFF"/>
        </w:rPr>
        <w:t>Prasad, B. (1997). Analysis of pricing strategies for new product introduction. </w:t>
      </w:r>
      <w:r w:rsidRPr="00DC668B">
        <w:rPr>
          <w:rFonts w:cs="Arial"/>
          <w:i/>
          <w:iCs/>
          <w:color w:val="000000"/>
          <w:szCs w:val="20"/>
          <w:shd w:val="clear" w:color="auto" w:fill="FFFFFF"/>
        </w:rPr>
        <w:t>Pricing Strategy and Practice</w:t>
      </w:r>
      <w:r w:rsidRPr="00DC668B">
        <w:rPr>
          <w:rFonts w:cs="Arial"/>
          <w:color w:val="000000"/>
          <w:szCs w:val="20"/>
          <w:shd w:val="clear" w:color="auto" w:fill="FFFFFF"/>
        </w:rPr>
        <w:t>, 5(4), pp.132-141.</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r w:rsidRPr="00DC668B">
        <w:rPr>
          <w:rFonts w:cs="Arial"/>
          <w:color w:val="000000"/>
          <w:szCs w:val="20"/>
          <w:shd w:val="clear" w:color="auto" w:fill="FFFFFF"/>
        </w:rPr>
        <w:t>Pulido Polo, M. (2018). Acts or events? A perspective from the marketing mix. </w:t>
      </w:r>
      <w:r w:rsidRPr="00DC668B">
        <w:rPr>
          <w:rFonts w:cs="Arial"/>
          <w:i/>
          <w:iCs/>
          <w:color w:val="000000"/>
          <w:szCs w:val="20"/>
          <w:shd w:val="clear" w:color="auto" w:fill="FFFFFF"/>
        </w:rPr>
        <w:t xml:space="preserve">IROCAMM-International Review </w:t>
      </w:r>
      <w:proofErr w:type="gramStart"/>
      <w:r w:rsidRPr="00DC668B">
        <w:rPr>
          <w:rFonts w:cs="Arial"/>
          <w:i/>
          <w:iCs/>
          <w:color w:val="000000"/>
          <w:szCs w:val="20"/>
          <w:shd w:val="clear" w:color="auto" w:fill="FFFFFF"/>
        </w:rPr>
        <w:t>Of Communication And</w:t>
      </w:r>
      <w:proofErr w:type="gramEnd"/>
      <w:r w:rsidRPr="00DC668B">
        <w:rPr>
          <w:rFonts w:cs="Arial"/>
          <w:i/>
          <w:iCs/>
          <w:color w:val="000000"/>
          <w:szCs w:val="20"/>
          <w:shd w:val="clear" w:color="auto" w:fill="FFFFFF"/>
        </w:rPr>
        <w:t xml:space="preserve"> Marketing Mix</w:t>
      </w:r>
      <w:r w:rsidRPr="00DC668B">
        <w:rPr>
          <w:rFonts w:cs="Arial"/>
          <w:color w:val="000000"/>
          <w:szCs w:val="20"/>
          <w:shd w:val="clear" w:color="auto" w:fill="FFFFFF"/>
        </w:rPr>
        <w:t>, (1), pp.56-66.</w:t>
      </w:r>
    </w:p>
    <w:p w:rsidR="00007A5A" w:rsidRPr="00DC668B" w:rsidRDefault="00007A5A" w:rsidP="00007A5A">
      <w:pPr>
        <w:rPr>
          <w:rFonts w:cs="Arial"/>
          <w:color w:val="000000"/>
          <w:szCs w:val="20"/>
          <w:shd w:val="clear" w:color="auto" w:fill="FFFFFF"/>
        </w:rPr>
      </w:pPr>
      <w:r w:rsidRPr="00DC668B">
        <w:rPr>
          <w:rFonts w:cs="Arial"/>
          <w:color w:val="000000"/>
          <w:szCs w:val="20"/>
          <w:shd w:val="clear" w:color="auto" w:fill="FFFFFF"/>
        </w:rPr>
        <w:t>Ranker (2019). </w:t>
      </w:r>
      <w:r w:rsidRPr="00DC668B">
        <w:rPr>
          <w:rFonts w:cs="Arial"/>
          <w:i/>
          <w:iCs/>
          <w:color w:val="000000"/>
          <w:szCs w:val="20"/>
          <w:shd w:val="clear" w:color="auto" w:fill="FFFFFF"/>
        </w:rPr>
        <w:t>The Top Beers from Russia</w:t>
      </w:r>
      <w:r w:rsidRPr="00DC668B">
        <w:rPr>
          <w:rFonts w:cs="Arial"/>
          <w:color w:val="000000"/>
          <w:szCs w:val="20"/>
          <w:shd w:val="clear" w:color="auto" w:fill="FFFFFF"/>
        </w:rPr>
        <w:t>. [</w:t>
      </w:r>
      <w:proofErr w:type="gramStart"/>
      <w:r w:rsidRPr="00DC668B">
        <w:rPr>
          <w:rFonts w:cs="Arial"/>
          <w:color w:val="000000"/>
          <w:szCs w:val="20"/>
          <w:shd w:val="clear" w:color="auto" w:fill="FFFFFF"/>
        </w:rPr>
        <w:t>online</w:t>
      </w:r>
      <w:proofErr w:type="gramEnd"/>
      <w:r w:rsidRPr="00DC668B">
        <w:rPr>
          <w:rFonts w:cs="Arial"/>
          <w:color w:val="000000"/>
          <w:szCs w:val="20"/>
          <w:shd w:val="clear" w:color="auto" w:fill="FFFFFF"/>
        </w:rPr>
        <w:t>] Ranker. Available at: https://www.ranker.com/list/top-beers-from-russia/reference [Accessed 15 Apr. 2019].</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r w:rsidRPr="00DC668B">
        <w:rPr>
          <w:rFonts w:cs="Arial"/>
          <w:color w:val="000000"/>
          <w:szCs w:val="20"/>
          <w:shd w:val="clear" w:color="auto" w:fill="FFFFFF"/>
        </w:rPr>
        <w:t>Russian Federation (2016). </w:t>
      </w:r>
      <w:r w:rsidRPr="00DC668B">
        <w:rPr>
          <w:rFonts w:cs="Arial"/>
          <w:i/>
          <w:iCs/>
          <w:color w:val="000000"/>
          <w:szCs w:val="20"/>
          <w:shd w:val="clear" w:color="auto" w:fill="FFFFFF"/>
        </w:rPr>
        <w:t>Russian Beer Market Update</w:t>
      </w:r>
      <w:r w:rsidRPr="00DC668B">
        <w:rPr>
          <w:rFonts w:cs="Arial"/>
          <w:color w:val="000000"/>
          <w:szCs w:val="20"/>
          <w:shd w:val="clear" w:color="auto" w:fill="FFFFFF"/>
        </w:rPr>
        <w:t>. 1st ed. [</w:t>
      </w:r>
      <w:proofErr w:type="spellStart"/>
      <w:r w:rsidRPr="00DC668B">
        <w:rPr>
          <w:rFonts w:cs="Arial"/>
          <w:color w:val="000000"/>
          <w:szCs w:val="20"/>
          <w:shd w:val="clear" w:color="auto" w:fill="FFFFFF"/>
        </w:rPr>
        <w:t>ebook</w:t>
      </w:r>
      <w:proofErr w:type="spellEnd"/>
      <w:r w:rsidRPr="00DC668B">
        <w:rPr>
          <w:rFonts w:cs="Arial"/>
          <w:color w:val="000000"/>
          <w:szCs w:val="20"/>
          <w:shd w:val="clear" w:color="auto" w:fill="FFFFFF"/>
        </w:rPr>
        <w:t>] Moscow: Russian Federation. Available at: https://gain.fas.usda.gov/Recent%20GAIN%20Publications/Russian%20Beer%20Market%20Update_Moscow%20ATO_Russian%20Federation_2-19-2016.pdf [Accessed 12 Apr. 2019].</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r w:rsidRPr="00DC668B">
        <w:rPr>
          <w:rFonts w:cs="Arial"/>
          <w:color w:val="000000"/>
          <w:szCs w:val="20"/>
          <w:shd w:val="clear" w:color="auto" w:fill="FFFFFF"/>
        </w:rPr>
        <w:t>The Marketing Mix (2019). </w:t>
      </w:r>
      <w:r w:rsidRPr="00DC668B">
        <w:rPr>
          <w:rFonts w:cs="Arial"/>
          <w:i/>
          <w:iCs/>
          <w:color w:val="000000"/>
          <w:szCs w:val="20"/>
          <w:shd w:val="clear" w:color="auto" w:fill="FFFFFF"/>
        </w:rPr>
        <w:t>Marketing Mix Physical Evidence - Marketing Mix</w:t>
      </w:r>
      <w:r w:rsidRPr="00DC668B">
        <w:rPr>
          <w:rFonts w:cs="Arial"/>
          <w:color w:val="000000"/>
          <w:szCs w:val="20"/>
          <w:shd w:val="clear" w:color="auto" w:fill="FFFFFF"/>
        </w:rPr>
        <w:t>. [</w:t>
      </w:r>
      <w:proofErr w:type="gramStart"/>
      <w:r w:rsidRPr="00DC668B">
        <w:rPr>
          <w:rFonts w:cs="Arial"/>
          <w:color w:val="000000"/>
          <w:szCs w:val="20"/>
          <w:shd w:val="clear" w:color="auto" w:fill="FFFFFF"/>
        </w:rPr>
        <w:t>online</w:t>
      </w:r>
      <w:proofErr w:type="gramEnd"/>
      <w:r w:rsidRPr="00DC668B">
        <w:rPr>
          <w:rFonts w:cs="Arial"/>
          <w:color w:val="000000"/>
          <w:szCs w:val="20"/>
          <w:shd w:val="clear" w:color="auto" w:fill="FFFFFF"/>
        </w:rPr>
        <w:t>] The Marketing Mix. Available at: https://marketingmix.co.uk/marketing-mix-physical-evidence/ [Accessed 15 Apr. 2019].</w:t>
      </w:r>
    </w:p>
    <w:p w:rsidR="00007A5A" w:rsidRPr="00DC668B" w:rsidRDefault="00007A5A" w:rsidP="00007A5A">
      <w:pPr>
        <w:rPr>
          <w:rFonts w:cs="Arial"/>
          <w:color w:val="000000"/>
          <w:szCs w:val="20"/>
          <w:shd w:val="clear" w:color="auto" w:fill="FFFFFF"/>
        </w:rPr>
      </w:pPr>
    </w:p>
    <w:p w:rsidR="00007A5A" w:rsidRPr="00DC668B" w:rsidRDefault="00007A5A" w:rsidP="00007A5A">
      <w:pPr>
        <w:rPr>
          <w:rFonts w:cs="Arial"/>
          <w:color w:val="000000"/>
          <w:szCs w:val="20"/>
          <w:shd w:val="clear" w:color="auto" w:fill="FFFFFF"/>
        </w:rPr>
      </w:pPr>
      <w:proofErr w:type="spellStart"/>
      <w:r w:rsidRPr="00DC668B">
        <w:rPr>
          <w:rFonts w:cs="Arial"/>
          <w:color w:val="000000"/>
          <w:szCs w:val="20"/>
          <w:shd w:val="clear" w:color="auto" w:fill="FFFFFF"/>
        </w:rPr>
        <w:t>Yaşar</w:t>
      </w:r>
      <w:proofErr w:type="spellEnd"/>
      <w:r w:rsidRPr="00DC668B">
        <w:rPr>
          <w:rFonts w:cs="Arial"/>
          <w:color w:val="000000"/>
          <w:szCs w:val="20"/>
          <w:shd w:val="clear" w:color="auto" w:fill="FFFFFF"/>
        </w:rPr>
        <w:t>, M. (2013). Direct and Indirect Exporting and Productivity: Evidence from Firm-Level Data. </w:t>
      </w:r>
      <w:r w:rsidRPr="00DC668B">
        <w:rPr>
          <w:rFonts w:cs="Arial"/>
          <w:i/>
          <w:iCs/>
          <w:color w:val="000000"/>
          <w:szCs w:val="20"/>
          <w:shd w:val="clear" w:color="auto" w:fill="FFFFFF"/>
        </w:rPr>
        <w:t>Managerial and Decision Economics</w:t>
      </w:r>
      <w:r w:rsidRPr="00DC668B">
        <w:rPr>
          <w:rFonts w:cs="Arial"/>
          <w:color w:val="000000"/>
          <w:szCs w:val="20"/>
          <w:shd w:val="clear" w:color="auto" w:fill="FFFFFF"/>
        </w:rPr>
        <w:t>, 36(2), pp.109-120.</w:t>
      </w:r>
    </w:p>
    <w:p w:rsidR="00007A5A" w:rsidRPr="00DA26D4" w:rsidRDefault="00007A5A" w:rsidP="00007A5A">
      <w:pPr>
        <w:rPr>
          <w:b/>
        </w:rPr>
      </w:pPr>
    </w:p>
    <w:p w:rsidR="006E1DD2" w:rsidRDefault="006E1DD2"/>
    <w:sectPr w:rsidR="006E1DD2">
      <w:footerReference w:type="default" r:id="rId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98A" w:rsidRDefault="0013198A" w:rsidP="008A1B9B">
      <w:pPr>
        <w:spacing w:line="240" w:lineRule="auto"/>
      </w:pPr>
      <w:r>
        <w:separator/>
      </w:r>
    </w:p>
  </w:endnote>
  <w:endnote w:type="continuationSeparator" w:id="0">
    <w:p w:rsidR="0013198A" w:rsidRDefault="0013198A" w:rsidP="008A1B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9819497"/>
      <w:docPartObj>
        <w:docPartGallery w:val="Page Numbers (Bottom of Page)"/>
        <w:docPartUnique/>
      </w:docPartObj>
    </w:sdtPr>
    <w:sdtEndPr/>
    <w:sdtContent>
      <w:p w:rsidR="008A1B9B" w:rsidRDefault="008A1B9B">
        <w:pPr>
          <w:pStyle w:val="a7"/>
          <w:jc w:val="center"/>
        </w:pPr>
        <w:r>
          <w:fldChar w:fldCharType="begin"/>
        </w:r>
        <w:r>
          <w:instrText>PAGE   \* MERGEFORMAT</w:instrText>
        </w:r>
        <w:r>
          <w:fldChar w:fldCharType="separate"/>
        </w:r>
        <w:r w:rsidR="00754D93" w:rsidRPr="00754D93">
          <w:rPr>
            <w:noProof/>
            <w:lang w:val="zh-CN"/>
          </w:rPr>
          <w:t>17</w:t>
        </w:r>
        <w:r>
          <w:fldChar w:fldCharType="end"/>
        </w:r>
      </w:p>
    </w:sdtContent>
  </w:sdt>
  <w:p w:rsidR="008A1B9B" w:rsidRDefault="008A1B9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98A" w:rsidRDefault="0013198A" w:rsidP="008A1B9B">
      <w:pPr>
        <w:spacing w:line="240" w:lineRule="auto"/>
      </w:pPr>
      <w:r>
        <w:separator/>
      </w:r>
    </w:p>
  </w:footnote>
  <w:footnote w:type="continuationSeparator" w:id="0">
    <w:p w:rsidR="0013198A" w:rsidRDefault="0013198A" w:rsidP="008A1B9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1D10BA"/>
    <w:multiLevelType w:val="hybridMultilevel"/>
    <w:tmpl w:val="8BB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C448DC"/>
    <w:multiLevelType w:val="multilevel"/>
    <w:tmpl w:val="D9763D76"/>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A5A"/>
    <w:rsid w:val="00007A5A"/>
    <w:rsid w:val="00023F92"/>
    <w:rsid w:val="0013198A"/>
    <w:rsid w:val="003C35E7"/>
    <w:rsid w:val="00440D4F"/>
    <w:rsid w:val="0055510D"/>
    <w:rsid w:val="005C275A"/>
    <w:rsid w:val="006A297A"/>
    <w:rsid w:val="006E1DD2"/>
    <w:rsid w:val="0073105D"/>
    <w:rsid w:val="00754D93"/>
    <w:rsid w:val="008A1B9B"/>
    <w:rsid w:val="00AC7984"/>
    <w:rsid w:val="00B4305A"/>
    <w:rsid w:val="00C93AC3"/>
    <w:rsid w:val="00D010F7"/>
    <w:rsid w:val="00E36A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7809C9-E52B-4739-9B77-815E69DC8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7A5A"/>
    <w:pPr>
      <w:spacing w:line="360" w:lineRule="auto"/>
      <w:jc w:val="both"/>
    </w:pPr>
    <w:rPr>
      <w:rFonts w:ascii="Arial" w:hAnsi="Arial"/>
      <w:color w:val="000000" w:themeColor="text1"/>
      <w:kern w:val="0"/>
      <w:sz w:val="24"/>
      <w:lang w:val="en-GB"/>
    </w:rPr>
  </w:style>
  <w:style w:type="paragraph" w:styleId="1">
    <w:name w:val="heading 1"/>
    <w:basedOn w:val="a"/>
    <w:next w:val="a"/>
    <w:link w:val="1Char"/>
    <w:uiPriority w:val="9"/>
    <w:qFormat/>
    <w:rsid w:val="00007A5A"/>
    <w:pPr>
      <w:keepNext/>
      <w:keepLines/>
      <w:spacing w:before="240"/>
      <w:outlineLvl w:val="0"/>
    </w:pPr>
    <w:rPr>
      <w:rFonts w:eastAsiaTheme="majorEastAsia" w:cstheme="majorBidi"/>
      <w:b/>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007A5A"/>
    <w:rPr>
      <w:rFonts w:ascii="Arial" w:eastAsiaTheme="majorEastAsia" w:hAnsi="Arial" w:cstheme="majorBidi"/>
      <w:b/>
      <w:color w:val="000000" w:themeColor="text1"/>
      <w:kern w:val="0"/>
      <w:sz w:val="24"/>
      <w:szCs w:val="32"/>
      <w:lang w:val="en-GB"/>
    </w:rPr>
  </w:style>
  <w:style w:type="paragraph" w:styleId="a3">
    <w:name w:val="List Paragraph"/>
    <w:basedOn w:val="a"/>
    <w:uiPriority w:val="34"/>
    <w:qFormat/>
    <w:rsid w:val="00007A5A"/>
    <w:pPr>
      <w:ind w:left="720"/>
      <w:contextualSpacing/>
    </w:pPr>
  </w:style>
  <w:style w:type="table" w:styleId="a4">
    <w:name w:val="Table Grid"/>
    <w:basedOn w:val="a1"/>
    <w:uiPriority w:val="39"/>
    <w:rsid w:val="00007A5A"/>
    <w:rPr>
      <w:kern w:val="0"/>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
    <w:name w:val="TOC Heading"/>
    <w:basedOn w:val="1"/>
    <w:next w:val="a"/>
    <w:uiPriority w:val="39"/>
    <w:unhideWhenUsed/>
    <w:qFormat/>
    <w:rsid w:val="00007A5A"/>
    <w:pPr>
      <w:spacing w:line="259" w:lineRule="auto"/>
      <w:jc w:val="left"/>
      <w:outlineLvl w:val="9"/>
    </w:pPr>
    <w:rPr>
      <w:rFonts w:asciiTheme="majorHAnsi" w:hAnsiTheme="majorHAnsi"/>
      <w:b w:val="0"/>
      <w:color w:val="2E74B5" w:themeColor="accent1" w:themeShade="BF"/>
      <w:sz w:val="32"/>
      <w:lang w:val="en-US"/>
    </w:rPr>
  </w:style>
  <w:style w:type="paragraph" w:styleId="10">
    <w:name w:val="toc 1"/>
    <w:basedOn w:val="a"/>
    <w:next w:val="a"/>
    <w:autoRedefine/>
    <w:uiPriority w:val="39"/>
    <w:unhideWhenUsed/>
    <w:rsid w:val="00007A5A"/>
    <w:pPr>
      <w:spacing w:after="100"/>
    </w:pPr>
  </w:style>
  <w:style w:type="character" w:styleId="a5">
    <w:name w:val="Hyperlink"/>
    <w:basedOn w:val="a0"/>
    <w:uiPriority w:val="99"/>
    <w:unhideWhenUsed/>
    <w:rsid w:val="00007A5A"/>
    <w:rPr>
      <w:color w:val="0563C1" w:themeColor="hyperlink"/>
      <w:u w:val="single"/>
    </w:rPr>
  </w:style>
  <w:style w:type="paragraph" w:styleId="a6">
    <w:name w:val="header"/>
    <w:basedOn w:val="a"/>
    <w:link w:val="Char"/>
    <w:uiPriority w:val="99"/>
    <w:unhideWhenUsed/>
    <w:rsid w:val="008A1B9B"/>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6"/>
    <w:uiPriority w:val="99"/>
    <w:rsid w:val="008A1B9B"/>
    <w:rPr>
      <w:rFonts w:ascii="Arial" w:hAnsi="Arial"/>
      <w:color w:val="000000" w:themeColor="text1"/>
      <w:kern w:val="0"/>
      <w:sz w:val="18"/>
      <w:szCs w:val="18"/>
      <w:lang w:val="en-GB"/>
    </w:rPr>
  </w:style>
  <w:style w:type="paragraph" w:styleId="a7">
    <w:name w:val="footer"/>
    <w:basedOn w:val="a"/>
    <w:link w:val="Char0"/>
    <w:uiPriority w:val="99"/>
    <w:unhideWhenUsed/>
    <w:rsid w:val="008A1B9B"/>
    <w:pPr>
      <w:tabs>
        <w:tab w:val="center" w:pos="4153"/>
        <w:tab w:val="right" w:pos="8306"/>
      </w:tabs>
      <w:snapToGrid w:val="0"/>
      <w:spacing w:line="240" w:lineRule="auto"/>
      <w:jc w:val="left"/>
    </w:pPr>
    <w:rPr>
      <w:sz w:val="18"/>
      <w:szCs w:val="18"/>
    </w:rPr>
  </w:style>
  <w:style w:type="character" w:customStyle="1" w:styleId="Char0">
    <w:name w:val="页脚 Char"/>
    <w:basedOn w:val="a0"/>
    <w:link w:val="a7"/>
    <w:uiPriority w:val="99"/>
    <w:rsid w:val="008A1B9B"/>
    <w:rPr>
      <w:rFonts w:ascii="Arial" w:hAnsi="Arial"/>
      <w:color w:val="000000" w:themeColor="text1"/>
      <w:kern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62CBC-3C77-4071-9F9F-7167A6571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17</Pages>
  <Words>2671</Words>
  <Characters>15228</Characters>
  <Application>Microsoft Office Word</Application>
  <DocSecurity>0</DocSecurity>
  <Lines>126</Lines>
  <Paragraphs>35</Paragraphs>
  <ScaleCrop>false</ScaleCrop>
  <Company/>
  <LinksUpToDate>false</LinksUpToDate>
  <CharactersWithSpaces>17864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Yifei Li (1700899)</dc:creator>
  <cp:keywords/>
  <dc:description/>
  <cp:lastModifiedBy>Yifei Li (1700899)</cp:lastModifiedBy>
  <cp:revision>13</cp:revision>
  <dcterms:created xsi:type="dcterms:W3CDTF">2019-05-05T16:48:00Z</dcterms:created>
  <dcterms:modified xsi:type="dcterms:W3CDTF">2019-05-05T17:09:00Z</dcterms:modified>
</cp:coreProperties>
</file>