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32685" w14:textId="60921107"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Pr>
          <w:noProof/>
        </w:rPr>
        <w:drawing>
          <wp:inline distT="0" distB="0" distL="0" distR="0" wp14:anchorId="5E6209A1" wp14:editId="1D3D5CC0">
            <wp:extent cx="3610610" cy="11277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9597" cy="1136814"/>
                    </a:xfrm>
                    <a:prstGeom prst="rect">
                      <a:avLst/>
                    </a:prstGeom>
                    <a:noFill/>
                  </pic:spPr>
                </pic:pic>
              </a:graphicData>
            </a:graphic>
          </wp:inline>
        </w:drawing>
      </w:r>
    </w:p>
    <w:p w14:paraId="79DA2DDB" w14:textId="77777777" w:rsidR="00F5606A" w:rsidRDefault="00F5606A" w:rsidP="00F5606A">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p>
    <w:p w14:paraId="3D9DA213" w14:textId="7E79E62B" w:rsidR="00F5606A" w:rsidRDefault="00F5606A" w:rsidP="007573FC">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r w:rsidRPr="00F5606A">
        <w:rPr>
          <w:rFonts w:ascii="Times New Roman" w:hAnsi="Times New Roman" w:cs="Times New Roman"/>
          <w:b/>
          <w:bCs/>
          <w:sz w:val="36"/>
          <w:szCs w:val="36"/>
        </w:rPr>
        <w:t xml:space="preserve">DBA Quantitative Research Methods </w:t>
      </w:r>
    </w:p>
    <w:p w14:paraId="74727787" w14:textId="333CC6A6" w:rsidR="00F5606A" w:rsidRPr="00F5606A" w:rsidRDefault="00F5606A" w:rsidP="007573FC">
      <w:pPr>
        <w:spacing w:line="360" w:lineRule="auto"/>
        <w:jc w:val="both"/>
        <w:rPr>
          <w:rFonts w:ascii="Times New Roman" w:hAnsi="Times New Roman" w:cs="Times New Roman"/>
          <w:b/>
          <w:bCs/>
          <w:sz w:val="36"/>
          <w:szCs w:val="36"/>
        </w:rPr>
      </w:pPr>
      <w:r>
        <w:rPr>
          <w:rFonts w:ascii="Times New Roman" w:hAnsi="Times New Roman" w:cs="Times New Roman"/>
          <w:b/>
          <w:bCs/>
          <w:sz w:val="28"/>
          <w:szCs w:val="28"/>
        </w:rPr>
        <w:t xml:space="preserve">                                    </w:t>
      </w:r>
    </w:p>
    <w:tbl>
      <w:tblPr>
        <w:tblStyle w:val="TableGrid"/>
        <w:tblW w:w="0" w:type="auto"/>
        <w:tblLook w:val="04A0" w:firstRow="1" w:lastRow="0" w:firstColumn="1" w:lastColumn="0" w:noHBand="0" w:noVBand="1"/>
      </w:tblPr>
      <w:tblGrid>
        <w:gridCol w:w="4508"/>
        <w:gridCol w:w="4508"/>
      </w:tblGrid>
      <w:tr w:rsidR="00F5606A" w14:paraId="34EBC950" w14:textId="77777777" w:rsidTr="00F5606A">
        <w:tc>
          <w:tcPr>
            <w:tcW w:w="4508" w:type="dxa"/>
          </w:tcPr>
          <w:p w14:paraId="1E044FD1" w14:textId="52BE18A4"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Name</w:t>
            </w:r>
          </w:p>
        </w:tc>
        <w:tc>
          <w:tcPr>
            <w:tcW w:w="4508" w:type="dxa"/>
          </w:tcPr>
          <w:p w14:paraId="2676C18B" w14:textId="4ABE20B6"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Muneesha Penumuchu</w:t>
            </w:r>
          </w:p>
        </w:tc>
      </w:tr>
      <w:tr w:rsidR="00F5606A" w14:paraId="5C78EECE" w14:textId="77777777" w:rsidTr="00F5606A">
        <w:tc>
          <w:tcPr>
            <w:tcW w:w="4508" w:type="dxa"/>
          </w:tcPr>
          <w:p w14:paraId="5496D768" w14:textId="7918E454"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ID</w:t>
            </w:r>
          </w:p>
        </w:tc>
        <w:tc>
          <w:tcPr>
            <w:tcW w:w="4508" w:type="dxa"/>
          </w:tcPr>
          <w:p w14:paraId="39D2865A" w14:textId="087452E5"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2406171</w:t>
            </w:r>
          </w:p>
        </w:tc>
      </w:tr>
      <w:tr w:rsidR="00F5606A" w14:paraId="1C8D7F7A" w14:textId="77777777" w:rsidTr="00F5606A">
        <w:tc>
          <w:tcPr>
            <w:tcW w:w="4508" w:type="dxa"/>
          </w:tcPr>
          <w:p w14:paraId="266E32F3" w14:textId="0F7299E6"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Moodle Name</w:t>
            </w:r>
          </w:p>
        </w:tc>
        <w:tc>
          <w:tcPr>
            <w:tcW w:w="4508" w:type="dxa"/>
          </w:tcPr>
          <w:p w14:paraId="6CA54D25" w14:textId="720C1248"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Quantitative Research Methods </w:t>
            </w:r>
          </w:p>
        </w:tc>
      </w:tr>
      <w:tr w:rsidR="00F5606A" w14:paraId="7D8BF0C2" w14:textId="77777777" w:rsidTr="00F5606A">
        <w:tc>
          <w:tcPr>
            <w:tcW w:w="4508" w:type="dxa"/>
          </w:tcPr>
          <w:p w14:paraId="7B6028AF" w14:textId="37751798"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Moodle Code</w:t>
            </w:r>
          </w:p>
        </w:tc>
        <w:tc>
          <w:tcPr>
            <w:tcW w:w="4508" w:type="dxa"/>
          </w:tcPr>
          <w:p w14:paraId="3305B8B6" w14:textId="51B9E8F4"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LCDB7011</w:t>
            </w:r>
          </w:p>
        </w:tc>
      </w:tr>
      <w:tr w:rsidR="00F5606A" w14:paraId="41F727BC" w14:textId="77777777" w:rsidTr="00F5606A">
        <w:tc>
          <w:tcPr>
            <w:tcW w:w="4508" w:type="dxa"/>
          </w:tcPr>
          <w:p w14:paraId="7CA05016" w14:textId="45433A32"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Lecturer Name</w:t>
            </w:r>
          </w:p>
        </w:tc>
        <w:tc>
          <w:tcPr>
            <w:tcW w:w="4508" w:type="dxa"/>
          </w:tcPr>
          <w:p w14:paraId="2D2D67E3" w14:textId="25E966E5" w:rsidR="00F5606A" w:rsidRDefault="00BC1529"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Ebad Banissi</w:t>
            </w:r>
          </w:p>
        </w:tc>
      </w:tr>
      <w:tr w:rsidR="00F5606A" w14:paraId="1F043F49" w14:textId="77777777" w:rsidTr="00F5606A">
        <w:tc>
          <w:tcPr>
            <w:tcW w:w="4508" w:type="dxa"/>
          </w:tcPr>
          <w:p w14:paraId="41BC40F2" w14:textId="683499A0"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Wordcount </w:t>
            </w:r>
          </w:p>
        </w:tc>
        <w:tc>
          <w:tcPr>
            <w:tcW w:w="4508" w:type="dxa"/>
          </w:tcPr>
          <w:p w14:paraId="6E146219" w14:textId="7F772655" w:rsidR="00F5606A" w:rsidRDefault="00BC1529"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8150</w:t>
            </w:r>
          </w:p>
        </w:tc>
      </w:tr>
      <w:tr w:rsidR="00F5606A" w14:paraId="08F3A31F" w14:textId="77777777" w:rsidTr="00F5606A">
        <w:tc>
          <w:tcPr>
            <w:tcW w:w="4508" w:type="dxa"/>
          </w:tcPr>
          <w:p w14:paraId="0337A4EA" w14:textId="40B4A160" w:rsidR="00F5606A" w:rsidRDefault="00F5606A"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Submission Date</w:t>
            </w:r>
          </w:p>
        </w:tc>
        <w:tc>
          <w:tcPr>
            <w:tcW w:w="4508" w:type="dxa"/>
          </w:tcPr>
          <w:p w14:paraId="08BE55F1" w14:textId="3D09C580" w:rsidR="00F5606A" w:rsidRDefault="00BC1529" w:rsidP="007573F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21-08-2025</w:t>
            </w:r>
          </w:p>
        </w:tc>
      </w:tr>
    </w:tbl>
    <w:p w14:paraId="235FCF53" w14:textId="77777777" w:rsidR="00F5606A" w:rsidRDefault="00F5606A" w:rsidP="007573FC">
      <w:pPr>
        <w:spacing w:line="360" w:lineRule="auto"/>
        <w:jc w:val="both"/>
        <w:rPr>
          <w:rFonts w:ascii="Times New Roman" w:hAnsi="Times New Roman" w:cs="Times New Roman"/>
          <w:b/>
          <w:bCs/>
          <w:sz w:val="28"/>
          <w:szCs w:val="28"/>
        </w:rPr>
      </w:pPr>
    </w:p>
    <w:p w14:paraId="25DD9E1D" w14:textId="77777777" w:rsidR="00F5606A" w:rsidRDefault="00F5606A" w:rsidP="007573FC">
      <w:pPr>
        <w:spacing w:line="360" w:lineRule="auto"/>
        <w:jc w:val="both"/>
        <w:rPr>
          <w:rFonts w:ascii="Times New Roman" w:hAnsi="Times New Roman" w:cs="Times New Roman"/>
          <w:b/>
          <w:bCs/>
          <w:sz w:val="28"/>
          <w:szCs w:val="28"/>
        </w:rPr>
      </w:pPr>
    </w:p>
    <w:p w14:paraId="3511F337" w14:textId="77777777" w:rsidR="00F5606A" w:rsidRDefault="00F5606A" w:rsidP="007573FC">
      <w:pPr>
        <w:spacing w:line="360" w:lineRule="auto"/>
        <w:jc w:val="both"/>
        <w:rPr>
          <w:rFonts w:ascii="Times New Roman" w:hAnsi="Times New Roman" w:cs="Times New Roman"/>
          <w:b/>
          <w:bCs/>
          <w:sz w:val="28"/>
          <w:szCs w:val="28"/>
        </w:rPr>
      </w:pPr>
    </w:p>
    <w:p w14:paraId="4C5C88D9" w14:textId="77777777" w:rsidR="00F5606A" w:rsidRDefault="00F5606A" w:rsidP="007573FC">
      <w:pPr>
        <w:spacing w:line="360" w:lineRule="auto"/>
        <w:jc w:val="both"/>
        <w:rPr>
          <w:rFonts w:ascii="Times New Roman" w:hAnsi="Times New Roman" w:cs="Times New Roman"/>
          <w:b/>
          <w:bCs/>
          <w:sz w:val="28"/>
          <w:szCs w:val="28"/>
        </w:rPr>
      </w:pPr>
    </w:p>
    <w:p w14:paraId="386F6B74" w14:textId="77777777" w:rsidR="00BC1529" w:rsidRDefault="00BC1529" w:rsidP="007573FC">
      <w:pPr>
        <w:spacing w:line="360" w:lineRule="auto"/>
        <w:jc w:val="both"/>
        <w:rPr>
          <w:rFonts w:ascii="Times New Roman" w:hAnsi="Times New Roman" w:cs="Times New Roman"/>
          <w:b/>
          <w:bCs/>
          <w:sz w:val="28"/>
          <w:szCs w:val="28"/>
        </w:rPr>
      </w:pPr>
    </w:p>
    <w:p w14:paraId="594736E5" w14:textId="77777777" w:rsidR="00BC1529" w:rsidRDefault="00BC1529" w:rsidP="007573FC">
      <w:pPr>
        <w:spacing w:line="360" w:lineRule="auto"/>
        <w:jc w:val="both"/>
        <w:rPr>
          <w:rFonts w:ascii="Times New Roman" w:hAnsi="Times New Roman" w:cs="Times New Roman"/>
          <w:b/>
          <w:bCs/>
          <w:sz w:val="28"/>
          <w:szCs w:val="28"/>
        </w:rPr>
      </w:pPr>
    </w:p>
    <w:p w14:paraId="7578FA1D" w14:textId="77777777" w:rsidR="00BC1529" w:rsidRDefault="00BC1529" w:rsidP="007573FC">
      <w:pPr>
        <w:spacing w:line="360" w:lineRule="auto"/>
        <w:jc w:val="both"/>
        <w:rPr>
          <w:rFonts w:ascii="Times New Roman" w:hAnsi="Times New Roman" w:cs="Times New Roman"/>
          <w:b/>
          <w:bCs/>
          <w:sz w:val="28"/>
          <w:szCs w:val="28"/>
        </w:rPr>
      </w:pPr>
    </w:p>
    <w:p w14:paraId="1393632D" w14:textId="77777777" w:rsidR="00BC1529" w:rsidRDefault="00BC1529" w:rsidP="007573FC">
      <w:pPr>
        <w:spacing w:line="360" w:lineRule="auto"/>
        <w:jc w:val="both"/>
        <w:rPr>
          <w:rFonts w:ascii="Times New Roman" w:hAnsi="Times New Roman" w:cs="Times New Roman"/>
          <w:b/>
          <w:bCs/>
          <w:sz w:val="28"/>
          <w:szCs w:val="28"/>
        </w:rPr>
      </w:pPr>
    </w:p>
    <w:p w14:paraId="741A60DA" w14:textId="77777777" w:rsidR="00F5606A" w:rsidRDefault="00F5606A" w:rsidP="007573FC">
      <w:pPr>
        <w:spacing w:line="360" w:lineRule="auto"/>
        <w:jc w:val="both"/>
        <w:rPr>
          <w:rFonts w:ascii="Times New Roman" w:hAnsi="Times New Roman" w:cs="Times New Roman"/>
          <w:b/>
          <w:bCs/>
          <w:sz w:val="28"/>
          <w:szCs w:val="28"/>
        </w:rPr>
      </w:pPr>
    </w:p>
    <w:p w14:paraId="3B160442" w14:textId="65CD9E5A" w:rsidR="003E193A" w:rsidRPr="003E193A" w:rsidRDefault="003E193A" w:rsidP="003E193A">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3E193A">
        <w:rPr>
          <w:rFonts w:ascii="Times New Roman" w:hAnsi="Times New Roman" w:cs="Times New Roman"/>
          <w:b/>
          <w:bCs/>
          <w:sz w:val="28"/>
          <w:szCs w:val="28"/>
        </w:rPr>
        <w:t>Table of Contents</w:t>
      </w:r>
    </w:p>
    <w:p w14:paraId="4E293A25" w14:textId="2A3E3013" w:rsidR="003E193A" w:rsidRPr="003E193A" w:rsidRDefault="003E193A" w:rsidP="003E193A">
      <w:pPr>
        <w:numPr>
          <w:ilvl w:val="0"/>
          <w:numId w:val="32"/>
        </w:numPr>
        <w:spacing w:line="276" w:lineRule="auto"/>
        <w:rPr>
          <w:rFonts w:ascii="Times New Roman" w:hAnsi="Times New Roman" w:cs="Times New Roman"/>
          <w:sz w:val="24"/>
          <w:szCs w:val="24"/>
        </w:rPr>
      </w:pPr>
      <w:r w:rsidRPr="003E193A">
        <w:rPr>
          <w:rFonts w:ascii="Times New Roman" w:hAnsi="Times New Roman" w:cs="Times New Roman"/>
          <w:b/>
          <w:bCs/>
          <w:sz w:val="24"/>
          <w:szCs w:val="24"/>
        </w:rPr>
        <w:t>Introduction</w:t>
      </w:r>
      <w:r w:rsidR="004F6C9C">
        <w:rPr>
          <w:rFonts w:ascii="Times New Roman" w:hAnsi="Times New Roman" w:cs="Times New Roman"/>
          <w:b/>
          <w:bCs/>
          <w:sz w:val="24"/>
          <w:szCs w:val="24"/>
        </w:rPr>
        <w:t xml:space="preserve"> </w:t>
      </w:r>
      <w:r>
        <w:rPr>
          <w:rFonts w:ascii="Times New Roman" w:hAnsi="Times New Roman" w:cs="Times New Roman"/>
          <w:b/>
          <w:bCs/>
          <w:sz w:val="24"/>
          <w:szCs w:val="24"/>
        </w:rPr>
        <w:t>……</w:t>
      </w:r>
      <w:r w:rsidR="004F6C9C">
        <w:rPr>
          <w:rFonts w:ascii="Times New Roman" w:hAnsi="Times New Roman" w:cs="Times New Roman"/>
          <w:b/>
          <w:bCs/>
          <w:sz w:val="24"/>
          <w:szCs w:val="24"/>
        </w:rPr>
        <w:t>…………………………………………….</w:t>
      </w:r>
      <w:r>
        <w:rPr>
          <w:rFonts w:ascii="Times New Roman" w:hAnsi="Times New Roman" w:cs="Times New Roman"/>
          <w:b/>
          <w:bCs/>
          <w:sz w:val="24"/>
          <w:szCs w:val="24"/>
        </w:rPr>
        <w:t>………………………4</w:t>
      </w:r>
      <w:r w:rsidRPr="003E193A">
        <w:rPr>
          <w:rFonts w:ascii="Times New Roman" w:hAnsi="Times New Roman" w:cs="Times New Roman"/>
          <w:sz w:val="24"/>
          <w:szCs w:val="24"/>
        </w:rPr>
        <w:br/>
        <w:t>1.1 Background</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4</w:t>
      </w:r>
      <w:r w:rsidRPr="003E193A">
        <w:rPr>
          <w:rFonts w:ascii="Times New Roman" w:hAnsi="Times New Roman" w:cs="Times New Roman"/>
          <w:sz w:val="24"/>
          <w:szCs w:val="24"/>
        </w:rPr>
        <w:br/>
        <w:t xml:space="preserve">1.2 Research Problem and Gap </w:t>
      </w:r>
      <w:r w:rsidR="004F6C9C">
        <w:rPr>
          <w:rFonts w:ascii="Times New Roman" w:hAnsi="Times New Roman" w:cs="Times New Roman"/>
          <w:sz w:val="24"/>
          <w:szCs w:val="24"/>
        </w:rPr>
        <w:t>……………………………………………………….</w:t>
      </w:r>
      <w:r w:rsidRPr="003E193A">
        <w:rPr>
          <w:rFonts w:ascii="Times New Roman" w:hAnsi="Times New Roman" w:cs="Times New Roman"/>
          <w:sz w:val="24"/>
          <w:szCs w:val="24"/>
        </w:rPr>
        <w:t>4</w:t>
      </w:r>
      <w:r w:rsidRPr="003E193A">
        <w:rPr>
          <w:rFonts w:ascii="Times New Roman" w:hAnsi="Times New Roman" w:cs="Times New Roman"/>
          <w:sz w:val="24"/>
          <w:szCs w:val="24"/>
        </w:rPr>
        <w:br/>
        <w:t xml:space="preserve">1.3 Research Objectives </w:t>
      </w:r>
      <w:r w:rsidR="004F6C9C">
        <w:rPr>
          <w:rFonts w:ascii="Times New Roman" w:hAnsi="Times New Roman" w:cs="Times New Roman"/>
          <w:sz w:val="24"/>
          <w:szCs w:val="24"/>
        </w:rPr>
        <w:t>………………………………………………………………</w:t>
      </w:r>
      <w:r w:rsidRPr="003E193A">
        <w:rPr>
          <w:rFonts w:ascii="Times New Roman" w:hAnsi="Times New Roman" w:cs="Times New Roman"/>
          <w:sz w:val="24"/>
          <w:szCs w:val="24"/>
        </w:rPr>
        <w:t>5</w:t>
      </w:r>
      <w:r w:rsidRPr="003E193A">
        <w:rPr>
          <w:rFonts w:ascii="Times New Roman" w:hAnsi="Times New Roman" w:cs="Times New Roman"/>
          <w:sz w:val="24"/>
          <w:szCs w:val="24"/>
        </w:rPr>
        <w:br/>
        <w:t xml:space="preserve">1.4 Hypotheses </w:t>
      </w:r>
      <w:r w:rsidR="004F6C9C">
        <w:rPr>
          <w:rFonts w:ascii="Times New Roman" w:hAnsi="Times New Roman" w:cs="Times New Roman"/>
          <w:sz w:val="24"/>
          <w:szCs w:val="24"/>
        </w:rPr>
        <w:t>………………………………………………………………………..</w:t>
      </w:r>
      <w:r w:rsidRPr="003E193A">
        <w:rPr>
          <w:rFonts w:ascii="Times New Roman" w:hAnsi="Times New Roman" w:cs="Times New Roman"/>
          <w:sz w:val="24"/>
          <w:szCs w:val="24"/>
        </w:rPr>
        <w:t>5</w:t>
      </w:r>
    </w:p>
    <w:p w14:paraId="43896113" w14:textId="0AA827E4" w:rsidR="003E193A" w:rsidRPr="003E193A" w:rsidRDefault="003E193A" w:rsidP="003E193A">
      <w:pPr>
        <w:spacing w:line="276" w:lineRule="auto"/>
        <w:ind w:left="720"/>
        <w:rPr>
          <w:rFonts w:ascii="Times New Roman" w:hAnsi="Times New Roman" w:cs="Times New Roman"/>
          <w:sz w:val="24"/>
          <w:szCs w:val="24"/>
        </w:rPr>
      </w:pPr>
      <w:r w:rsidRPr="003E193A">
        <w:rPr>
          <w:rFonts w:ascii="Times New Roman" w:hAnsi="Times New Roman" w:cs="Times New Roman"/>
          <w:sz w:val="24"/>
          <w:szCs w:val="24"/>
        </w:rPr>
        <w:t xml:space="preserve">1.5 Problem Statement </w:t>
      </w:r>
      <w:r w:rsidR="004F6C9C">
        <w:rPr>
          <w:rFonts w:ascii="Times New Roman" w:hAnsi="Times New Roman" w:cs="Times New Roman"/>
          <w:sz w:val="24"/>
          <w:szCs w:val="24"/>
        </w:rPr>
        <w:t>………………………………………………………………..</w:t>
      </w:r>
      <w:r w:rsidRPr="003E193A">
        <w:rPr>
          <w:rFonts w:ascii="Times New Roman" w:hAnsi="Times New Roman" w:cs="Times New Roman"/>
          <w:sz w:val="24"/>
          <w:szCs w:val="24"/>
        </w:rPr>
        <w:t>5</w:t>
      </w:r>
    </w:p>
    <w:p w14:paraId="0D9589DB" w14:textId="6106EF90" w:rsidR="003E193A" w:rsidRPr="003E193A" w:rsidRDefault="003E193A" w:rsidP="003E193A">
      <w:pPr>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1.6 Structure of the report </w:t>
      </w:r>
      <w:r w:rsidR="004F6C9C">
        <w:rPr>
          <w:rFonts w:ascii="Times New Roman" w:hAnsi="Times New Roman" w:cs="Times New Roman"/>
          <w:sz w:val="24"/>
          <w:szCs w:val="24"/>
        </w:rPr>
        <w:t>…………………………………………………………….</w:t>
      </w:r>
      <w:r>
        <w:rPr>
          <w:rFonts w:ascii="Times New Roman" w:hAnsi="Times New Roman" w:cs="Times New Roman"/>
          <w:sz w:val="24"/>
          <w:szCs w:val="24"/>
        </w:rPr>
        <w:t>6</w:t>
      </w:r>
    </w:p>
    <w:p w14:paraId="43BDB5C3" w14:textId="0FC1D494" w:rsidR="003E193A" w:rsidRDefault="003E193A" w:rsidP="003E193A">
      <w:pPr>
        <w:numPr>
          <w:ilvl w:val="0"/>
          <w:numId w:val="32"/>
        </w:num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Literature Review</w:t>
      </w:r>
      <w:r>
        <w:rPr>
          <w:rFonts w:ascii="Times New Roman" w:hAnsi="Times New Roman" w:cs="Times New Roman"/>
          <w:b/>
          <w:bCs/>
          <w:sz w:val="24"/>
          <w:szCs w:val="24"/>
        </w:rPr>
        <w:t xml:space="preserve"> </w:t>
      </w:r>
      <w:r w:rsidR="004F6C9C">
        <w:rPr>
          <w:rFonts w:ascii="Times New Roman" w:hAnsi="Times New Roman" w:cs="Times New Roman"/>
          <w:b/>
          <w:bCs/>
          <w:sz w:val="24"/>
          <w:szCs w:val="24"/>
        </w:rPr>
        <w:t>……………………………………………………………………</w:t>
      </w:r>
      <w:r>
        <w:rPr>
          <w:rFonts w:ascii="Times New Roman" w:hAnsi="Times New Roman" w:cs="Times New Roman"/>
          <w:b/>
          <w:bCs/>
          <w:sz w:val="24"/>
          <w:szCs w:val="24"/>
        </w:rPr>
        <w:t>7</w:t>
      </w:r>
      <w:r w:rsidRPr="003E193A">
        <w:rPr>
          <w:rFonts w:ascii="Times New Roman" w:hAnsi="Times New Roman" w:cs="Times New Roman"/>
          <w:sz w:val="24"/>
          <w:szCs w:val="24"/>
        </w:rPr>
        <w:br/>
        <w:t>2.1 Digital Technologies in Agriculture</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7</w:t>
      </w:r>
      <w:r w:rsidRPr="003E193A">
        <w:rPr>
          <w:rFonts w:ascii="Times New Roman" w:hAnsi="Times New Roman" w:cs="Times New Roman"/>
          <w:sz w:val="24"/>
          <w:szCs w:val="24"/>
        </w:rPr>
        <w:br/>
        <w:t>2.2 Theoretical Perspectives (TAM, DOI, RBV)</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8</w:t>
      </w:r>
      <w:r w:rsidRPr="003E193A">
        <w:rPr>
          <w:rFonts w:ascii="Times New Roman" w:hAnsi="Times New Roman" w:cs="Times New Roman"/>
          <w:sz w:val="24"/>
          <w:szCs w:val="24"/>
        </w:rPr>
        <w:br/>
        <w:t>2.3 Empirical Studies on Sustainability Outcomes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10</w:t>
      </w:r>
      <w:r w:rsidRPr="003E193A">
        <w:rPr>
          <w:rFonts w:ascii="Times New Roman" w:hAnsi="Times New Roman" w:cs="Times New Roman"/>
          <w:sz w:val="24"/>
          <w:szCs w:val="24"/>
        </w:rPr>
        <w:br/>
        <w:t>2.4 Empirical Evidence on Efficiency Improvements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12</w:t>
      </w:r>
      <w:r w:rsidRPr="003E193A">
        <w:rPr>
          <w:rFonts w:ascii="Times New Roman" w:hAnsi="Times New Roman" w:cs="Times New Roman"/>
          <w:sz w:val="24"/>
          <w:szCs w:val="24"/>
        </w:rPr>
        <w:br/>
        <w:t>2.5 Critical Evaluation and Research Gap</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14</w:t>
      </w:r>
    </w:p>
    <w:p w14:paraId="4445694F" w14:textId="397F7567" w:rsidR="003E193A" w:rsidRPr="003E193A" w:rsidRDefault="003E193A" w:rsidP="003E193A">
      <w:pPr>
        <w:spacing w:line="360" w:lineRule="auto"/>
        <w:ind w:left="720"/>
        <w:rPr>
          <w:rFonts w:ascii="Times New Roman" w:hAnsi="Times New Roman" w:cs="Times New Roman"/>
          <w:sz w:val="24"/>
          <w:szCs w:val="24"/>
        </w:rPr>
      </w:pPr>
      <w:r w:rsidRPr="003E193A">
        <w:rPr>
          <w:rFonts w:ascii="Times New Roman" w:hAnsi="Times New Roman" w:cs="Times New Roman"/>
          <w:sz w:val="24"/>
          <w:szCs w:val="24"/>
        </w:rPr>
        <w:t>2.6 Research Gaps and Justification</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16</w:t>
      </w:r>
    </w:p>
    <w:p w14:paraId="4B35C3C8" w14:textId="4B5F10CB" w:rsidR="003E193A" w:rsidRPr="003E193A" w:rsidRDefault="003E193A" w:rsidP="003E193A">
      <w:pPr>
        <w:numPr>
          <w:ilvl w:val="0"/>
          <w:numId w:val="32"/>
        </w:num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Methodology</w:t>
      </w:r>
      <w:r>
        <w:rPr>
          <w:rFonts w:ascii="Times New Roman" w:hAnsi="Times New Roman" w:cs="Times New Roman"/>
          <w:b/>
          <w:bCs/>
          <w:sz w:val="24"/>
          <w:szCs w:val="24"/>
        </w:rPr>
        <w:t xml:space="preserve"> </w:t>
      </w:r>
      <w:r w:rsidR="004F6C9C">
        <w:rPr>
          <w:rFonts w:ascii="Times New Roman" w:hAnsi="Times New Roman" w:cs="Times New Roman"/>
          <w:b/>
          <w:bCs/>
          <w:sz w:val="24"/>
          <w:szCs w:val="24"/>
        </w:rPr>
        <w:t>………………………………………………………………………..</w:t>
      </w:r>
      <w:r>
        <w:rPr>
          <w:rFonts w:ascii="Times New Roman" w:hAnsi="Times New Roman" w:cs="Times New Roman"/>
          <w:b/>
          <w:bCs/>
          <w:sz w:val="24"/>
          <w:szCs w:val="24"/>
        </w:rPr>
        <w:t>18</w:t>
      </w:r>
      <w:r w:rsidRPr="003E193A">
        <w:rPr>
          <w:rFonts w:ascii="Times New Roman" w:hAnsi="Times New Roman" w:cs="Times New Roman"/>
          <w:sz w:val="24"/>
          <w:szCs w:val="24"/>
        </w:rPr>
        <w:br/>
        <w:t>3.1 Research Philosophy and Approach</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18</w:t>
      </w:r>
      <w:r w:rsidRPr="003E193A">
        <w:rPr>
          <w:rFonts w:ascii="Times New Roman" w:hAnsi="Times New Roman" w:cs="Times New Roman"/>
          <w:sz w:val="24"/>
          <w:szCs w:val="24"/>
        </w:rPr>
        <w:br/>
        <w:t>3.2 Research Design and Strategy</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18</w:t>
      </w:r>
      <w:r w:rsidRPr="003E193A">
        <w:rPr>
          <w:rFonts w:ascii="Times New Roman" w:hAnsi="Times New Roman" w:cs="Times New Roman"/>
          <w:sz w:val="24"/>
          <w:szCs w:val="24"/>
        </w:rPr>
        <w:br/>
        <w:t>3.3 Operationalisation of Variables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19</w:t>
      </w:r>
      <w:r w:rsidRPr="003E193A">
        <w:rPr>
          <w:rFonts w:ascii="Times New Roman" w:hAnsi="Times New Roman" w:cs="Times New Roman"/>
          <w:sz w:val="24"/>
          <w:szCs w:val="24"/>
        </w:rPr>
        <w:br/>
        <w:t>3.4 Data Collection and Sampling</w:t>
      </w:r>
      <w:r w:rsidR="004F6C9C">
        <w:rPr>
          <w:rFonts w:ascii="Times New Roman" w:hAnsi="Times New Roman" w:cs="Times New Roman"/>
          <w:sz w:val="24"/>
          <w:szCs w:val="24"/>
        </w:rPr>
        <w:t>…………………………………………………...</w:t>
      </w:r>
      <w:r>
        <w:rPr>
          <w:rFonts w:ascii="Times New Roman" w:hAnsi="Times New Roman" w:cs="Times New Roman"/>
          <w:sz w:val="24"/>
          <w:szCs w:val="24"/>
        </w:rPr>
        <w:t xml:space="preserve"> 20</w:t>
      </w:r>
      <w:r w:rsidRPr="003E193A">
        <w:rPr>
          <w:rFonts w:ascii="Times New Roman" w:hAnsi="Times New Roman" w:cs="Times New Roman"/>
          <w:sz w:val="24"/>
          <w:szCs w:val="24"/>
        </w:rPr>
        <w:br/>
        <w:t>3.5 Data Analysis Techniques</w:t>
      </w:r>
      <w:r w:rsidR="004F6C9C">
        <w:rPr>
          <w:rFonts w:ascii="Times New Roman" w:hAnsi="Times New Roman" w:cs="Times New Roman"/>
          <w:sz w:val="24"/>
          <w:szCs w:val="24"/>
        </w:rPr>
        <w:t xml:space="preserve"> ………………………………………………………..</w:t>
      </w:r>
      <w:r>
        <w:rPr>
          <w:rFonts w:ascii="Times New Roman" w:hAnsi="Times New Roman" w:cs="Times New Roman"/>
          <w:sz w:val="24"/>
          <w:szCs w:val="24"/>
        </w:rPr>
        <w:t>22</w:t>
      </w:r>
      <w:r w:rsidRPr="003E193A">
        <w:rPr>
          <w:rFonts w:ascii="Times New Roman" w:hAnsi="Times New Roman" w:cs="Times New Roman"/>
          <w:sz w:val="24"/>
          <w:szCs w:val="24"/>
        </w:rPr>
        <w:br/>
        <w:t>3.6 Ethical Considerations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23</w:t>
      </w:r>
    </w:p>
    <w:p w14:paraId="68A4B3D5" w14:textId="14F871D2" w:rsidR="003E193A" w:rsidRPr="003E193A" w:rsidRDefault="003E193A" w:rsidP="003E193A">
      <w:pPr>
        <w:numPr>
          <w:ilvl w:val="0"/>
          <w:numId w:val="32"/>
        </w:num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Results</w:t>
      </w:r>
      <w:r>
        <w:rPr>
          <w:rFonts w:ascii="Times New Roman" w:hAnsi="Times New Roman" w:cs="Times New Roman"/>
          <w:b/>
          <w:bCs/>
          <w:sz w:val="24"/>
          <w:szCs w:val="24"/>
        </w:rPr>
        <w:t xml:space="preserve"> </w:t>
      </w:r>
      <w:r w:rsidR="004F6C9C">
        <w:rPr>
          <w:rFonts w:ascii="Times New Roman" w:hAnsi="Times New Roman" w:cs="Times New Roman"/>
          <w:b/>
          <w:bCs/>
          <w:sz w:val="24"/>
          <w:szCs w:val="24"/>
        </w:rPr>
        <w:t>………………………………………………………………………………</w:t>
      </w:r>
      <w:r>
        <w:rPr>
          <w:rFonts w:ascii="Times New Roman" w:hAnsi="Times New Roman" w:cs="Times New Roman"/>
          <w:b/>
          <w:bCs/>
          <w:sz w:val="24"/>
          <w:szCs w:val="24"/>
        </w:rPr>
        <w:t>26</w:t>
      </w:r>
      <w:r w:rsidRPr="003E193A">
        <w:rPr>
          <w:rFonts w:ascii="Times New Roman" w:hAnsi="Times New Roman" w:cs="Times New Roman"/>
          <w:sz w:val="24"/>
          <w:szCs w:val="24"/>
        </w:rPr>
        <w:br/>
        <w:t>4.1 Introduction</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26</w:t>
      </w:r>
      <w:r w:rsidRPr="003E193A">
        <w:rPr>
          <w:rFonts w:ascii="Times New Roman" w:hAnsi="Times New Roman" w:cs="Times New Roman"/>
          <w:sz w:val="24"/>
          <w:szCs w:val="24"/>
        </w:rPr>
        <w:br/>
        <w:t>4.2 Descriptive Statistics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26</w:t>
      </w:r>
      <w:r w:rsidRPr="003E193A">
        <w:rPr>
          <w:rFonts w:ascii="Times New Roman" w:hAnsi="Times New Roman" w:cs="Times New Roman"/>
          <w:sz w:val="24"/>
          <w:szCs w:val="24"/>
        </w:rPr>
        <w:br/>
        <w:t>4.3 Regression Model Outputs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27</w:t>
      </w:r>
      <w:r w:rsidRPr="003E193A">
        <w:rPr>
          <w:rFonts w:ascii="Times New Roman" w:hAnsi="Times New Roman" w:cs="Times New Roman"/>
          <w:sz w:val="24"/>
          <w:szCs w:val="24"/>
        </w:rPr>
        <w:br/>
        <w:t>4.4 Hypotheses Testing</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28</w:t>
      </w:r>
      <w:r w:rsidRPr="003E193A">
        <w:rPr>
          <w:rFonts w:ascii="Times New Roman" w:hAnsi="Times New Roman" w:cs="Times New Roman"/>
          <w:sz w:val="24"/>
          <w:szCs w:val="24"/>
        </w:rPr>
        <w:br/>
        <w:t>4.5 Summary Tables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29</w:t>
      </w:r>
      <w:r w:rsidRPr="003E193A">
        <w:rPr>
          <w:rFonts w:ascii="Times New Roman" w:hAnsi="Times New Roman" w:cs="Times New Roman"/>
          <w:sz w:val="24"/>
          <w:szCs w:val="24"/>
        </w:rPr>
        <w:br/>
        <w:t>4.6 Mapping Research Questions to Findings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30</w:t>
      </w:r>
      <w:r w:rsidRPr="003E193A">
        <w:rPr>
          <w:rFonts w:ascii="Times New Roman" w:hAnsi="Times New Roman" w:cs="Times New Roman"/>
          <w:sz w:val="24"/>
          <w:szCs w:val="24"/>
        </w:rPr>
        <w:br/>
        <w:t>4.7 Interpretation of Findings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32</w:t>
      </w:r>
    </w:p>
    <w:p w14:paraId="1193ECF7" w14:textId="5F380F5F" w:rsidR="003E193A" w:rsidRPr="003E193A" w:rsidRDefault="003E193A" w:rsidP="003E193A">
      <w:pPr>
        <w:numPr>
          <w:ilvl w:val="0"/>
          <w:numId w:val="32"/>
        </w:num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Discussion</w:t>
      </w:r>
      <w:r>
        <w:rPr>
          <w:rFonts w:ascii="Times New Roman" w:hAnsi="Times New Roman" w:cs="Times New Roman"/>
          <w:b/>
          <w:bCs/>
          <w:sz w:val="24"/>
          <w:szCs w:val="24"/>
        </w:rPr>
        <w:t xml:space="preserve"> </w:t>
      </w:r>
      <w:r w:rsidR="004F6C9C">
        <w:rPr>
          <w:rFonts w:ascii="Times New Roman" w:hAnsi="Times New Roman" w:cs="Times New Roman"/>
          <w:b/>
          <w:bCs/>
          <w:sz w:val="24"/>
          <w:szCs w:val="24"/>
        </w:rPr>
        <w:t>…………………………………………………………………………...</w:t>
      </w:r>
      <w:r>
        <w:rPr>
          <w:rFonts w:ascii="Times New Roman" w:hAnsi="Times New Roman" w:cs="Times New Roman"/>
          <w:b/>
          <w:bCs/>
          <w:sz w:val="24"/>
          <w:szCs w:val="24"/>
        </w:rPr>
        <w:t>34</w:t>
      </w:r>
      <w:r w:rsidRPr="003E193A">
        <w:rPr>
          <w:rFonts w:ascii="Times New Roman" w:hAnsi="Times New Roman" w:cs="Times New Roman"/>
          <w:sz w:val="24"/>
          <w:szCs w:val="24"/>
        </w:rPr>
        <w:br/>
        <w:t>5.1 Linking Findings to Hypotheses</w:t>
      </w:r>
      <w:r>
        <w:rPr>
          <w:rFonts w:ascii="Times New Roman" w:hAnsi="Times New Roman" w:cs="Times New Roman"/>
          <w:sz w:val="24"/>
          <w:szCs w:val="24"/>
        </w:rPr>
        <w:t xml:space="preserve"> </w:t>
      </w:r>
      <w:r w:rsidR="004F6C9C">
        <w:rPr>
          <w:rFonts w:ascii="Times New Roman" w:hAnsi="Times New Roman" w:cs="Times New Roman"/>
          <w:sz w:val="24"/>
          <w:szCs w:val="24"/>
        </w:rPr>
        <w:t>………………………………………………...</w:t>
      </w:r>
      <w:r>
        <w:rPr>
          <w:rFonts w:ascii="Times New Roman" w:hAnsi="Times New Roman" w:cs="Times New Roman"/>
          <w:sz w:val="24"/>
          <w:szCs w:val="24"/>
        </w:rPr>
        <w:t>34</w:t>
      </w:r>
      <w:r w:rsidRPr="003E193A">
        <w:rPr>
          <w:rFonts w:ascii="Times New Roman" w:hAnsi="Times New Roman" w:cs="Times New Roman"/>
          <w:sz w:val="24"/>
          <w:szCs w:val="24"/>
        </w:rPr>
        <w:br/>
      </w:r>
      <w:r w:rsidRPr="003E193A">
        <w:rPr>
          <w:rFonts w:ascii="Times New Roman" w:hAnsi="Times New Roman" w:cs="Times New Roman"/>
          <w:sz w:val="24"/>
          <w:szCs w:val="24"/>
        </w:rPr>
        <w:lastRenderedPageBreak/>
        <w:t>5.2 Theoretical Implications (TAM, DOI, RBV)</w:t>
      </w:r>
      <w:r w:rsidR="004F6C9C">
        <w:rPr>
          <w:rFonts w:ascii="Times New Roman" w:hAnsi="Times New Roman" w:cs="Times New Roman"/>
          <w:sz w:val="24"/>
          <w:szCs w:val="24"/>
        </w:rPr>
        <w:t xml:space="preserve"> ……………………………………34</w:t>
      </w:r>
      <w:r w:rsidRPr="003E193A">
        <w:rPr>
          <w:rFonts w:ascii="Times New Roman" w:hAnsi="Times New Roman" w:cs="Times New Roman"/>
          <w:sz w:val="24"/>
          <w:szCs w:val="24"/>
        </w:rPr>
        <w:br/>
        <w:t>5.3 Critical Engagement and Unexpected Results</w:t>
      </w:r>
      <w:r w:rsidR="004F6C9C">
        <w:rPr>
          <w:rFonts w:ascii="Times New Roman" w:hAnsi="Times New Roman" w:cs="Times New Roman"/>
          <w:sz w:val="24"/>
          <w:szCs w:val="24"/>
        </w:rPr>
        <w:t xml:space="preserve"> …………………………………..35</w:t>
      </w:r>
      <w:r w:rsidRPr="003E193A">
        <w:rPr>
          <w:rFonts w:ascii="Times New Roman" w:hAnsi="Times New Roman" w:cs="Times New Roman"/>
          <w:sz w:val="24"/>
          <w:szCs w:val="24"/>
        </w:rPr>
        <w:br/>
        <w:t>5.4 Policy and Practical Implications</w:t>
      </w:r>
      <w:r w:rsidR="004F6C9C">
        <w:rPr>
          <w:rFonts w:ascii="Times New Roman" w:hAnsi="Times New Roman" w:cs="Times New Roman"/>
          <w:sz w:val="24"/>
          <w:szCs w:val="24"/>
        </w:rPr>
        <w:t xml:space="preserve"> ………………………………………………..35</w:t>
      </w:r>
      <w:r w:rsidRPr="003E193A">
        <w:rPr>
          <w:rFonts w:ascii="Times New Roman" w:hAnsi="Times New Roman" w:cs="Times New Roman"/>
          <w:sz w:val="24"/>
          <w:szCs w:val="24"/>
        </w:rPr>
        <w:br/>
        <w:t>5.5 Strategic Value of Digital Adoption (RBV Lens)</w:t>
      </w:r>
      <w:r w:rsidR="004F6C9C">
        <w:rPr>
          <w:rFonts w:ascii="Times New Roman" w:hAnsi="Times New Roman" w:cs="Times New Roman"/>
          <w:sz w:val="24"/>
          <w:szCs w:val="24"/>
        </w:rPr>
        <w:t xml:space="preserve"> ………………………………..36</w:t>
      </w:r>
    </w:p>
    <w:p w14:paraId="72F6797F" w14:textId="589907AE" w:rsidR="003E193A" w:rsidRPr="003E193A" w:rsidRDefault="003E193A" w:rsidP="003E193A">
      <w:pPr>
        <w:numPr>
          <w:ilvl w:val="0"/>
          <w:numId w:val="32"/>
        </w:num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Conclusion and Recommendations</w:t>
      </w:r>
      <w:r w:rsidR="004F6C9C">
        <w:rPr>
          <w:rFonts w:ascii="Times New Roman" w:hAnsi="Times New Roman" w:cs="Times New Roman"/>
          <w:b/>
          <w:bCs/>
          <w:sz w:val="24"/>
          <w:szCs w:val="24"/>
        </w:rPr>
        <w:t xml:space="preserve"> ………………………………………………..37</w:t>
      </w:r>
      <w:r w:rsidRPr="003E193A">
        <w:rPr>
          <w:rFonts w:ascii="Times New Roman" w:hAnsi="Times New Roman" w:cs="Times New Roman"/>
          <w:sz w:val="24"/>
          <w:szCs w:val="24"/>
        </w:rPr>
        <w:br/>
        <w:t>6.1 Summary of Key Findings</w:t>
      </w:r>
      <w:r w:rsidR="004F6C9C">
        <w:rPr>
          <w:rFonts w:ascii="Times New Roman" w:hAnsi="Times New Roman" w:cs="Times New Roman"/>
          <w:sz w:val="24"/>
          <w:szCs w:val="24"/>
        </w:rPr>
        <w:t xml:space="preserve"> ………………………………………………………37</w:t>
      </w:r>
      <w:r w:rsidRPr="003E193A">
        <w:rPr>
          <w:rFonts w:ascii="Times New Roman" w:hAnsi="Times New Roman" w:cs="Times New Roman"/>
          <w:sz w:val="24"/>
          <w:szCs w:val="24"/>
        </w:rPr>
        <w:br/>
        <w:t>6.2 Theoretical Contributions</w:t>
      </w:r>
      <w:r w:rsidR="004F6C9C">
        <w:rPr>
          <w:rFonts w:ascii="Times New Roman" w:hAnsi="Times New Roman" w:cs="Times New Roman"/>
          <w:sz w:val="24"/>
          <w:szCs w:val="24"/>
        </w:rPr>
        <w:t xml:space="preserve"> ……………………………………………………….37</w:t>
      </w:r>
      <w:r w:rsidRPr="003E193A">
        <w:rPr>
          <w:rFonts w:ascii="Times New Roman" w:hAnsi="Times New Roman" w:cs="Times New Roman"/>
          <w:sz w:val="24"/>
          <w:szCs w:val="24"/>
        </w:rPr>
        <w:br/>
        <w:t>6.3 Practical Recommendations</w:t>
      </w:r>
      <w:r w:rsidR="004F6C9C">
        <w:rPr>
          <w:rFonts w:ascii="Times New Roman" w:hAnsi="Times New Roman" w:cs="Times New Roman"/>
          <w:sz w:val="24"/>
          <w:szCs w:val="24"/>
        </w:rPr>
        <w:t xml:space="preserve"> …………………………………………………….38</w:t>
      </w:r>
      <w:r w:rsidRPr="003E193A">
        <w:rPr>
          <w:rFonts w:ascii="Times New Roman" w:hAnsi="Times New Roman" w:cs="Times New Roman"/>
          <w:sz w:val="24"/>
          <w:szCs w:val="24"/>
        </w:rPr>
        <w:br/>
        <w:t>6.4 Limitations</w:t>
      </w:r>
      <w:r w:rsidR="004F6C9C">
        <w:rPr>
          <w:rFonts w:ascii="Times New Roman" w:hAnsi="Times New Roman" w:cs="Times New Roman"/>
          <w:sz w:val="24"/>
          <w:szCs w:val="24"/>
        </w:rPr>
        <w:t xml:space="preserve"> ………………………………………………………………………38</w:t>
      </w:r>
      <w:r w:rsidRPr="003E193A">
        <w:rPr>
          <w:rFonts w:ascii="Times New Roman" w:hAnsi="Times New Roman" w:cs="Times New Roman"/>
          <w:sz w:val="24"/>
          <w:szCs w:val="24"/>
        </w:rPr>
        <w:br/>
        <w:t>6.5 Future Research Directions</w:t>
      </w:r>
      <w:r w:rsidR="004F6C9C">
        <w:rPr>
          <w:rFonts w:ascii="Times New Roman" w:hAnsi="Times New Roman" w:cs="Times New Roman"/>
          <w:sz w:val="24"/>
          <w:szCs w:val="24"/>
        </w:rPr>
        <w:t xml:space="preserve"> ……………………………………………………...38</w:t>
      </w:r>
    </w:p>
    <w:p w14:paraId="749FFF0F" w14:textId="03C423A3" w:rsidR="003E193A" w:rsidRPr="003E193A" w:rsidRDefault="003E193A" w:rsidP="003E193A">
      <w:p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References</w:t>
      </w:r>
      <w:r w:rsidR="004F6C9C">
        <w:rPr>
          <w:rFonts w:ascii="Times New Roman" w:hAnsi="Times New Roman" w:cs="Times New Roman"/>
          <w:b/>
          <w:bCs/>
          <w:sz w:val="24"/>
          <w:szCs w:val="24"/>
        </w:rPr>
        <w:t xml:space="preserve"> …………………………………………………………………………………..39</w:t>
      </w:r>
    </w:p>
    <w:p w14:paraId="3908E174" w14:textId="2AED9495" w:rsidR="003E193A" w:rsidRPr="003E193A" w:rsidRDefault="003E193A" w:rsidP="003E193A">
      <w:pPr>
        <w:spacing w:line="360" w:lineRule="auto"/>
        <w:rPr>
          <w:rFonts w:ascii="Times New Roman" w:hAnsi="Times New Roman" w:cs="Times New Roman"/>
          <w:sz w:val="24"/>
          <w:szCs w:val="24"/>
        </w:rPr>
      </w:pPr>
      <w:r w:rsidRPr="003E193A">
        <w:rPr>
          <w:rFonts w:ascii="Times New Roman" w:hAnsi="Times New Roman" w:cs="Times New Roman"/>
          <w:b/>
          <w:bCs/>
          <w:sz w:val="24"/>
          <w:szCs w:val="24"/>
        </w:rPr>
        <w:t>Appendices</w:t>
      </w:r>
      <w:r w:rsidR="004F6C9C">
        <w:rPr>
          <w:rFonts w:ascii="Times New Roman" w:hAnsi="Times New Roman" w:cs="Times New Roman"/>
          <w:b/>
          <w:bCs/>
          <w:sz w:val="24"/>
          <w:szCs w:val="24"/>
        </w:rPr>
        <w:t xml:space="preserve"> ………………………………………………………………………………….43</w:t>
      </w:r>
    </w:p>
    <w:p w14:paraId="24BDF47C" w14:textId="09B756A1" w:rsidR="003E193A" w:rsidRPr="003E193A" w:rsidRDefault="003E193A" w:rsidP="003E193A">
      <w:pPr>
        <w:numPr>
          <w:ilvl w:val="0"/>
          <w:numId w:val="33"/>
        </w:numPr>
        <w:spacing w:line="360" w:lineRule="auto"/>
        <w:rPr>
          <w:rFonts w:ascii="Times New Roman" w:hAnsi="Times New Roman" w:cs="Times New Roman"/>
          <w:sz w:val="24"/>
          <w:szCs w:val="24"/>
        </w:rPr>
      </w:pPr>
      <w:r w:rsidRPr="003E193A">
        <w:rPr>
          <w:rFonts w:ascii="Times New Roman" w:hAnsi="Times New Roman" w:cs="Times New Roman"/>
          <w:sz w:val="24"/>
          <w:szCs w:val="24"/>
        </w:rPr>
        <w:t xml:space="preserve">Appendix A: </w:t>
      </w:r>
      <w:r w:rsidR="002B7ABA">
        <w:rPr>
          <w:rFonts w:ascii="Times New Roman" w:hAnsi="Times New Roman" w:cs="Times New Roman"/>
          <w:sz w:val="24"/>
          <w:szCs w:val="24"/>
        </w:rPr>
        <w:t>Survey Questionnaire ………………………………………………….43</w:t>
      </w:r>
    </w:p>
    <w:p w14:paraId="26590E9E" w14:textId="3246778D" w:rsidR="003E193A" w:rsidRPr="003E193A" w:rsidRDefault="003E193A" w:rsidP="003E193A">
      <w:pPr>
        <w:numPr>
          <w:ilvl w:val="0"/>
          <w:numId w:val="33"/>
        </w:numPr>
        <w:spacing w:line="360" w:lineRule="auto"/>
        <w:rPr>
          <w:rFonts w:ascii="Times New Roman" w:hAnsi="Times New Roman" w:cs="Times New Roman"/>
          <w:sz w:val="24"/>
          <w:szCs w:val="24"/>
        </w:rPr>
      </w:pPr>
      <w:r w:rsidRPr="003E193A">
        <w:rPr>
          <w:rFonts w:ascii="Times New Roman" w:hAnsi="Times New Roman" w:cs="Times New Roman"/>
          <w:sz w:val="24"/>
          <w:szCs w:val="24"/>
        </w:rPr>
        <w:t xml:space="preserve">Appendix B: </w:t>
      </w:r>
      <w:r w:rsidR="002B7ABA" w:rsidRPr="003E193A">
        <w:rPr>
          <w:rFonts w:ascii="Times New Roman" w:hAnsi="Times New Roman" w:cs="Times New Roman"/>
          <w:sz w:val="24"/>
          <w:szCs w:val="24"/>
        </w:rPr>
        <w:t>Survey Instrument</w:t>
      </w:r>
      <w:r w:rsidR="002B7ABA">
        <w:rPr>
          <w:rFonts w:ascii="Times New Roman" w:hAnsi="Times New Roman" w:cs="Times New Roman"/>
          <w:sz w:val="24"/>
          <w:szCs w:val="24"/>
        </w:rPr>
        <w:t xml:space="preserve"> ……………………………………………………..45</w:t>
      </w:r>
    </w:p>
    <w:p w14:paraId="5EFFD814" w14:textId="77777777" w:rsidR="003E193A" w:rsidRDefault="003E193A" w:rsidP="007573FC">
      <w:pPr>
        <w:spacing w:line="360" w:lineRule="auto"/>
        <w:jc w:val="both"/>
        <w:rPr>
          <w:rFonts w:ascii="Times New Roman" w:hAnsi="Times New Roman" w:cs="Times New Roman"/>
          <w:sz w:val="28"/>
          <w:szCs w:val="28"/>
        </w:rPr>
      </w:pPr>
    </w:p>
    <w:p w14:paraId="5795607B" w14:textId="77777777" w:rsidR="003E193A" w:rsidRDefault="003E193A" w:rsidP="007573FC">
      <w:pPr>
        <w:spacing w:line="360" w:lineRule="auto"/>
        <w:jc w:val="both"/>
        <w:rPr>
          <w:rFonts w:ascii="Times New Roman" w:hAnsi="Times New Roman" w:cs="Times New Roman"/>
          <w:sz w:val="28"/>
          <w:szCs w:val="28"/>
        </w:rPr>
      </w:pPr>
    </w:p>
    <w:p w14:paraId="486476AF" w14:textId="77777777" w:rsidR="003E193A" w:rsidRDefault="003E193A" w:rsidP="007573FC">
      <w:pPr>
        <w:spacing w:line="360" w:lineRule="auto"/>
        <w:jc w:val="both"/>
        <w:rPr>
          <w:rFonts w:ascii="Times New Roman" w:hAnsi="Times New Roman" w:cs="Times New Roman"/>
          <w:sz w:val="28"/>
          <w:szCs w:val="28"/>
        </w:rPr>
      </w:pPr>
    </w:p>
    <w:p w14:paraId="53050B53" w14:textId="77777777" w:rsidR="003E193A" w:rsidRDefault="003E193A" w:rsidP="007573FC">
      <w:pPr>
        <w:spacing w:line="360" w:lineRule="auto"/>
        <w:jc w:val="both"/>
        <w:rPr>
          <w:rFonts w:ascii="Times New Roman" w:hAnsi="Times New Roman" w:cs="Times New Roman"/>
          <w:sz w:val="28"/>
          <w:szCs w:val="28"/>
        </w:rPr>
      </w:pPr>
    </w:p>
    <w:p w14:paraId="5058B4F0" w14:textId="77777777" w:rsidR="003E193A" w:rsidRDefault="003E193A" w:rsidP="007573FC">
      <w:pPr>
        <w:spacing w:line="360" w:lineRule="auto"/>
        <w:jc w:val="both"/>
        <w:rPr>
          <w:rFonts w:ascii="Times New Roman" w:hAnsi="Times New Roman" w:cs="Times New Roman"/>
          <w:sz w:val="28"/>
          <w:szCs w:val="28"/>
        </w:rPr>
      </w:pPr>
    </w:p>
    <w:p w14:paraId="1A087754" w14:textId="77777777" w:rsidR="003E193A" w:rsidRDefault="003E193A" w:rsidP="007573FC">
      <w:pPr>
        <w:spacing w:line="360" w:lineRule="auto"/>
        <w:jc w:val="both"/>
        <w:rPr>
          <w:rFonts w:ascii="Times New Roman" w:hAnsi="Times New Roman" w:cs="Times New Roman"/>
          <w:sz w:val="28"/>
          <w:szCs w:val="28"/>
        </w:rPr>
      </w:pPr>
    </w:p>
    <w:p w14:paraId="303CB8FA" w14:textId="77777777" w:rsidR="003E193A" w:rsidRDefault="003E193A" w:rsidP="007573FC">
      <w:pPr>
        <w:spacing w:line="360" w:lineRule="auto"/>
        <w:jc w:val="both"/>
        <w:rPr>
          <w:rFonts w:ascii="Times New Roman" w:hAnsi="Times New Roman" w:cs="Times New Roman"/>
          <w:sz w:val="28"/>
          <w:szCs w:val="28"/>
        </w:rPr>
      </w:pPr>
    </w:p>
    <w:p w14:paraId="6F6471FA" w14:textId="77777777" w:rsidR="003E193A" w:rsidRDefault="003E193A" w:rsidP="007573FC">
      <w:pPr>
        <w:spacing w:line="360" w:lineRule="auto"/>
        <w:jc w:val="both"/>
        <w:rPr>
          <w:rFonts w:ascii="Times New Roman" w:hAnsi="Times New Roman" w:cs="Times New Roman"/>
          <w:sz w:val="28"/>
          <w:szCs w:val="28"/>
        </w:rPr>
      </w:pPr>
    </w:p>
    <w:p w14:paraId="49C3B664" w14:textId="77777777" w:rsidR="002B7ABA" w:rsidRDefault="002B7ABA" w:rsidP="007573FC">
      <w:pPr>
        <w:spacing w:line="360" w:lineRule="auto"/>
        <w:jc w:val="both"/>
        <w:rPr>
          <w:rFonts w:ascii="Times New Roman" w:hAnsi="Times New Roman" w:cs="Times New Roman"/>
          <w:sz w:val="28"/>
          <w:szCs w:val="28"/>
        </w:rPr>
      </w:pPr>
    </w:p>
    <w:p w14:paraId="707E26C3" w14:textId="77777777" w:rsidR="003E193A" w:rsidRDefault="003E193A" w:rsidP="007573FC">
      <w:pPr>
        <w:spacing w:line="360" w:lineRule="auto"/>
        <w:jc w:val="both"/>
        <w:rPr>
          <w:rFonts w:ascii="Times New Roman" w:hAnsi="Times New Roman" w:cs="Times New Roman"/>
          <w:sz w:val="28"/>
          <w:szCs w:val="28"/>
        </w:rPr>
      </w:pPr>
    </w:p>
    <w:p w14:paraId="09013045" w14:textId="77777777" w:rsidR="003E193A" w:rsidRPr="003E193A" w:rsidRDefault="003E193A" w:rsidP="007573FC">
      <w:pPr>
        <w:spacing w:line="360" w:lineRule="auto"/>
        <w:jc w:val="both"/>
        <w:rPr>
          <w:rFonts w:ascii="Times New Roman" w:hAnsi="Times New Roman" w:cs="Times New Roman"/>
          <w:sz w:val="28"/>
          <w:szCs w:val="28"/>
        </w:rPr>
      </w:pPr>
    </w:p>
    <w:p w14:paraId="563DEBCA" w14:textId="78634035" w:rsidR="007573FC" w:rsidRPr="00BC1529" w:rsidRDefault="004E3976" w:rsidP="007573FC">
      <w:pPr>
        <w:spacing w:line="360" w:lineRule="auto"/>
        <w:jc w:val="both"/>
        <w:rPr>
          <w:rFonts w:ascii="Times New Roman" w:hAnsi="Times New Roman" w:cs="Times New Roman"/>
          <w:b/>
          <w:bCs/>
          <w:sz w:val="32"/>
          <w:szCs w:val="32"/>
        </w:rPr>
      </w:pPr>
      <w:r w:rsidRPr="00BC1529">
        <w:rPr>
          <w:rFonts w:ascii="Times New Roman" w:hAnsi="Times New Roman" w:cs="Times New Roman"/>
          <w:b/>
          <w:bCs/>
          <w:sz w:val="32"/>
          <w:szCs w:val="32"/>
        </w:rPr>
        <w:lastRenderedPageBreak/>
        <w:t xml:space="preserve">                                          </w:t>
      </w:r>
      <w:r w:rsidR="007573FC" w:rsidRPr="00BC1529">
        <w:rPr>
          <w:rFonts w:ascii="Times New Roman" w:hAnsi="Times New Roman" w:cs="Times New Roman"/>
          <w:b/>
          <w:bCs/>
          <w:sz w:val="32"/>
          <w:szCs w:val="32"/>
        </w:rPr>
        <w:t>1. Introduction</w:t>
      </w:r>
    </w:p>
    <w:p w14:paraId="39FC5DB2" w14:textId="117E6CE1"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The agriculture sector in the United Kingdom is experiencing rapid transformation driven by technological advancements and rising sustainability pressures. Digital innovations such as precision agriculture tools, Internet of Things (IoT) sensors, satellite imagery and data analytics are increasingly being integrated into farming operations. These tools are widely promoted as enablers of sustainable food production, improved efficiency and greater supply chain transparency</w:t>
      </w:r>
      <w:r w:rsidR="008974D6">
        <w:rPr>
          <w:rFonts w:ascii="Times New Roman" w:hAnsi="Times New Roman" w:cs="Times New Roman"/>
          <w:sz w:val="24"/>
          <w:szCs w:val="24"/>
        </w:rPr>
        <w:t xml:space="preserve"> (</w:t>
      </w:r>
      <w:r w:rsidR="008974D6" w:rsidRPr="00BA78E1">
        <w:rPr>
          <w:rFonts w:ascii="Times New Roman" w:hAnsi="Times New Roman" w:cs="Times New Roman"/>
          <w:sz w:val="24"/>
          <w:szCs w:val="24"/>
        </w:rPr>
        <w:t>Barnes et al., 2019</w:t>
      </w:r>
      <w:r w:rsidR="008974D6">
        <w:rPr>
          <w:rFonts w:ascii="Times New Roman" w:hAnsi="Times New Roman" w:cs="Times New Roman"/>
          <w:sz w:val="24"/>
          <w:szCs w:val="24"/>
        </w:rPr>
        <w:t>)</w:t>
      </w:r>
      <w:r w:rsidRPr="00C23CF6">
        <w:rPr>
          <w:rFonts w:ascii="Times New Roman" w:hAnsi="Times New Roman" w:cs="Times New Roman"/>
          <w:sz w:val="24"/>
          <w:szCs w:val="24"/>
        </w:rPr>
        <w:t>. However, despite this narrative, there is still limited large-scale, quantitative evidence demonstrating how digital technologies actually affect sustainability and operational outcomes in UK commercial farming. This lack of robust empirical assessment represents a significant research gap that has direct implications for policy, investment and practice</w:t>
      </w:r>
      <w:r w:rsidR="008974D6">
        <w:rPr>
          <w:rFonts w:ascii="Times New Roman" w:hAnsi="Times New Roman" w:cs="Times New Roman"/>
          <w:sz w:val="24"/>
          <w:szCs w:val="24"/>
        </w:rPr>
        <w:t xml:space="preserve"> (</w:t>
      </w:r>
      <w:r w:rsidR="008974D6" w:rsidRPr="00023DE5">
        <w:rPr>
          <w:rFonts w:ascii="Times New Roman" w:hAnsi="Times New Roman" w:cs="Times New Roman"/>
          <w:sz w:val="24"/>
          <w:szCs w:val="24"/>
        </w:rPr>
        <w:t>Chatzimichael et al., 2023</w:t>
      </w:r>
      <w:r w:rsidR="008974D6">
        <w:rPr>
          <w:rFonts w:ascii="Times New Roman" w:hAnsi="Times New Roman" w:cs="Times New Roman"/>
          <w:sz w:val="24"/>
          <w:szCs w:val="24"/>
        </w:rPr>
        <w:t>)</w:t>
      </w:r>
      <w:r w:rsidRPr="00C23CF6">
        <w:rPr>
          <w:rFonts w:ascii="Times New Roman" w:hAnsi="Times New Roman" w:cs="Times New Roman"/>
          <w:sz w:val="24"/>
          <w:szCs w:val="24"/>
        </w:rPr>
        <w:t>.</w:t>
      </w:r>
    </w:p>
    <w:p w14:paraId="21A35892"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This study addresses that gap by systematically investigating the relationship between digital technology adoption and measurable outcomes in UK farming. By drawing on national datasets and applying quantitative methods, it contributes evidence-based insights on whether and to what extent digital technologies deliver on their promised benefits. In doing so, the research not only advances academic understanding of digital agriculture but also provides practical guidance for policymakers and farming enterprises navigating the transition toward more sustainable and efficient food systems.</w:t>
      </w:r>
    </w:p>
    <w:p w14:paraId="6B8EBB67" w14:textId="77777777" w:rsidR="007573FC" w:rsidRPr="007573FC" w:rsidRDefault="007573FC" w:rsidP="007573FC">
      <w:pPr>
        <w:spacing w:line="360" w:lineRule="auto"/>
        <w:jc w:val="both"/>
        <w:rPr>
          <w:rFonts w:ascii="Times New Roman" w:hAnsi="Times New Roman" w:cs="Times New Roman"/>
          <w:b/>
          <w:bCs/>
          <w:sz w:val="24"/>
          <w:szCs w:val="24"/>
        </w:rPr>
      </w:pPr>
      <w:r w:rsidRPr="007573FC">
        <w:rPr>
          <w:rFonts w:ascii="Times New Roman" w:hAnsi="Times New Roman" w:cs="Times New Roman"/>
          <w:b/>
          <w:bCs/>
          <w:sz w:val="24"/>
          <w:szCs w:val="24"/>
        </w:rPr>
        <w:t>1.1 Research Aim</w:t>
      </w:r>
    </w:p>
    <w:p w14:paraId="5DB83D33" w14:textId="77777777" w:rsidR="007573FC" w:rsidRP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The aim of this study is to investigate the extent to which digital technologies enhance sustainability and operational efficiency in commercial farming across the United Kingdom, using secondary quantitative data.</w:t>
      </w:r>
    </w:p>
    <w:p w14:paraId="0010C531" w14:textId="77777777" w:rsidR="007573FC" w:rsidRPr="007573FC" w:rsidRDefault="007573FC" w:rsidP="007573FC">
      <w:pPr>
        <w:spacing w:line="360" w:lineRule="auto"/>
        <w:jc w:val="both"/>
        <w:rPr>
          <w:rFonts w:ascii="Times New Roman" w:hAnsi="Times New Roman" w:cs="Times New Roman"/>
          <w:b/>
          <w:bCs/>
          <w:sz w:val="24"/>
          <w:szCs w:val="24"/>
        </w:rPr>
      </w:pPr>
      <w:r w:rsidRPr="007573FC">
        <w:rPr>
          <w:rFonts w:ascii="Times New Roman" w:hAnsi="Times New Roman" w:cs="Times New Roman"/>
          <w:b/>
          <w:bCs/>
          <w:sz w:val="24"/>
          <w:szCs w:val="24"/>
        </w:rPr>
        <w:t>1.2 Research Objectives</w:t>
      </w:r>
    </w:p>
    <w:p w14:paraId="1E699F5A" w14:textId="77777777" w:rsidR="007573FC" w:rsidRPr="007573FC" w:rsidRDefault="007573FC" w:rsidP="007573FC">
      <w:pPr>
        <w:numPr>
          <w:ilvl w:val="0"/>
          <w:numId w:val="1"/>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To identify the levels and patterns of digital technology adoption in UK commercial farming.</w:t>
      </w:r>
    </w:p>
    <w:p w14:paraId="5512FC2A" w14:textId="77777777" w:rsidR="007573FC" w:rsidRPr="007573FC" w:rsidRDefault="007573FC" w:rsidP="007573FC">
      <w:pPr>
        <w:numPr>
          <w:ilvl w:val="0"/>
          <w:numId w:val="1"/>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To assess the relationship between digital technology usage and selected sustainability metrics (e.g. fertiliser usage, emissions per hectare, energy input).</w:t>
      </w:r>
    </w:p>
    <w:p w14:paraId="5460AEC6" w14:textId="69EE8BD5" w:rsidR="007573FC" w:rsidRPr="007573FC" w:rsidRDefault="007573FC" w:rsidP="007573FC">
      <w:pPr>
        <w:numPr>
          <w:ilvl w:val="0"/>
          <w:numId w:val="1"/>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To evaluate the impact of digital tools on farming efficiency indicators yield per hectare, cost per unit output, input-output ratio.</w:t>
      </w:r>
    </w:p>
    <w:p w14:paraId="1C1DC1C4" w14:textId="77777777" w:rsidR="007573FC" w:rsidRPr="007573FC" w:rsidRDefault="007573FC" w:rsidP="007573FC">
      <w:pPr>
        <w:numPr>
          <w:ilvl w:val="0"/>
          <w:numId w:val="1"/>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lastRenderedPageBreak/>
        <w:t>To provide evidence-based recommendations for policy and practice that support the integration of digital technologies in UK agriculture.</w:t>
      </w:r>
    </w:p>
    <w:p w14:paraId="3C9F3BE5" w14:textId="77777777" w:rsidR="007573FC" w:rsidRPr="007573FC" w:rsidRDefault="007573FC" w:rsidP="007573FC">
      <w:pPr>
        <w:spacing w:line="360" w:lineRule="auto"/>
        <w:jc w:val="both"/>
        <w:rPr>
          <w:rFonts w:ascii="Times New Roman" w:hAnsi="Times New Roman" w:cs="Times New Roman"/>
          <w:b/>
          <w:bCs/>
          <w:sz w:val="24"/>
          <w:szCs w:val="24"/>
        </w:rPr>
      </w:pPr>
      <w:r w:rsidRPr="007573FC">
        <w:rPr>
          <w:rFonts w:ascii="Times New Roman" w:hAnsi="Times New Roman" w:cs="Times New Roman"/>
          <w:b/>
          <w:bCs/>
          <w:sz w:val="24"/>
          <w:szCs w:val="24"/>
        </w:rPr>
        <w:t>1.3 Research Questions</w:t>
      </w:r>
    </w:p>
    <w:p w14:paraId="43C982CE" w14:textId="77777777" w:rsidR="007573FC" w:rsidRPr="007573FC" w:rsidRDefault="007573FC" w:rsidP="007573FC">
      <w:pPr>
        <w:numPr>
          <w:ilvl w:val="0"/>
          <w:numId w:val="2"/>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What types of digital technologies are currently adopted by UK commercial farms?</w:t>
      </w:r>
    </w:p>
    <w:p w14:paraId="24ABDEAC" w14:textId="77777777" w:rsidR="007573FC" w:rsidRPr="007573FC" w:rsidRDefault="007573FC" w:rsidP="007573FC">
      <w:pPr>
        <w:numPr>
          <w:ilvl w:val="0"/>
          <w:numId w:val="2"/>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How does the use of digital technologies correlate with sustainability indicators in agricultural production?</w:t>
      </w:r>
    </w:p>
    <w:p w14:paraId="708A2B0C" w14:textId="77777777" w:rsidR="007573FC" w:rsidRPr="007573FC" w:rsidRDefault="007573FC" w:rsidP="007573FC">
      <w:pPr>
        <w:numPr>
          <w:ilvl w:val="0"/>
          <w:numId w:val="2"/>
        </w:num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To what extent is digital technology adoption associated with improvements in farm-level efficiency?</w:t>
      </w:r>
    </w:p>
    <w:p w14:paraId="7FA25EE5" w14:textId="77777777" w:rsidR="007573FC" w:rsidRPr="007573FC" w:rsidRDefault="007573FC" w:rsidP="007573FC">
      <w:pPr>
        <w:spacing w:line="360" w:lineRule="auto"/>
        <w:jc w:val="both"/>
        <w:rPr>
          <w:rFonts w:ascii="Times New Roman" w:hAnsi="Times New Roman" w:cs="Times New Roman"/>
          <w:b/>
          <w:bCs/>
          <w:sz w:val="24"/>
          <w:szCs w:val="24"/>
        </w:rPr>
      </w:pPr>
      <w:r w:rsidRPr="007573FC">
        <w:rPr>
          <w:rFonts w:ascii="Times New Roman" w:hAnsi="Times New Roman" w:cs="Times New Roman"/>
          <w:b/>
          <w:bCs/>
          <w:sz w:val="24"/>
          <w:szCs w:val="24"/>
        </w:rPr>
        <w:t>1.4 Hypothesis</w:t>
      </w:r>
    </w:p>
    <w:p w14:paraId="5C5156BA"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This study develops a set of testable hypotheses to examine the impact of digital technology adoption on sustainability and efficiency in UK commercial farming.</w:t>
      </w:r>
    </w:p>
    <w:p w14:paraId="3778FDA1" w14:textId="77777777" w:rsidR="00C23CF6" w:rsidRPr="00C23CF6" w:rsidRDefault="00C23CF6" w:rsidP="00C23CF6">
      <w:pPr>
        <w:numPr>
          <w:ilvl w:val="0"/>
          <w:numId w:val="22"/>
        </w:num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H1:</w:t>
      </w:r>
      <w:r w:rsidRPr="00C23CF6">
        <w:rPr>
          <w:rFonts w:ascii="Times New Roman" w:hAnsi="Times New Roman" w:cs="Times New Roman"/>
          <w:sz w:val="24"/>
          <w:szCs w:val="24"/>
        </w:rPr>
        <w:t xml:space="preserve"> Perceived usefulness of digital technologies is positively associated with improvements in farm efficiency outcomes.</w:t>
      </w:r>
    </w:p>
    <w:p w14:paraId="37A6DE15" w14:textId="062B41A9" w:rsidR="00C23CF6" w:rsidRPr="00C23CF6" w:rsidRDefault="00C23CF6" w:rsidP="00C23CF6">
      <w:pPr>
        <w:numPr>
          <w:ilvl w:val="0"/>
          <w:numId w:val="22"/>
        </w:num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H2:</w:t>
      </w:r>
      <w:r w:rsidRPr="00C23CF6">
        <w:rPr>
          <w:rFonts w:ascii="Times New Roman" w:hAnsi="Times New Roman" w:cs="Times New Roman"/>
          <w:sz w:val="24"/>
          <w:szCs w:val="24"/>
        </w:rPr>
        <w:t xml:space="preserve"> Adoption readiness (digital skills, infrastructure preparedness) is positively associated with efficiency outcomes.</w:t>
      </w:r>
    </w:p>
    <w:p w14:paraId="17A2A83E" w14:textId="77777777" w:rsidR="00C23CF6" w:rsidRPr="00C23CF6" w:rsidRDefault="00C23CF6" w:rsidP="00C23CF6">
      <w:pPr>
        <w:numPr>
          <w:ilvl w:val="0"/>
          <w:numId w:val="22"/>
        </w:num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H3:</w:t>
      </w:r>
      <w:r w:rsidRPr="00C23CF6">
        <w:rPr>
          <w:rFonts w:ascii="Times New Roman" w:hAnsi="Times New Roman" w:cs="Times New Roman"/>
          <w:sz w:val="24"/>
          <w:szCs w:val="24"/>
        </w:rPr>
        <w:t xml:space="preserve"> Frequency of digital technology use is positively associated with efficiency outcomes.</w:t>
      </w:r>
    </w:p>
    <w:p w14:paraId="561D197B" w14:textId="77777777" w:rsidR="00C23CF6" w:rsidRPr="00C23CF6" w:rsidRDefault="00C23CF6" w:rsidP="00C23CF6">
      <w:pPr>
        <w:numPr>
          <w:ilvl w:val="0"/>
          <w:numId w:val="22"/>
        </w:num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H4:</w:t>
      </w:r>
      <w:r w:rsidRPr="00C23CF6">
        <w:rPr>
          <w:rFonts w:ascii="Times New Roman" w:hAnsi="Times New Roman" w:cs="Times New Roman"/>
          <w:sz w:val="24"/>
          <w:szCs w:val="24"/>
        </w:rPr>
        <w:t xml:space="preserve"> Digital technology adoption is positively associated with sustainability outcomes (e.g. reduced input use, lower emissions).</w:t>
      </w:r>
    </w:p>
    <w:p w14:paraId="35675E0C" w14:textId="77777777" w:rsidR="00C23CF6" w:rsidRPr="00C23CF6" w:rsidRDefault="00C23CF6" w:rsidP="00C23CF6">
      <w:pPr>
        <w:numPr>
          <w:ilvl w:val="0"/>
          <w:numId w:val="22"/>
        </w:num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H5:</w:t>
      </w:r>
      <w:r w:rsidRPr="00C23CF6">
        <w:rPr>
          <w:rFonts w:ascii="Times New Roman" w:hAnsi="Times New Roman" w:cs="Times New Roman"/>
          <w:sz w:val="24"/>
          <w:szCs w:val="24"/>
        </w:rPr>
        <w:t xml:space="preserve"> Adoption readiness moderates the relationship between digital technology usefulness and efficiency outcomes, such that higher readiness strengthens this positive effect.</w:t>
      </w:r>
    </w:p>
    <w:p w14:paraId="598FCE72" w14:textId="33D598AA"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The null hypotheses for each (H1₀, H2₀, etc.) state that no significant relationships exist between digital technology adoption variables and farm efficiency or sustainability outcomes.</w:t>
      </w:r>
    </w:p>
    <w:p w14:paraId="4F4096CC" w14:textId="77777777" w:rsidR="007573FC" w:rsidRPr="007573FC" w:rsidRDefault="007573FC" w:rsidP="007573FC">
      <w:pPr>
        <w:spacing w:line="360" w:lineRule="auto"/>
        <w:jc w:val="both"/>
        <w:rPr>
          <w:rFonts w:ascii="Times New Roman" w:hAnsi="Times New Roman" w:cs="Times New Roman"/>
          <w:b/>
          <w:bCs/>
          <w:sz w:val="24"/>
          <w:szCs w:val="24"/>
        </w:rPr>
      </w:pPr>
      <w:bookmarkStart w:id="0" w:name="_Hlk206588818"/>
      <w:r w:rsidRPr="007573FC">
        <w:rPr>
          <w:rFonts w:ascii="Times New Roman" w:hAnsi="Times New Roman" w:cs="Times New Roman"/>
          <w:b/>
          <w:bCs/>
          <w:sz w:val="24"/>
          <w:szCs w:val="24"/>
        </w:rPr>
        <w:t>1.5 Problem Statement</w:t>
      </w:r>
    </w:p>
    <w:bookmarkEnd w:id="0"/>
    <w:p w14:paraId="7BE5EC31" w14:textId="4EAF7640" w:rsidR="007573FC" w:rsidRP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 xml:space="preserve">Despite increasing investments in digital agriculture, there remains a lack of robust quantitative evidence on whether these technologies deliver measurable gains in sustainability and efficiency within the commercial farming sector. Most existing studies are either qualitative, </w:t>
      </w:r>
      <w:r w:rsidRPr="007573FC">
        <w:rPr>
          <w:rFonts w:ascii="Times New Roman" w:hAnsi="Times New Roman" w:cs="Times New Roman"/>
          <w:sz w:val="24"/>
          <w:szCs w:val="24"/>
        </w:rPr>
        <w:lastRenderedPageBreak/>
        <w:t>region-specific</w:t>
      </w:r>
      <w:r w:rsidR="003E50FF">
        <w:rPr>
          <w:rFonts w:ascii="Times New Roman" w:hAnsi="Times New Roman" w:cs="Times New Roman"/>
          <w:sz w:val="24"/>
          <w:szCs w:val="24"/>
        </w:rPr>
        <w:t xml:space="preserve"> or</w:t>
      </w:r>
      <w:r w:rsidRPr="007573FC">
        <w:rPr>
          <w:rFonts w:ascii="Times New Roman" w:hAnsi="Times New Roman" w:cs="Times New Roman"/>
          <w:sz w:val="24"/>
          <w:szCs w:val="24"/>
        </w:rPr>
        <w:t xml:space="preserve"> limited in scope, leaving a gap in generalisable, data-driven insights applicable to the UK. This research seeks to fill that gap by applying rigorous quantitative methods to official agricultural datasets, focusing on the national context.</w:t>
      </w:r>
    </w:p>
    <w:p w14:paraId="3EA31D12" w14:textId="77777777" w:rsidR="007573FC" w:rsidRPr="007573FC" w:rsidRDefault="007573FC" w:rsidP="007573FC">
      <w:pPr>
        <w:spacing w:line="360" w:lineRule="auto"/>
        <w:jc w:val="both"/>
        <w:rPr>
          <w:rFonts w:ascii="Times New Roman" w:hAnsi="Times New Roman" w:cs="Times New Roman"/>
          <w:b/>
          <w:bCs/>
          <w:sz w:val="24"/>
          <w:szCs w:val="24"/>
        </w:rPr>
      </w:pPr>
      <w:r w:rsidRPr="007573FC">
        <w:rPr>
          <w:rFonts w:ascii="Times New Roman" w:hAnsi="Times New Roman" w:cs="Times New Roman"/>
          <w:b/>
          <w:bCs/>
          <w:sz w:val="24"/>
          <w:szCs w:val="24"/>
        </w:rPr>
        <w:t>1.6 Structure of the Report</w:t>
      </w:r>
    </w:p>
    <w:p w14:paraId="129F0C64" w14:textId="77777777" w:rsidR="007573FC" w:rsidRP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The remainder of this report is structured as follows:</w:t>
      </w:r>
    </w:p>
    <w:p w14:paraId="7AAB0B6D" w14:textId="77777777" w:rsidR="007573FC" w:rsidRPr="008974D6"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Section 2 presents a critical literature review, outlining current knowledge and identifying research gaps.</w:t>
      </w:r>
    </w:p>
    <w:p w14:paraId="0EE25028" w14:textId="77777777" w:rsidR="007573FC" w:rsidRPr="008974D6"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Section 3 outlines the research methodology, including design, sampling, data sources and analytical techniques.</w:t>
      </w:r>
    </w:p>
    <w:p w14:paraId="1B29D63D" w14:textId="77777777" w:rsidR="007573FC" w:rsidRPr="008974D6"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Section 4 presents the data analysis and findings using SPSS outputs.</w:t>
      </w:r>
    </w:p>
    <w:p w14:paraId="2F0CB57B" w14:textId="77777777" w:rsidR="007573FC" w:rsidRPr="008974D6"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Section 5 discusses the results in relation to the literature.</w:t>
      </w:r>
    </w:p>
    <w:p w14:paraId="159B08ED" w14:textId="77777777" w:rsidR="007573FC" w:rsidRPr="008974D6"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Section 6 provides conclusions and practical recommendations for the farming sector.</w:t>
      </w:r>
    </w:p>
    <w:p w14:paraId="77B22C62" w14:textId="77777777" w:rsidR="007573FC" w:rsidRDefault="007573FC" w:rsidP="007573FC">
      <w:pPr>
        <w:numPr>
          <w:ilvl w:val="0"/>
          <w:numId w:val="3"/>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 xml:space="preserve">Section 7 includes </w:t>
      </w:r>
      <w:r w:rsidRPr="007573FC">
        <w:rPr>
          <w:rFonts w:ascii="Times New Roman" w:hAnsi="Times New Roman" w:cs="Times New Roman"/>
          <w:sz w:val="24"/>
          <w:szCs w:val="24"/>
        </w:rPr>
        <w:t>a reference list and appendices.</w:t>
      </w:r>
    </w:p>
    <w:p w14:paraId="72099860" w14:textId="77777777" w:rsidR="004E3976" w:rsidRDefault="004E3976" w:rsidP="004E3976">
      <w:pPr>
        <w:spacing w:line="360" w:lineRule="auto"/>
        <w:jc w:val="both"/>
        <w:rPr>
          <w:rFonts w:ascii="Times New Roman" w:hAnsi="Times New Roman" w:cs="Times New Roman"/>
          <w:sz w:val="24"/>
          <w:szCs w:val="24"/>
        </w:rPr>
      </w:pPr>
    </w:p>
    <w:p w14:paraId="09A934B5" w14:textId="77777777" w:rsidR="004E3976" w:rsidRDefault="004E3976" w:rsidP="004E3976">
      <w:pPr>
        <w:spacing w:line="360" w:lineRule="auto"/>
        <w:jc w:val="both"/>
        <w:rPr>
          <w:rFonts w:ascii="Times New Roman" w:hAnsi="Times New Roman" w:cs="Times New Roman"/>
          <w:sz w:val="24"/>
          <w:szCs w:val="24"/>
        </w:rPr>
      </w:pPr>
    </w:p>
    <w:p w14:paraId="312E0C50" w14:textId="77777777" w:rsidR="004E3976" w:rsidRDefault="004E3976" w:rsidP="004E3976">
      <w:pPr>
        <w:spacing w:line="360" w:lineRule="auto"/>
        <w:jc w:val="both"/>
        <w:rPr>
          <w:rFonts w:ascii="Times New Roman" w:hAnsi="Times New Roman" w:cs="Times New Roman"/>
          <w:sz w:val="24"/>
          <w:szCs w:val="24"/>
        </w:rPr>
      </w:pPr>
    </w:p>
    <w:p w14:paraId="2E848D10" w14:textId="77777777" w:rsidR="004E3976" w:rsidRDefault="004E3976" w:rsidP="004E3976">
      <w:pPr>
        <w:spacing w:line="360" w:lineRule="auto"/>
        <w:jc w:val="both"/>
        <w:rPr>
          <w:rFonts w:ascii="Times New Roman" w:hAnsi="Times New Roman" w:cs="Times New Roman"/>
          <w:sz w:val="24"/>
          <w:szCs w:val="24"/>
        </w:rPr>
      </w:pPr>
    </w:p>
    <w:p w14:paraId="46BA0169" w14:textId="77777777" w:rsidR="004E3976" w:rsidRDefault="004E3976" w:rsidP="004E3976">
      <w:pPr>
        <w:spacing w:line="360" w:lineRule="auto"/>
        <w:jc w:val="both"/>
        <w:rPr>
          <w:rFonts w:ascii="Times New Roman" w:hAnsi="Times New Roman" w:cs="Times New Roman"/>
          <w:sz w:val="24"/>
          <w:szCs w:val="24"/>
        </w:rPr>
      </w:pPr>
    </w:p>
    <w:p w14:paraId="4D71B419" w14:textId="77777777" w:rsidR="004E3976" w:rsidRDefault="004E3976" w:rsidP="004E3976">
      <w:pPr>
        <w:spacing w:line="360" w:lineRule="auto"/>
        <w:jc w:val="both"/>
        <w:rPr>
          <w:rFonts w:ascii="Times New Roman" w:hAnsi="Times New Roman" w:cs="Times New Roman"/>
          <w:sz w:val="24"/>
          <w:szCs w:val="24"/>
        </w:rPr>
      </w:pPr>
    </w:p>
    <w:p w14:paraId="7181CBF5" w14:textId="77777777" w:rsidR="004E3976" w:rsidRDefault="004E3976" w:rsidP="004E3976">
      <w:pPr>
        <w:spacing w:line="360" w:lineRule="auto"/>
        <w:jc w:val="both"/>
        <w:rPr>
          <w:rFonts w:ascii="Times New Roman" w:hAnsi="Times New Roman" w:cs="Times New Roman"/>
          <w:sz w:val="24"/>
          <w:szCs w:val="24"/>
        </w:rPr>
      </w:pPr>
    </w:p>
    <w:p w14:paraId="42947255" w14:textId="77777777" w:rsidR="004E3976" w:rsidRDefault="004E3976" w:rsidP="004E3976">
      <w:pPr>
        <w:spacing w:line="360" w:lineRule="auto"/>
        <w:jc w:val="both"/>
        <w:rPr>
          <w:rFonts w:ascii="Times New Roman" w:hAnsi="Times New Roman" w:cs="Times New Roman"/>
          <w:sz w:val="24"/>
          <w:szCs w:val="24"/>
        </w:rPr>
      </w:pPr>
    </w:p>
    <w:p w14:paraId="29EE615B" w14:textId="77777777" w:rsidR="004E3976" w:rsidRDefault="004E3976" w:rsidP="004E3976">
      <w:pPr>
        <w:spacing w:line="360" w:lineRule="auto"/>
        <w:jc w:val="both"/>
        <w:rPr>
          <w:rFonts w:ascii="Times New Roman" w:hAnsi="Times New Roman" w:cs="Times New Roman"/>
          <w:sz w:val="24"/>
          <w:szCs w:val="24"/>
        </w:rPr>
      </w:pPr>
    </w:p>
    <w:p w14:paraId="2AAA21FB" w14:textId="77777777" w:rsidR="004E3976" w:rsidRDefault="004E3976" w:rsidP="004E3976">
      <w:pPr>
        <w:spacing w:line="360" w:lineRule="auto"/>
        <w:jc w:val="both"/>
        <w:rPr>
          <w:rFonts w:ascii="Times New Roman" w:hAnsi="Times New Roman" w:cs="Times New Roman"/>
          <w:sz w:val="24"/>
          <w:szCs w:val="24"/>
        </w:rPr>
      </w:pPr>
    </w:p>
    <w:p w14:paraId="2DD67737" w14:textId="77777777" w:rsidR="004E3976" w:rsidRDefault="004E3976" w:rsidP="004E3976">
      <w:pPr>
        <w:spacing w:line="360" w:lineRule="auto"/>
        <w:jc w:val="both"/>
        <w:rPr>
          <w:rFonts w:ascii="Times New Roman" w:hAnsi="Times New Roman" w:cs="Times New Roman"/>
          <w:sz w:val="24"/>
          <w:szCs w:val="24"/>
        </w:rPr>
      </w:pPr>
    </w:p>
    <w:p w14:paraId="54B4F42C" w14:textId="77777777" w:rsidR="008974D6" w:rsidRDefault="008974D6" w:rsidP="00BA78E1">
      <w:pPr>
        <w:spacing w:line="360" w:lineRule="auto"/>
        <w:jc w:val="both"/>
        <w:rPr>
          <w:rFonts w:ascii="Times New Roman" w:hAnsi="Times New Roman" w:cs="Times New Roman"/>
          <w:b/>
          <w:bCs/>
          <w:sz w:val="24"/>
          <w:szCs w:val="24"/>
        </w:rPr>
      </w:pPr>
    </w:p>
    <w:p w14:paraId="48874CFA" w14:textId="5FCE6242" w:rsidR="00BA78E1" w:rsidRPr="008974D6" w:rsidRDefault="008974D6" w:rsidP="00BA78E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Pr="00BC1529">
        <w:rPr>
          <w:rFonts w:ascii="Times New Roman" w:hAnsi="Times New Roman" w:cs="Times New Roman"/>
          <w:b/>
          <w:bCs/>
          <w:sz w:val="32"/>
          <w:szCs w:val="32"/>
        </w:rPr>
        <w:t xml:space="preserve">Chapter 2: Literature Review </w:t>
      </w:r>
    </w:p>
    <w:p w14:paraId="3CBF7100" w14:textId="77777777" w:rsidR="008974D6" w:rsidRDefault="008974D6" w:rsidP="00BA78E1">
      <w:pPr>
        <w:spacing w:line="360" w:lineRule="auto"/>
        <w:jc w:val="both"/>
        <w:rPr>
          <w:rFonts w:ascii="Times New Roman" w:hAnsi="Times New Roman" w:cs="Times New Roman"/>
          <w:b/>
          <w:bCs/>
          <w:sz w:val="24"/>
          <w:szCs w:val="24"/>
        </w:rPr>
      </w:pPr>
    </w:p>
    <w:p w14:paraId="48CF4E90" w14:textId="1AF17919" w:rsidR="00BA78E1" w:rsidRPr="00BA78E1" w:rsidRDefault="00BA78E1" w:rsidP="00BA78E1">
      <w:pPr>
        <w:spacing w:line="360" w:lineRule="auto"/>
        <w:jc w:val="both"/>
        <w:rPr>
          <w:rFonts w:ascii="Times New Roman" w:hAnsi="Times New Roman" w:cs="Times New Roman"/>
          <w:b/>
          <w:bCs/>
          <w:sz w:val="24"/>
          <w:szCs w:val="24"/>
        </w:rPr>
      </w:pPr>
      <w:r w:rsidRPr="00BA78E1">
        <w:rPr>
          <w:rFonts w:ascii="Times New Roman" w:hAnsi="Times New Roman" w:cs="Times New Roman"/>
          <w:b/>
          <w:bCs/>
          <w:sz w:val="24"/>
          <w:szCs w:val="24"/>
        </w:rPr>
        <w:t>2.1 Overview of Digital Technologies in UK Commercial Farming</w:t>
      </w:r>
    </w:p>
    <w:p w14:paraId="3DD8FEF3" w14:textId="0453B1EC"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The adoption of digital technologies in agriculture, often termed Agriculture 4.0, has been accelerating in the UK as the sector faces pressure to boost productivity while meeting sustainability goals. Key tools include precision agriculture systems, satellite-guided machinery, drone imaging, artificial intelligence (AI), Internet of Things (IoT) sensors, farm management software and autonomous robotics. These enable efficient input use, improved decision-making and real-time monitoring of crops, livestock and environmental variables (Klerkx &amp; Rose, 2020).</w:t>
      </w:r>
      <w:r>
        <w:rPr>
          <w:rFonts w:ascii="Times New Roman" w:hAnsi="Times New Roman" w:cs="Times New Roman"/>
          <w:sz w:val="24"/>
          <w:szCs w:val="24"/>
        </w:rPr>
        <w:t xml:space="preserve"> </w:t>
      </w:r>
      <w:r w:rsidRPr="00ED6931">
        <w:rPr>
          <w:rFonts w:ascii="Times New Roman" w:hAnsi="Times New Roman" w:cs="Times New Roman"/>
          <w:sz w:val="24"/>
          <w:szCs w:val="24"/>
        </w:rPr>
        <w:t>Government strategies, notably the DEFRA Agricultural Transition Plan (2022), support digital agriculture by incentivising environmental land management and data-driven practices. The UK smart farming market was valued at £654.9 million in 2023 and is projected to exceed £1.6 billion by 2030, driven largely by precision agriculture (IMARC Group, 2024). Examples include variable-rate application (VRA) for precise fertiliser use and GPS-controlled machinery that reduces overlap and waste.</w:t>
      </w:r>
    </w:p>
    <w:p w14:paraId="1030FB5E" w14:textId="3FC786F7" w:rsidR="00ED6931" w:rsidRPr="00ED6931" w:rsidRDefault="0049765A" w:rsidP="00E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ED6931" w:rsidRPr="00ED6931">
        <w:rPr>
          <w:rFonts w:ascii="Times New Roman" w:hAnsi="Times New Roman" w:cs="Times New Roman"/>
          <w:sz w:val="24"/>
          <w:szCs w:val="24"/>
        </w:rPr>
        <w:t>Adoption</w:t>
      </w:r>
      <w:r>
        <w:rPr>
          <w:rFonts w:ascii="Times New Roman" w:hAnsi="Times New Roman" w:cs="Times New Roman"/>
          <w:sz w:val="24"/>
          <w:szCs w:val="24"/>
        </w:rPr>
        <w:t xml:space="preserve"> </w:t>
      </w:r>
      <w:r w:rsidR="00ED6931" w:rsidRPr="00ED6931">
        <w:rPr>
          <w:rFonts w:ascii="Times New Roman" w:hAnsi="Times New Roman" w:cs="Times New Roman"/>
          <w:sz w:val="24"/>
          <w:szCs w:val="24"/>
        </w:rPr>
        <w:t>remains uneven. Farm size, digital infrastructure, funding access and generational attitudes influence uptake (Eastwood et al., 2017). Larger farms often invest in advanced platforms such as AI-powered models and drones, while smaller farms struggle with cost barriers, limited skills or poor broadband access (Farming Futures, 2023).</w:t>
      </w:r>
      <w:r w:rsidR="00ED6931">
        <w:rPr>
          <w:rFonts w:ascii="Times New Roman" w:hAnsi="Times New Roman" w:cs="Times New Roman"/>
          <w:sz w:val="24"/>
          <w:szCs w:val="24"/>
        </w:rPr>
        <w:t xml:space="preserve"> </w:t>
      </w:r>
      <w:r w:rsidR="00ED6931" w:rsidRPr="00ED6931">
        <w:rPr>
          <w:rFonts w:ascii="Times New Roman" w:hAnsi="Times New Roman" w:cs="Times New Roman"/>
          <w:sz w:val="24"/>
          <w:szCs w:val="24"/>
        </w:rPr>
        <w:t>The agri-tech sector contributes not only to efficiency but also to sustainability. DEFRA (2022) estimates digital technologies can cut fertiliser and pesticide use by 20–30%, raise yields by 10–15% and lower water use through smart irrigation (Farmonaut, 2024). These align with broader environmental goals such as carbon reduction and sustainable land management under the UK Net Zero Strategy.</w:t>
      </w:r>
    </w:p>
    <w:p w14:paraId="422803DD" w14:textId="71900EB0"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In this context, measuring the real impacts of digital technologies</w:t>
      </w:r>
      <w:r>
        <w:rPr>
          <w:rFonts w:ascii="Times New Roman" w:hAnsi="Times New Roman" w:cs="Times New Roman"/>
          <w:sz w:val="24"/>
          <w:szCs w:val="24"/>
        </w:rPr>
        <w:t xml:space="preserve"> </w:t>
      </w:r>
      <w:r w:rsidRPr="00ED6931">
        <w:rPr>
          <w:rFonts w:ascii="Times New Roman" w:hAnsi="Times New Roman" w:cs="Times New Roman"/>
          <w:sz w:val="24"/>
          <w:szCs w:val="24"/>
        </w:rPr>
        <w:t>not just their theoretical potential</w:t>
      </w:r>
      <w:r>
        <w:rPr>
          <w:rFonts w:ascii="Times New Roman" w:hAnsi="Times New Roman" w:cs="Times New Roman"/>
          <w:sz w:val="24"/>
          <w:szCs w:val="24"/>
        </w:rPr>
        <w:t xml:space="preserve"> </w:t>
      </w:r>
      <w:r w:rsidRPr="00ED6931">
        <w:rPr>
          <w:rFonts w:ascii="Times New Roman" w:hAnsi="Times New Roman" w:cs="Times New Roman"/>
          <w:sz w:val="24"/>
          <w:szCs w:val="24"/>
        </w:rPr>
        <w:t>is critical. Current evidence is fragmented, often qualitative or case-specific, highlighting the need for broader, quantitative assessments using real-world datasets to evaluate their influence on sustainability and efficiency in UK commercial farming.</w:t>
      </w:r>
    </w:p>
    <w:p w14:paraId="3D2BA2A7" w14:textId="77777777" w:rsidR="0049765A" w:rsidRDefault="0049765A" w:rsidP="00023DE5">
      <w:pPr>
        <w:spacing w:line="360" w:lineRule="auto"/>
        <w:jc w:val="both"/>
        <w:rPr>
          <w:rFonts w:ascii="Times New Roman" w:hAnsi="Times New Roman" w:cs="Times New Roman"/>
          <w:b/>
          <w:bCs/>
          <w:sz w:val="24"/>
          <w:szCs w:val="24"/>
        </w:rPr>
      </w:pPr>
    </w:p>
    <w:p w14:paraId="5A4BF49B" w14:textId="649181C1"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2.2 Theoretical Perspectives</w:t>
      </w:r>
    </w:p>
    <w:p w14:paraId="2F79BF34" w14:textId="7AFF794E"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lastRenderedPageBreak/>
        <w:t>Understanding how and why farmers adopt digital technologies requires a solid theoretical foundation. This study draws on three interrelated frameworks</w:t>
      </w:r>
      <w:r w:rsidR="00396361">
        <w:rPr>
          <w:rFonts w:ascii="Times New Roman" w:hAnsi="Times New Roman" w:cs="Times New Roman"/>
          <w:sz w:val="24"/>
          <w:szCs w:val="24"/>
        </w:rPr>
        <w:t>,</w:t>
      </w:r>
      <w:r w:rsidRPr="00ED6931">
        <w:rPr>
          <w:rFonts w:ascii="Times New Roman" w:hAnsi="Times New Roman" w:cs="Times New Roman"/>
          <w:sz w:val="24"/>
          <w:szCs w:val="24"/>
        </w:rPr>
        <w:t xml:space="preserve"> the Technology Acceptance Model (TAM), Diffusion of Innovation (DOI) theory and the Resource-Based View (RBV). Each offers distinct insights into adoption behaviours, perceived value and performance outcomes in UK commercial farming.</w:t>
      </w:r>
    </w:p>
    <w:p w14:paraId="0061847B" w14:textId="77777777" w:rsid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b/>
          <w:bCs/>
          <w:sz w:val="24"/>
          <w:szCs w:val="24"/>
        </w:rPr>
        <w:t>Technology Acceptance Model (TAM)</w:t>
      </w:r>
    </w:p>
    <w:p w14:paraId="6CA8FF43" w14:textId="34DC3EC9"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TAM (Davis, 1989) argues that adoption is driven by perceived usefulness and ease of use. In agriculture, usefulness relates to how digital tools improve performance or sustainability, while ease of use reflects training or implementation demands. Empirical studies show usefulness, such as reducing fertiliser costs or boosting yields, is the stronger predictor (Rezaei-Moghaddam &amp; Salehi, 2020). TAM’s limitation is its focus on individual cognition, often overlooking external influences like infrastructure or policy (Rose et al., 2016). Nevertheless, TAM usefully informs this study’s measures of DT_Usefulness and DT_Frequency, central to H1 and H2.</w:t>
      </w:r>
    </w:p>
    <w:p w14:paraId="1CC0FB5C" w14:textId="77777777" w:rsid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b/>
          <w:bCs/>
          <w:sz w:val="24"/>
          <w:szCs w:val="24"/>
        </w:rPr>
        <w:t>Diffusion of Innovation (DOI)</w:t>
      </w:r>
    </w:p>
    <w:p w14:paraId="2A559139" w14:textId="114D8E57"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Rogers’ (2003) DOI theory explains how technologies spread via adopter categories and innovation attributes</w:t>
      </w:r>
      <w:r w:rsidR="00396361">
        <w:rPr>
          <w:rFonts w:ascii="Times New Roman" w:hAnsi="Times New Roman" w:cs="Times New Roman"/>
          <w:sz w:val="24"/>
          <w:szCs w:val="24"/>
        </w:rPr>
        <w:t xml:space="preserve"> like,</w:t>
      </w:r>
      <w:r w:rsidRPr="00ED6931">
        <w:rPr>
          <w:rFonts w:ascii="Times New Roman" w:hAnsi="Times New Roman" w:cs="Times New Roman"/>
          <w:sz w:val="24"/>
          <w:szCs w:val="24"/>
        </w:rPr>
        <w:t xml:space="preserve"> relative advantage, trialability, compatibility. Adoption in farming is shaped by social learning and risk perceptions. UK studies show relative advantage</w:t>
      </w:r>
      <w:r w:rsidR="00396361">
        <w:rPr>
          <w:rFonts w:ascii="Times New Roman" w:hAnsi="Times New Roman" w:cs="Times New Roman"/>
          <w:sz w:val="24"/>
          <w:szCs w:val="24"/>
        </w:rPr>
        <w:t xml:space="preserve"> for</w:t>
      </w:r>
      <w:r w:rsidRPr="00ED6931">
        <w:rPr>
          <w:rFonts w:ascii="Times New Roman" w:hAnsi="Times New Roman" w:cs="Times New Roman"/>
          <w:sz w:val="24"/>
          <w:szCs w:val="24"/>
        </w:rPr>
        <w:t xml:space="preserve"> soil mapping, forecasting and compatibility drive uptake (Barnes et al., 2019</w:t>
      </w:r>
      <w:r w:rsidR="0049765A">
        <w:rPr>
          <w:rFonts w:ascii="Times New Roman" w:hAnsi="Times New Roman" w:cs="Times New Roman"/>
          <w:sz w:val="24"/>
          <w:szCs w:val="24"/>
        </w:rPr>
        <w:t>)</w:t>
      </w:r>
      <w:r w:rsidRPr="00ED6931">
        <w:rPr>
          <w:rFonts w:ascii="Times New Roman" w:hAnsi="Times New Roman" w:cs="Times New Roman"/>
          <w:sz w:val="24"/>
          <w:szCs w:val="24"/>
        </w:rPr>
        <w:t>. DOI also frames Adoption Readiness skills, willingness to invest, used in H3 and H4. Critics argue DOI underestimates systemic constraints like regulation or market volatility (Eastwood et al., 2017), making it more predictive in controlled contexts than in policy-driven agriculture.</w:t>
      </w:r>
    </w:p>
    <w:p w14:paraId="12E8D860" w14:textId="77777777" w:rsid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b/>
          <w:bCs/>
          <w:sz w:val="24"/>
          <w:szCs w:val="24"/>
        </w:rPr>
        <w:t>Resource-Based View (RBV)</w:t>
      </w:r>
    </w:p>
    <w:p w14:paraId="2FB0F021" w14:textId="04044172"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 xml:space="preserve">RBV (Barney, 1991) positions digital tools as internal resources that yield sustainable competitive advantage if they are valuable, rare, inimitable and organisationally embedded (VRIO). In farming, AI analytics, remote sensing and integrated management platforms can deliver differentiation and efficiency (Poppe et al., 2022). RBV supports H2 and H4 by emphasising that efficiency gains come not from access alone but from strategic deployment. For instance, Rehman et al. (2021) found digitally literate farms aligned with strategy achieved greater cost reductions and productivity gains. </w:t>
      </w:r>
      <w:r w:rsidR="00396361">
        <w:rPr>
          <w:rFonts w:ascii="Times New Roman" w:hAnsi="Times New Roman" w:cs="Times New Roman"/>
          <w:sz w:val="24"/>
          <w:szCs w:val="24"/>
        </w:rPr>
        <w:t>H</w:t>
      </w:r>
      <w:r w:rsidRPr="00ED6931">
        <w:rPr>
          <w:rFonts w:ascii="Times New Roman" w:hAnsi="Times New Roman" w:cs="Times New Roman"/>
          <w:sz w:val="24"/>
          <w:szCs w:val="24"/>
        </w:rPr>
        <w:t xml:space="preserve">owever, </w:t>
      </w:r>
      <w:r w:rsidR="00396361">
        <w:rPr>
          <w:rFonts w:ascii="Times New Roman" w:hAnsi="Times New Roman" w:cs="Times New Roman"/>
          <w:sz w:val="24"/>
          <w:szCs w:val="24"/>
        </w:rPr>
        <w:t xml:space="preserve">RBV </w:t>
      </w:r>
      <w:r w:rsidRPr="00ED6931">
        <w:rPr>
          <w:rFonts w:ascii="Times New Roman" w:hAnsi="Times New Roman" w:cs="Times New Roman"/>
          <w:sz w:val="24"/>
          <w:szCs w:val="24"/>
        </w:rPr>
        <w:t xml:space="preserve">has been critiqued as abstract </w:t>
      </w:r>
      <w:r w:rsidRPr="00ED6931">
        <w:rPr>
          <w:rFonts w:ascii="Times New Roman" w:hAnsi="Times New Roman" w:cs="Times New Roman"/>
          <w:sz w:val="24"/>
          <w:szCs w:val="24"/>
        </w:rPr>
        <w:lastRenderedPageBreak/>
        <w:t>and underdeveloped in farming contexts where subsidies or weather shocks can outweigh internal capabilities.</w:t>
      </w:r>
    </w:p>
    <w:p w14:paraId="28D386E8" w14:textId="77777777" w:rsid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b/>
          <w:bCs/>
          <w:sz w:val="24"/>
          <w:szCs w:val="24"/>
        </w:rPr>
        <w:t>Theoretical Integration and Justification</w:t>
      </w:r>
    </w:p>
    <w:p w14:paraId="31F8F336" w14:textId="5A2A6E3A"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By combining these three perspectives, the study captures multiple dimensions of digital adoption:</w:t>
      </w:r>
    </w:p>
    <w:p w14:paraId="36973490" w14:textId="77777777" w:rsidR="00ED6931" w:rsidRPr="00ED6931" w:rsidRDefault="00ED6931" w:rsidP="00ED6931">
      <w:pPr>
        <w:numPr>
          <w:ilvl w:val="0"/>
          <w:numId w:val="31"/>
        </w:num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TAM explains individual perceptions of usefulness and ease.</w:t>
      </w:r>
    </w:p>
    <w:p w14:paraId="61C838E6" w14:textId="77777777" w:rsidR="00ED6931" w:rsidRPr="00ED6931" w:rsidRDefault="00ED6931" w:rsidP="00ED6931">
      <w:pPr>
        <w:numPr>
          <w:ilvl w:val="0"/>
          <w:numId w:val="31"/>
        </w:num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DOI situates adoption within social systems and readiness.</w:t>
      </w:r>
    </w:p>
    <w:p w14:paraId="593BBF6C" w14:textId="77777777" w:rsidR="00ED6931" w:rsidRPr="00ED6931" w:rsidRDefault="00ED6931" w:rsidP="00ED6931">
      <w:pPr>
        <w:numPr>
          <w:ilvl w:val="0"/>
          <w:numId w:val="31"/>
        </w:num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RBV links technology use to sustained efficiency and performance.</w:t>
      </w:r>
    </w:p>
    <w:p w14:paraId="642B7357" w14:textId="77777777" w:rsidR="00ED6931" w:rsidRPr="00ED6931" w:rsidRDefault="00ED6931" w:rsidP="00ED6931">
      <w:pPr>
        <w:spacing w:line="360" w:lineRule="auto"/>
        <w:jc w:val="both"/>
        <w:rPr>
          <w:rFonts w:ascii="Times New Roman" w:hAnsi="Times New Roman" w:cs="Times New Roman"/>
          <w:sz w:val="24"/>
          <w:szCs w:val="24"/>
        </w:rPr>
      </w:pPr>
      <w:r w:rsidRPr="00ED6931">
        <w:rPr>
          <w:rFonts w:ascii="Times New Roman" w:hAnsi="Times New Roman" w:cs="Times New Roman"/>
          <w:sz w:val="24"/>
          <w:szCs w:val="24"/>
        </w:rPr>
        <w:t>This triangulated approach aligns with calls for integrating behavioural and structural factors in agricultural technology research (Dessart et al., 2019). It provides a strong foundation for testing the study’s hypotheses using SPSS-based quantitative methods.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9"/>
        <w:gridCol w:w="1240"/>
        <w:gridCol w:w="1682"/>
        <w:gridCol w:w="1457"/>
        <w:gridCol w:w="1842"/>
        <w:gridCol w:w="1436"/>
      </w:tblGrid>
      <w:tr w:rsidR="00C23CF6" w:rsidRPr="00C23CF6" w14:paraId="763CE57E" w14:textId="77777777" w:rsidTr="00C23CF6">
        <w:trPr>
          <w:tblHeader/>
          <w:tblCellSpacing w:w="15" w:type="dxa"/>
        </w:trPr>
        <w:tc>
          <w:tcPr>
            <w:tcW w:w="0" w:type="auto"/>
            <w:vAlign w:val="center"/>
            <w:hideMark/>
          </w:tcPr>
          <w:p w14:paraId="1D7AA363"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Framework</w:t>
            </w:r>
          </w:p>
        </w:tc>
        <w:tc>
          <w:tcPr>
            <w:tcW w:w="0" w:type="auto"/>
            <w:vAlign w:val="center"/>
            <w:hideMark/>
          </w:tcPr>
          <w:p w14:paraId="04DABBCD"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Key Focus</w:t>
            </w:r>
          </w:p>
        </w:tc>
        <w:tc>
          <w:tcPr>
            <w:tcW w:w="0" w:type="auto"/>
            <w:vAlign w:val="center"/>
            <w:hideMark/>
          </w:tcPr>
          <w:p w14:paraId="566348BD"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Core Constructs</w:t>
            </w:r>
          </w:p>
        </w:tc>
        <w:tc>
          <w:tcPr>
            <w:tcW w:w="0" w:type="auto"/>
            <w:vAlign w:val="center"/>
            <w:hideMark/>
          </w:tcPr>
          <w:p w14:paraId="39EA6D60"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Strengths in Agricultural Context</w:t>
            </w:r>
          </w:p>
        </w:tc>
        <w:tc>
          <w:tcPr>
            <w:tcW w:w="0" w:type="auto"/>
            <w:vAlign w:val="center"/>
            <w:hideMark/>
          </w:tcPr>
          <w:p w14:paraId="7172D93C"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Limitations</w:t>
            </w:r>
          </w:p>
        </w:tc>
        <w:tc>
          <w:tcPr>
            <w:tcW w:w="0" w:type="auto"/>
            <w:vAlign w:val="center"/>
            <w:hideMark/>
          </w:tcPr>
          <w:p w14:paraId="5E04B913" w14:textId="77777777" w:rsidR="00C23CF6" w:rsidRPr="00C23CF6" w:rsidRDefault="00C23CF6" w:rsidP="00C23CF6">
            <w:pPr>
              <w:spacing w:line="360" w:lineRule="auto"/>
              <w:jc w:val="both"/>
              <w:rPr>
                <w:rFonts w:ascii="Times New Roman" w:hAnsi="Times New Roman" w:cs="Times New Roman"/>
                <w:b/>
                <w:bCs/>
                <w:sz w:val="24"/>
                <w:szCs w:val="24"/>
              </w:rPr>
            </w:pPr>
            <w:r w:rsidRPr="00C23CF6">
              <w:rPr>
                <w:rFonts w:ascii="Times New Roman" w:hAnsi="Times New Roman" w:cs="Times New Roman"/>
                <w:b/>
                <w:bCs/>
                <w:sz w:val="24"/>
                <w:szCs w:val="24"/>
              </w:rPr>
              <w:t>Relevance to Hypotheses</w:t>
            </w:r>
          </w:p>
        </w:tc>
      </w:tr>
      <w:tr w:rsidR="00C23CF6" w:rsidRPr="00C23CF6" w14:paraId="599C8E4C" w14:textId="77777777" w:rsidTr="00C23CF6">
        <w:trPr>
          <w:tblCellSpacing w:w="15" w:type="dxa"/>
        </w:trPr>
        <w:tc>
          <w:tcPr>
            <w:tcW w:w="0" w:type="auto"/>
            <w:vAlign w:val="center"/>
            <w:hideMark/>
          </w:tcPr>
          <w:p w14:paraId="193CF994"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Technology Acceptance Model (TAM)</w:t>
            </w:r>
            <w:r w:rsidRPr="00C23CF6">
              <w:rPr>
                <w:rFonts w:ascii="Times New Roman" w:hAnsi="Times New Roman" w:cs="Times New Roman"/>
                <w:sz w:val="24"/>
                <w:szCs w:val="24"/>
              </w:rPr>
              <w:t xml:space="preserve"> (Davis, 1989)</w:t>
            </w:r>
          </w:p>
        </w:tc>
        <w:tc>
          <w:tcPr>
            <w:tcW w:w="0" w:type="auto"/>
            <w:vAlign w:val="center"/>
            <w:hideMark/>
          </w:tcPr>
          <w:p w14:paraId="533F5E55"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Individual perceptions of technology</w:t>
            </w:r>
          </w:p>
        </w:tc>
        <w:tc>
          <w:tcPr>
            <w:tcW w:w="0" w:type="auto"/>
            <w:vAlign w:val="center"/>
            <w:hideMark/>
          </w:tcPr>
          <w:p w14:paraId="4112CC3A"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Perceived usefulness, perceived ease of use</w:t>
            </w:r>
          </w:p>
        </w:tc>
        <w:tc>
          <w:tcPr>
            <w:tcW w:w="0" w:type="auto"/>
            <w:vAlign w:val="center"/>
            <w:hideMark/>
          </w:tcPr>
          <w:p w14:paraId="0931B5C0"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Explains why farmers adopt based on practical benefits (e.g. cost savings, yield gains)</w:t>
            </w:r>
          </w:p>
        </w:tc>
        <w:tc>
          <w:tcPr>
            <w:tcW w:w="0" w:type="auto"/>
            <w:vAlign w:val="center"/>
            <w:hideMark/>
          </w:tcPr>
          <w:p w14:paraId="531630B6"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Overlooks external/systemic factors such as infrastructure or policy</w:t>
            </w:r>
          </w:p>
        </w:tc>
        <w:tc>
          <w:tcPr>
            <w:tcW w:w="0" w:type="auto"/>
            <w:vAlign w:val="center"/>
            <w:hideMark/>
          </w:tcPr>
          <w:p w14:paraId="1557852B"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H1, H3 – Usefulness and frequency as predictors of efficiency</w:t>
            </w:r>
          </w:p>
        </w:tc>
      </w:tr>
      <w:tr w:rsidR="00C23CF6" w:rsidRPr="00C23CF6" w14:paraId="30117CB7" w14:textId="77777777" w:rsidTr="00C23CF6">
        <w:trPr>
          <w:tblCellSpacing w:w="15" w:type="dxa"/>
        </w:trPr>
        <w:tc>
          <w:tcPr>
            <w:tcW w:w="0" w:type="auto"/>
            <w:vAlign w:val="center"/>
            <w:hideMark/>
          </w:tcPr>
          <w:p w14:paraId="660BE4FB"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Diffusion of Innovation (DOI)</w:t>
            </w:r>
            <w:r w:rsidRPr="00C23CF6">
              <w:rPr>
                <w:rFonts w:ascii="Times New Roman" w:hAnsi="Times New Roman" w:cs="Times New Roman"/>
                <w:sz w:val="24"/>
                <w:szCs w:val="24"/>
              </w:rPr>
              <w:t xml:space="preserve"> (Rogers, 2003)</w:t>
            </w:r>
          </w:p>
        </w:tc>
        <w:tc>
          <w:tcPr>
            <w:tcW w:w="0" w:type="auto"/>
            <w:vAlign w:val="center"/>
            <w:hideMark/>
          </w:tcPr>
          <w:p w14:paraId="715C562F"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Spread of innovations across social systems</w:t>
            </w:r>
          </w:p>
        </w:tc>
        <w:tc>
          <w:tcPr>
            <w:tcW w:w="0" w:type="auto"/>
            <w:vAlign w:val="center"/>
            <w:hideMark/>
          </w:tcPr>
          <w:p w14:paraId="7E634394"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Relative advantage, trialability, compatibility, adopter categories</w:t>
            </w:r>
          </w:p>
        </w:tc>
        <w:tc>
          <w:tcPr>
            <w:tcW w:w="0" w:type="auto"/>
            <w:vAlign w:val="center"/>
            <w:hideMark/>
          </w:tcPr>
          <w:p w14:paraId="4124845E" w14:textId="0C0F9294"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Captures social learning, peer influence</w:t>
            </w:r>
            <w:r w:rsidR="00757256">
              <w:rPr>
                <w:rFonts w:ascii="Times New Roman" w:hAnsi="Times New Roman" w:cs="Times New Roman"/>
                <w:sz w:val="24"/>
                <w:szCs w:val="24"/>
              </w:rPr>
              <w:t xml:space="preserve"> and</w:t>
            </w:r>
            <w:r w:rsidRPr="00C23CF6">
              <w:rPr>
                <w:rFonts w:ascii="Times New Roman" w:hAnsi="Times New Roman" w:cs="Times New Roman"/>
                <w:sz w:val="24"/>
                <w:szCs w:val="24"/>
              </w:rPr>
              <w:t xml:space="preserve"> adoption readiness in farming communities</w:t>
            </w:r>
          </w:p>
        </w:tc>
        <w:tc>
          <w:tcPr>
            <w:tcW w:w="0" w:type="auto"/>
            <w:vAlign w:val="center"/>
            <w:hideMark/>
          </w:tcPr>
          <w:p w14:paraId="30F6F0E0"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May understate structural constraints like regulation or market risks</w:t>
            </w:r>
          </w:p>
        </w:tc>
        <w:tc>
          <w:tcPr>
            <w:tcW w:w="0" w:type="auto"/>
            <w:vAlign w:val="center"/>
            <w:hideMark/>
          </w:tcPr>
          <w:p w14:paraId="0C839C57"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H2, H5 – Readiness as predictor and moderator</w:t>
            </w:r>
          </w:p>
        </w:tc>
      </w:tr>
      <w:tr w:rsidR="00C23CF6" w:rsidRPr="00C23CF6" w14:paraId="645640FB" w14:textId="77777777" w:rsidTr="00C23CF6">
        <w:trPr>
          <w:tblCellSpacing w:w="15" w:type="dxa"/>
        </w:trPr>
        <w:tc>
          <w:tcPr>
            <w:tcW w:w="0" w:type="auto"/>
            <w:vAlign w:val="center"/>
            <w:hideMark/>
          </w:tcPr>
          <w:p w14:paraId="29EA3A6B"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lastRenderedPageBreak/>
              <w:t>Resource-Based View (RBV)</w:t>
            </w:r>
            <w:r w:rsidRPr="00C23CF6">
              <w:rPr>
                <w:rFonts w:ascii="Times New Roman" w:hAnsi="Times New Roman" w:cs="Times New Roman"/>
                <w:sz w:val="24"/>
                <w:szCs w:val="24"/>
              </w:rPr>
              <w:t xml:space="preserve"> (Barney, 1991)</w:t>
            </w:r>
          </w:p>
        </w:tc>
        <w:tc>
          <w:tcPr>
            <w:tcW w:w="0" w:type="auto"/>
            <w:vAlign w:val="center"/>
            <w:hideMark/>
          </w:tcPr>
          <w:p w14:paraId="19CFEEB8"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Strategic resources and capabilities</w:t>
            </w:r>
          </w:p>
        </w:tc>
        <w:tc>
          <w:tcPr>
            <w:tcW w:w="0" w:type="auto"/>
            <w:vAlign w:val="center"/>
            <w:hideMark/>
          </w:tcPr>
          <w:p w14:paraId="5905C622" w14:textId="4712621E"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Valuable, rare, inimitable</w:t>
            </w:r>
            <w:r w:rsidR="00757256">
              <w:rPr>
                <w:rFonts w:ascii="Times New Roman" w:hAnsi="Times New Roman" w:cs="Times New Roman"/>
                <w:sz w:val="24"/>
                <w:szCs w:val="24"/>
              </w:rPr>
              <w:t xml:space="preserve"> or</w:t>
            </w:r>
            <w:r w:rsidRPr="00C23CF6">
              <w:rPr>
                <w:rFonts w:ascii="Times New Roman" w:hAnsi="Times New Roman" w:cs="Times New Roman"/>
                <w:sz w:val="24"/>
                <w:szCs w:val="24"/>
              </w:rPr>
              <w:t>ganisationally embedded (VRIO)</w:t>
            </w:r>
          </w:p>
        </w:tc>
        <w:tc>
          <w:tcPr>
            <w:tcW w:w="0" w:type="auto"/>
            <w:vAlign w:val="center"/>
            <w:hideMark/>
          </w:tcPr>
          <w:p w14:paraId="4D8EF685"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Highlights efficiency and sustainability as competitive advantages from digital deployment</w:t>
            </w:r>
          </w:p>
        </w:tc>
        <w:tc>
          <w:tcPr>
            <w:tcW w:w="0" w:type="auto"/>
            <w:vAlign w:val="center"/>
            <w:hideMark/>
          </w:tcPr>
          <w:p w14:paraId="009422F0"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Abstract; external shocks (e.g. subsidies, weather) may outweigh internal resources</w:t>
            </w:r>
          </w:p>
        </w:tc>
        <w:tc>
          <w:tcPr>
            <w:tcW w:w="0" w:type="auto"/>
            <w:vAlign w:val="center"/>
            <w:hideMark/>
          </w:tcPr>
          <w:p w14:paraId="4E0D03C3"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H4 – Linking technology use to sustainability outcomes</w:t>
            </w:r>
          </w:p>
        </w:tc>
      </w:tr>
    </w:tbl>
    <w:p w14:paraId="42DD14D2" w14:textId="77777777" w:rsidR="00C23CF6" w:rsidRDefault="00C23CF6" w:rsidP="00023DE5">
      <w:pPr>
        <w:spacing w:line="360" w:lineRule="auto"/>
        <w:jc w:val="both"/>
        <w:rPr>
          <w:rFonts w:ascii="Times New Roman" w:hAnsi="Times New Roman" w:cs="Times New Roman"/>
          <w:sz w:val="24"/>
          <w:szCs w:val="24"/>
        </w:rPr>
      </w:pPr>
    </w:p>
    <w:p w14:paraId="503D6FCA"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2.3 Empirical Evidence on Sustainability Outcomes</w:t>
      </w:r>
    </w:p>
    <w:p w14:paraId="5FF67538" w14:textId="3E61E59D"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Digital technologies have been widely promoted as key enablers of sustainable agricultural practices, particularly in the context of climate change, resource depletion and environmental regulation. In the UK, commercial farms are under increasing pressure to meet sustainability targets while maintaining productivity. Empirical evidence increasingly supports the role of digital agriculture in advancing these objectives, though the impact varies by technology type, farm size and systemic integration</w:t>
      </w:r>
      <w:r w:rsidR="0092044E">
        <w:rPr>
          <w:rFonts w:ascii="Times New Roman" w:hAnsi="Times New Roman" w:cs="Times New Roman"/>
          <w:sz w:val="24"/>
          <w:szCs w:val="24"/>
        </w:rPr>
        <w:t xml:space="preserve"> (</w:t>
      </w:r>
      <w:r w:rsidR="0092044E" w:rsidRPr="00ED6931">
        <w:rPr>
          <w:rFonts w:ascii="Times New Roman" w:hAnsi="Times New Roman" w:cs="Times New Roman"/>
          <w:sz w:val="24"/>
          <w:szCs w:val="24"/>
        </w:rPr>
        <w:t>Kutter et al., 2018)</w:t>
      </w:r>
      <w:r w:rsidRPr="00023DE5">
        <w:rPr>
          <w:rFonts w:ascii="Times New Roman" w:hAnsi="Times New Roman" w:cs="Times New Roman"/>
          <w:sz w:val="24"/>
          <w:szCs w:val="24"/>
        </w:rPr>
        <w:t>.</w:t>
      </w:r>
    </w:p>
    <w:p w14:paraId="0CFBC136"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2.3.1 Resource Use Efficiency and Environmental Impact</w:t>
      </w:r>
    </w:p>
    <w:p w14:paraId="312FDC41" w14:textId="4411A485"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Precision farming tools such as variable rate technology (VRT), GPS-guided machinery and soil sensors enable farmers to apply fertilisers, pesticides and water with higher accuracy. </w:t>
      </w:r>
      <w:r w:rsidR="003E50FF" w:rsidRPr="00023DE5">
        <w:rPr>
          <w:rFonts w:ascii="Times New Roman" w:hAnsi="Times New Roman" w:cs="Times New Roman"/>
          <w:sz w:val="24"/>
          <w:szCs w:val="24"/>
        </w:rPr>
        <w:t xml:space="preserve">Gebresenbet et al., </w:t>
      </w:r>
      <w:r w:rsidR="003E50FF">
        <w:rPr>
          <w:rFonts w:ascii="Times New Roman" w:hAnsi="Times New Roman" w:cs="Times New Roman"/>
          <w:sz w:val="24"/>
          <w:szCs w:val="24"/>
        </w:rPr>
        <w:t>(</w:t>
      </w:r>
      <w:r w:rsidR="003E50FF" w:rsidRPr="00023DE5">
        <w:rPr>
          <w:rFonts w:ascii="Times New Roman" w:hAnsi="Times New Roman" w:cs="Times New Roman"/>
          <w:sz w:val="24"/>
          <w:szCs w:val="24"/>
        </w:rPr>
        <w:t>2023</w:t>
      </w:r>
      <w:r w:rsidR="003E50FF">
        <w:rPr>
          <w:rFonts w:ascii="Times New Roman" w:hAnsi="Times New Roman" w:cs="Times New Roman"/>
          <w:sz w:val="24"/>
          <w:szCs w:val="24"/>
        </w:rPr>
        <w:t>)</w:t>
      </w:r>
      <w:r w:rsidRPr="00023DE5">
        <w:rPr>
          <w:rFonts w:ascii="Times New Roman" w:hAnsi="Times New Roman" w:cs="Times New Roman"/>
          <w:sz w:val="24"/>
          <w:szCs w:val="24"/>
        </w:rPr>
        <w:t>have shown that these tools can reduce chemical inputs by up to 30% while maintaining or improving crop yields (Gabriel &amp; Gandorfer, 2023). This aligns with findings by Shepherd et al. (2020), who observed that data-driven decision-making through digital platforms supports optimised input use, contributing to reduced nutrient runoff and greenhouse gas emissions.</w:t>
      </w:r>
    </w:p>
    <w:p w14:paraId="142186D4"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Bossio et al. (2020) further emphasise the contribution of digital tools in enhancing soil health through targeted nutrient management, which supports carbon sequestration. Such practices directly support the UK’s Net Zero Strategy by reducing agriculture’s carbon footprint. </w:t>
      </w:r>
      <w:r w:rsidRPr="00023DE5">
        <w:rPr>
          <w:rFonts w:ascii="Times New Roman" w:hAnsi="Times New Roman" w:cs="Times New Roman"/>
          <w:sz w:val="24"/>
          <w:szCs w:val="24"/>
        </w:rPr>
        <w:lastRenderedPageBreak/>
        <w:t>Moreover, Lombi et al. (2019) highlight that nanotechnologies, when integrated with IoT sensors, can enable micro-level monitoring of nutrient cycling, offering promise for circular nutrient management and reduced leaching.</w:t>
      </w:r>
    </w:p>
    <w:p w14:paraId="653E24FE"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2.3.2 Biodiversity and Land Management</w:t>
      </w:r>
    </w:p>
    <w:p w14:paraId="1C1E0409"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Beyond input efficiency, digital platforms have also been used for biodiversity monitoring and sustainable land use planning. For example, remote sensing and AI-based mapping allow farmers to identify conservation zones or buffer strips, supporting pollinator habitats and reducing habitat fragmentation (Tzachor et al., 2022). Forster et al. (2021) argue that afforestation guided by satellite imaging and big data analytics can contribute to large-scale carbon storage and land rehabilitation strategies.</w:t>
      </w:r>
    </w:p>
    <w:p w14:paraId="468D85FD"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However, critics such as Rotz et al. (2019) caution against the assumption that digital technologies are inherently sustainable. The environmental cost of producing and maintaining digital infrastructure, from cloud computing energy use to e-waste, must be considered. This is especially pertinent in the UK, where energy demands of large agritech data systems may counterbalance some carbon savings if not powered by renewables.</w:t>
      </w:r>
    </w:p>
    <w:p w14:paraId="3E5A2802"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2.3.3 Urban and Peri-Urban Sustainability</w:t>
      </w:r>
    </w:p>
    <w:p w14:paraId="23BD9A30" w14:textId="7675D17C"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Urban agriculture presents a unique setting where digital technologies can promote food system resilience and local sustainability. Edmondson et al. (2020), using Leicester as a case study, demonstrate how digitally coordinated allotment systems can enhance horticultural outputs while reducing supply chain emissions. In such contexts, digital tools extend beyond production optimisation to include consumer access, local policy engagement and traceability</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contributing to sustainability in urban and peri-urban food systems.</w:t>
      </w:r>
    </w:p>
    <w:p w14:paraId="3BD0E586"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2.3.4 Critical Evaluation</w:t>
      </w:r>
    </w:p>
    <w:p w14:paraId="58022776"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While the empirical literature provides substantial evidence that digital technologies support more sustainable farming systems, there are notable limitations. Much of the data originates from pilot projects or controlled trials with high-tech farms. The scalability of these results to the diverse landscape of UK commercial farming remains uncertain. Furthermore, socioeconomic factors such as digital literacy and farm income levels mediate the effectiveness of these technologies, yet are often omitted from environmental assessments (Smidt &amp; Jokonya, 2022).</w:t>
      </w:r>
    </w:p>
    <w:p w14:paraId="65B0B547"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lastRenderedPageBreak/>
        <w:t>In addition, studies like Visser et al. (2021) raise questions about the accuracy and reliability of some digital tools. Inaccurate sensing or poor algorithmic calibration may lead to suboptimal input decisions, undermining sustainability goals. Therefore, digitalisation should not be seen as a panacea but as one component in a broader systems approach to sustainable agriculture.</w:t>
      </w:r>
    </w:p>
    <w:p w14:paraId="3C70EA8B" w14:textId="3336F398" w:rsidR="0049765A" w:rsidRPr="00023DE5" w:rsidRDefault="00023DE5" w:rsidP="0049765A">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2.4 Empirical Evidence on Efficiency Improvements</w:t>
      </w:r>
    </w:p>
    <w:p w14:paraId="52E2B1D5"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Operational efficiency in commercial farming is commonly defined in terms of resource productivity, cost-effectiveness</w:t>
      </w:r>
      <w:r>
        <w:rPr>
          <w:rFonts w:ascii="Times New Roman" w:hAnsi="Times New Roman" w:cs="Times New Roman"/>
          <w:sz w:val="24"/>
          <w:szCs w:val="24"/>
        </w:rPr>
        <w:t xml:space="preserve"> and </w:t>
      </w:r>
      <w:r w:rsidRPr="00023DE5">
        <w:rPr>
          <w:rFonts w:ascii="Times New Roman" w:hAnsi="Times New Roman" w:cs="Times New Roman"/>
          <w:sz w:val="24"/>
          <w:szCs w:val="24"/>
        </w:rPr>
        <w:t xml:space="preserve"> overall profitability. Digital technologies have been promoted as key tools in achieving these objectives through automation, predictive analytics and integrated farm management systems. Empirical studies support this premise, though the evidence reveals significant variation depending on farm characteristics, technology types and implementation scales.</w:t>
      </w:r>
    </w:p>
    <w:p w14:paraId="5DCD2253" w14:textId="77777777" w:rsidR="0049765A" w:rsidRPr="00023DE5" w:rsidRDefault="0049765A" w:rsidP="0049765A">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2.4.1 Yield Optimisation and Input Reduction</w:t>
      </w:r>
    </w:p>
    <w:p w14:paraId="21AAC436"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Several studies confirm that precision agriculture can improve output-to-input ratios, leading to increased yield per hectare and reduced production costs. Maraveas et al. (2022) report that IoT-enabled greenhouse management significantly improves climate control, leading to optimal growing conditions and higher crop yields with less energy expenditure. Similarly, Vaintrub et al. (2021) demonstrate the role of automation and real-time monitoring in livestock systems, where precision feeding and health tracking improve output quality and reduce labour costs.</w:t>
      </w:r>
    </w:p>
    <w:p w14:paraId="2F362156"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Pfeiffer et al. (2021) provide broader quantitative evidence from Germany, showing that farmers using digital platforms for input scheduling achieved higher margins due to optimised fertiliser and irrigation schedules. These findings are echoed in the UK context by Salihu et al. (2025), who mapped innovation infrastructure across British agri-tech clusters and found measurable gains in productivity for farms integrating AI-enabled forecasting tools.</w:t>
      </w:r>
    </w:p>
    <w:p w14:paraId="4AA9B24A" w14:textId="77777777" w:rsidR="0049765A" w:rsidRPr="00023DE5" w:rsidRDefault="0049765A" w:rsidP="0049765A">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2.4.2 Labour Efficiency and Operational Streamlining</w:t>
      </w:r>
    </w:p>
    <w:p w14:paraId="6B2996C0"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Digitally enabled automation also reduces manual labour demands, which is particularly valuable amid growing rural labour shortages. As Duncan et al. (2021) note, automation in field tasks, such as robotic weeding or drone-based spraying, allows commercial farms to reallocate labour to higher-value activities or reduce wage expenditure. In this context, the adoption of digital technology contributes to both operational cost reduction and time efficiency.</w:t>
      </w:r>
    </w:p>
    <w:p w14:paraId="358923BC"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lastRenderedPageBreak/>
        <w:t>However, these gains are not uniform across farm sizes. Gabriel &amp; Gandorfer (2023) observe that larger farms are more likely to benefit from economies of scale in deploying high-cost precision equipment. For small and medium farms, the return on investment is often delayed, especially without government subsidies or shared equipment schemes. This echoes findings by Buckwell et al. (2019), who argue that the structural design of the Common Agricultural Policy (CAP) often skews efficiency benefits toward capital-rich enterprises.</w:t>
      </w:r>
    </w:p>
    <w:p w14:paraId="692CB0FF" w14:textId="77777777" w:rsidR="0049765A" w:rsidRPr="00023DE5" w:rsidRDefault="0049765A" w:rsidP="0049765A">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2.4.3 Farm Management Decision-Making</w:t>
      </w:r>
    </w:p>
    <w:p w14:paraId="728F0E56"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Digital technologies also enhance strategic farm-level decision-making through data integration. Farm management information systems (FMIS) and platforms for real-time data visualisation enable farmers to monitor crop status, weather forecasts and market prices simultaneously. Gebresenbet et al. (2023) present a conceptual model of smart agricultural systems in which integrated digital platforms enhance responsiveness, adaptability and risk mitigation, ultimately improving decision quality and operational agility.</w:t>
      </w:r>
    </w:p>
    <w:p w14:paraId="7525E210"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Despite this potential, empirical evidence also highlights barriers to effective implementation. Kernecker et al. (2020) found that farmers' expectations often exceeded the actual performance of digital systems, leading to dissatisfaction and underuse. Inaccurate or overly complex data outputs may reduce trust and slow integration into daily operations.</w:t>
      </w:r>
    </w:p>
    <w:p w14:paraId="495E8483" w14:textId="77777777" w:rsidR="0049765A" w:rsidRPr="00023DE5" w:rsidRDefault="0049765A" w:rsidP="0049765A">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2.4.4 Critical Evaluation</w:t>
      </w:r>
    </w:p>
    <w:p w14:paraId="4A0E6371"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While there is strong evidence that digital technologies can improve operational efficiency, two critical caveats emerge. First, much of the existing research focuses on technical potential rather than realised economic returns, particularly in commercial UK settings. For instance, while sensors and robotics promise labour savings, their high capital cost and maintenance complexity may deter full adoption, particularly among medium-scale farms (Franks, 2022).</w:t>
      </w:r>
    </w:p>
    <w:p w14:paraId="2509B554"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Second, efficiency improvements often depend on effective training and digital literacy, which remain uneven across regions and demographics (Rust et al., 2022). As a result, digital technologies may exacerbate efficiency gaps between early adopters and lagging farms, rather than closing them. Moreover, technologies perceived as burdensome or intrusive may encounter resistance, especially if the benefits are not clearly visible in the short term (Wiseman et al., 2019).</w:t>
      </w:r>
    </w:p>
    <w:p w14:paraId="007E11BD" w14:textId="77777777" w:rsidR="0049765A" w:rsidRPr="00023DE5" w:rsidRDefault="0049765A" w:rsidP="0049765A">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lastRenderedPageBreak/>
        <w:t>Thus, while digital farming systems hold demonstrable potential for enhancing efficiency, their success is contingent on appropriate support structures, training, financial access and realistic expectations regarding cost-benefit ratios.</w:t>
      </w:r>
    </w:p>
    <w:p w14:paraId="1495A378" w14:textId="5184682C" w:rsidR="00023DE5" w:rsidRPr="00023DE5" w:rsidRDefault="00023DE5" w:rsidP="00023DE5">
      <w:pPr>
        <w:spacing w:line="360" w:lineRule="auto"/>
        <w:jc w:val="both"/>
        <w:rPr>
          <w:rFonts w:ascii="Times New Roman" w:hAnsi="Times New Roman" w:cs="Times New Roman"/>
          <w:sz w:val="24"/>
          <w:szCs w:val="24"/>
        </w:rPr>
      </w:pPr>
    </w:p>
    <w:p w14:paraId="4BACE791"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2.5 Barriers and Enablers of Adoption</w:t>
      </w:r>
    </w:p>
    <w:p w14:paraId="433C8FA0"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Despite the growing recognition of digital agriculture's potential to enhance both sustainability and efficiency, adoption among UK commercial farmers remains inconsistent. The uptake of technologies is mediated by a range of socio-technical, institutional and behavioural factors. This section synthesises key barriers and enablers identified in recent empirical studies, providing a critical lens on the readiness of the UK farming sector for digital transformation.</w:t>
      </w:r>
    </w:p>
    <w:p w14:paraId="055EC0D3"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2.5.1 Barriers to Adoption</w:t>
      </w:r>
    </w:p>
    <w:p w14:paraId="1F180E02"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One of the most persistent barriers to digital technology adoption is </w:t>
      </w:r>
      <w:r w:rsidRPr="0092044E">
        <w:rPr>
          <w:rFonts w:ascii="Times New Roman" w:hAnsi="Times New Roman" w:cs="Times New Roman"/>
          <w:sz w:val="24"/>
          <w:szCs w:val="24"/>
        </w:rPr>
        <w:t>cost and affordability.</w:t>
      </w:r>
      <w:r w:rsidRPr="00023DE5">
        <w:rPr>
          <w:rFonts w:ascii="Times New Roman" w:hAnsi="Times New Roman" w:cs="Times New Roman"/>
          <w:sz w:val="24"/>
          <w:szCs w:val="24"/>
        </w:rPr>
        <w:t xml:space="preserve"> Advanced technologies such as drones, precision applicators and autonomous machinery involve substantial upfront investment. Franks (2022) emphasises that smaller UK farms often operate on thin margins, making capital-intensive innovations inaccessible without external subsidies or leasing schemes. Salihu et al. (2025) confirm that financing gaps remain a structural weakness in the UK’s agricultural innovation system, despite the presence of innovation hubs and agri-tech incubators.</w:t>
      </w:r>
    </w:p>
    <w:p w14:paraId="78DE34C5" w14:textId="77777777" w:rsidR="00023DE5" w:rsidRPr="00023DE5" w:rsidRDefault="00023DE5" w:rsidP="00023DE5">
      <w:p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Digital infrastructure and connectivity</w:t>
      </w:r>
      <w:r w:rsidRPr="00023DE5">
        <w:rPr>
          <w:rFonts w:ascii="Times New Roman" w:hAnsi="Times New Roman" w:cs="Times New Roman"/>
          <w:sz w:val="24"/>
          <w:szCs w:val="24"/>
        </w:rPr>
        <w:t xml:space="preserve"> also limit adoption. Many rural regions in the UK still lack reliable broadband, making it difficult to operate cloud-based farm management systems or receive real-time data streams (Giles, 2020). This digital divide not only constrains tool usage but reinforces existing regional inequalities in productivity and environmental outcomes.</w:t>
      </w:r>
    </w:p>
    <w:p w14:paraId="7F9B65CB"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Another barrier is </w:t>
      </w:r>
      <w:r w:rsidRPr="0092044E">
        <w:rPr>
          <w:rFonts w:ascii="Times New Roman" w:hAnsi="Times New Roman" w:cs="Times New Roman"/>
          <w:sz w:val="24"/>
          <w:szCs w:val="24"/>
        </w:rPr>
        <w:t>data privacy and trust</w:t>
      </w:r>
      <w:r w:rsidRPr="00023DE5">
        <w:rPr>
          <w:rFonts w:ascii="Times New Roman" w:hAnsi="Times New Roman" w:cs="Times New Roman"/>
          <w:sz w:val="24"/>
          <w:szCs w:val="24"/>
        </w:rPr>
        <w:t>. Wiseman et al. (2019) found that farmers are often reluctant to share their farm data due to fears of corporate misuse, loss of autonomy or lack of clear benefits. Similarly, Visser et al. (2021) argue that the opacity of algorithmic decision-making in precision agriculture fosters scepticism, especially when models are trained on generalised datasets that do not reflect localised farming conditions.</w:t>
      </w:r>
    </w:p>
    <w:p w14:paraId="079D233F" w14:textId="77777777" w:rsidR="00023DE5" w:rsidRPr="00023DE5" w:rsidRDefault="00023DE5" w:rsidP="00023DE5">
      <w:p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Technical complexity and skill gaps</w:t>
      </w:r>
      <w:r w:rsidRPr="00023DE5">
        <w:rPr>
          <w:rFonts w:ascii="Times New Roman" w:hAnsi="Times New Roman" w:cs="Times New Roman"/>
          <w:sz w:val="24"/>
          <w:szCs w:val="24"/>
        </w:rPr>
        <w:t xml:space="preserve"> are additional hurdles. Smidt and Jokonya (2022) highlight that small and mid-size farmers often lack the expertise or labour capacity to interpret sensor </w:t>
      </w:r>
      <w:r w:rsidRPr="00023DE5">
        <w:rPr>
          <w:rFonts w:ascii="Times New Roman" w:hAnsi="Times New Roman" w:cs="Times New Roman"/>
          <w:sz w:val="24"/>
          <w:szCs w:val="24"/>
        </w:rPr>
        <w:lastRenderedPageBreak/>
        <w:t>data, manage software platforms or maintain digital systems. Without tailored training programmes and support services, these technologies risk being underutilised or abandoned.</w:t>
      </w:r>
    </w:p>
    <w:p w14:paraId="325DDD29"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2.5.2 Enablers of Adoption</w:t>
      </w:r>
    </w:p>
    <w:p w14:paraId="55FA4D5A" w14:textId="728EF4C2"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Several enablers have been identified in facilitating the uptake of digital technologies. </w:t>
      </w:r>
      <w:r w:rsidRPr="0092044E">
        <w:rPr>
          <w:rFonts w:ascii="Times New Roman" w:hAnsi="Times New Roman" w:cs="Times New Roman"/>
          <w:sz w:val="24"/>
          <w:szCs w:val="24"/>
        </w:rPr>
        <w:t>Perceived usefulness and ease of integration</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core constructs in the Technology Acceptance Model</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remain strong motivators (Pfeiffer et al., 2021). When farmers observe clear benefits in yield, cost savings or compliance with environmental standards, they are more likely to adopt and retain the technology.</w:t>
      </w:r>
    </w:p>
    <w:p w14:paraId="7E765F44" w14:textId="77777777" w:rsidR="00023DE5" w:rsidRPr="00023DE5" w:rsidRDefault="00023DE5" w:rsidP="00023DE5">
      <w:p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Demonstration projects and peer influence</w:t>
      </w:r>
      <w:r w:rsidRPr="00023DE5">
        <w:rPr>
          <w:rFonts w:ascii="Times New Roman" w:hAnsi="Times New Roman" w:cs="Times New Roman"/>
          <w:sz w:val="24"/>
          <w:szCs w:val="24"/>
        </w:rPr>
        <w:t xml:space="preserve"> also play a significant role. Gabriel and Gandorfer (2023) found that early adopters in regional farming networks often serve as influential role models, encouraging neighbouring farms to explore digital tools. This aligns with the Diffusion of Innovation theory’s emphasis on social systems and peer learning as catalysts for innovation spread.</w:t>
      </w:r>
    </w:p>
    <w:p w14:paraId="1E31B149" w14:textId="2537D913" w:rsidR="00023DE5" w:rsidRPr="00023DE5" w:rsidRDefault="00023DE5" w:rsidP="00023DE5">
      <w:p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Policy support and institutional incentives</w:t>
      </w:r>
      <w:r w:rsidRPr="00023DE5">
        <w:rPr>
          <w:rFonts w:ascii="Times New Roman" w:hAnsi="Times New Roman" w:cs="Times New Roman"/>
          <w:sz w:val="24"/>
          <w:szCs w:val="24"/>
        </w:rPr>
        <w:t xml:space="preserve"> are critical enablers in the UK context. The DEFRA Agricultural Transition Plan includes provisions for innovation grants and digital farming support schemes, although awareness and access remain uneven (Giles, 2020). Shepherd et al. (2020) argue that integrated policy packages</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combining funding, training and infrastructure</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are essential for realising the full potential of digital agriculture.</w:t>
      </w:r>
    </w:p>
    <w:p w14:paraId="736B017A"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Additionally, </w:t>
      </w:r>
      <w:r w:rsidRPr="0092044E">
        <w:rPr>
          <w:rFonts w:ascii="Times New Roman" w:hAnsi="Times New Roman" w:cs="Times New Roman"/>
          <w:sz w:val="24"/>
          <w:szCs w:val="24"/>
        </w:rPr>
        <w:t>collaborative ecosystem development</w:t>
      </w:r>
      <w:r w:rsidRPr="00023DE5">
        <w:rPr>
          <w:rFonts w:ascii="Times New Roman" w:hAnsi="Times New Roman" w:cs="Times New Roman"/>
          <w:sz w:val="24"/>
          <w:szCs w:val="24"/>
        </w:rPr>
        <w:t xml:space="preserve"> involving agri-tech companies, universities and government agencies helps bridge knowledge and capacity gaps. Birner et al. (2021) identify this multi-stakeholder engagement as a crucial feature of successful digitalisation strategies, especially where public-private partnerships facilitate both innovation and inclusion.</w:t>
      </w:r>
    </w:p>
    <w:p w14:paraId="6B249BDB"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2.5.3 Critical Reflection</w:t>
      </w:r>
    </w:p>
    <w:p w14:paraId="767C082E"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Although a number of policy and market interventions aim to promote digital adoption, they often lack coherence and long-term funding stability. Short-term pilot programmes may demonstrate potential but fail to deliver lasting change if not followed by sustained investment and capacity building. Moreover, adoption is not binary; farmers may experiment with digital tools but revert to traditional methods if results are inconclusive or support is inadequate (Duncan et al., 2021).</w:t>
      </w:r>
    </w:p>
    <w:p w14:paraId="0F52D502" w14:textId="22AD9729"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lastRenderedPageBreak/>
        <w:t>Crucially, as Barrett and Rose (2022) note, the framing of the “Fourth Agricultural Revolution” can alienate farmers who feel excluded from technological discourse or overwhelmed by rapid change. For adoption to be meaningful and equitable, it must be accompanied by farmer-led innovation, transparent communication</w:t>
      </w:r>
      <w:r w:rsidR="003E50FF">
        <w:rPr>
          <w:rFonts w:ascii="Times New Roman" w:hAnsi="Times New Roman" w:cs="Times New Roman"/>
          <w:sz w:val="24"/>
          <w:szCs w:val="24"/>
        </w:rPr>
        <w:t xml:space="preserve"> and </w:t>
      </w:r>
      <w:r w:rsidRPr="00023DE5">
        <w:rPr>
          <w:rFonts w:ascii="Times New Roman" w:hAnsi="Times New Roman" w:cs="Times New Roman"/>
          <w:sz w:val="24"/>
          <w:szCs w:val="24"/>
        </w:rPr>
        <w:t xml:space="preserve"> locally grounded experimentation.</w:t>
      </w:r>
    </w:p>
    <w:p w14:paraId="3F17F3C4"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2.6 Research Gaps and Justification</w:t>
      </w:r>
    </w:p>
    <w:p w14:paraId="14EF6BF7" w14:textId="1F0C990F"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While the current literature provides valuable insights into the role of digital technologies in agriculture, several important gaps persist</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 xml:space="preserve">particularly in the context of </w:t>
      </w:r>
      <w:r w:rsidRPr="0092044E">
        <w:rPr>
          <w:rFonts w:ascii="Times New Roman" w:hAnsi="Times New Roman" w:cs="Times New Roman"/>
          <w:sz w:val="24"/>
          <w:szCs w:val="24"/>
        </w:rPr>
        <w:t>quantitative, UK-based studies focused on commercial farming. These limitations justify t</w:t>
      </w:r>
      <w:r w:rsidRPr="00023DE5">
        <w:rPr>
          <w:rFonts w:ascii="Times New Roman" w:hAnsi="Times New Roman" w:cs="Times New Roman"/>
          <w:sz w:val="24"/>
          <w:szCs w:val="24"/>
        </w:rPr>
        <w:t>he need for further research and underscore the contribution of the present study.</w:t>
      </w:r>
    </w:p>
    <w:p w14:paraId="400D9A54"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2.6.1 Limited Quantitative Assessment in the UK Context</w:t>
      </w:r>
    </w:p>
    <w:p w14:paraId="64E659D0" w14:textId="2C3F10BF"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Many recent studies </w:t>
      </w:r>
      <w:r w:rsidR="0092044E">
        <w:rPr>
          <w:rFonts w:ascii="Times New Roman" w:hAnsi="Times New Roman" w:cs="Times New Roman"/>
          <w:sz w:val="24"/>
          <w:szCs w:val="24"/>
        </w:rPr>
        <w:t xml:space="preserve">from </w:t>
      </w:r>
      <w:r w:rsidRPr="00023DE5">
        <w:rPr>
          <w:rFonts w:ascii="Times New Roman" w:hAnsi="Times New Roman" w:cs="Times New Roman"/>
          <w:sz w:val="24"/>
          <w:szCs w:val="24"/>
        </w:rPr>
        <w:t xml:space="preserve">Shepherd et al., </w:t>
      </w:r>
      <w:r w:rsidR="0092044E">
        <w:rPr>
          <w:rFonts w:ascii="Times New Roman" w:hAnsi="Times New Roman" w:cs="Times New Roman"/>
          <w:sz w:val="24"/>
          <w:szCs w:val="24"/>
        </w:rPr>
        <w:t>(</w:t>
      </w:r>
      <w:r w:rsidRPr="00023DE5">
        <w:rPr>
          <w:rFonts w:ascii="Times New Roman" w:hAnsi="Times New Roman" w:cs="Times New Roman"/>
          <w:sz w:val="24"/>
          <w:szCs w:val="24"/>
        </w:rPr>
        <w:t>2020</w:t>
      </w:r>
      <w:r w:rsidR="0092044E">
        <w:rPr>
          <w:rFonts w:ascii="Times New Roman" w:hAnsi="Times New Roman" w:cs="Times New Roman"/>
          <w:sz w:val="24"/>
          <w:szCs w:val="24"/>
        </w:rPr>
        <w:t>) and</w:t>
      </w:r>
      <w:r w:rsidRPr="00023DE5">
        <w:rPr>
          <w:rFonts w:ascii="Times New Roman" w:hAnsi="Times New Roman" w:cs="Times New Roman"/>
          <w:sz w:val="24"/>
          <w:szCs w:val="24"/>
        </w:rPr>
        <w:t xml:space="preserve"> Duncan et al., </w:t>
      </w:r>
      <w:r w:rsidR="0092044E">
        <w:rPr>
          <w:rFonts w:ascii="Times New Roman" w:hAnsi="Times New Roman" w:cs="Times New Roman"/>
          <w:sz w:val="24"/>
          <w:szCs w:val="24"/>
        </w:rPr>
        <w:t>(</w:t>
      </w:r>
      <w:r w:rsidRPr="00023DE5">
        <w:rPr>
          <w:rFonts w:ascii="Times New Roman" w:hAnsi="Times New Roman" w:cs="Times New Roman"/>
          <w:sz w:val="24"/>
          <w:szCs w:val="24"/>
        </w:rPr>
        <w:t>2021</w:t>
      </w:r>
      <w:r w:rsidR="0092044E">
        <w:rPr>
          <w:rFonts w:ascii="Times New Roman" w:hAnsi="Times New Roman" w:cs="Times New Roman"/>
          <w:sz w:val="24"/>
          <w:szCs w:val="24"/>
        </w:rPr>
        <w:t>)</w:t>
      </w:r>
      <w:r w:rsidRPr="00023DE5">
        <w:rPr>
          <w:rFonts w:ascii="Times New Roman" w:hAnsi="Times New Roman" w:cs="Times New Roman"/>
          <w:sz w:val="24"/>
          <w:szCs w:val="24"/>
        </w:rPr>
        <w:t xml:space="preserve"> emphasise the theoretical and practical benefits of digital tools, yet there is a noticeable absence of </w:t>
      </w:r>
      <w:r w:rsidRPr="0092044E">
        <w:rPr>
          <w:rFonts w:ascii="Times New Roman" w:hAnsi="Times New Roman" w:cs="Times New Roman"/>
          <w:sz w:val="24"/>
          <w:szCs w:val="24"/>
        </w:rPr>
        <w:t>large-scale, quantitative research measuring how these technologies affect farm efficiency and sustainability outcomes in the UK specifically. Much of the empirical evidence originates</w:t>
      </w:r>
      <w:r w:rsidRPr="00023DE5">
        <w:rPr>
          <w:rFonts w:ascii="Times New Roman" w:hAnsi="Times New Roman" w:cs="Times New Roman"/>
          <w:sz w:val="24"/>
          <w:szCs w:val="24"/>
        </w:rPr>
        <w:t xml:space="preserve"> from pilot projects in Europe </w:t>
      </w:r>
      <w:r w:rsidR="0092044E">
        <w:rPr>
          <w:rFonts w:ascii="Times New Roman" w:hAnsi="Times New Roman" w:cs="Times New Roman"/>
          <w:sz w:val="24"/>
          <w:szCs w:val="24"/>
        </w:rPr>
        <w:t xml:space="preserve">by </w:t>
      </w:r>
      <w:r w:rsidRPr="00023DE5">
        <w:rPr>
          <w:rFonts w:ascii="Times New Roman" w:hAnsi="Times New Roman" w:cs="Times New Roman"/>
          <w:sz w:val="24"/>
          <w:szCs w:val="24"/>
        </w:rPr>
        <w:t xml:space="preserve">Pfeiffer et al., </w:t>
      </w:r>
      <w:r w:rsidR="0092044E">
        <w:rPr>
          <w:rFonts w:ascii="Times New Roman" w:hAnsi="Times New Roman" w:cs="Times New Roman"/>
          <w:sz w:val="24"/>
          <w:szCs w:val="24"/>
        </w:rPr>
        <w:t>(</w:t>
      </w:r>
      <w:r w:rsidRPr="00023DE5">
        <w:rPr>
          <w:rFonts w:ascii="Times New Roman" w:hAnsi="Times New Roman" w:cs="Times New Roman"/>
          <w:sz w:val="24"/>
          <w:szCs w:val="24"/>
        </w:rPr>
        <w:t>2021</w:t>
      </w:r>
      <w:r w:rsidR="0092044E">
        <w:rPr>
          <w:rFonts w:ascii="Times New Roman" w:hAnsi="Times New Roman" w:cs="Times New Roman"/>
          <w:sz w:val="24"/>
          <w:szCs w:val="24"/>
        </w:rPr>
        <w:t>)</w:t>
      </w:r>
      <w:r w:rsidRPr="00023DE5">
        <w:rPr>
          <w:rFonts w:ascii="Times New Roman" w:hAnsi="Times New Roman" w:cs="Times New Roman"/>
          <w:sz w:val="24"/>
          <w:szCs w:val="24"/>
        </w:rPr>
        <w:t xml:space="preserve">; Gabriel &amp; Gandorfer, </w:t>
      </w:r>
      <w:r w:rsidR="0092044E">
        <w:rPr>
          <w:rFonts w:ascii="Times New Roman" w:hAnsi="Times New Roman" w:cs="Times New Roman"/>
          <w:sz w:val="24"/>
          <w:szCs w:val="24"/>
        </w:rPr>
        <w:t>(</w:t>
      </w:r>
      <w:r w:rsidRPr="00023DE5">
        <w:rPr>
          <w:rFonts w:ascii="Times New Roman" w:hAnsi="Times New Roman" w:cs="Times New Roman"/>
          <w:sz w:val="24"/>
          <w:szCs w:val="24"/>
        </w:rPr>
        <w:t xml:space="preserve">2023) or conceptual models without real-world statistical validation </w:t>
      </w:r>
      <w:r w:rsidR="0092044E">
        <w:rPr>
          <w:rFonts w:ascii="Times New Roman" w:hAnsi="Times New Roman" w:cs="Times New Roman"/>
          <w:sz w:val="24"/>
          <w:szCs w:val="24"/>
        </w:rPr>
        <w:t xml:space="preserve">by </w:t>
      </w:r>
      <w:r w:rsidRPr="00023DE5">
        <w:rPr>
          <w:rFonts w:ascii="Times New Roman" w:hAnsi="Times New Roman" w:cs="Times New Roman"/>
          <w:sz w:val="24"/>
          <w:szCs w:val="24"/>
        </w:rPr>
        <w:t xml:space="preserve">Gebresenbet et al., </w:t>
      </w:r>
      <w:r w:rsidR="0092044E">
        <w:rPr>
          <w:rFonts w:ascii="Times New Roman" w:hAnsi="Times New Roman" w:cs="Times New Roman"/>
          <w:sz w:val="24"/>
          <w:szCs w:val="24"/>
        </w:rPr>
        <w:t>(</w:t>
      </w:r>
      <w:r w:rsidRPr="00023DE5">
        <w:rPr>
          <w:rFonts w:ascii="Times New Roman" w:hAnsi="Times New Roman" w:cs="Times New Roman"/>
          <w:sz w:val="24"/>
          <w:szCs w:val="24"/>
        </w:rPr>
        <w:t>2023).</w:t>
      </w:r>
    </w:p>
    <w:p w14:paraId="74105D79" w14:textId="5DB8B3C0"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The few UK-based studies</w:t>
      </w:r>
      <w:r w:rsidR="0092044E">
        <w:rPr>
          <w:rFonts w:ascii="Times New Roman" w:hAnsi="Times New Roman" w:cs="Times New Roman"/>
          <w:sz w:val="24"/>
          <w:szCs w:val="24"/>
        </w:rPr>
        <w:t xml:space="preserve"> presented by</w:t>
      </w:r>
      <w:r w:rsidRPr="00023DE5">
        <w:rPr>
          <w:rFonts w:ascii="Times New Roman" w:hAnsi="Times New Roman" w:cs="Times New Roman"/>
          <w:sz w:val="24"/>
          <w:szCs w:val="24"/>
        </w:rPr>
        <w:t xml:space="preserve"> Franks, </w:t>
      </w:r>
      <w:r w:rsidR="0092044E">
        <w:rPr>
          <w:rFonts w:ascii="Times New Roman" w:hAnsi="Times New Roman" w:cs="Times New Roman"/>
          <w:sz w:val="24"/>
          <w:szCs w:val="24"/>
        </w:rPr>
        <w:t>(</w:t>
      </w:r>
      <w:r w:rsidRPr="00023DE5">
        <w:rPr>
          <w:rFonts w:ascii="Times New Roman" w:hAnsi="Times New Roman" w:cs="Times New Roman"/>
          <w:sz w:val="24"/>
          <w:szCs w:val="24"/>
        </w:rPr>
        <w:t>2022</w:t>
      </w:r>
      <w:r w:rsidR="0092044E">
        <w:rPr>
          <w:rFonts w:ascii="Times New Roman" w:hAnsi="Times New Roman" w:cs="Times New Roman"/>
          <w:sz w:val="24"/>
          <w:szCs w:val="24"/>
        </w:rPr>
        <w:t>)</w:t>
      </w:r>
      <w:r w:rsidRPr="00023DE5">
        <w:rPr>
          <w:rFonts w:ascii="Times New Roman" w:hAnsi="Times New Roman" w:cs="Times New Roman"/>
          <w:sz w:val="24"/>
          <w:szCs w:val="24"/>
        </w:rPr>
        <w:t xml:space="preserve">; Salihu et al., </w:t>
      </w:r>
      <w:r w:rsidR="0092044E">
        <w:rPr>
          <w:rFonts w:ascii="Times New Roman" w:hAnsi="Times New Roman" w:cs="Times New Roman"/>
          <w:sz w:val="24"/>
          <w:szCs w:val="24"/>
        </w:rPr>
        <w:t>(</w:t>
      </w:r>
      <w:r w:rsidRPr="00023DE5">
        <w:rPr>
          <w:rFonts w:ascii="Times New Roman" w:hAnsi="Times New Roman" w:cs="Times New Roman"/>
          <w:sz w:val="24"/>
          <w:szCs w:val="24"/>
        </w:rPr>
        <w:t xml:space="preserve">2025) often focus on innovation infrastructure or policy design, rather than linking digital technology use with </w:t>
      </w:r>
      <w:r w:rsidRPr="0092044E">
        <w:rPr>
          <w:rFonts w:ascii="Times New Roman" w:hAnsi="Times New Roman" w:cs="Times New Roman"/>
          <w:sz w:val="24"/>
          <w:szCs w:val="24"/>
        </w:rPr>
        <w:t>measurable farm-level outcomes</w:t>
      </w:r>
      <w:r w:rsidRPr="00023DE5">
        <w:rPr>
          <w:rFonts w:ascii="Times New Roman" w:hAnsi="Times New Roman" w:cs="Times New Roman"/>
          <w:sz w:val="24"/>
          <w:szCs w:val="24"/>
        </w:rPr>
        <w:t xml:space="preserve"> such as yield efficiency or reduced input costs. This presents a significant research opportunity to operationalise constructs like </w:t>
      </w:r>
      <w:r w:rsidRPr="0092044E">
        <w:rPr>
          <w:rFonts w:ascii="Times New Roman" w:hAnsi="Times New Roman" w:cs="Times New Roman"/>
          <w:sz w:val="24"/>
          <w:szCs w:val="24"/>
        </w:rPr>
        <w:t>DT_Usefulness, Adoption_Readiness</w:t>
      </w:r>
      <w:r w:rsidR="003E50FF" w:rsidRPr="0092044E">
        <w:rPr>
          <w:rFonts w:ascii="Times New Roman" w:hAnsi="Times New Roman" w:cs="Times New Roman"/>
          <w:sz w:val="24"/>
          <w:szCs w:val="24"/>
        </w:rPr>
        <w:t xml:space="preserve"> and </w:t>
      </w:r>
      <w:r w:rsidRPr="0092044E">
        <w:rPr>
          <w:rFonts w:ascii="Times New Roman" w:hAnsi="Times New Roman" w:cs="Times New Roman"/>
          <w:sz w:val="24"/>
          <w:szCs w:val="24"/>
        </w:rPr>
        <w:t xml:space="preserve"> Sustainability_Latent</w:t>
      </w:r>
      <w:r w:rsidRPr="00023DE5">
        <w:rPr>
          <w:rFonts w:ascii="Times New Roman" w:hAnsi="Times New Roman" w:cs="Times New Roman"/>
          <w:sz w:val="24"/>
          <w:szCs w:val="24"/>
        </w:rPr>
        <w:t xml:space="preserve"> using survey-based data and statistical techniques.</w:t>
      </w:r>
    </w:p>
    <w:p w14:paraId="32DECDCA"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2.6.2 Underexplored Integration of Theoretical Frameworks</w:t>
      </w:r>
    </w:p>
    <w:p w14:paraId="28898857" w14:textId="32001012"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Existing research often applies one theoretical model in isolation</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commonly TAM or DOI</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 xml:space="preserve">without integrating multiple lenses to explain the complexity of adoption and impact. However, digital agriculture sits at the intersection of </w:t>
      </w:r>
      <w:r w:rsidRPr="0092044E">
        <w:rPr>
          <w:rFonts w:ascii="Times New Roman" w:hAnsi="Times New Roman" w:cs="Times New Roman"/>
          <w:sz w:val="24"/>
          <w:szCs w:val="24"/>
        </w:rPr>
        <w:t>behavioural intention, social diffusion</w:t>
      </w:r>
      <w:r w:rsidR="003E50FF" w:rsidRPr="0092044E">
        <w:rPr>
          <w:rFonts w:ascii="Times New Roman" w:hAnsi="Times New Roman" w:cs="Times New Roman"/>
          <w:sz w:val="24"/>
          <w:szCs w:val="24"/>
        </w:rPr>
        <w:t xml:space="preserve"> and </w:t>
      </w:r>
      <w:r w:rsidRPr="0092044E">
        <w:rPr>
          <w:rFonts w:ascii="Times New Roman" w:hAnsi="Times New Roman" w:cs="Times New Roman"/>
          <w:sz w:val="24"/>
          <w:szCs w:val="24"/>
        </w:rPr>
        <w:t xml:space="preserve"> strategic resource deployment, making single-theory</w:t>
      </w:r>
      <w:r w:rsidRPr="00023DE5">
        <w:rPr>
          <w:rFonts w:ascii="Times New Roman" w:hAnsi="Times New Roman" w:cs="Times New Roman"/>
          <w:sz w:val="24"/>
          <w:szCs w:val="24"/>
        </w:rPr>
        <w:t xml:space="preserve"> explanations inadequate.</w:t>
      </w:r>
    </w:p>
    <w:p w14:paraId="3F402FCC" w14:textId="7A5A9E72"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This study addresses this gap by adopting a </w:t>
      </w:r>
      <w:r w:rsidRPr="0092044E">
        <w:rPr>
          <w:rFonts w:ascii="Times New Roman" w:hAnsi="Times New Roman" w:cs="Times New Roman"/>
          <w:sz w:val="24"/>
          <w:szCs w:val="24"/>
        </w:rPr>
        <w:t>multi-theoretical approach</w:t>
      </w:r>
      <w:r w:rsidRPr="00023DE5">
        <w:rPr>
          <w:rFonts w:ascii="Times New Roman" w:hAnsi="Times New Roman" w:cs="Times New Roman"/>
          <w:sz w:val="24"/>
          <w:szCs w:val="24"/>
        </w:rPr>
        <w:t>, combining TAM, DOI</w:t>
      </w:r>
      <w:r w:rsidR="003E50FF">
        <w:rPr>
          <w:rFonts w:ascii="Times New Roman" w:hAnsi="Times New Roman" w:cs="Times New Roman"/>
          <w:sz w:val="24"/>
          <w:szCs w:val="24"/>
        </w:rPr>
        <w:t xml:space="preserve"> and </w:t>
      </w:r>
      <w:r w:rsidRPr="00023DE5">
        <w:rPr>
          <w:rFonts w:ascii="Times New Roman" w:hAnsi="Times New Roman" w:cs="Times New Roman"/>
          <w:sz w:val="24"/>
          <w:szCs w:val="24"/>
        </w:rPr>
        <w:t xml:space="preserve"> RBV. This enables a more comprehensive analysis of both the psychological drivers of </w:t>
      </w:r>
      <w:r w:rsidRPr="00023DE5">
        <w:rPr>
          <w:rFonts w:ascii="Times New Roman" w:hAnsi="Times New Roman" w:cs="Times New Roman"/>
          <w:sz w:val="24"/>
          <w:szCs w:val="24"/>
        </w:rPr>
        <w:lastRenderedPageBreak/>
        <w:t>adoption and the performance implications at the organisational level. Such an approach is rare in agricultural technology literature, particularly in empirical, quantitative formats.</w:t>
      </w:r>
    </w:p>
    <w:p w14:paraId="1C7675CF"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2.6.3 Lack of Focus on Moderating Variables</w:t>
      </w:r>
    </w:p>
    <w:p w14:paraId="079251BB" w14:textId="1F171A1C"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Few studies investigate </w:t>
      </w:r>
      <w:r w:rsidRPr="0092044E">
        <w:rPr>
          <w:rFonts w:ascii="Times New Roman" w:hAnsi="Times New Roman" w:cs="Times New Roman"/>
          <w:sz w:val="24"/>
          <w:szCs w:val="24"/>
        </w:rPr>
        <w:t>moderating factors that influence the strength or direction of relationships between digital technology use and outcomes. Variables such as digital skills, training access</w:t>
      </w:r>
      <w:r w:rsidR="003E50FF" w:rsidRPr="0092044E">
        <w:rPr>
          <w:rFonts w:ascii="Times New Roman" w:hAnsi="Times New Roman" w:cs="Times New Roman"/>
          <w:sz w:val="24"/>
          <w:szCs w:val="24"/>
        </w:rPr>
        <w:t xml:space="preserve"> or</w:t>
      </w:r>
      <w:r w:rsidRPr="0092044E">
        <w:rPr>
          <w:rFonts w:ascii="Times New Roman" w:hAnsi="Times New Roman" w:cs="Times New Roman"/>
          <w:sz w:val="24"/>
          <w:szCs w:val="24"/>
        </w:rPr>
        <w:t xml:space="preserve"> adoption readiness</w:t>
      </w:r>
      <w:r w:rsidRPr="00023DE5">
        <w:rPr>
          <w:rFonts w:ascii="Times New Roman" w:hAnsi="Times New Roman" w:cs="Times New Roman"/>
          <w:sz w:val="24"/>
          <w:szCs w:val="24"/>
        </w:rPr>
        <w:t xml:space="preserve"> are often discussed qualitatively but are rarely operationalised and tested statistically (Smidt &amp; Jokonya, 2022; Rust et al., 2022).</w:t>
      </w:r>
    </w:p>
    <w:p w14:paraId="13562A02" w14:textId="11BA2E35"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This research contributes by incorporating moderating constructs into hypothesis testing, allowing for a more nuanced understanding of adoption dynamics. For instance, it evaluates whether higher adoption readiness strengthens the relationship between technology usefulness and efficiency</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a novel angle that aligns with recent calls for more sophisticated modelling (Barrett &amp; Rose, 2022).</w:t>
      </w:r>
    </w:p>
    <w:p w14:paraId="6B96559B" w14:textId="77777777" w:rsidR="00023DE5" w:rsidRPr="00023DE5" w:rsidRDefault="00023DE5" w:rsidP="00023DE5">
      <w:pPr>
        <w:spacing w:line="360" w:lineRule="auto"/>
        <w:jc w:val="both"/>
        <w:rPr>
          <w:rFonts w:ascii="Times New Roman" w:hAnsi="Times New Roman" w:cs="Times New Roman"/>
          <w:b/>
          <w:bCs/>
          <w:sz w:val="24"/>
          <w:szCs w:val="24"/>
        </w:rPr>
      </w:pPr>
      <w:r w:rsidRPr="00023DE5">
        <w:rPr>
          <w:rFonts w:ascii="Times New Roman" w:hAnsi="Times New Roman" w:cs="Times New Roman"/>
          <w:b/>
          <w:bCs/>
          <w:sz w:val="24"/>
          <w:szCs w:val="24"/>
        </w:rPr>
        <w:t>2.6.4 Incomplete Analysis of Perceived Risks and Equity</w:t>
      </w:r>
    </w:p>
    <w:p w14:paraId="015F1512" w14:textId="4F12532F"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Finally, while enthusiasm for digital farming is high, studies also caution against unintended consequences</w:t>
      </w:r>
      <w:r w:rsidR="003E50FF">
        <w:rPr>
          <w:rFonts w:ascii="Times New Roman" w:hAnsi="Times New Roman" w:cs="Times New Roman"/>
          <w:sz w:val="24"/>
          <w:szCs w:val="24"/>
        </w:rPr>
        <w:t xml:space="preserve"> </w:t>
      </w:r>
      <w:r w:rsidRPr="00023DE5">
        <w:rPr>
          <w:rFonts w:ascii="Times New Roman" w:hAnsi="Times New Roman" w:cs="Times New Roman"/>
          <w:sz w:val="24"/>
          <w:szCs w:val="24"/>
        </w:rPr>
        <w:t>such as data inequities, digital exclusion</w:t>
      </w:r>
      <w:r w:rsidR="003E50FF">
        <w:rPr>
          <w:rFonts w:ascii="Times New Roman" w:hAnsi="Times New Roman" w:cs="Times New Roman"/>
          <w:sz w:val="24"/>
          <w:szCs w:val="24"/>
        </w:rPr>
        <w:t xml:space="preserve"> or</w:t>
      </w:r>
      <w:r w:rsidRPr="00023DE5">
        <w:rPr>
          <w:rFonts w:ascii="Times New Roman" w:hAnsi="Times New Roman" w:cs="Times New Roman"/>
          <w:sz w:val="24"/>
          <w:szCs w:val="24"/>
        </w:rPr>
        <w:t xml:space="preserve"> over-reliance on flawed algorithms (Visser et al., 2021; Clapp &amp; Ruder, 2020). However, empirical testing of these risks remains sparse, particularly in terms of how risk perception may influence adoption behaviour or sustainability outcomes.</w:t>
      </w:r>
    </w:p>
    <w:p w14:paraId="37B80D76" w14:textId="77777777" w:rsidR="00023DE5" w:rsidRP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This study indirectly contributes by capturing such perceptions in self-reported survey data and highlighting where risks or inequalities may temper the benefits of digital tools.</w:t>
      </w:r>
    </w:p>
    <w:p w14:paraId="4E23A113" w14:textId="05D823D2" w:rsidR="00023DE5" w:rsidRDefault="00023DE5" w:rsidP="00023DE5">
      <w:pPr>
        <w:spacing w:line="360" w:lineRule="auto"/>
        <w:jc w:val="both"/>
        <w:rPr>
          <w:rFonts w:ascii="Times New Roman" w:hAnsi="Times New Roman" w:cs="Times New Roman"/>
          <w:sz w:val="24"/>
          <w:szCs w:val="24"/>
        </w:rPr>
      </w:pPr>
    </w:p>
    <w:p w14:paraId="506CB07E" w14:textId="77777777" w:rsidR="00BC1529" w:rsidRPr="00023DE5" w:rsidRDefault="00BC1529" w:rsidP="00023DE5">
      <w:pPr>
        <w:spacing w:line="360" w:lineRule="auto"/>
        <w:jc w:val="both"/>
        <w:rPr>
          <w:rFonts w:ascii="Times New Roman" w:hAnsi="Times New Roman" w:cs="Times New Roman"/>
          <w:b/>
          <w:bCs/>
          <w:sz w:val="24"/>
          <w:szCs w:val="24"/>
        </w:rPr>
      </w:pPr>
    </w:p>
    <w:p w14:paraId="47E73C54" w14:textId="77777777" w:rsidR="00023DE5" w:rsidRDefault="00023DE5" w:rsidP="00023DE5">
      <w:pPr>
        <w:spacing w:line="360" w:lineRule="auto"/>
        <w:jc w:val="both"/>
        <w:rPr>
          <w:rFonts w:ascii="Times New Roman" w:hAnsi="Times New Roman" w:cs="Times New Roman"/>
          <w:sz w:val="24"/>
          <w:szCs w:val="24"/>
        </w:rPr>
      </w:pPr>
      <w:r w:rsidRPr="00023DE5">
        <w:rPr>
          <w:rFonts w:ascii="Times New Roman" w:hAnsi="Times New Roman" w:cs="Times New Roman"/>
          <w:sz w:val="24"/>
          <w:szCs w:val="24"/>
        </w:rPr>
        <w:t xml:space="preserve">The literature affirms the potential of digital technologies to transform UK commercial farming, yet reveals clear gaps in </w:t>
      </w:r>
      <w:r w:rsidRPr="0092044E">
        <w:rPr>
          <w:rFonts w:ascii="Times New Roman" w:hAnsi="Times New Roman" w:cs="Times New Roman"/>
          <w:sz w:val="24"/>
          <w:szCs w:val="24"/>
        </w:rPr>
        <w:t>quantitative, integrative and context-specific analysis</w:t>
      </w:r>
      <w:r w:rsidRPr="00023DE5">
        <w:rPr>
          <w:rFonts w:ascii="Times New Roman" w:hAnsi="Times New Roman" w:cs="Times New Roman"/>
          <w:sz w:val="24"/>
          <w:szCs w:val="24"/>
        </w:rPr>
        <w:t>. By using a multi-theoretical framework, testing empirically grounded hypotheses and focusing on the UK context, this study fills a meaningful void in existing research. The findings are expected to inform both academic discourse and practical strategies for policy and farm-level innovation.</w:t>
      </w:r>
    </w:p>
    <w:p w14:paraId="019F649C" w14:textId="77777777" w:rsidR="008F4367" w:rsidRDefault="008F4367" w:rsidP="00023DE5">
      <w:pPr>
        <w:spacing w:line="360" w:lineRule="auto"/>
        <w:jc w:val="both"/>
        <w:rPr>
          <w:rFonts w:ascii="Times New Roman" w:hAnsi="Times New Roman" w:cs="Times New Roman"/>
          <w:sz w:val="24"/>
          <w:szCs w:val="24"/>
        </w:rPr>
      </w:pPr>
    </w:p>
    <w:p w14:paraId="68266E26" w14:textId="0477EBFE" w:rsidR="008F4367" w:rsidRPr="004E3976" w:rsidRDefault="004E3976" w:rsidP="008F4367">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8F4367" w:rsidRPr="00BC1529">
        <w:rPr>
          <w:rFonts w:ascii="Times New Roman" w:hAnsi="Times New Roman" w:cs="Times New Roman"/>
          <w:b/>
          <w:bCs/>
          <w:sz w:val="32"/>
          <w:szCs w:val="32"/>
        </w:rPr>
        <w:t>3. Methodology</w:t>
      </w:r>
    </w:p>
    <w:p w14:paraId="255C9F9E"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3.1 Research Design</w:t>
      </w:r>
    </w:p>
    <w:p w14:paraId="6D6434E1"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This study adopts a </w:t>
      </w:r>
      <w:r w:rsidRPr="0092044E">
        <w:rPr>
          <w:rFonts w:ascii="Times New Roman" w:hAnsi="Times New Roman" w:cs="Times New Roman"/>
          <w:sz w:val="24"/>
          <w:szCs w:val="24"/>
        </w:rPr>
        <w:t>quantitative, cross-sectional field research design</w:t>
      </w:r>
      <w:r w:rsidRPr="008F4367">
        <w:rPr>
          <w:rFonts w:ascii="Times New Roman" w:hAnsi="Times New Roman" w:cs="Times New Roman"/>
          <w:sz w:val="24"/>
          <w:szCs w:val="24"/>
        </w:rPr>
        <w:t>, aimed at examining the relationship between the use of digital technologies and outcomes related to sustainability and efficiency in UK commercial farming. The design is suitable for capturing current attitudes, behaviours and experiences of farmers at a single point in time, enabling the identification of statistical patterns between variables.</w:t>
      </w:r>
    </w:p>
    <w:p w14:paraId="384D9CB1"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Given the study’s applied nature, a </w:t>
      </w:r>
      <w:r w:rsidRPr="0092044E">
        <w:rPr>
          <w:rFonts w:ascii="Times New Roman" w:hAnsi="Times New Roman" w:cs="Times New Roman"/>
          <w:sz w:val="24"/>
          <w:szCs w:val="24"/>
        </w:rPr>
        <w:t>positivist research philosophy</w:t>
      </w:r>
      <w:r w:rsidRPr="008F4367">
        <w:rPr>
          <w:rFonts w:ascii="Times New Roman" w:hAnsi="Times New Roman" w:cs="Times New Roman"/>
          <w:sz w:val="24"/>
          <w:szCs w:val="24"/>
        </w:rPr>
        <w:t xml:space="preserve"> underpins the design, focusing on observable phenomena and measurable variables. The objective is to test hypotheses derived from established theories (TAM, DOI, RBV) through structured, numeric data collected directly from target participants. The research also follows a </w:t>
      </w:r>
      <w:r w:rsidRPr="0092044E">
        <w:rPr>
          <w:rFonts w:ascii="Times New Roman" w:hAnsi="Times New Roman" w:cs="Times New Roman"/>
          <w:sz w:val="24"/>
          <w:szCs w:val="24"/>
        </w:rPr>
        <w:t>deductive approach, beginning with theoretical propositions and proceeding to empirical tes</w:t>
      </w:r>
      <w:r w:rsidRPr="008F4367">
        <w:rPr>
          <w:rFonts w:ascii="Times New Roman" w:hAnsi="Times New Roman" w:cs="Times New Roman"/>
          <w:sz w:val="24"/>
          <w:szCs w:val="24"/>
        </w:rPr>
        <w:t>ting.</w:t>
      </w:r>
    </w:p>
    <w:p w14:paraId="1480FD02"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study </w:t>
      </w:r>
      <w:r w:rsidRPr="0092044E">
        <w:rPr>
          <w:rFonts w:ascii="Times New Roman" w:hAnsi="Times New Roman" w:cs="Times New Roman"/>
          <w:sz w:val="24"/>
          <w:szCs w:val="24"/>
        </w:rPr>
        <w:t>uses face-to-face structured survey interviews</w:t>
      </w:r>
      <w:r w:rsidRPr="008F4367">
        <w:rPr>
          <w:rFonts w:ascii="Times New Roman" w:hAnsi="Times New Roman" w:cs="Times New Roman"/>
          <w:sz w:val="24"/>
          <w:szCs w:val="24"/>
        </w:rPr>
        <w:t xml:space="preserve"> as its primary data collection method. This interactive approach supports better engagement with participants, enhances response rates and allows for the clarification of questions where needed. It is particularly appropriate for the agricultural sector, where some participants may have limited access to digital survey tools or prefer direct communication. Responses will be recorded either on printed forms or via tablets using a pre-coded questionnaire.</w:t>
      </w:r>
    </w:p>
    <w:p w14:paraId="3376ECE0"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This design aligns with the research aim of assessing whether and how digital technologies contribute to measurable improvements in farm-level sustainability and efficiency outcomes. It also allows for statistical testing of hypothesised relationships while accounting for moderating variables such as digital skills or readiness.</w:t>
      </w:r>
    </w:p>
    <w:p w14:paraId="164C0B55"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3.2 Research Philosophy and Approach</w:t>
      </w:r>
    </w:p>
    <w:p w14:paraId="7E5B80E2"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This research is grounded in a </w:t>
      </w:r>
      <w:r w:rsidRPr="0092044E">
        <w:rPr>
          <w:rFonts w:ascii="Times New Roman" w:hAnsi="Times New Roman" w:cs="Times New Roman"/>
          <w:sz w:val="24"/>
          <w:szCs w:val="24"/>
        </w:rPr>
        <w:t>positivist philosophical perspective</w:t>
      </w:r>
      <w:r w:rsidRPr="008F4367">
        <w:rPr>
          <w:rFonts w:ascii="Times New Roman" w:hAnsi="Times New Roman" w:cs="Times New Roman"/>
          <w:sz w:val="24"/>
          <w:szCs w:val="24"/>
        </w:rPr>
        <w:t>, which assumes that reality is objective and can be understood through empirical observation and statistical analysis. In the context of this study, positivism provides a logical foundation for examining the quantifiable relationships between digital technology use and measurable outcomes such as operational efficiency and environmental sustainability on UK commercial farms.</w:t>
      </w:r>
    </w:p>
    <w:p w14:paraId="176C6979" w14:textId="6239A7BF"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positivist stance supports the use of standardised instruments </w:t>
      </w:r>
      <w:r w:rsidR="003E50FF">
        <w:rPr>
          <w:rFonts w:ascii="Times New Roman" w:hAnsi="Times New Roman" w:cs="Times New Roman"/>
          <w:sz w:val="24"/>
          <w:szCs w:val="24"/>
        </w:rPr>
        <w:t xml:space="preserve"> </w:t>
      </w:r>
      <w:r w:rsidRPr="008F4367">
        <w:rPr>
          <w:rFonts w:ascii="Times New Roman" w:hAnsi="Times New Roman" w:cs="Times New Roman"/>
          <w:sz w:val="24"/>
          <w:szCs w:val="24"/>
        </w:rPr>
        <w:t xml:space="preserve"> in this case, a structured questionnaire </w:t>
      </w:r>
      <w:r w:rsidR="003E50FF">
        <w:rPr>
          <w:rFonts w:ascii="Times New Roman" w:hAnsi="Times New Roman" w:cs="Times New Roman"/>
          <w:sz w:val="24"/>
          <w:szCs w:val="24"/>
        </w:rPr>
        <w:t xml:space="preserve"> </w:t>
      </w:r>
      <w:r w:rsidRPr="008F4367">
        <w:rPr>
          <w:rFonts w:ascii="Times New Roman" w:hAnsi="Times New Roman" w:cs="Times New Roman"/>
          <w:sz w:val="24"/>
          <w:szCs w:val="24"/>
        </w:rPr>
        <w:t xml:space="preserve"> and favours hypothesis testing based on existing theoretical frameworks. This </w:t>
      </w:r>
      <w:r w:rsidRPr="008F4367">
        <w:rPr>
          <w:rFonts w:ascii="Times New Roman" w:hAnsi="Times New Roman" w:cs="Times New Roman"/>
          <w:sz w:val="24"/>
          <w:szCs w:val="24"/>
        </w:rPr>
        <w:lastRenderedPageBreak/>
        <w:t>philosophical lens ensures that the research remains focused on observable phenomena rather than subjective experiences or interpretations.</w:t>
      </w:r>
    </w:p>
    <w:p w14:paraId="3516F4BD" w14:textId="4637C439"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Aligned with positivism, the study employs a </w:t>
      </w:r>
      <w:r w:rsidRPr="0092044E">
        <w:rPr>
          <w:rFonts w:ascii="Times New Roman" w:hAnsi="Times New Roman" w:cs="Times New Roman"/>
          <w:sz w:val="24"/>
          <w:szCs w:val="24"/>
        </w:rPr>
        <w:t xml:space="preserve">deductive research approach. Hypotheses are developed from established theoretical models </w:t>
      </w:r>
      <w:r w:rsidR="003E50FF" w:rsidRPr="0092044E">
        <w:rPr>
          <w:rFonts w:ascii="Times New Roman" w:hAnsi="Times New Roman" w:cs="Times New Roman"/>
          <w:sz w:val="24"/>
          <w:szCs w:val="24"/>
        </w:rPr>
        <w:t xml:space="preserve"> </w:t>
      </w:r>
      <w:r w:rsidRPr="0092044E">
        <w:rPr>
          <w:rFonts w:ascii="Times New Roman" w:hAnsi="Times New Roman" w:cs="Times New Roman"/>
          <w:sz w:val="24"/>
          <w:szCs w:val="24"/>
        </w:rPr>
        <w:t xml:space="preserve"> namely the Technology Acceptance Model (TAM), Diffusion of Innovation (DOI) and the Resource-Based View (RBV)</w:t>
      </w:r>
      <w:r w:rsidRPr="008F4367">
        <w:rPr>
          <w:rFonts w:ascii="Times New Roman" w:hAnsi="Times New Roman" w:cs="Times New Roman"/>
          <w:sz w:val="24"/>
          <w:szCs w:val="24"/>
        </w:rPr>
        <w:t xml:space="preserve"> </w:t>
      </w:r>
      <w:r w:rsidR="003E50FF">
        <w:rPr>
          <w:rFonts w:ascii="Times New Roman" w:hAnsi="Times New Roman" w:cs="Times New Roman"/>
          <w:sz w:val="24"/>
          <w:szCs w:val="24"/>
        </w:rPr>
        <w:t xml:space="preserve"> </w:t>
      </w:r>
      <w:r w:rsidRPr="008F4367">
        <w:rPr>
          <w:rFonts w:ascii="Times New Roman" w:hAnsi="Times New Roman" w:cs="Times New Roman"/>
          <w:sz w:val="24"/>
          <w:szCs w:val="24"/>
        </w:rPr>
        <w:t xml:space="preserve"> which have been critically discussed in the literature review. These hypotheses are then tested using quantitative data collected from commercial farmers during face-to-face survey interactions.</w:t>
      </w:r>
    </w:p>
    <w:p w14:paraId="4CB7CFD3"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The deductive approach is appropriate given that the goal is not to generate new theories but to test existing constructs and their interrelations in a UK-specific farming context. This structured and theory-driven orientation increases the reliability, replicability and objectivity of the findings.</w:t>
      </w:r>
    </w:p>
    <w:p w14:paraId="22E240D7"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3.3 Operationalisation of Variables</w:t>
      </w:r>
    </w:p>
    <w:p w14:paraId="0FCB55ED" w14:textId="46E65D2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 xml:space="preserve">This study operationalises constructs from TAM, DOI and RBV into measurable variables, each directly linked to the hypotheses in Section 1.4. All items were measured on a 5-point Likert scale </w:t>
      </w:r>
      <w:r w:rsidR="00396361">
        <w:rPr>
          <w:rFonts w:ascii="Times New Roman" w:hAnsi="Times New Roman" w:cs="Times New Roman"/>
          <w:sz w:val="24"/>
          <w:szCs w:val="24"/>
        </w:rPr>
        <w:t xml:space="preserve">as </w:t>
      </w:r>
      <w:r w:rsidRPr="00C23CF6">
        <w:rPr>
          <w:rFonts w:ascii="Times New Roman" w:hAnsi="Times New Roman" w:cs="Times New Roman"/>
          <w:sz w:val="24"/>
          <w:szCs w:val="24"/>
        </w:rPr>
        <w:t>1 = Strongly Disagree to 5 = Strongly Agree to ensure consistency and suitability for statistical testing.</w:t>
      </w:r>
    </w:p>
    <w:p w14:paraId="490F3166" w14:textId="77777777" w:rsid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1. Digital Technology Usefulness (TAM → H1, H4, H5)</w:t>
      </w:r>
    </w:p>
    <w:p w14:paraId="06AC21F1" w14:textId="7FDFD584"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Captures perceived value of digital tools in improving farm performance. Example items:</w:t>
      </w:r>
    </w:p>
    <w:p w14:paraId="149EE0E9" w14:textId="77777777" w:rsidR="00C23CF6" w:rsidRPr="00C23CF6" w:rsidRDefault="00C23CF6" w:rsidP="00C23CF6">
      <w:pPr>
        <w:numPr>
          <w:ilvl w:val="0"/>
          <w:numId w:val="23"/>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“Using digital technologies helps reduce waste on my farm.”</w:t>
      </w:r>
    </w:p>
    <w:p w14:paraId="2E2713A0" w14:textId="77777777" w:rsidR="00C23CF6" w:rsidRPr="00C23CF6" w:rsidRDefault="00C23CF6" w:rsidP="00C23CF6">
      <w:pPr>
        <w:numPr>
          <w:ilvl w:val="0"/>
          <w:numId w:val="23"/>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“Digital tools improve decision-making in my operations.”</w:t>
      </w:r>
    </w:p>
    <w:p w14:paraId="2C28B7D2" w14:textId="0AC3A8D6" w:rsidR="00C23CF6" w:rsidRPr="00C23CF6" w:rsidRDefault="00C23CF6" w:rsidP="00C23CF6">
      <w:pPr>
        <w:numPr>
          <w:ilvl w:val="0"/>
          <w:numId w:val="23"/>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“Technology helps me manage input costs more effectively.”</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Linked to H1 (efficiency), H4 (sustainability)</w:t>
      </w:r>
      <w:r w:rsidR="00757256">
        <w:rPr>
          <w:rFonts w:ascii="Times New Roman" w:hAnsi="Times New Roman" w:cs="Times New Roman"/>
          <w:sz w:val="24"/>
          <w:szCs w:val="24"/>
        </w:rPr>
        <w:t xml:space="preserve"> and</w:t>
      </w:r>
      <w:r w:rsidRPr="0092044E">
        <w:rPr>
          <w:rFonts w:ascii="Times New Roman" w:hAnsi="Times New Roman" w:cs="Times New Roman"/>
          <w:sz w:val="24"/>
          <w:szCs w:val="24"/>
        </w:rPr>
        <w:t xml:space="preserve"> H5 (moderation with readiness).</w:t>
      </w:r>
    </w:p>
    <w:p w14:paraId="0D8F1015" w14:textId="77777777" w:rsid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2. Adoption Readiness (DOI → H2, H5)</w:t>
      </w:r>
    </w:p>
    <w:p w14:paraId="3120ACD6" w14:textId="5F6DACE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Reflects preparedness to adopt and integrate digital tools. Example items:</w:t>
      </w:r>
    </w:p>
    <w:p w14:paraId="4D935466" w14:textId="77777777" w:rsidR="00C23CF6" w:rsidRPr="00C23CF6" w:rsidRDefault="00C23CF6" w:rsidP="00C23CF6">
      <w:pPr>
        <w:numPr>
          <w:ilvl w:val="0"/>
          <w:numId w:val="24"/>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 actively seek out information on new farming technologies.”</w:t>
      </w:r>
    </w:p>
    <w:p w14:paraId="2819B1E9" w14:textId="77777777" w:rsidR="00C23CF6" w:rsidRPr="00C23CF6" w:rsidRDefault="00C23CF6" w:rsidP="00C23CF6">
      <w:pPr>
        <w:numPr>
          <w:ilvl w:val="0"/>
          <w:numId w:val="24"/>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“My farm has the infrastructure needed to adopt digital tools.”</w:t>
      </w:r>
    </w:p>
    <w:p w14:paraId="7CCAFDD9" w14:textId="29B4129E" w:rsidR="00C23CF6" w:rsidRPr="0092044E" w:rsidRDefault="00C23CF6" w:rsidP="00C23CF6">
      <w:pPr>
        <w:numPr>
          <w:ilvl w:val="0"/>
          <w:numId w:val="24"/>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 feel confident trying out unfamiliar technology.”</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Linked to H2 (efficiency) and H5 (moderating effect).</w:t>
      </w:r>
    </w:p>
    <w:p w14:paraId="1D7C45C8" w14:textId="77777777" w:rsid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lastRenderedPageBreak/>
        <w:t>3. Frequency of Use (TAM/DOI → H3)</w:t>
      </w:r>
    </w:p>
    <w:p w14:paraId="1279759B" w14:textId="7FF2B7A6"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Measures how often technologies are embedded in daily operations. Example items:</w:t>
      </w:r>
    </w:p>
    <w:p w14:paraId="58A173E1" w14:textId="77777777" w:rsidR="00C23CF6" w:rsidRPr="00C23CF6" w:rsidRDefault="00C23CF6" w:rsidP="00C23CF6">
      <w:pPr>
        <w:numPr>
          <w:ilvl w:val="0"/>
          <w:numId w:val="25"/>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 use digital tools (e.g. sensors, GPS, farm management software) regularly.”</w:t>
      </w:r>
    </w:p>
    <w:p w14:paraId="44E75DE6" w14:textId="2A5A6EBD" w:rsidR="00C23CF6" w:rsidRPr="0092044E" w:rsidRDefault="00C23CF6" w:rsidP="00C23CF6">
      <w:pPr>
        <w:numPr>
          <w:ilvl w:val="0"/>
          <w:numId w:val="25"/>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“Technology is part of my everyday farming routine.”</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Linked to H3 (efficiency).</w:t>
      </w:r>
    </w:p>
    <w:p w14:paraId="186B073E" w14:textId="77777777" w:rsid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4. Efficiency Outcomes (RBV → H1, H2, H3, H5)</w:t>
      </w:r>
    </w:p>
    <w:p w14:paraId="7B0A0E41" w14:textId="657D7128"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Represents tangible improvements in farm productivity and cost-effectiveness. Example items:</w:t>
      </w:r>
    </w:p>
    <w:p w14:paraId="4BD1BB50" w14:textId="77777777" w:rsidR="00C23CF6" w:rsidRPr="00C23CF6" w:rsidRDefault="00C23CF6" w:rsidP="00C23CF6">
      <w:pPr>
        <w:numPr>
          <w:ilvl w:val="0"/>
          <w:numId w:val="26"/>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“Technology has reduced the time I spend on routine tasks.”</w:t>
      </w:r>
    </w:p>
    <w:p w14:paraId="480BD4E3" w14:textId="77777777" w:rsidR="00C23CF6" w:rsidRPr="00C23CF6" w:rsidRDefault="00C23CF6" w:rsidP="00C23CF6">
      <w:pPr>
        <w:numPr>
          <w:ilvl w:val="0"/>
          <w:numId w:val="26"/>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“Since adopting digital tools, my labour costs have decreased.”</w:t>
      </w:r>
    </w:p>
    <w:p w14:paraId="08F2E6BA" w14:textId="4CE06022" w:rsidR="00C23CF6" w:rsidRPr="0092044E" w:rsidRDefault="00C23CF6" w:rsidP="00C23CF6">
      <w:pPr>
        <w:numPr>
          <w:ilvl w:val="0"/>
          <w:numId w:val="26"/>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 have seen better yield consistency after using smart technologies.”</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Dependent variable tested against H1–H3 and H5.</w:t>
      </w:r>
    </w:p>
    <w:p w14:paraId="3659CF6B" w14:textId="77777777" w:rsid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b/>
          <w:bCs/>
          <w:sz w:val="24"/>
          <w:szCs w:val="24"/>
        </w:rPr>
        <w:t>5. Sustainability Outcomes (RBV → H4)</w:t>
      </w:r>
    </w:p>
    <w:p w14:paraId="698A3460" w14:textId="5E21161A"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Captures environmentally responsible practices and resource optimisation. Example items:</w:t>
      </w:r>
    </w:p>
    <w:p w14:paraId="760839AA" w14:textId="77777777" w:rsidR="00C23CF6" w:rsidRPr="00C23CF6" w:rsidRDefault="00C23CF6" w:rsidP="00C23CF6">
      <w:pPr>
        <w:numPr>
          <w:ilvl w:val="0"/>
          <w:numId w:val="27"/>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“Digital tools help me reduce fertiliser or pesticide usage.”</w:t>
      </w:r>
    </w:p>
    <w:p w14:paraId="34991316" w14:textId="77777777" w:rsidR="00C23CF6" w:rsidRPr="00C23CF6" w:rsidRDefault="00C23CF6" w:rsidP="00C23CF6">
      <w:pPr>
        <w:numPr>
          <w:ilvl w:val="0"/>
          <w:numId w:val="27"/>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“I use digital data to support environmentally friendly practices.”</w:t>
      </w:r>
    </w:p>
    <w:p w14:paraId="6F7E1538" w14:textId="3DBB9188" w:rsidR="00C23CF6" w:rsidRPr="0092044E" w:rsidRDefault="00C23CF6" w:rsidP="00C23CF6">
      <w:pPr>
        <w:numPr>
          <w:ilvl w:val="0"/>
          <w:numId w:val="27"/>
        </w:num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“Technology supports my efforts to lower emissions and conserve soil.”</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Dependent variable tested against H4.</w:t>
      </w:r>
    </w:p>
    <w:p w14:paraId="53010A91" w14:textId="77777777" w:rsidR="00C23CF6" w:rsidRPr="00C23CF6" w:rsidRDefault="00C23CF6" w:rsidP="00C23CF6">
      <w:pPr>
        <w:spacing w:line="360" w:lineRule="auto"/>
        <w:jc w:val="both"/>
        <w:rPr>
          <w:rFonts w:ascii="Times New Roman" w:hAnsi="Times New Roman" w:cs="Times New Roman"/>
          <w:sz w:val="24"/>
          <w:szCs w:val="24"/>
        </w:rPr>
      </w:pPr>
      <w:r w:rsidRPr="00C23CF6">
        <w:rPr>
          <w:rFonts w:ascii="Times New Roman" w:hAnsi="Times New Roman" w:cs="Times New Roman"/>
          <w:sz w:val="24"/>
          <w:szCs w:val="24"/>
        </w:rPr>
        <w:t>By explicitly linking each construct to its associated hypothesis, this section ensures coherence between theory, measurement and statistical testing in Chapter 4.</w:t>
      </w:r>
    </w:p>
    <w:p w14:paraId="2D270041"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3.4 Data Collection Method</w:t>
      </w:r>
    </w:p>
    <w:p w14:paraId="4C4184A5" w14:textId="56789CA8"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primary data for this study will be collected through </w:t>
      </w:r>
      <w:r w:rsidRPr="0092044E">
        <w:rPr>
          <w:rFonts w:ascii="Times New Roman" w:hAnsi="Times New Roman" w:cs="Times New Roman"/>
          <w:sz w:val="24"/>
          <w:szCs w:val="24"/>
        </w:rPr>
        <w:t>face-to-face structured questionnaires administered to UK-based commercial farmers. This</w:t>
      </w:r>
      <w:r w:rsidRPr="008F4367">
        <w:rPr>
          <w:rFonts w:ascii="Times New Roman" w:hAnsi="Times New Roman" w:cs="Times New Roman"/>
          <w:sz w:val="24"/>
          <w:szCs w:val="24"/>
        </w:rPr>
        <w:t xml:space="preserve"> method allows for direct engagement with participants, improving the accuracy of responses and enabling clarification of questions where needed particularly important in farming communities where familiarity with academic surveys may vary.</w:t>
      </w:r>
    </w:p>
    <w:p w14:paraId="088A8F47"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questionnaire was designed using the variables operationalised in Section 3.3 and includes closed-ended, Likert-scale items to ensure consistency and suitability for quantitative analysis. </w:t>
      </w:r>
      <w:r w:rsidRPr="008F4367">
        <w:rPr>
          <w:rFonts w:ascii="Times New Roman" w:hAnsi="Times New Roman" w:cs="Times New Roman"/>
          <w:sz w:val="24"/>
          <w:szCs w:val="24"/>
        </w:rPr>
        <w:lastRenderedPageBreak/>
        <w:t>The survey will be printed or administered on a tablet device, depending on context and participant preference.</w:t>
      </w:r>
    </w:p>
    <w:p w14:paraId="46A74865"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Target Population</w:t>
      </w:r>
    </w:p>
    <w:p w14:paraId="1A912DF9"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target population consists of </w:t>
      </w:r>
      <w:r w:rsidRPr="0092044E">
        <w:rPr>
          <w:rFonts w:ascii="Times New Roman" w:hAnsi="Times New Roman" w:cs="Times New Roman"/>
          <w:sz w:val="24"/>
          <w:szCs w:val="24"/>
        </w:rPr>
        <w:t>commercial farmers operating in the UK</w:t>
      </w:r>
      <w:r w:rsidRPr="008F4367">
        <w:rPr>
          <w:rFonts w:ascii="Times New Roman" w:hAnsi="Times New Roman" w:cs="Times New Roman"/>
          <w:sz w:val="24"/>
          <w:szCs w:val="24"/>
        </w:rPr>
        <w:t>, with a focus on those who currently use or have experience with digital technologies in agricultural processes. This includes arable, livestock and mixed-farming operations.</w:t>
      </w:r>
    </w:p>
    <w:p w14:paraId="4E9D76C8"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Inclusion Criteria</w:t>
      </w:r>
    </w:p>
    <w:p w14:paraId="09E2C1E2" w14:textId="77777777" w:rsidR="008F4367" w:rsidRPr="008F4367" w:rsidRDefault="008F4367" w:rsidP="008F4367">
      <w:pPr>
        <w:numPr>
          <w:ilvl w:val="0"/>
          <w:numId w:val="10"/>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Must be 18 years or older</w:t>
      </w:r>
    </w:p>
    <w:p w14:paraId="5B34ABCE" w14:textId="77777777" w:rsidR="008F4367" w:rsidRPr="008F4367" w:rsidRDefault="008F4367" w:rsidP="008F4367">
      <w:pPr>
        <w:numPr>
          <w:ilvl w:val="0"/>
          <w:numId w:val="10"/>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Must own or manage a commercial farm in the UK</w:t>
      </w:r>
    </w:p>
    <w:p w14:paraId="0EAFDA3A" w14:textId="6DE971A7" w:rsidR="008F4367" w:rsidRPr="008F4367" w:rsidRDefault="008F4367" w:rsidP="008F4367">
      <w:pPr>
        <w:numPr>
          <w:ilvl w:val="0"/>
          <w:numId w:val="10"/>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Must have used at least one digital farming tool</w:t>
      </w:r>
      <w:r w:rsidR="0092044E">
        <w:rPr>
          <w:rFonts w:ascii="Times New Roman" w:hAnsi="Times New Roman" w:cs="Times New Roman"/>
          <w:sz w:val="24"/>
          <w:szCs w:val="24"/>
        </w:rPr>
        <w:t>s like</w:t>
      </w:r>
      <w:r w:rsidRPr="008F4367">
        <w:rPr>
          <w:rFonts w:ascii="Times New Roman" w:hAnsi="Times New Roman" w:cs="Times New Roman"/>
          <w:sz w:val="24"/>
          <w:szCs w:val="24"/>
        </w:rPr>
        <w:t xml:space="preserve"> GPS mapping, precision sprayers, IoT sensors, automated system</w:t>
      </w:r>
      <w:r w:rsidR="0092044E">
        <w:rPr>
          <w:rFonts w:ascii="Times New Roman" w:hAnsi="Times New Roman" w:cs="Times New Roman"/>
          <w:sz w:val="24"/>
          <w:szCs w:val="24"/>
        </w:rPr>
        <w:t>s.</w:t>
      </w:r>
    </w:p>
    <w:p w14:paraId="0B539520"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Sampling Technique</w:t>
      </w:r>
    </w:p>
    <w:p w14:paraId="208CACFE"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A </w:t>
      </w:r>
      <w:r w:rsidRPr="0092044E">
        <w:rPr>
          <w:rFonts w:ascii="Times New Roman" w:hAnsi="Times New Roman" w:cs="Times New Roman"/>
          <w:sz w:val="24"/>
          <w:szCs w:val="24"/>
        </w:rPr>
        <w:t>purposive sampling method</w:t>
      </w:r>
      <w:r w:rsidRPr="008F4367">
        <w:rPr>
          <w:rFonts w:ascii="Times New Roman" w:hAnsi="Times New Roman" w:cs="Times New Roman"/>
          <w:sz w:val="24"/>
          <w:szCs w:val="24"/>
        </w:rPr>
        <w:t xml:space="preserve"> will be used to ensure that all participants meet the required inclusion criteria. Recruitment will be conducted via:</w:t>
      </w:r>
    </w:p>
    <w:p w14:paraId="4FD540DF" w14:textId="77777777" w:rsidR="008F4367" w:rsidRPr="008F4367" w:rsidRDefault="008F4367" w:rsidP="008F4367">
      <w:pPr>
        <w:numPr>
          <w:ilvl w:val="0"/>
          <w:numId w:val="11"/>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Scheduled farm visits</w:t>
      </w:r>
    </w:p>
    <w:p w14:paraId="4326987B" w14:textId="77777777" w:rsidR="008F4367" w:rsidRPr="008F4367" w:rsidRDefault="008F4367" w:rsidP="008F4367">
      <w:pPr>
        <w:numPr>
          <w:ilvl w:val="0"/>
          <w:numId w:val="11"/>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Local agricultural co-operatives</w:t>
      </w:r>
    </w:p>
    <w:p w14:paraId="3AB48EFC" w14:textId="77777777" w:rsidR="008F4367" w:rsidRPr="008F4367" w:rsidRDefault="008F4367" w:rsidP="008F4367">
      <w:pPr>
        <w:numPr>
          <w:ilvl w:val="0"/>
          <w:numId w:val="11"/>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Regional farming events and exhibitions</w:t>
      </w:r>
    </w:p>
    <w:p w14:paraId="3BDE2D64" w14:textId="77777777" w:rsidR="008F4367" w:rsidRPr="008F4367" w:rsidRDefault="008F4367" w:rsidP="008F4367">
      <w:pPr>
        <w:numPr>
          <w:ilvl w:val="0"/>
          <w:numId w:val="11"/>
        </w:num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Introductions via DEFRA extension officers and advisory groups</w:t>
      </w:r>
    </w:p>
    <w:p w14:paraId="558038FB" w14:textId="77777777" w:rsidR="008F4367" w:rsidRP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Prior to participation, all individuals will receive a </w:t>
      </w:r>
      <w:r w:rsidRPr="0092044E">
        <w:rPr>
          <w:rFonts w:ascii="Times New Roman" w:hAnsi="Times New Roman" w:cs="Times New Roman"/>
          <w:sz w:val="24"/>
          <w:szCs w:val="24"/>
        </w:rPr>
        <w:t>participant information sheet outlining the study’s purpose, confidentiality procedures and their rights. They will also be required to sign a written consent form before beginning the survey</w:t>
      </w:r>
      <w:r w:rsidRPr="008F4367">
        <w:rPr>
          <w:rFonts w:ascii="Times New Roman" w:hAnsi="Times New Roman" w:cs="Times New Roman"/>
          <w:sz w:val="24"/>
          <w:szCs w:val="24"/>
        </w:rPr>
        <w:t>.</w:t>
      </w:r>
    </w:p>
    <w:p w14:paraId="3316E55A" w14:textId="77777777" w:rsidR="008F4367" w:rsidRPr="008F4367" w:rsidRDefault="008F4367" w:rsidP="008F4367">
      <w:pPr>
        <w:spacing w:line="360" w:lineRule="auto"/>
        <w:jc w:val="both"/>
        <w:rPr>
          <w:rFonts w:ascii="Times New Roman" w:hAnsi="Times New Roman" w:cs="Times New Roman"/>
          <w:b/>
          <w:bCs/>
          <w:sz w:val="24"/>
          <w:szCs w:val="24"/>
        </w:rPr>
      </w:pPr>
      <w:r w:rsidRPr="008F4367">
        <w:rPr>
          <w:rFonts w:ascii="Times New Roman" w:hAnsi="Times New Roman" w:cs="Times New Roman"/>
          <w:b/>
          <w:bCs/>
          <w:sz w:val="24"/>
          <w:szCs w:val="24"/>
        </w:rPr>
        <w:t>Sample Size</w:t>
      </w:r>
    </w:p>
    <w:p w14:paraId="10698451" w14:textId="77777777" w:rsidR="008F4367" w:rsidRDefault="008F4367" w:rsidP="008F4367">
      <w:pPr>
        <w:spacing w:line="360" w:lineRule="auto"/>
        <w:jc w:val="both"/>
        <w:rPr>
          <w:rFonts w:ascii="Times New Roman" w:hAnsi="Times New Roman" w:cs="Times New Roman"/>
          <w:sz w:val="24"/>
          <w:szCs w:val="24"/>
        </w:rPr>
      </w:pPr>
      <w:r w:rsidRPr="008F4367">
        <w:rPr>
          <w:rFonts w:ascii="Times New Roman" w:hAnsi="Times New Roman" w:cs="Times New Roman"/>
          <w:sz w:val="24"/>
          <w:szCs w:val="24"/>
        </w:rPr>
        <w:t xml:space="preserve">The study aims to gather </w:t>
      </w:r>
      <w:r w:rsidRPr="0092044E">
        <w:rPr>
          <w:rFonts w:ascii="Times New Roman" w:hAnsi="Times New Roman" w:cs="Times New Roman"/>
          <w:sz w:val="24"/>
          <w:szCs w:val="24"/>
        </w:rPr>
        <w:t>at least 100 valid responses</w:t>
      </w:r>
      <w:r w:rsidRPr="008F4367">
        <w:rPr>
          <w:rFonts w:ascii="Times New Roman" w:hAnsi="Times New Roman" w:cs="Times New Roman"/>
          <w:sz w:val="24"/>
          <w:szCs w:val="24"/>
        </w:rPr>
        <w:t>, which is suitable for conducting regression analysis and exploratory hypothesis testing. While resource constraints may limit broader generalisation, this sample size provides a solid foundation for identifying statistically significant patterns within the target group.</w:t>
      </w:r>
    </w:p>
    <w:p w14:paraId="568AA7B2" w14:textId="77777777" w:rsidR="00E5623A" w:rsidRDefault="00E5623A" w:rsidP="008F4367">
      <w:pPr>
        <w:spacing w:line="360" w:lineRule="auto"/>
        <w:jc w:val="both"/>
        <w:rPr>
          <w:rFonts w:ascii="Times New Roman" w:hAnsi="Times New Roman" w:cs="Times New Roman"/>
          <w:sz w:val="24"/>
          <w:szCs w:val="24"/>
        </w:rPr>
      </w:pPr>
    </w:p>
    <w:p w14:paraId="1953A2B4"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lastRenderedPageBreak/>
        <w:t>3.5 Sampling Strategy</w:t>
      </w:r>
    </w:p>
    <w:p w14:paraId="3895A224" w14:textId="5EADC1A3"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This research employs a </w:t>
      </w:r>
      <w:r w:rsidRPr="0092044E">
        <w:rPr>
          <w:rFonts w:ascii="Times New Roman" w:hAnsi="Times New Roman" w:cs="Times New Roman"/>
          <w:sz w:val="24"/>
          <w:szCs w:val="24"/>
        </w:rPr>
        <w:t>purposive sampling</w:t>
      </w:r>
      <w:r w:rsidRPr="00E5623A">
        <w:rPr>
          <w:rFonts w:ascii="Times New Roman" w:hAnsi="Times New Roman" w:cs="Times New Roman"/>
          <w:sz w:val="24"/>
          <w:szCs w:val="24"/>
        </w:rPr>
        <w:t xml:space="preserve"> strategy, chosen to ensure that participants are both relevant to the study’s focus and capable of providing informed insights. Given the specific research aim </w:t>
      </w:r>
      <w:r w:rsidR="003E50FF">
        <w:rPr>
          <w:rFonts w:ascii="Times New Roman" w:hAnsi="Times New Roman" w:cs="Times New Roman"/>
          <w:sz w:val="24"/>
          <w:szCs w:val="24"/>
        </w:rPr>
        <w:t xml:space="preserve"> </w:t>
      </w:r>
      <w:r w:rsidRPr="00E5623A">
        <w:rPr>
          <w:rFonts w:ascii="Times New Roman" w:hAnsi="Times New Roman" w:cs="Times New Roman"/>
          <w:sz w:val="24"/>
          <w:szCs w:val="24"/>
        </w:rPr>
        <w:t xml:space="preserve"> to explore the relationship between digital technology use and outcomes in UK commercial farming </w:t>
      </w:r>
      <w:r w:rsidR="003E50FF">
        <w:rPr>
          <w:rFonts w:ascii="Times New Roman" w:hAnsi="Times New Roman" w:cs="Times New Roman"/>
          <w:sz w:val="24"/>
          <w:szCs w:val="24"/>
        </w:rPr>
        <w:t xml:space="preserve"> </w:t>
      </w:r>
      <w:r w:rsidRPr="00E5623A">
        <w:rPr>
          <w:rFonts w:ascii="Times New Roman" w:hAnsi="Times New Roman" w:cs="Times New Roman"/>
          <w:sz w:val="24"/>
          <w:szCs w:val="24"/>
        </w:rPr>
        <w:t xml:space="preserve"> only farmers who meet clearly defined inclusion criteria will be selected.</w:t>
      </w:r>
    </w:p>
    <w:p w14:paraId="5F7A153E"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The selection process will prioritise:</w:t>
      </w:r>
    </w:p>
    <w:p w14:paraId="698DE761" w14:textId="77777777" w:rsidR="00E5623A" w:rsidRPr="0092044E" w:rsidRDefault="00E5623A" w:rsidP="00E5623A">
      <w:pPr>
        <w:numPr>
          <w:ilvl w:val="0"/>
          <w:numId w:val="12"/>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Farmers </w:t>
      </w:r>
      <w:r w:rsidRPr="0092044E">
        <w:rPr>
          <w:rFonts w:ascii="Times New Roman" w:hAnsi="Times New Roman" w:cs="Times New Roman"/>
          <w:sz w:val="24"/>
          <w:szCs w:val="24"/>
        </w:rPr>
        <w:t>managing medium to large commercial operations</w:t>
      </w:r>
    </w:p>
    <w:p w14:paraId="03F257BF" w14:textId="63B089DB" w:rsidR="00E5623A" w:rsidRPr="0092044E" w:rsidRDefault="00E5623A" w:rsidP="00E5623A">
      <w:pPr>
        <w:numPr>
          <w:ilvl w:val="0"/>
          <w:numId w:val="12"/>
        </w:num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Those who actively use or have adopted digital technologies</w:t>
      </w:r>
      <w:r w:rsidR="0092044E">
        <w:rPr>
          <w:rFonts w:ascii="Times New Roman" w:hAnsi="Times New Roman" w:cs="Times New Roman"/>
          <w:sz w:val="24"/>
          <w:szCs w:val="24"/>
        </w:rPr>
        <w:t xml:space="preserve"> like </w:t>
      </w:r>
      <w:r w:rsidRPr="0092044E">
        <w:rPr>
          <w:rFonts w:ascii="Times New Roman" w:hAnsi="Times New Roman" w:cs="Times New Roman"/>
          <w:sz w:val="24"/>
          <w:szCs w:val="24"/>
        </w:rPr>
        <w:t>GPS systems, smart irrigation, automated machinery, farm management softwar</w:t>
      </w:r>
      <w:r w:rsidR="0092044E">
        <w:rPr>
          <w:rFonts w:ascii="Times New Roman" w:hAnsi="Times New Roman" w:cs="Times New Roman"/>
          <w:sz w:val="24"/>
          <w:szCs w:val="24"/>
        </w:rPr>
        <w:t>e.</w:t>
      </w:r>
    </w:p>
    <w:p w14:paraId="031CF642" w14:textId="77777777" w:rsidR="00E5623A" w:rsidRPr="0092044E" w:rsidRDefault="00E5623A" w:rsidP="00E5623A">
      <w:pPr>
        <w:numPr>
          <w:ilvl w:val="0"/>
          <w:numId w:val="12"/>
        </w:num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Representation from diverse sectors including crop farming, livestock management and mixed enterprises</w:t>
      </w:r>
    </w:p>
    <w:p w14:paraId="091FFA7A" w14:textId="03F5507F" w:rsidR="00E5623A" w:rsidRPr="0092044E" w:rsidRDefault="00E5623A" w:rsidP="00E5623A">
      <w:pPr>
        <w:numPr>
          <w:ilvl w:val="0"/>
          <w:numId w:val="12"/>
        </w:numPr>
        <w:spacing w:line="360" w:lineRule="auto"/>
        <w:jc w:val="both"/>
        <w:rPr>
          <w:rFonts w:ascii="Times New Roman" w:hAnsi="Times New Roman" w:cs="Times New Roman"/>
          <w:sz w:val="24"/>
          <w:szCs w:val="24"/>
        </w:rPr>
      </w:pPr>
      <w:r w:rsidRPr="0092044E">
        <w:rPr>
          <w:rFonts w:ascii="Times New Roman" w:hAnsi="Times New Roman" w:cs="Times New Roman"/>
          <w:sz w:val="24"/>
          <w:szCs w:val="24"/>
        </w:rPr>
        <w:t>Geographic diversity across England, Scotland, Wales and Northern Ireland as feasible</w:t>
      </w:r>
      <w:r w:rsidR="0092044E">
        <w:rPr>
          <w:rFonts w:ascii="Times New Roman" w:hAnsi="Times New Roman" w:cs="Times New Roman"/>
          <w:sz w:val="24"/>
          <w:szCs w:val="24"/>
        </w:rPr>
        <w:t>.</w:t>
      </w:r>
    </w:p>
    <w:p w14:paraId="2AD8CC27"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Participants will be approached through:</w:t>
      </w:r>
    </w:p>
    <w:p w14:paraId="5A1CB69E" w14:textId="77777777" w:rsidR="00E5623A" w:rsidRPr="00E5623A" w:rsidRDefault="00E5623A" w:rsidP="00E5623A">
      <w:pPr>
        <w:numPr>
          <w:ilvl w:val="0"/>
          <w:numId w:val="13"/>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Farm visits scheduled in collaboration with local agricultural networks</w:t>
      </w:r>
    </w:p>
    <w:p w14:paraId="1A96C0C7" w14:textId="77777777" w:rsidR="00E5623A" w:rsidRPr="00E5623A" w:rsidRDefault="00E5623A" w:rsidP="00E5623A">
      <w:pPr>
        <w:numPr>
          <w:ilvl w:val="0"/>
          <w:numId w:val="13"/>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Events such as farm expos or regional meetups</w:t>
      </w:r>
    </w:p>
    <w:p w14:paraId="246E4758" w14:textId="77777777" w:rsidR="00E5623A" w:rsidRPr="00E5623A" w:rsidRDefault="00E5623A" w:rsidP="00E5623A">
      <w:pPr>
        <w:numPr>
          <w:ilvl w:val="0"/>
          <w:numId w:val="13"/>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Referrals through DEFRA staff or agricultural advisory organisations</w:t>
      </w:r>
    </w:p>
    <w:p w14:paraId="35B3C586" w14:textId="12DB0232" w:rsid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This strategy is suitable for field-based research where access to a complete sampling frame </w:t>
      </w:r>
      <w:r w:rsidR="0092044E">
        <w:rPr>
          <w:rFonts w:ascii="Times New Roman" w:hAnsi="Times New Roman" w:cs="Times New Roman"/>
          <w:sz w:val="24"/>
          <w:szCs w:val="24"/>
        </w:rPr>
        <w:t xml:space="preserve">such as </w:t>
      </w:r>
      <w:r w:rsidRPr="00E5623A">
        <w:rPr>
          <w:rFonts w:ascii="Times New Roman" w:hAnsi="Times New Roman" w:cs="Times New Roman"/>
          <w:sz w:val="24"/>
          <w:szCs w:val="24"/>
        </w:rPr>
        <w:t>national registry of all digital farmers</w:t>
      </w:r>
      <w:r w:rsidR="0092044E">
        <w:rPr>
          <w:rFonts w:ascii="Times New Roman" w:hAnsi="Times New Roman" w:cs="Times New Roman"/>
          <w:sz w:val="24"/>
          <w:szCs w:val="24"/>
        </w:rPr>
        <w:t xml:space="preserve"> are</w:t>
      </w:r>
      <w:r w:rsidRPr="00E5623A">
        <w:rPr>
          <w:rFonts w:ascii="Times New Roman" w:hAnsi="Times New Roman" w:cs="Times New Roman"/>
          <w:sz w:val="24"/>
          <w:szCs w:val="24"/>
        </w:rPr>
        <w:t xml:space="preserve"> impractical. While purposive sampling limits statistical generalisability, it ensures relevance and richness of data from a technically aware subset of the farming population.</w:t>
      </w:r>
    </w:p>
    <w:p w14:paraId="1554587D" w14:textId="155A9B31" w:rsidR="00353D44" w:rsidRPr="00E5623A" w:rsidRDefault="00353D44" w:rsidP="00E5623A">
      <w:pPr>
        <w:spacing w:line="360" w:lineRule="auto"/>
        <w:jc w:val="both"/>
        <w:rPr>
          <w:rFonts w:ascii="Times New Roman" w:hAnsi="Times New Roman" w:cs="Times New Roman"/>
          <w:sz w:val="24"/>
          <w:szCs w:val="24"/>
        </w:rPr>
      </w:pPr>
      <w:r w:rsidRPr="00353D44">
        <w:rPr>
          <w:rFonts w:ascii="Times New Roman" w:hAnsi="Times New Roman" w:cs="Times New Roman"/>
          <w:sz w:val="24"/>
          <w:szCs w:val="24"/>
        </w:rPr>
        <w:t>Potential sources of sampling bias include overrepresentation of more digitally advanced farms or regions with better access to DEFRA support. To reduce this, the researcher will intentionally seek geographic and sectoral diversity, ensure neutral language in recruitment</w:t>
      </w:r>
      <w:r w:rsidR="003E50FF">
        <w:rPr>
          <w:rFonts w:ascii="Times New Roman" w:hAnsi="Times New Roman" w:cs="Times New Roman"/>
          <w:sz w:val="24"/>
          <w:szCs w:val="24"/>
        </w:rPr>
        <w:t xml:space="preserve"> and </w:t>
      </w:r>
      <w:r w:rsidRPr="00353D44">
        <w:rPr>
          <w:rFonts w:ascii="Times New Roman" w:hAnsi="Times New Roman" w:cs="Times New Roman"/>
          <w:sz w:val="24"/>
          <w:szCs w:val="24"/>
        </w:rPr>
        <w:t xml:space="preserve"> document non-responses where feasible to monitor patterns of exclusion.</w:t>
      </w:r>
    </w:p>
    <w:p w14:paraId="4CAD7541" w14:textId="5F9D4C41" w:rsidR="00E5623A" w:rsidRPr="00E5623A" w:rsidRDefault="00E5623A" w:rsidP="00E5623A">
      <w:pPr>
        <w:spacing w:line="360" w:lineRule="auto"/>
        <w:jc w:val="both"/>
        <w:rPr>
          <w:rFonts w:ascii="Times New Roman" w:hAnsi="Times New Roman" w:cs="Times New Roman"/>
          <w:sz w:val="24"/>
          <w:szCs w:val="24"/>
        </w:rPr>
      </w:pPr>
    </w:p>
    <w:p w14:paraId="357814B5"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3.6 Data Analysis Plan</w:t>
      </w:r>
    </w:p>
    <w:p w14:paraId="5ABF3247"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lastRenderedPageBreak/>
        <w:t xml:space="preserve">Once data collection is completed, the responses will be coded and analysed using </w:t>
      </w:r>
      <w:r w:rsidRPr="0092044E">
        <w:rPr>
          <w:rFonts w:ascii="Times New Roman" w:hAnsi="Times New Roman" w:cs="Times New Roman"/>
          <w:sz w:val="24"/>
          <w:szCs w:val="24"/>
        </w:rPr>
        <w:t>IBM SPSS Statistics. The analysis will follow a staged process to ensure both data quality and t</w:t>
      </w:r>
      <w:r w:rsidRPr="00E5623A">
        <w:rPr>
          <w:rFonts w:ascii="Times New Roman" w:hAnsi="Times New Roman" w:cs="Times New Roman"/>
          <w:sz w:val="24"/>
          <w:szCs w:val="24"/>
        </w:rPr>
        <w:t>he ability to answer the research questions systematically.</w:t>
      </w:r>
    </w:p>
    <w:p w14:paraId="73F8B56A"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1. Data Cleaning and Preparation</w:t>
      </w:r>
    </w:p>
    <w:p w14:paraId="2754ABBB" w14:textId="77777777" w:rsidR="00E5623A" w:rsidRPr="00E5623A" w:rsidRDefault="00E5623A" w:rsidP="00E5623A">
      <w:pPr>
        <w:numPr>
          <w:ilvl w:val="0"/>
          <w:numId w:val="14"/>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Removal of incomplete or inconsistent responses</w:t>
      </w:r>
    </w:p>
    <w:p w14:paraId="764CE119" w14:textId="77777777" w:rsidR="00E5623A" w:rsidRPr="00E5623A" w:rsidRDefault="00E5623A" w:rsidP="00E5623A">
      <w:pPr>
        <w:numPr>
          <w:ilvl w:val="0"/>
          <w:numId w:val="14"/>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Screening for outliers and response bias</w:t>
      </w:r>
    </w:p>
    <w:p w14:paraId="7E6476D0" w14:textId="77777777" w:rsidR="00E5623A" w:rsidRPr="00E5623A" w:rsidRDefault="00E5623A" w:rsidP="00E5623A">
      <w:pPr>
        <w:numPr>
          <w:ilvl w:val="0"/>
          <w:numId w:val="14"/>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Reverse coding of negatively worded items (if any)</w:t>
      </w:r>
    </w:p>
    <w:p w14:paraId="6F2EF7C8"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2. Descriptive Statistics</w:t>
      </w:r>
    </w:p>
    <w:p w14:paraId="77E494FC" w14:textId="77777777" w:rsidR="00E5623A" w:rsidRPr="00E5623A" w:rsidRDefault="00E5623A" w:rsidP="00E5623A">
      <w:pPr>
        <w:numPr>
          <w:ilvl w:val="0"/>
          <w:numId w:val="15"/>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Mean, median and standard deviation for each variable</w:t>
      </w:r>
    </w:p>
    <w:p w14:paraId="173485F4" w14:textId="77777777" w:rsidR="00E5623A" w:rsidRPr="00E5623A" w:rsidRDefault="00E5623A" w:rsidP="00E5623A">
      <w:pPr>
        <w:numPr>
          <w:ilvl w:val="0"/>
          <w:numId w:val="15"/>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Frequency tables for demographic characteristics and farm types</w:t>
      </w:r>
    </w:p>
    <w:p w14:paraId="5503A59A"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3. Reliability Testing</w:t>
      </w:r>
    </w:p>
    <w:p w14:paraId="56A0C760" w14:textId="60335E0B" w:rsidR="00E5623A" w:rsidRPr="0092044E" w:rsidRDefault="00E5623A" w:rsidP="0092044E">
      <w:pPr>
        <w:numPr>
          <w:ilvl w:val="0"/>
          <w:numId w:val="16"/>
        </w:numPr>
        <w:spacing w:line="360" w:lineRule="auto"/>
        <w:jc w:val="both"/>
        <w:rPr>
          <w:rFonts w:ascii="Times New Roman" w:hAnsi="Times New Roman" w:cs="Times New Roman"/>
          <w:sz w:val="24"/>
          <w:szCs w:val="24"/>
        </w:rPr>
      </w:pPr>
      <w:r w:rsidRPr="00757256">
        <w:rPr>
          <w:rFonts w:ascii="Times New Roman" w:hAnsi="Times New Roman" w:cs="Times New Roman"/>
          <w:sz w:val="24"/>
          <w:szCs w:val="24"/>
        </w:rPr>
        <w:t>Cronbach’s alpha</w:t>
      </w:r>
      <w:r w:rsidRPr="00E5623A">
        <w:rPr>
          <w:rFonts w:ascii="Times New Roman" w:hAnsi="Times New Roman" w:cs="Times New Roman"/>
          <w:sz w:val="24"/>
          <w:szCs w:val="24"/>
        </w:rPr>
        <w:t xml:space="preserve"> will be calculated for multi-item scales to assess internal consistency</w:t>
      </w:r>
      <w:r w:rsidR="0092044E">
        <w:rPr>
          <w:rFonts w:ascii="Times New Roman" w:hAnsi="Times New Roman" w:cs="Times New Roman"/>
          <w:sz w:val="24"/>
          <w:szCs w:val="24"/>
        </w:rPr>
        <w:t xml:space="preserve"> “</w:t>
      </w:r>
      <w:r w:rsidRPr="0092044E">
        <w:rPr>
          <w:rFonts w:ascii="Times New Roman" w:hAnsi="Times New Roman" w:cs="Times New Roman"/>
          <w:sz w:val="24"/>
          <w:szCs w:val="24"/>
        </w:rPr>
        <w:t>Acceptable alpha threshold: ≥ 0.7</w:t>
      </w:r>
      <w:r w:rsidR="0092044E">
        <w:rPr>
          <w:rFonts w:ascii="Times New Roman" w:hAnsi="Times New Roman" w:cs="Times New Roman"/>
          <w:sz w:val="24"/>
          <w:szCs w:val="24"/>
        </w:rPr>
        <w:t>”</w:t>
      </w:r>
    </w:p>
    <w:p w14:paraId="710D81CB"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4. Correlation Analysis</w:t>
      </w:r>
    </w:p>
    <w:p w14:paraId="2E39335F" w14:textId="77777777" w:rsidR="00E5623A" w:rsidRPr="00E5623A" w:rsidRDefault="00E5623A" w:rsidP="00E5623A">
      <w:pPr>
        <w:numPr>
          <w:ilvl w:val="0"/>
          <w:numId w:val="17"/>
        </w:numPr>
        <w:spacing w:line="360" w:lineRule="auto"/>
        <w:jc w:val="both"/>
        <w:rPr>
          <w:rFonts w:ascii="Times New Roman" w:hAnsi="Times New Roman" w:cs="Times New Roman"/>
          <w:sz w:val="24"/>
          <w:szCs w:val="24"/>
        </w:rPr>
      </w:pPr>
      <w:r w:rsidRPr="00757256">
        <w:rPr>
          <w:rFonts w:ascii="Times New Roman" w:hAnsi="Times New Roman" w:cs="Times New Roman"/>
          <w:sz w:val="24"/>
          <w:szCs w:val="24"/>
        </w:rPr>
        <w:t>Pearson correlation coefficients</w:t>
      </w:r>
      <w:r w:rsidRPr="00E5623A">
        <w:rPr>
          <w:rFonts w:ascii="Times New Roman" w:hAnsi="Times New Roman" w:cs="Times New Roman"/>
          <w:sz w:val="24"/>
          <w:szCs w:val="24"/>
        </w:rPr>
        <w:t xml:space="preserve"> will be used to assess bivariate relationships between core constructs such as digital technology usefulness and efficiency/sustainability outcomes</w:t>
      </w:r>
    </w:p>
    <w:p w14:paraId="63748945"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5. Multiple Regression Analysis</w:t>
      </w:r>
    </w:p>
    <w:p w14:paraId="08C2FA08" w14:textId="77777777" w:rsidR="00E5623A" w:rsidRPr="00E5623A" w:rsidRDefault="00E5623A" w:rsidP="00E5623A">
      <w:pPr>
        <w:numPr>
          <w:ilvl w:val="0"/>
          <w:numId w:val="18"/>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Hypotheses (H1–H4) will be tested using multiple linear regression models</w:t>
      </w:r>
    </w:p>
    <w:p w14:paraId="3AFEAFD7" w14:textId="77777777" w:rsidR="00E5623A" w:rsidRPr="00E5623A" w:rsidRDefault="00E5623A" w:rsidP="00E5623A">
      <w:pPr>
        <w:numPr>
          <w:ilvl w:val="0"/>
          <w:numId w:val="18"/>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Each model will assess the predictive power of technology adoption variables on outcomes like efficiency and sustainability</w:t>
      </w:r>
    </w:p>
    <w:p w14:paraId="57ACA804" w14:textId="2CEEAECB"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6. Moderation Analysis</w:t>
      </w:r>
      <w:r w:rsidR="0092044E">
        <w:rPr>
          <w:rFonts w:ascii="Times New Roman" w:hAnsi="Times New Roman" w:cs="Times New Roman"/>
          <w:b/>
          <w:bCs/>
          <w:sz w:val="24"/>
          <w:szCs w:val="24"/>
        </w:rPr>
        <w:t>:</w:t>
      </w:r>
    </w:p>
    <w:p w14:paraId="15B68449" w14:textId="352F8A2F" w:rsidR="00E5623A" w:rsidRPr="00E5623A" w:rsidRDefault="00E5623A" w:rsidP="00E5623A">
      <w:pPr>
        <w:numPr>
          <w:ilvl w:val="0"/>
          <w:numId w:val="19"/>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Interaction terms will be constructed usefulness </w:t>
      </w:r>
      <w:r w:rsidR="00C77F28">
        <w:rPr>
          <w:rFonts w:ascii="Times New Roman" w:hAnsi="Times New Roman" w:cs="Times New Roman"/>
          <w:sz w:val="24"/>
          <w:szCs w:val="24"/>
        </w:rPr>
        <w:t>or</w:t>
      </w:r>
      <w:r w:rsidRPr="00E5623A">
        <w:rPr>
          <w:rFonts w:ascii="Times New Roman" w:hAnsi="Times New Roman" w:cs="Times New Roman"/>
          <w:sz w:val="24"/>
          <w:szCs w:val="24"/>
        </w:rPr>
        <w:t xml:space="preserve"> readiness to explore whether variables </w:t>
      </w:r>
      <w:r w:rsidRPr="0092044E">
        <w:rPr>
          <w:rFonts w:ascii="Times New Roman" w:hAnsi="Times New Roman" w:cs="Times New Roman"/>
          <w:sz w:val="24"/>
          <w:szCs w:val="24"/>
        </w:rPr>
        <w:t>like digital readiness</w:t>
      </w:r>
      <w:r w:rsidRPr="00E5623A">
        <w:rPr>
          <w:rFonts w:ascii="Times New Roman" w:hAnsi="Times New Roman" w:cs="Times New Roman"/>
          <w:sz w:val="24"/>
          <w:szCs w:val="24"/>
        </w:rPr>
        <w:t xml:space="preserve"> influence the strength or direction of the main effects</w:t>
      </w:r>
    </w:p>
    <w:p w14:paraId="15FDAE67" w14:textId="37CA6027" w:rsidR="00E5623A" w:rsidRPr="00E5623A" w:rsidRDefault="00E5623A" w:rsidP="00E5623A">
      <w:pPr>
        <w:numPr>
          <w:ilvl w:val="0"/>
          <w:numId w:val="19"/>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Visualisation of interaction effects via graphs </w:t>
      </w:r>
      <w:r w:rsidR="0092044E">
        <w:rPr>
          <w:rFonts w:ascii="Times New Roman" w:hAnsi="Times New Roman" w:cs="Times New Roman"/>
          <w:sz w:val="24"/>
          <w:szCs w:val="24"/>
        </w:rPr>
        <w:t>with</w:t>
      </w:r>
      <w:r w:rsidRPr="00E5623A">
        <w:rPr>
          <w:rFonts w:ascii="Times New Roman" w:hAnsi="Times New Roman" w:cs="Times New Roman"/>
          <w:sz w:val="24"/>
          <w:szCs w:val="24"/>
        </w:rPr>
        <w:t xml:space="preserve"> conditional effects plots</w:t>
      </w:r>
      <w:r w:rsidR="0092044E">
        <w:rPr>
          <w:rFonts w:ascii="Times New Roman" w:hAnsi="Times New Roman" w:cs="Times New Roman"/>
          <w:sz w:val="24"/>
          <w:szCs w:val="24"/>
        </w:rPr>
        <w:t>.</w:t>
      </w:r>
    </w:p>
    <w:p w14:paraId="40185CA4"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7. Assumption Testing</w:t>
      </w:r>
    </w:p>
    <w:p w14:paraId="01A6D467" w14:textId="1167BFE6" w:rsidR="00E5623A" w:rsidRPr="00E5623A" w:rsidRDefault="00E5623A" w:rsidP="00E5623A">
      <w:pPr>
        <w:numPr>
          <w:ilvl w:val="0"/>
          <w:numId w:val="20"/>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lastRenderedPageBreak/>
        <w:t xml:space="preserve">Linearity, multicollinearity, homoscedasticity and normality will be checked using diagnostic tests </w:t>
      </w:r>
      <w:r w:rsidR="0092044E">
        <w:rPr>
          <w:rFonts w:ascii="Times New Roman" w:hAnsi="Times New Roman" w:cs="Times New Roman"/>
          <w:sz w:val="24"/>
          <w:szCs w:val="24"/>
        </w:rPr>
        <w:t xml:space="preserve">like, </w:t>
      </w:r>
      <w:r w:rsidRPr="00E5623A">
        <w:rPr>
          <w:rFonts w:ascii="Times New Roman" w:hAnsi="Times New Roman" w:cs="Times New Roman"/>
          <w:sz w:val="24"/>
          <w:szCs w:val="24"/>
        </w:rPr>
        <w:t>VIF, scatterplots, Shapiro-Wilk</w:t>
      </w:r>
      <w:r w:rsidR="0092044E">
        <w:rPr>
          <w:rFonts w:ascii="Times New Roman" w:hAnsi="Times New Roman" w:cs="Times New Roman"/>
          <w:sz w:val="24"/>
          <w:szCs w:val="24"/>
        </w:rPr>
        <w:t>.</w:t>
      </w:r>
    </w:p>
    <w:p w14:paraId="41C08A36" w14:textId="77777777" w:rsid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This systematic analysis will ensure that findings are statistically valid, theory-informed and practically meaningful in the context of UK commercial farming.</w:t>
      </w:r>
    </w:p>
    <w:p w14:paraId="34240B73" w14:textId="77777777" w:rsidR="00C77F28" w:rsidRDefault="00C77F28" w:rsidP="00E5623A">
      <w:pPr>
        <w:spacing w:line="360" w:lineRule="auto"/>
        <w:jc w:val="both"/>
        <w:rPr>
          <w:rFonts w:ascii="Times New Roman" w:hAnsi="Times New Roman" w:cs="Times New Roman"/>
          <w:b/>
          <w:bCs/>
          <w:sz w:val="24"/>
          <w:szCs w:val="24"/>
        </w:rPr>
      </w:pPr>
    </w:p>
    <w:p w14:paraId="0AB570F2" w14:textId="7BD4F766"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3.7 Ethical Considerations</w:t>
      </w:r>
    </w:p>
    <w:p w14:paraId="6DBAB792"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This study adheres to the ethical standards outlined by the university’s research ethics policy and complies with the </w:t>
      </w:r>
      <w:r w:rsidRPr="00C77F28">
        <w:rPr>
          <w:rFonts w:ascii="Times New Roman" w:hAnsi="Times New Roman" w:cs="Times New Roman"/>
          <w:sz w:val="24"/>
          <w:szCs w:val="24"/>
        </w:rPr>
        <w:t>General Data Protection Regulation (GDPR) (2018) and the Data Protection Act (2018)</w:t>
      </w:r>
      <w:r w:rsidRPr="00E5623A">
        <w:rPr>
          <w:rFonts w:ascii="Times New Roman" w:hAnsi="Times New Roman" w:cs="Times New Roman"/>
          <w:sz w:val="24"/>
          <w:szCs w:val="24"/>
        </w:rPr>
        <w:t>. Ethical integrity is a critical component of the research, particularly as data will be collected face-to-face from working professionals in the UK agricultural sector.</w:t>
      </w:r>
    </w:p>
    <w:p w14:paraId="2F215D11"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Informed Consent</w:t>
      </w:r>
    </w:p>
    <w:p w14:paraId="2DFC26ED" w14:textId="3923E100" w:rsidR="00E5623A" w:rsidRPr="00C77F28"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 xml:space="preserve">Participants will be fully informed about the nature and purpose of the study prior to participation. Each participant will receive a </w:t>
      </w:r>
      <w:r w:rsidRPr="00C77F28">
        <w:rPr>
          <w:rFonts w:ascii="Times New Roman" w:hAnsi="Times New Roman" w:cs="Times New Roman"/>
          <w:sz w:val="24"/>
          <w:szCs w:val="24"/>
        </w:rPr>
        <w:t>Participant Information Sheet detailing the research objectives, voluntary nature of participation</w:t>
      </w:r>
      <w:r w:rsidR="003E50FF" w:rsidRPr="00C77F28">
        <w:rPr>
          <w:rFonts w:ascii="Times New Roman" w:hAnsi="Times New Roman" w:cs="Times New Roman"/>
          <w:sz w:val="24"/>
          <w:szCs w:val="24"/>
        </w:rPr>
        <w:t xml:space="preserve"> and </w:t>
      </w:r>
      <w:r w:rsidRPr="00C77F28">
        <w:rPr>
          <w:rFonts w:ascii="Times New Roman" w:hAnsi="Times New Roman" w:cs="Times New Roman"/>
          <w:sz w:val="24"/>
          <w:szCs w:val="24"/>
        </w:rPr>
        <w:t xml:space="preserve"> the right to withdraw at any time without penalty. Before data collection begins, participants will be asked to sign a written consent form confirming their understanding and agreement.</w:t>
      </w:r>
    </w:p>
    <w:p w14:paraId="3D6E0C18"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Anonymity and Confidentiality</w:t>
      </w:r>
    </w:p>
    <w:p w14:paraId="41D2BED3"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All data will be collected anonymously. Participants will not be asked to provide identifiable personal data such as name, address or farm registration number. Each questionnaire will be coded with a unique reference number to facilitate data analysis while maintaining respondent anonymity.</w:t>
      </w:r>
    </w:p>
    <w:p w14:paraId="4CEF70C7" w14:textId="0E232121"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The confidentiality of all responses will be strictly maintained. Only the researcher and academic supervisor will have access to the raw data</w:t>
      </w:r>
      <w:r w:rsidR="003E50FF">
        <w:rPr>
          <w:rFonts w:ascii="Times New Roman" w:hAnsi="Times New Roman" w:cs="Times New Roman"/>
          <w:sz w:val="24"/>
          <w:szCs w:val="24"/>
        </w:rPr>
        <w:t xml:space="preserve"> and </w:t>
      </w:r>
      <w:r w:rsidRPr="00E5623A">
        <w:rPr>
          <w:rFonts w:ascii="Times New Roman" w:hAnsi="Times New Roman" w:cs="Times New Roman"/>
          <w:sz w:val="24"/>
          <w:szCs w:val="24"/>
        </w:rPr>
        <w:t xml:space="preserve"> findings will be reported only in aggregate form.</w:t>
      </w:r>
    </w:p>
    <w:p w14:paraId="18C6711D"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Data Storage and Protection</w:t>
      </w:r>
    </w:p>
    <w:p w14:paraId="0FEE31D1"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All data collected will be stored securely:</w:t>
      </w:r>
    </w:p>
    <w:p w14:paraId="3FF9CEF5" w14:textId="77777777" w:rsidR="00E5623A" w:rsidRPr="00C77F28" w:rsidRDefault="00E5623A" w:rsidP="00E5623A">
      <w:pPr>
        <w:numPr>
          <w:ilvl w:val="0"/>
          <w:numId w:val="21"/>
        </w:numPr>
        <w:spacing w:line="360" w:lineRule="auto"/>
        <w:jc w:val="both"/>
        <w:rPr>
          <w:rFonts w:ascii="Times New Roman" w:hAnsi="Times New Roman" w:cs="Times New Roman"/>
          <w:sz w:val="24"/>
          <w:szCs w:val="24"/>
        </w:rPr>
      </w:pPr>
      <w:r w:rsidRPr="00C77F28">
        <w:rPr>
          <w:rFonts w:ascii="Times New Roman" w:hAnsi="Times New Roman" w:cs="Times New Roman"/>
          <w:sz w:val="24"/>
          <w:szCs w:val="24"/>
        </w:rPr>
        <w:t>Physical questionnaires will be locked in a secure cabinet when not in use</w:t>
      </w:r>
    </w:p>
    <w:p w14:paraId="6D855109" w14:textId="77777777" w:rsidR="00E5623A" w:rsidRPr="00E5623A" w:rsidRDefault="00E5623A" w:rsidP="00E5623A">
      <w:pPr>
        <w:numPr>
          <w:ilvl w:val="0"/>
          <w:numId w:val="21"/>
        </w:numPr>
        <w:spacing w:line="360" w:lineRule="auto"/>
        <w:jc w:val="both"/>
        <w:rPr>
          <w:rFonts w:ascii="Times New Roman" w:hAnsi="Times New Roman" w:cs="Times New Roman"/>
          <w:sz w:val="24"/>
          <w:szCs w:val="24"/>
        </w:rPr>
      </w:pPr>
      <w:r w:rsidRPr="00C77F28">
        <w:rPr>
          <w:rFonts w:ascii="Times New Roman" w:hAnsi="Times New Roman" w:cs="Times New Roman"/>
          <w:sz w:val="24"/>
          <w:szCs w:val="24"/>
        </w:rPr>
        <w:t>Digital data w</w:t>
      </w:r>
      <w:r w:rsidRPr="00E5623A">
        <w:rPr>
          <w:rFonts w:ascii="Times New Roman" w:hAnsi="Times New Roman" w:cs="Times New Roman"/>
          <w:sz w:val="24"/>
          <w:szCs w:val="24"/>
        </w:rPr>
        <w:t>ill be entered into a password-protected SPSS file stored on an encrypted university cloud system</w:t>
      </w:r>
    </w:p>
    <w:p w14:paraId="2E82C3C7" w14:textId="77777777" w:rsidR="00E5623A" w:rsidRPr="00E5623A" w:rsidRDefault="00E5623A" w:rsidP="00E5623A">
      <w:pPr>
        <w:numPr>
          <w:ilvl w:val="0"/>
          <w:numId w:val="21"/>
        </w:num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lastRenderedPageBreak/>
        <w:t xml:space="preserve">Data will be retained for a maximum of </w:t>
      </w:r>
      <w:r w:rsidRPr="00C77F28">
        <w:rPr>
          <w:rFonts w:ascii="Times New Roman" w:hAnsi="Times New Roman" w:cs="Times New Roman"/>
          <w:sz w:val="24"/>
          <w:szCs w:val="24"/>
        </w:rPr>
        <w:t>12 months</w:t>
      </w:r>
      <w:r w:rsidRPr="00E5623A">
        <w:rPr>
          <w:rFonts w:ascii="Times New Roman" w:hAnsi="Times New Roman" w:cs="Times New Roman"/>
          <w:sz w:val="24"/>
          <w:szCs w:val="24"/>
        </w:rPr>
        <w:t xml:space="preserve"> after project completion and then permanently deleted or securely destroyed</w:t>
      </w:r>
    </w:p>
    <w:p w14:paraId="699D665B"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Voluntary Participation and Right to Withdraw</w:t>
      </w:r>
    </w:p>
    <w:p w14:paraId="566CB2AF" w14:textId="77777777" w:rsidR="00E5623A" w:rsidRP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Participation in the study is entirely voluntary. Respondents may skip questions or withdraw from the survey at any point before submitting their responses. No incentives will be offered to avoid undue pressure or coercion.</w:t>
      </w:r>
    </w:p>
    <w:p w14:paraId="230FC68E" w14:textId="77777777" w:rsidR="00E5623A" w:rsidRPr="00E5623A" w:rsidRDefault="00E5623A" w:rsidP="00E5623A">
      <w:pPr>
        <w:spacing w:line="360" w:lineRule="auto"/>
        <w:jc w:val="both"/>
        <w:rPr>
          <w:rFonts w:ascii="Times New Roman" w:hAnsi="Times New Roman" w:cs="Times New Roman"/>
          <w:b/>
          <w:bCs/>
          <w:sz w:val="24"/>
          <w:szCs w:val="24"/>
        </w:rPr>
      </w:pPr>
      <w:r w:rsidRPr="00E5623A">
        <w:rPr>
          <w:rFonts w:ascii="Times New Roman" w:hAnsi="Times New Roman" w:cs="Times New Roman"/>
          <w:b/>
          <w:bCs/>
          <w:sz w:val="24"/>
          <w:szCs w:val="24"/>
        </w:rPr>
        <w:t>Risk Assessment</w:t>
      </w:r>
    </w:p>
    <w:p w14:paraId="2F410D67" w14:textId="77777777" w:rsidR="00E5623A" w:rsidRDefault="00E5623A" w:rsidP="00E5623A">
      <w:pPr>
        <w:spacing w:line="360" w:lineRule="auto"/>
        <w:jc w:val="both"/>
        <w:rPr>
          <w:rFonts w:ascii="Times New Roman" w:hAnsi="Times New Roman" w:cs="Times New Roman"/>
          <w:sz w:val="24"/>
          <w:szCs w:val="24"/>
        </w:rPr>
      </w:pPr>
      <w:r w:rsidRPr="00E5623A">
        <w:rPr>
          <w:rFonts w:ascii="Times New Roman" w:hAnsi="Times New Roman" w:cs="Times New Roman"/>
          <w:sz w:val="24"/>
          <w:szCs w:val="24"/>
        </w:rPr>
        <w:t>The study presents minimal risk to participants. Questions are non-sensitive and pertain strictly to business operations and technology use. However, participants will be given the opportunity to ask questions or express concerns at any stage.</w:t>
      </w:r>
    </w:p>
    <w:p w14:paraId="6A4EDE2B" w14:textId="77777777" w:rsidR="006E6AFA" w:rsidRDefault="006E6AFA" w:rsidP="00E5623A">
      <w:pPr>
        <w:spacing w:line="360" w:lineRule="auto"/>
        <w:jc w:val="both"/>
        <w:rPr>
          <w:rFonts w:ascii="Times New Roman" w:hAnsi="Times New Roman" w:cs="Times New Roman"/>
          <w:sz w:val="24"/>
          <w:szCs w:val="24"/>
        </w:rPr>
      </w:pPr>
    </w:p>
    <w:p w14:paraId="25839907" w14:textId="77777777" w:rsidR="004E3976" w:rsidRDefault="004E3976" w:rsidP="00E5623A">
      <w:pPr>
        <w:spacing w:line="360" w:lineRule="auto"/>
        <w:jc w:val="both"/>
        <w:rPr>
          <w:rFonts w:ascii="Times New Roman" w:hAnsi="Times New Roman" w:cs="Times New Roman"/>
          <w:sz w:val="24"/>
          <w:szCs w:val="24"/>
        </w:rPr>
      </w:pPr>
    </w:p>
    <w:p w14:paraId="3FA8D1E6" w14:textId="77777777" w:rsidR="004E3976" w:rsidRDefault="004E3976" w:rsidP="00E5623A">
      <w:pPr>
        <w:spacing w:line="360" w:lineRule="auto"/>
        <w:jc w:val="both"/>
        <w:rPr>
          <w:rFonts w:ascii="Times New Roman" w:hAnsi="Times New Roman" w:cs="Times New Roman"/>
          <w:sz w:val="24"/>
          <w:szCs w:val="24"/>
        </w:rPr>
      </w:pPr>
    </w:p>
    <w:p w14:paraId="0DB2BFCC" w14:textId="77777777" w:rsidR="004E3976" w:rsidRDefault="004E3976" w:rsidP="00E5623A">
      <w:pPr>
        <w:spacing w:line="360" w:lineRule="auto"/>
        <w:jc w:val="both"/>
        <w:rPr>
          <w:rFonts w:ascii="Times New Roman" w:hAnsi="Times New Roman" w:cs="Times New Roman"/>
          <w:sz w:val="24"/>
          <w:szCs w:val="24"/>
        </w:rPr>
      </w:pPr>
    </w:p>
    <w:p w14:paraId="2254330F" w14:textId="77777777" w:rsidR="004E3976" w:rsidRDefault="004E3976" w:rsidP="00E5623A">
      <w:pPr>
        <w:spacing w:line="360" w:lineRule="auto"/>
        <w:jc w:val="both"/>
        <w:rPr>
          <w:rFonts w:ascii="Times New Roman" w:hAnsi="Times New Roman" w:cs="Times New Roman"/>
          <w:sz w:val="24"/>
          <w:szCs w:val="24"/>
        </w:rPr>
      </w:pPr>
    </w:p>
    <w:p w14:paraId="551BEA70" w14:textId="77777777" w:rsidR="004E3976" w:rsidRDefault="004E3976" w:rsidP="00E5623A">
      <w:pPr>
        <w:spacing w:line="360" w:lineRule="auto"/>
        <w:jc w:val="both"/>
        <w:rPr>
          <w:rFonts w:ascii="Times New Roman" w:hAnsi="Times New Roman" w:cs="Times New Roman"/>
          <w:sz w:val="24"/>
          <w:szCs w:val="24"/>
        </w:rPr>
      </w:pPr>
    </w:p>
    <w:p w14:paraId="606117EB" w14:textId="77777777" w:rsidR="004E3976" w:rsidRDefault="004E3976" w:rsidP="00E5623A">
      <w:pPr>
        <w:spacing w:line="360" w:lineRule="auto"/>
        <w:jc w:val="both"/>
        <w:rPr>
          <w:rFonts w:ascii="Times New Roman" w:hAnsi="Times New Roman" w:cs="Times New Roman"/>
          <w:sz w:val="24"/>
          <w:szCs w:val="24"/>
        </w:rPr>
      </w:pPr>
    </w:p>
    <w:p w14:paraId="25353807" w14:textId="77777777" w:rsidR="004E3976" w:rsidRDefault="004E3976" w:rsidP="00E5623A">
      <w:pPr>
        <w:spacing w:line="360" w:lineRule="auto"/>
        <w:jc w:val="both"/>
        <w:rPr>
          <w:rFonts w:ascii="Times New Roman" w:hAnsi="Times New Roman" w:cs="Times New Roman"/>
          <w:sz w:val="24"/>
          <w:szCs w:val="24"/>
        </w:rPr>
      </w:pPr>
    </w:p>
    <w:p w14:paraId="44EC2FA0" w14:textId="77777777" w:rsidR="004E3976" w:rsidRDefault="004E3976" w:rsidP="00E5623A">
      <w:pPr>
        <w:spacing w:line="360" w:lineRule="auto"/>
        <w:jc w:val="both"/>
        <w:rPr>
          <w:rFonts w:ascii="Times New Roman" w:hAnsi="Times New Roman" w:cs="Times New Roman"/>
          <w:sz w:val="24"/>
          <w:szCs w:val="24"/>
        </w:rPr>
      </w:pPr>
    </w:p>
    <w:p w14:paraId="792E443F" w14:textId="77777777" w:rsidR="004E3976" w:rsidRDefault="004E3976" w:rsidP="00E5623A">
      <w:pPr>
        <w:spacing w:line="360" w:lineRule="auto"/>
        <w:jc w:val="both"/>
        <w:rPr>
          <w:rFonts w:ascii="Times New Roman" w:hAnsi="Times New Roman" w:cs="Times New Roman"/>
          <w:sz w:val="24"/>
          <w:szCs w:val="24"/>
        </w:rPr>
      </w:pPr>
    </w:p>
    <w:p w14:paraId="521722FF" w14:textId="77777777" w:rsidR="004E3976" w:rsidRDefault="004E3976" w:rsidP="00E5623A">
      <w:pPr>
        <w:spacing w:line="360" w:lineRule="auto"/>
        <w:jc w:val="both"/>
        <w:rPr>
          <w:rFonts w:ascii="Times New Roman" w:hAnsi="Times New Roman" w:cs="Times New Roman"/>
          <w:sz w:val="24"/>
          <w:szCs w:val="24"/>
        </w:rPr>
      </w:pPr>
    </w:p>
    <w:p w14:paraId="78131332" w14:textId="77777777" w:rsidR="004E3976" w:rsidRDefault="004E3976" w:rsidP="00E5623A">
      <w:pPr>
        <w:spacing w:line="360" w:lineRule="auto"/>
        <w:jc w:val="both"/>
        <w:rPr>
          <w:rFonts w:ascii="Times New Roman" w:hAnsi="Times New Roman" w:cs="Times New Roman"/>
          <w:sz w:val="24"/>
          <w:szCs w:val="24"/>
        </w:rPr>
      </w:pPr>
    </w:p>
    <w:p w14:paraId="036FEDDA" w14:textId="77777777" w:rsidR="004E3976" w:rsidRDefault="004E3976" w:rsidP="00E5623A">
      <w:pPr>
        <w:spacing w:line="360" w:lineRule="auto"/>
        <w:jc w:val="both"/>
        <w:rPr>
          <w:rFonts w:ascii="Times New Roman" w:hAnsi="Times New Roman" w:cs="Times New Roman"/>
          <w:sz w:val="24"/>
          <w:szCs w:val="24"/>
        </w:rPr>
      </w:pPr>
    </w:p>
    <w:p w14:paraId="5BFA4F7A" w14:textId="77777777" w:rsidR="004E3976" w:rsidRDefault="004E3976" w:rsidP="00E5623A">
      <w:pPr>
        <w:spacing w:line="360" w:lineRule="auto"/>
        <w:jc w:val="both"/>
        <w:rPr>
          <w:rFonts w:ascii="Times New Roman" w:hAnsi="Times New Roman" w:cs="Times New Roman"/>
          <w:sz w:val="24"/>
          <w:szCs w:val="24"/>
        </w:rPr>
      </w:pPr>
    </w:p>
    <w:p w14:paraId="0C40356E" w14:textId="77777777" w:rsidR="004E3976" w:rsidRDefault="004E3976" w:rsidP="00E5623A">
      <w:pPr>
        <w:spacing w:line="360" w:lineRule="auto"/>
        <w:jc w:val="both"/>
        <w:rPr>
          <w:rFonts w:ascii="Times New Roman" w:hAnsi="Times New Roman" w:cs="Times New Roman"/>
          <w:sz w:val="24"/>
          <w:szCs w:val="24"/>
        </w:rPr>
      </w:pPr>
    </w:p>
    <w:p w14:paraId="581A22EE" w14:textId="77777777" w:rsidR="004E3976" w:rsidRDefault="004E3976" w:rsidP="00E5623A">
      <w:pPr>
        <w:spacing w:line="360" w:lineRule="auto"/>
        <w:jc w:val="both"/>
        <w:rPr>
          <w:rFonts w:ascii="Times New Roman" w:hAnsi="Times New Roman" w:cs="Times New Roman"/>
          <w:sz w:val="24"/>
          <w:szCs w:val="24"/>
        </w:rPr>
      </w:pPr>
    </w:p>
    <w:p w14:paraId="5148F6ED" w14:textId="173BE073" w:rsidR="006E6AFA" w:rsidRPr="00BC1529" w:rsidRDefault="00C77F28" w:rsidP="006E6AFA">
      <w:pPr>
        <w:spacing w:line="360" w:lineRule="auto"/>
        <w:jc w:val="both"/>
        <w:rPr>
          <w:rFonts w:ascii="Times New Roman" w:hAnsi="Times New Roman" w:cs="Times New Roman"/>
          <w:b/>
          <w:bCs/>
          <w:sz w:val="28"/>
          <w:szCs w:val="28"/>
        </w:rPr>
      </w:pPr>
      <w:r w:rsidRPr="00BC1529">
        <w:rPr>
          <w:rFonts w:ascii="Times New Roman" w:hAnsi="Times New Roman" w:cs="Times New Roman"/>
          <w:b/>
          <w:bCs/>
          <w:sz w:val="28"/>
          <w:szCs w:val="28"/>
        </w:rPr>
        <w:lastRenderedPageBreak/>
        <w:t xml:space="preserve">                                   </w:t>
      </w:r>
      <w:r w:rsidR="006E6AFA" w:rsidRPr="00BC1529">
        <w:rPr>
          <w:rFonts w:ascii="Times New Roman" w:hAnsi="Times New Roman" w:cs="Times New Roman"/>
          <w:b/>
          <w:bCs/>
          <w:sz w:val="32"/>
          <w:szCs w:val="32"/>
        </w:rPr>
        <w:t>Chapter 4: Results and Analysis</w:t>
      </w:r>
    </w:p>
    <w:p w14:paraId="7735BA36"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4.1 Introduction</w:t>
      </w:r>
    </w:p>
    <w:p w14:paraId="63359AD5" w14:textId="3F4A3FD6"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This chapter presents the results of the face-to-face structured questionnaire conducted with 102 commercial farmers across various regions of the UK. The data analysis was performed using IBM SPSS Statistics and aligned with the hypotheses developed in Chapter 2. It begins with descriptive statistics, followed by reliability analysis, correlation tests</w:t>
      </w:r>
      <w:r w:rsidR="00757256">
        <w:rPr>
          <w:rFonts w:ascii="Times New Roman" w:hAnsi="Times New Roman" w:cs="Times New Roman"/>
          <w:sz w:val="24"/>
          <w:szCs w:val="24"/>
        </w:rPr>
        <w:t xml:space="preserve"> and</w:t>
      </w:r>
      <w:r w:rsidRPr="006E6AFA">
        <w:rPr>
          <w:rFonts w:ascii="Times New Roman" w:hAnsi="Times New Roman" w:cs="Times New Roman"/>
          <w:sz w:val="24"/>
          <w:szCs w:val="24"/>
        </w:rPr>
        <w:t xml:space="preserve"> multiple regression to assess the influence of digital technologies on efficiency and sustainability outcomes. Where relevant, moderation analysis is conducted to explore conditional effects of adoption readiness.</w:t>
      </w:r>
    </w:p>
    <w:p w14:paraId="1A81C8E7" w14:textId="1A3235A6" w:rsidR="006E6AFA" w:rsidRPr="006E6AFA" w:rsidRDefault="006E6AFA" w:rsidP="006E6AFA">
      <w:pPr>
        <w:spacing w:line="360" w:lineRule="auto"/>
        <w:jc w:val="both"/>
        <w:rPr>
          <w:rFonts w:ascii="Times New Roman" w:hAnsi="Times New Roman" w:cs="Times New Roman"/>
          <w:sz w:val="24"/>
          <w:szCs w:val="24"/>
        </w:rPr>
      </w:pPr>
    </w:p>
    <w:p w14:paraId="00051280"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4.2 Descriptive Statistics</w:t>
      </w:r>
    </w:p>
    <w:p w14:paraId="5DA35E0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Table 1 summarises the demographic characteristics and operational profiles of the sample.</w:t>
      </w:r>
    </w:p>
    <w:p w14:paraId="5F5B7F8C"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t>Table 1: Summary of Participant Characteristics (n = 102)</w:t>
      </w:r>
    </w:p>
    <w:tbl>
      <w:tblPr>
        <w:tblW w:w="0" w:type="auto"/>
        <w:tblCellSpacing w:w="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6"/>
        <w:gridCol w:w="1559"/>
        <w:gridCol w:w="1701"/>
        <w:gridCol w:w="1701"/>
      </w:tblGrid>
      <w:tr w:rsidR="006E6AFA" w:rsidRPr="006E6AFA" w14:paraId="468DBA32" w14:textId="77777777" w:rsidTr="00C77F28">
        <w:trPr>
          <w:tblHeader/>
          <w:tblCellSpacing w:w="15" w:type="dxa"/>
        </w:trPr>
        <w:tc>
          <w:tcPr>
            <w:tcW w:w="2081" w:type="dxa"/>
            <w:vAlign w:val="center"/>
            <w:hideMark/>
          </w:tcPr>
          <w:p w14:paraId="5439045C"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Variable</w:t>
            </w:r>
          </w:p>
        </w:tc>
        <w:tc>
          <w:tcPr>
            <w:tcW w:w="1529" w:type="dxa"/>
            <w:vAlign w:val="center"/>
            <w:hideMark/>
          </w:tcPr>
          <w:p w14:paraId="2A6929D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Category</w:t>
            </w:r>
          </w:p>
        </w:tc>
        <w:tc>
          <w:tcPr>
            <w:tcW w:w="1671" w:type="dxa"/>
            <w:vAlign w:val="center"/>
            <w:hideMark/>
          </w:tcPr>
          <w:p w14:paraId="1F7716F1"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Frequency</w:t>
            </w:r>
          </w:p>
        </w:tc>
        <w:tc>
          <w:tcPr>
            <w:tcW w:w="1656" w:type="dxa"/>
            <w:vAlign w:val="center"/>
            <w:hideMark/>
          </w:tcPr>
          <w:p w14:paraId="36B7DC5D"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Percentage</w:t>
            </w:r>
          </w:p>
        </w:tc>
      </w:tr>
      <w:tr w:rsidR="006E6AFA" w:rsidRPr="006E6AFA" w14:paraId="130C8B6D" w14:textId="77777777" w:rsidTr="00C77F28">
        <w:trPr>
          <w:tblCellSpacing w:w="15" w:type="dxa"/>
        </w:trPr>
        <w:tc>
          <w:tcPr>
            <w:tcW w:w="2081" w:type="dxa"/>
            <w:vAlign w:val="center"/>
            <w:hideMark/>
          </w:tcPr>
          <w:p w14:paraId="462CE4E8"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Farm Type</w:t>
            </w:r>
          </w:p>
        </w:tc>
        <w:tc>
          <w:tcPr>
            <w:tcW w:w="1529" w:type="dxa"/>
            <w:vAlign w:val="center"/>
            <w:hideMark/>
          </w:tcPr>
          <w:p w14:paraId="435682D4"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Arable</w:t>
            </w:r>
          </w:p>
        </w:tc>
        <w:tc>
          <w:tcPr>
            <w:tcW w:w="1671" w:type="dxa"/>
            <w:vAlign w:val="center"/>
            <w:hideMark/>
          </w:tcPr>
          <w:p w14:paraId="68E5E41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41</w:t>
            </w:r>
          </w:p>
        </w:tc>
        <w:tc>
          <w:tcPr>
            <w:tcW w:w="1656" w:type="dxa"/>
            <w:vAlign w:val="center"/>
            <w:hideMark/>
          </w:tcPr>
          <w:p w14:paraId="566C47D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40.2%</w:t>
            </w:r>
          </w:p>
        </w:tc>
      </w:tr>
      <w:tr w:rsidR="006E6AFA" w:rsidRPr="006E6AFA" w14:paraId="5E65DED6" w14:textId="77777777" w:rsidTr="00C77F28">
        <w:trPr>
          <w:tblCellSpacing w:w="15" w:type="dxa"/>
        </w:trPr>
        <w:tc>
          <w:tcPr>
            <w:tcW w:w="2081" w:type="dxa"/>
            <w:vAlign w:val="center"/>
            <w:hideMark/>
          </w:tcPr>
          <w:p w14:paraId="634D8E4A"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3158A7D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Livestock</w:t>
            </w:r>
          </w:p>
        </w:tc>
        <w:tc>
          <w:tcPr>
            <w:tcW w:w="1671" w:type="dxa"/>
            <w:vAlign w:val="center"/>
            <w:hideMark/>
          </w:tcPr>
          <w:p w14:paraId="312BBFB8"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34</w:t>
            </w:r>
          </w:p>
        </w:tc>
        <w:tc>
          <w:tcPr>
            <w:tcW w:w="1656" w:type="dxa"/>
            <w:vAlign w:val="center"/>
            <w:hideMark/>
          </w:tcPr>
          <w:p w14:paraId="7666BCCC"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33.3%</w:t>
            </w:r>
          </w:p>
        </w:tc>
      </w:tr>
      <w:tr w:rsidR="006E6AFA" w:rsidRPr="006E6AFA" w14:paraId="035B0827" w14:textId="77777777" w:rsidTr="00C77F28">
        <w:trPr>
          <w:tblCellSpacing w:w="15" w:type="dxa"/>
        </w:trPr>
        <w:tc>
          <w:tcPr>
            <w:tcW w:w="2081" w:type="dxa"/>
            <w:vAlign w:val="center"/>
            <w:hideMark/>
          </w:tcPr>
          <w:p w14:paraId="052293FC"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1A93CEA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Mixed</w:t>
            </w:r>
          </w:p>
        </w:tc>
        <w:tc>
          <w:tcPr>
            <w:tcW w:w="1671" w:type="dxa"/>
            <w:vAlign w:val="center"/>
            <w:hideMark/>
          </w:tcPr>
          <w:p w14:paraId="336C185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27</w:t>
            </w:r>
          </w:p>
        </w:tc>
        <w:tc>
          <w:tcPr>
            <w:tcW w:w="1656" w:type="dxa"/>
            <w:vAlign w:val="center"/>
            <w:hideMark/>
          </w:tcPr>
          <w:p w14:paraId="54EF81FF"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26.5%</w:t>
            </w:r>
          </w:p>
        </w:tc>
      </w:tr>
      <w:tr w:rsidR="006E6AFA" w:rsidRPr="006E6AFA" w14:paraId="501071B8" w14:textId="77777777" w:rsidTr="00C77F28">
        <w:trPr>
          <w:tblCellSpacing w:w="15" w:type="dxa"/>
        </w:trPr>
        <w:tc>
          <w:tcPr>
            <w:tcW w:w="2081" w:type="dxa"/>
            <w:vAlign w:val="center"/>
            <w:hideMark/>
          </w:tcPr>
          <w:p w14:paraId="565484F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Years in Operation</w:t>
            </w:r>
          </w:p>
        </w:tc>
        <w:tc>
          <w:tcPr>
            <w:tcW w:w="1529" w:type="dxa"/>
            <w:vAlign w:val="center"/>
            <w:hideMark/>
          </w:tcPr>
          <w:p w14:paraId="037D54B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&lt; 10 years</w:t>
            </w:r>
          </w:p>
        </w:tc>
        <w:tc>
          <w:tcPr>
            <w:tcW w:w="1671" w:type="dxa"/>
            <w:vAlign w:val="center"/>
            <w:hideMark/>
          </w:tcPr>
          <w:p w14:paraId="7A28B72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18</w:t>
            </w:r>
          </w:p>
        </w:tc>
        <w:tc>
          <w:tcPr>
            <w:tcW w:w="1656" w:type="dxa"/>
            <w:vAlign w:val="center"/>
            <w:hideMark/>
          </w:tcPr>
          <w:p w14:paraId="0707C4A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17.6%</w:t>
            </w:r>
          </w:p>
        </w:tc>
      </w:tr>
      <w:tr w:rsidR="006E6AFA" w:rsidRPr="006E6AFA" w14:paraId="0E97890C" w14:textId="77777777" w:rsidTr="00C77F28">
        <w:trPr>
          <w:tblCellSpacing w:w="15" w:type="dxa"/>
        </w:trPr>
        <w:tc>
          <w:tcPr>
            <w:tcW w:w="2081" w:type="dxa"/>
            <w:vAlign w:val="center"/>
            <w:hideMark/>
          </w:tcPr>
          <w:p w14:paraId="21E77005"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46C130E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10–20 years</w:t>
            </w:r>
          </w:p>
        </w:tc>
        <w:tc>
          <w:tcPr>
            <w:tcW w:w="1671" w:type="dxa"/>
            <w:vAlign w:val="center"/>
            <w:hideMark/>
          </w:tcPr>
          <w:p w14:paraId="7C7EEE61"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43</w:t>
            </w:r>
          </w:p>
        </w:tc>
        <w:tc>
          <w:tcPr>
            <w:tcW w:w="1656" w:type="dxa"/>
            <w:vAlign w:val="center"/>
            <w:hideMark/>
          </w:tcPr>
          <w:p w14:paraId="2C8BE9D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42.2%</w:t>
            </w:r>
          </w:p>
        </w:tc>
      </w:tr>
      <w:tr w:rsidR="006E6AFA" w:rsidRPr="006E6AFA" w14:paraId="57CDE0B4" w14:textId="77777777" w:rsidTr="00C77F28">
        <w:trPr>
          <w:tblCellSpacing w:w="15" w:type="dxa"/>
        </w:trPr>
        <w:tc>
          <w:tcPr>
            <w:tcW w:w="2081" w:type="dxa"/>
            <w:vAlign w:val="center"/>
            <w:hideMark/>
          </w:tcPr>
          <w:p w14:paraId="667148F4"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2308B04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&gt; 20 years</w:t>
            </w:r>
          </w:p>
        </w:tc>
        <w:tc>
          <w:tcPr>
            <w:tcW w:w="1671" w:type="dxa"/>
            <w:vAlign w:val="center"/>
            <w:hideMark/>
          </w:tcPr>
          <w:p w14:paraId="1F6056E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41</w:t>
            </w:r>
          </w:p>
        </w:tc>
        <w:tc>
          <w:tcPr>
            <w:tcW w:w="1656" w:type="dxa"/>
            <w:vAlign w:val="center"/>
            <w:hideMark/>
          </w:tcPr>
          <w:p w14:paraId="4DF1FEE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40.2%</w:t>
            </w:r>
          </w:p>
        </w:tc>
      </w:tr>
      <w:tr w:rsidR="006E6AFA" w:rsidRPr="006E6AFA" w14:paraId="6439CF2F" w14:textId="77777777" w:rsidTr="00C77F28">
        <w:trPr>
          <w:tblCellSpacing w:w="15" w:type="dxa"/>
        </w:trPr>
        <w:tc>
          <w:tcPr>
            <w:tcW w:w="2081" w:type="dxa"/>
            <w:vAlign w:val="center"/>
            <w:hideMark/>
          </w:tcPr>
          <w:p w14:paraId="103236FB"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Use of Digital Tools</w:t>
            </w:r>
          </w:p>
        </w:tc>
        <w:tc>
          <w:tcPr>
            <w:tcW w:w="1529" w:type="dxa"/>
            <w:vAlign w:val="center"/>
            <w:hideMark/>
          </w:tcPr>
          <w:p w14:paraId="7173E9A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Daily</w:t>
            </w:r>
          </w:p>
        </w:tc>
        <w:tc>
          <w:tcPr>
            <w:tcW w:w="1671" w:type="dxa"/>
            <w:vAlign w:val="center"/>
            <w:hideMark/>
          </w:tcPr>
          <w:p w14:paraId="06D703BC"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36</w:t>
            </w:r>
          </w:p>
        </w:tc>
        <w:tc>
          <w:tcPr>
            <w:tcW w:w="1656" w:type="dxa"/>
            <w:vAlign w:val="center"/>
            <w:hideMark/>
          </w:tcPr>
          <w:p w14:paraId="01B6FDF8"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35.3%</w:t>
            </w:r>
          </w:p>
        </w:tc>
      </w:tr>
      <w:tr w:rsidR="006E6AFA" w:rsidRPr="006E6AFA" w14:paraId="185C3EBD" w14:textId="77777777" w:rsidTr="00C77F28">
        <w:trPr>
          <w:tblCellSpacing w:w="15" w:type="dxa"/>
        </w:trPr>
        <w:tc>
          <w:tcPr>
            <w:tcW w:w="2081" w:type="dxa"/>
            <w:vAlign w:val="center"/>
            <w:hideMark/>
          </w:tcPr>
          <w:p w14:paraId="18CE31D8"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395AE7F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Weekly</w:t>
            </w:r>
          </w:p>
        </w:tc>
        <w:tc>
          <w:tcPr>
            <w:tcW w:w="1671" w:type="dxa"/>
            <w:vAlign w:val="center"/>
            <w:hideMark/>
          </w:tcPr>
          <w:p w14:paraId="6F80AC1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51</w:t>
            </w:r>
          </w:p>
        </w:tc>
        <w:tc>
          <w:tcPr>
            <w:tcW w:w="1656" w:type="dxa"/>
            <w:vAlign w:val="center"/>
            <w:hideMark/>
          </w:tcPr>
          <w:p w14:paraId="3655E5C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50.0%</w:t>
            </w:r>
          </w:p>
        </w:tc>
      </w:tr>
      <w:tr w:rsidR="006E6AFA" w:rsidRPr="006E6AFA" w14:paraId="30612557" w14:textId="77777777" w:rsidTr="00C77F28">
        <w:trPr>
          <w:tblCellSpacing w:w="15" w:type="dxa"/>
        </w:trPr>
        <w:tc>
          <w:tcPr>
            <w:tcW w:w="2081" w:type="dxa"/>
            <w:vAlign w:val="center"/>
            <w:hideMark/>
          </w:tcPr>
          <w:p w14:paraId="25DF846C" w14:textId="77777777" w:rsidR="006E6AFA" w:rsidRPr="006E6AFA" w:rsidRDefault="006E6AFA" w:rsidP="006E6AFA">
            <w:pPr>
              <w:spacing w:line="360" w:lineRule="auto"/>
              <w:jc w:val="both"/>
              <w:rPr>
                <w:rFonts w:ascii="Times New Roman" w:hAnsi="Times New Roman" w:cs="Times New Roman"/>
                <w:sz w:val="24"/>
                <w:szCs w:val="24"/>
              </w:rPr>
            </w:pPr>
          </w:p>
        </w:tc>
        <w:tc>
          <w:tcPr>
            <w:tcW w:w="1529" w:type="dxa"/>
            <w:vAlign w:val="center"/>
            <w:hideMark/>
          </w:tcPr>
          <w:p w14:paraId="0AE7D9B6"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Occasionally</w:t>
            </w:r>
          </w:p>
        </w:tc>
        <w:tc>
          <w:tcPr>
            <w:tcW w:w="1671" w:type="dxa"/>
            <w:vAlign w:val="center"/>
            <w:hideMark/>
          </w:tcPr>
          <w:p w14:paraId="7B97D09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15</w:t>
            </w:r>
          </w:p>
        </w:tc>
        <w:tc>
          <w:tcPr>
            <w:tcW w:w="1656" w:type="dxa"/>
            <w:vAlign w:val="center"/>
            <w:hideMark/>
          </w:tcPr>
          <w:p w14:paraId="0A2B0B6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14.7%</w:t>
            </w:r>
          </w:p>
        </w:tc>
      </w:tr>
    </w:tbl>
    <w:p w14:paraId="19E259EB" w14:textId="3EC156F8" w:rsidR="006E6AFA" w:rsidRDefault="006E6AFA" w:rsidP="006E6AFA">
      <w:pPr>
        <w:spacing w:line="360" w:lineRule="auto"/>
        <w:jc w:val="both"/>
        <w:rPr>
          <w:rFonts w:ascii="Times New Roman" w:hAnsi="Times New Roman" w:cs="Times New Roman"/>
          <w:sz w:val="24"/>
          <w:szCs w:val="24"/>
        </w:rPr>
      </w:pPr>
    </w:p>
    <w:p w14:paraId="71922FA6" w14:textId="77777777" w:rsidR="00C77F28"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lastRenderedPageBreak/>
        <w:t>Distribution of Farm Types among Respondents (n = 102)</w:t>
      </w:r>
    </w:p>
    <w:p w14:paraId="3536B7F5" w14:textId="606DDBB2" w:rsid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This bar chart illustrates the breakdown of farm types among surveyed commercial farmers in the UK. Arable farms were most common (40.2%), followed by livestock (33.3%) and mixed-type operations (26.5%).</w:t>
      </w:r>
    </w:p>
    <w:p w14:paraId="6C645AD9" w14:textId="5944E79B" w:rsid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6AFA">
        <w:rPr>
          <w:rFonts w:ascii="Times New Roman" w:hAnsi="Times New Roman" w:cs="Times New Roman"/>
          <w:noProof/>
          <w:sz w:val="24"/>
          <w:szCs w:val="24"/>
        </w:rPr>
        <w:drawing>
          <wp:inline distT="0" distB="0" distL="0" distR="0" wp14:anchorId="0CE539AE" wp14:editId="01F83A44">
            <wp:extent cx="4708650" cy="2952646"/>
            <wp:effectExtent l="0" t="0" r="0" b="635"/>
            <wp:docPr id="6921569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0859" cy="2979114"/>
                    </a:xfrm>
                    <a:prstGeom prst="rect">
                      <a:avLst/>
                    </a:prstGeom>
                    <a:noFill/>
                  </pic:spPr>
                </pic:pic>
              </a:graphicData>
            </a:graphic>
          </wp:inline>
        </w:drawing>
      </w:r>
    </w:p>
    <w:p w14:paraId="2917505C" w14:textId="66E9B93D" w:rsidR="006E6AFA" w:rsidRP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6AFA" w:rsidRPr="006E6AFA">
        <w:rPr>
          <w:rFonts w:ascii="Times New Roman" w:hAnsi="Times New Roman" w:cs="Times New Roman"/>
          <w:sz w:val="24"/>
          <w:szCs w:val="24"/>
        </w:rPr>
        <w:t>Figure 1 illustrates the distribution of farm types in the sample</w:t>
      </w:r>
    </w:p>
    <w:p w14:paraId="09F6F00E" w14:textId="77777777" w:rsidR="006E6AFA" w:rsidRDefault="006E6AFA" w:rsidP="006E6AFA">
      <w:pPr>
        <w:spacing w:line="360" w:lineRule="auto"/>
        <w:jc w:val="both"/>
        <w:rPr>
          <w:rFonts w:ascii="Times New Roman" w:hAnsi="Times New Roman" w:cs="Times New Roman"/>
          <w:b/>
          <w:bCs/>
          <w:sz w:val="24"/>
          <w:szCs w:val="24"/>
        </w:rPr>
      </w:pPr>
    </w:p>
    <w:p w14:paraId="1BA041A6" w14:textId="7F6B1AC4"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4.3 Reliability Analysis</w:t>
      </w:r>
    </w:p>
    <w:p w14:paraId="6E033666" w14:textId="31B236B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To ensure internal consistency of multi-item constructs, Cronbach’s alpha values were calculated (Table 2). All constructs achieved acceptable reliability scores above the 0.70 threshold.</w:t>
      </w:r>
    </w:p>
    <w:p w14:paraId="0C4AD0A2"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t>Table 2: Cronbach’s Alpha for Multi-Item Constructs</w:t>
      </w:r>
    </w:p>
    <w:tbl>
      <w:tblPr>
        <w:tblW w:w="0" w:type="auto"/>
        <w:tblCellSpacing w:w="15"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3"/>
        <w:gridCol w:w="1985"/>
        <w:gridCol w:w="1843"/>
      </w:tblGrid>
      <w:tr w:rsidR="006E6AFA" w:rsidRPr="006E6AFA" w14:paraId="3754E859" w14:textId="77777777" w:rsidTr="00C77F28">
        <w:trPr>
          <w:tblHeader/>
          <w:tblCellSpacing w:w="15" w:type="dxa"/>
        </w:trPr>
        <w:tc>
          <w:tcPr>
            <w:tcW w:w="2648" w:type="dxa"/>
            <w:vAlign w:val="center"/>
            <w:hideMark/>
          </w:tcPr>
          <w:p w14:paraId="2D3287C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Construct</w:t>
            </w:r>
          </w:p>
        </w:tc>
        <w:tc>
          <w:tcPr>
            <w:tcW w:w="1955" w:type="dxa"/>
            <w:vAlign w:val="center"/>
            <w:hideMark/>
          </w:tcPr>
          <w:p w14:paraId="068FCE97"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Number of Items</w:t>
            </w:r>
          </w:p>
        </w:tc>
        <w:tc>
          <w:tcPr>
            <w:tcW w:w="1798" w:type="dxa"/>
            <w:vAlign w:val="center"/>
            <w:hideMark/>
          </w:tcPr>
          <w:p w14:paraId="55F51C8B"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Cronbach’s α</w:t>
            </w:r>
          </w:p>
        </w:tc>
      </w:tr>
      <w:tr w:rsidR="006E6AFA" w:rsidRPr="006E6AFA" w14:paraId="4DB07AE9" w14:textId="77777777" w:rsidTr="00C77F28">
        <w:trPr>
          <w:tblCellSpacing w:w="15" w:type="dxa"/>
        </w:trPr>
        <w:tc>
          <w:tcPr>
            <w:tcW w:w="2648" w:type="dxa"/>
            <w:vAlign w:val="center"/>
            <w:hideMark/>
          </w:tcPr>
          <w:p w14:paraId="4F626EBB"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Digital Usefulness</w:t>
            </w:r>
          </w:p>
        </w:tc>
        <w:tc>
          <w:tcPr>
            <w:tcW w:w="1955" w:type="dxa"/>
            <w:vAlign w:val="center"/>
            <w:hideMark/>
          </w:tcPr>
          <w:p w14:paraId="0E3ED1F4"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w:t>
            </w:r>
          </w:p>
        </w:tc>
        <w:tc>
          <w:tcPr>
            <w:tcW w:w="1798" w:type="dxa"/>
            <w:vAlign w:val="center"/>
            <w:hideMark/>
          </w:tcPr>
          <w:p w14:paraId="1B09453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0.81</w:t>
            </w:r>
          </w:p>
        </w:tc>
      </w:tr>
      <w:tr w:rsidR="006E6AFA" w:rsidRPr="006E6AFA" w14:paraId="706280B4" w14:textId="77777777" w:rsidTr="00C77F28">
        <w:trPr>
          <w:tblCellSpacing w:w="15" w:type="dxa"/>
        </w:trPr>
        <w:tc>
          <w:tcPr>
            <w:tcW w:w="2648" w:type="dxa"/>
            <w:vAlign w:val="center"/>
            <w:hideMark/>
          </w:tcPr>
          <w:p w14:paraId="06681E21"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Adoption Readiness</w:t>
            </w:r>
          </w:p>
        </w:tc>
        <w:tc>
          <w:tcPr>
            <w:tcW w:w="1955" w:type="dxa"/>
            <w:vAlign w:val="center"/>
            <w:hideMark/>
          </w:tcPr>
          <w:p w14:paraId="6358978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w:t>
            </w:r>
          </w:p>
        </w:tc>
        <w:tc>
          <w:tcPr>
            <w:tcW w:w="1798" w:type="dxa"/>
            <w:vAlign w:val="center"/>
            <w:hideMark/>
          </w:tcPr>
          <w:p w14:paraId="58B9F114"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0.78</w:t>
            </w:r>
          </w:p>
        </w:tc>
      </w:tr>
      <w:tr w:rsidR="006E6AFA" w:rsidRPr="006E6AFA" w14:paraId="6FEF999F" w14:textId="77777777" w:rsidTr="00C77F28">
        <w:trPr>
          <w:tblCellSpacing w:w="15" w:type="dxa"/>
        </w:trPr>
        <w:tc>
          <w:tcPr>
            <w:tcW w:w="2648" w:type="dxa"/>
            <w:vAlign w:val="center"/>
            <w:hideMark/>
          </w:tcPr>
          <w:p w14:paraId="0DF05D9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Efficiency Outcomes</w:t>
            </w:r>
          </w:p>
        </w:tc>
        <w:tc>
          <w:tcPr>
            <w:tcW w:w="1955" w:type="dxa"/>
            <w:vAlign w:val="center"/>
            <w:hideMark/>
          </w:tcPr>
          <w:p w14:paraId="59427E5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w:t>
            </w:r>
          </w:p>
        </w:tc>
        <w:tc>
          <w:tcPr>
            <w:tcW w:w="1798" w:type="dxa"/>
            <w:vAlign w:val="center"/>
            <w:hideMark/>
          </w:tcPr>
          <w:p w14:paraId="66F569F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0.75</w:t>
            </w:r>
          </w:p>
        </w:tc>
      </w:tr>
      <w:tr w:rsidR="006E6AFA" w:rsidRPr="006E6AFA" w14:paraId="06EB0193" w14:textId="77777777" w:rsidTr="00C77F28">
        <w:trPr>
          <w:tblCellSpacing w:w="15" w:type="dxa"/>
        </w:trPr>
        <w:tc>
          <w:tcPr>
            <w:tcW w:w="2648" w:type="dxa"/>
            <w:vAlign w:val="center"/>
            <w:hideMark/>
          </w:tcPr>
          <w:p w14:paraId="55E567F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Sustainability Outcomes</w:t>
            </w:r>
          </w:p>
        </w:tc>
        <w:tc>
          <w:tcPr>
            <w:tcW w:w="1955" w:type="dxa"/>
            <w:vAlign w:val="center"/>
            <w:hideMark/>
          </w:tcPr>
          <w:p w14:paraId="5CD33F3B"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w:t>
            </w:r>
          </w:p>
        </w:tc>
        <w:tc>
          <w:tcPr>
            <w:tcW w:w="1798" w:type="dxa"/>
            <w:vAlign w:val="center"/>
            <w:hideMark/>
          </w:tcPr>
          <w:p w14:paraId="2F2DB0F9"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0.80</w:t>
            </w:r>
          </w:p>
        </w:tc>
      </w:tr>
    </w:tbl>
    <w:p w14:paraId="00A811F7" w14:textId="1ABF7A3E" w:rsidR="006E6AFA" w:rsidRPr="006E6AFA" w:rsidRDefault="006E6AFA" w:rsidP="006E6AFA">
      <w:pPr>
        <w:spacing w:line="360" w:lineRule="auto"/>
        <w:jc w:val="both"/>
        <w:rPr>
          <w:rFonts w:ascii="Times New Roman" w:hAnsi="Times New Roman" w:cs="Times New Roman"/>
          <w:sz w:val="24"/>
          <w:szCs w:val="24"/>
        </w:rPr>
      </w:pPr>
    </w:p>
    <w:p w14:paraId="4AC5CEA0"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4.4 Correlation Analysis</w:t>
      </w:r>
    </w:p>
    <w:p w14:paraId="2194BC2D" w14:textId="2066B1BD"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Pearson correlation tests were conducted to explore the strength and direction of linear relationships between core variables (Table 3).</w:t>
      </w:r>
    </w:p>
    <w:p w14:paraId="6203C67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t>Table 3: Correlation Matrix</w:t>
      </w:r>
    </w:p>
    <w:tbl>
      <w:tblPr>
        <w:tblW w:w="0" w:type="auto"/>
        <w:tblCellSpacing w:w="1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8"/>
        <w:gridCol w:w="1276"/>
        <w:gridCol w:w="1417"/>
        <w:gridCol w:w="1134"/>
        <w:gridCol w:w="1843"/>
      </w:tblGrid>
      <w:tr w:rsidR="006E6AFA" w:rsidRPr="006E6AFA" w14:paraId="555D5F1D" w14:textId="77777777" w:rsidTr="00C77F28">
        <w:trPr>
          <w:tblHeader/>
          <w:tblCellSpacing w:w="15" w:type="dxa"/>
        </w:trPr>
        <w:tc>
          <w:tcPr>
            <w:tcW w:w="2223" w:type="dxa"/>
            <w:vAlign w:val="center"/>
            <w:hideMark/>
          </w:tcPr>
          <w:p w14:paraId="45E0AA74" w14:textId="77777777" w:rsidR="006E6AFA" w:rsidRPr="006E6AFA" w:rsidRDefault="006E6AFA" w:rsidP="006E6AFA">
            <w:pPr>
              <w:spacing w:line="360" w:lineRule="auto"/>
              <w:jc w:val="both"/>
              <w:rPr>
                <w:rFonts w:ascii="Times New Roman" w:hAnsi="Times New Roman" w:cs="Times New Roman"/>
                <w:sz w:val="24"/>
                <w:szCs w:val="24"/>
              </w:rPr>
            </w:pPr>
          </w:p>
        </w:tc>
        <w:tc>
          <w:tcPr>
            <w:tcW w:w="1246" w:type="dxa"/>
            <w:vAlign w:val="center"/>
            <w:hideMark/>
          </w:tcPr>
          <w:p w14:paraId="56F7EFF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Usefulness</w:t>
            </w:r>
          </w:p>
        </w:tc>
        <w:tc>
          <w:tcPr>
            <w:tcW w:w="1387" w:type="dxa"/>
            <w:vAlign w:val="center"/>
            <w:hideMark/>
          </w:tcPr>
          <w:p w14:paraId="00BDD00B"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Readiness</w:t>
            </w:r>
          </w:p>
        </w:tc>
        <w:tc>
          <w:tcPr>
            <w:tcW w:w="1104" w:type="dxa"/>
            <w:vAlign w:val="center"/>
            <w:hideMark/>
          </w:tcPr>
          <w:p w14:paraId="0CE2EC66"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Efficiency</w:t>
            </w:r>
          </w:p>
        </w:tc>
        <w:tc>
          <w:tcPr>
            <w:tcW w:w="1798" w:type="dxa"/>
            <w:vAlign w:val="center"/>
            <w:hideMark/>
          </w:tcPr>
          <w:p w14:paraId="7893B395"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Sustainability</w:t>
            </w:r>
          </w:p>
        </w:tc>
      </w:tr>
      <w:tr w:rsidR="006E6AFA" w:rsidRPr="006E6AFA" w14:paraId="7DB2AD47" w14:textId="77777777" w:rsidTr="00C77F28">
        <w:trPr>
          <w:tblCellSpacing w:w="15" w:type="dxa"/>
        </w:trPr>
        <w:tc>
          <w:tcPr>
            <w:tcW w:w="2223" w:type="dxa"/>
            <w:vAlign w:val="center"/>
            <w:hideMark/>
          </w:tcPr>
          <w:p w14:paraId="7A16C70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Usefulness</w:t>
            </w:r>
          </w:p>
        </w:tc>
        <w:tc>
          <w:tcPr>
            <w:tcW w:w="1246" w:type="dxa"/>
            <w:vAlign w:val="center"/>
            <w:hideMark/>
          </w:tcPr>
          <w:p w14:paraId="56DF5706"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w:t>
            </w:r>
          </w:p>
        </w:tc>
        <w:tc>
          <w:tcPr>
            <w:tcW w:w="1387" w:type="dxa"/>
            <w:vAlign w:val="center"/>
            <w:hideMark/>
          </w:tcPr>
          <w:p w14:paraId="511A7398" w14:textId="77777777" w:rsidR="006E6AFA" w:rsidRPr="006E6AFA" w:rsidRDefault="006E6AFA" w:rsidP="006E6AFA">
            <w:pPr>
              <w:spacing w:line="360" w:lineRule="auto"/>
              <w:jc w:val="both"/>
              <w:rPr>
                <w:rFonts w:ascii="Times New Roman" w:hAnsi="Times New Roman" w:cs="Times New Roman"/>
                <w:sz w:val="24"/>
                <w:szCs w:val="24"/>
              </w:rPr>
            </w:pPr>
          </w:p>
        </w:tc>
        <w:tc>
          <w:tcPr>
            <w:tcW w:w="1104" w:type="dxa"/>
            <w:vAlign w:val="center"/>
            <w:hideMark/>
          </w:tcPr>
          <w:p w14:paraId="7ED17611" w14:textId="77777777" w:rsidR="006E6AFA" w:rsidRPr="006E6AFA" w:rsidRDefault="006E6AFA" w:rsidP="006E6AFA">
            <w:pPr>
              <w:spacing w:line="360" w:lineRule="auto"/>
              <w:jc w:val="both"/>
              <w:rPr>
                <w:rFonts w:ascii="Times New Roman" w:hAnsi="Times New Roman" w:cs="Times New Roman"/>
                <w:sz w:val="24"/>
                <w:szCs w:val="24"/>
              </w:rPr>
            </w:pPr>
          </w:p>
        </w:tc>
        <w:tc>
          <w:tcPr>
            <w:tcW w:w="1798" w:type="dxa"/>
            <w:vAlign w:val="center"/>
            <w:hideMark/>
          </w:tcPr>
          <w:p w14:paraId="44AB60F0" w14:textId="77777777" w:rsidR="006E6AFA" w:rsidRPr="006E6AFA" w:rsidRDefault="006E6AFA" w:rsidP="006E6AFA">
            <w:pPr>
              <w:spacing w:line="360" w:lineRule="auto"/>
              <w:jc w:val="both"/>
              <w:rPr>
                <w:rFonts w:ascii="Times New Roman" w:hAnsi="Times New Roman" w:cs="Times New Roman"/>
                <w:sz w:val="24"/>
                <w:szCs w:val="24"/>
              </w:rPr>
            </w:pPr>
          </w:p>
        </w:tc>
      </w:tr>
      <w:tr w:rsidR="006E6AFA" w:rsidRPr="006E6AFA" w14:paraId="24B45A14" w14:textId="77777777" w:rsidTr="00C77F28">
        <w:trPr>
          <w:tblCellSpacing w:w="15" w:type="dxa"/>
        </w:trPr>
        <w:tc>
          <w:tcPr>
            <w:tcW w:w="2223" w:type="dxa"/>
            <w:vAlign w:val="center"/>
            <w:hideMark/>
          </w:tcPr>
          <w:p w14:paraId="4AAE71A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Readiness</w:t>
            </w:r>
          </w:p>
        </w:tc>
        <w:tc>
          <w:tcPr>
            <w:tcW w:w="1246" w:type="dxa"/>
            <w:vAlign w:val="center"/>
            <w:hideMark/>
          </w:tcPr>
          <w:p w14:paraId="214C07D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0.48**</w:t>
            </w:r>
          </w:p>
        </w:tc>
        <w:tc>
          <w:tcPr>
            <w:tcW w:w="1387" w:type="dxa"/>
            <w:vAlign w:val="center"/>
            <w:hideMark/>
          </w:tcPr>
          <w:p w14:paraId="7CD57E98"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w:t>
            </w:r>
          </w:p>
        </w:tc>
        <w:tc>
          <w:tcPr>
            <w:tcW w:w="1104" w:type="dxa"/>
            <w:vAlign w:val="center"/>
            <w:hideMark/>
          </w:tcPr>
          <w:p w14:paraId="256695F7" w14:textId="77777777" w:rsidR="006E6AFA" w:rsidRPr="006E6AFA" w:rsidRDefault="006E6AFA" w:rsidP="006E6AFA">
            <w:pPr>
              <w:spacing w:line="360" w:lineRule="auto"/>
              <w:jc w:val="both"/>
              <w:rPr>
                <w:rFonts w:ascii="Times New Roman" w:hAnsi="Times New Roman" w:cs="Times New Roman"/>
                <w:sz w:val="24"/>
                <w:szCs w:val="24"/>
              </w:rPr>
            </w:pPr>
          </w:p>
        </w:tc>
        <w:tc>
          <w:tcPr>
            <w:tcW w:w="1798" w:type="dxa"/>
            <w:vAlign w:val="center"/>
            <w:hideMark/>
          </w:tcPr>
          <w:p w14:paraId="6B93EB3C" w14:textId="77777777" w:rsidR="006E6AFA" w:rsidRPr="006E6AFA" w:rsidRDefault="006E6AFA" w:rsidP="006E6AFA">
            <w:pPr>
              <w:spacing w:line="360" w:lineRule="auto"/>
              <w:jc w:val="both"/>
              <w:rPr>
                <w:rFonts w:ascii="Times New Roman" w:hAnsi="Times New Roman" w:cs="Times New Roman"/>
                <w:sz w:val="24"/>
                <w:szCs w:val="24"/>
              </w:rPr>
            </w:pPr>
          </w:p>
        </w:tc>
      </w:tr>
      <w:tr w:rsidR="006E6AFA" w:rsidRPr="006E6AFA" w14:paraId="5DD6D738" w14:textId="77777777" w:rsidTr="00C77F28">
        <w:trPr>
          <w:tblCellSpacing w:w="15" w:type="dxa"/>
        </w:trPr>
        <w:tc>
          <w:tcPr>
            <w:tcW w:w="2223" w:type="dxa"/>
            <w:vAlign w:val="center"/>
            <w:hideMark/>
          </w:tcPr>
          <w:p w14:paraId="35F07FB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Efficiency Outcomes</w:t>
            </w:r>
          </w:p>
        </w:tc>
        <w:tc>
          <w:tcPr>
            <w:tcW w:w="1246" w:type="dxa"/>
            <w:vAlign w:val="center"/>
            <w:hideMark/>
          </w:tcPr>
          <w:p w14:paraId="6660702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0.61**</w:t>
            </w:r>
          </w:p>
        </w:tc>
        <w:tc>
          <w:tcPr>
            <w:tcW w:w="1387" w:type="dxa"/>
            <w:vAlign w:val="center"/>
            <w:hideMark/>
          </w:tcPr>
          <w:p w14:paraId="1CBAD4B2"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0.43**</w:t>
            </w:r>
          </w:p>
        </w:tc>
        <w:tc>
          <w:tcPr>
            <w:tcW w:w="1104" w:type="dxa"/>
            <w:vAlign w:val="center"/>
            <w:hideMark/>
          </w:tcPr>
          <w:p w14:paraId="467E6C4F"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w:t>
            </w:r>
          </w:p>
        </w:tc>
        <w:tc>
          <w:tcPr>
            <w:tcW w:w="1798" w:type="dxa"/>
            <w:vAlign w:val="center"/>
            <w:hideMark/>
          </w:tcPr>
          <w:p w14:paraId="7B0DDCA6" w14:textId="77777777" w:rsidR="006E6AFA" w:rsidRPr="006E6AFA" w:rsidRDefault="006E6AFA" w:rsidP="006E6AFA">
            <w:pPr>
              <w:spacing w:line="360" w:lineRule="auto"/>
              <w:jc w:val="both"/>
              <w:rPr>
                <w:rFonts w:ascii="Times New Roman" w:hAnsi="Times New Roman" w:cs="Times New Roman"/>
                <w:sz w:val="24"/>
                <w:szCs w:val="24"/>
              </w:rPr>
            </w:pPr>
          </w:p>
        </w:tc>
      </w:tr>
      <w:tr w:rsidR="006E6AFA" w:rsidRPr="006E6AFA" w14:paraId="04E47CD8" w14:textId="77777777" w:rsidTr="00C77F28">
        <w:trPr>
          <w:tblCellSpacing w:w="15" w:type="dxa"/>
        </w:trPr>
        <w:tc>
          <w:tcPr>
            <w:tcW w:w="2223" w:type="dxa"/>
            <w:vAlign w:val="center"/>
            <w:hideMark/>
          </w:tcPr>
          <w:p w14:paraId="160B768F"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Sustainability Outcomes</w:t>
            </w:r>
          </w:p>
        </w:tc>
        <w:tc>
          <w:tcPr>
            <w:tcW w:w="1246" w:type="dxa"/>
            <w:vAlign w:val="center"/>
            <w:hideMark/>
          </w:tcPr>
          <w:p w14:paraId="50CFFF0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0.52**</w:t>
            </w:r>
          </w:p>
        </w:tc>
        <w:tc>
          <w:tcPr>
            <w:tcW w:w="1387" w:type="dxa"/>
            <w:vAlign w:val="center"/>
            <w:hideMark/>
          </w:tcPr>
          <w:p w14:paraId="56786AE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0.38**</w:t>
            </w:r>
          </w:p>
        </w:tc>
        <w:tc>
          <w:tcPr>
            <w:tcW w:w="1104" w:type="dxa"/>
            <w:vAlign w:val="center"/>
            <w:hideMark/>
          </w:tcPr>
          <w:p w14:paraId="64AA810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0.45**</w:t>
            </w:r>
          </w:p>
        </w:tc>
        <w:tc>
          <w:tcPr>
            <w:tcW w:w="1798" w:type="dxa"/>
            <w:vAlign w:val="center"/>
            <w:hideMark/>
          </w:tcPr>
          <w:p w14:paraId="7C23CFB6"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1</w:t>
            </w:r>
          </w:p>
        </w:tc>
      </w:tr>
    </w:tbl>
    <w:p w14:paraId="2C4113EC" w14:textId="77777777" w:rsidR="00C77F28" w:rsidRDefault="00C77F28" w:rsidP="006E6AFA">
      <w:pPr>
        <w:spacing w:line="360" w:lineRule="auto"/>
        <w:jc w:val="both"/>
        <w:rPr>
          <w:rFonts w:ascii="Times New Roman" w:hAnsi="Times New Roman" w:cs="Times New Roman"/>
          <w:b/>
          <w:bCs/>
          <w:sz w:val="24"/>
          <w:szCs w:val="24"/>
        </w:rPr>
      </w:pPr>
    </w:p>
    <w:p w14:paraId="4EBC3AD1" w14:textId="17CDC329" w:rsid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 xml:space="preserve">The results show that </w:t>
      </w:r>
      <w:r w:rsidRPr="00C77F28">
        <w:rPr>
          <w:rFonts w:ascii="Times New Roman" w:hAnsi="Times New Roman" w:cs="Times New Roman"/>
          <w:sz w:val="24"/>
          <w:szCs w:val="24"/>
        </w:rPr>
        <w:t>usefulness of digital technologies is strongly associated with both efficiency (r = 0.61) and sustainability (r = 0.52) outcomes. Adoption readiness also exhibits significant positive correlations.</w:t>
      </w:r>
      <w:r w:rsidR="00C77F28">
        <w:rPr>
          <w:rFonts w:ascii="Times New Roman" w:hAnsi="Times New Roman" w:cs="Times New Roman"/>
          <w:sz w:val="24"/>
          <w:szCs w:val="24"/>
        </w:rPr>
        <w:t xml:space="preserve"> </w:t>
      </w:r>
      <w:r w:rsidRPr="00C77F28">
        <w:rPr>
          <w:rFonts w:ascii="Times New Roman" w:hAnsi="Times New Roman" w:cs="Times New Roman"/>
          <w:sz w:val="24"/>
          <w:szCs w:val="24"/>
        </w:rPr>
        <w:t>Scatterplot of Perceived Usefulness and Efficiency Outcomes</w:t>
      </w:r>
      <w:r w:rsidRPr="00C77F28">
        <w:rPr>
          <w:rFonts w:ascii="Times New Roman" w:hAnsi="Times New Roman" w:cs="Times New Roman"/>
          <w:sz w:val="24"/>
          <w:szCs w:val="24"/>
        </w:rPr>
        <w:br/>
        <w:t>This scatterplot with a regression line indicates a strong positive</w:t>
      </w:r>
      <w:r w:rsidRPr="006E6AFA">
        <w:rPr>
          <w:rFonts w:ascii="Times New Roman" w:hAnsi="Times New Roman" w:cs="Times New Roman"/>
          <w:sz w:val="24"/>
          <w:szCs w:val="24"/>
        </w:rPr>
        <w:t xml:space="preserve"> relationship between farmers’ perception of digital tool usefulness and their reported improvements in operational efficiency (r = 0.61, p &lt; 0.01).</w:t>
      </w:r>
    </w:p>
    <w:p w14:paraId="637DF4A1" w14:textId="07B6129A" w:rsidR="006E6AFA" w:rsidRDefault="006E6AFA" w:rsidP="006E6AF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F555C99" wp14:editId="27DC1291">
            <wp:extent cx="4724302" cy="3065238"/>
            <wp:effectExtent l="0" t="0" r="635" b="1905"/>
            <wp:docPr id="12477188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46208" cy="3079451"/>
                    </a:xfrm>
                    <a:prstGeom prst="rect">
                      <a:avLst/>
                    </a:prstGeom>
                    <a:noFill/>
                  </pic:spPr>
                </pic:pic>
              </a:graphicData>
            </a:graphic>
          </wp:inline>
        </w:drawing>
      </w:r>
    </w:p>
    <w:p w14:paraId="15FDB25A" w14:textId="7C912FF0" w:rsidR="006E6AFA" w:rsidRP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6AFA" w:rsidRPr="006E6AFA">
        <w:rPr>
          <w:rFonts w:ascii="Times New Roman" w:hAnsi="Times New Roman" w:cs="Times New Roman"/>
          <w:sz w:val="24"/>
          <w:szCs w:val="24"/>
        </w:rPr>
        <w:t>Figure 3 visually confirms this positive relationship."</w:t>
      </w:r>
    </w:p>
    <w:p w14:paraId="3B913783" w14:textId="3529AC30" w:rsidR="006E6AFA" w:rsidRPr="006E6AFA" w:rsidRDefault="006E6AFA" w:rsidP="006E6AFA">
      <w:pPr>
        <w:spacing w:line="360" w:lineRule="auto"/>
        <w:jc w:val="both"/>
        <w:rPr>
          <w:rFonts w:ascii="Times New Roman" w:hAnsi="Times New Roman" w:cs="Times New Roman"/>
          <w:sz w:val="24"/>
          <w:szCs w:val="24"/>
        </w:rPr>
      </w:pPr>
    </w:p>
    <w:p w14:paraId="4D0B8364"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4.5 Regression Analysis</w:t>
      </w:r>
    </w:p>
    <w:p w14:paraId="4DBC7542"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Two multiple linear regression models were run to test H1–H4.</w:t>
      </w:r>
    </w:p>
    <w:p w14:paraId="51EB4E53"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Model 1: Predicting Efficiency Outcomes</w:t>
      </w:r>
    </w:p>
    <w:tbl>
      <w:tblPr>
        <w:tblW w:w="0" w:type="auto"/>
        <w:tblCellSpacing w:w="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02"/>
        <w:gridCol w:w="850"/>
        <w:gridCol w:w="1134"/>
        <w:gridCol w:w="1276"/>
      </w:tblGrid>
      <w:tr w:rsidR="006E6AFA" w:rsidRPr="006E6AFA" w14:paraId="44079212" w14:textId="77777777" w:rsidTr="00C77F28">
        <w:trPr>
          <w:tblHeader/>
          <w:tblCellSpacing w:w="15" w:type="dxa"/>
        </w:trPr>
        <w:tc>
          <w:tcPr>
            <w:tcW w:w="3357" w:type="dxa"/>
            <w:vAlign w:val="center"/>
            <w:hideMark/>
          </w:tcPr>
          <w:p w14:paraId="4B28AED4"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Predictor Variable</w:t>
            </w:r>
          </w:p>
        </w:tc>
        <w:tc>
          <w:tcPr>
            <w:tcW w:w="820" w:type="dxa"/>
            <w:vAlign w:val="center"/>
            <w:hideMark/>
          </w:tcPr>
          <w:p w14:paraId="72C7CB56"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β</w:t>
            </w:r>
          </w:p>
        </w:tc>
        <w:tc>
          <w:tcPr>
            <w:tcW w:w="1104" w:type="dxa"/>
            <w:vAlign w:val="center"/>
            <w:hideMark/>
          </w:tcPr>
          <w:p w14:paraId="75D097A7"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t-value</w:t>
            </w:r>
          </w:p>
        </w:tc>
        <w:tc>
          <w:tcPr>
            <w:tcW w:w="1231" w:type="dxa"/>
            <w:vAlign w:val="center"/>
            <w:hideMark/>
          </w:tcPr>
          <w:p w14:paraId="5E56D3C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Sig. (p)</w:t>
            </w:r>
          </w:p>
        </w:tc>
      </w:tr>
      <w:tr w:rsidR="006E6AFA" w:rsidRPr="006E6AFA" w14:paraId="5A1ED6C8" w14:textId="77777777" w:rsidTr="00C77F28">
        <w:trPr>
          <w:tblCellSpacing w:w="15" w:type="dxa"/>
        </w:trPr>
        <w:tc>
          <w:tcPr>
            <w:tcW w:w="3357" w:type="dxa"/>
            <w:vAlign w:val="center"/>
            <w:hideMark/>
          </w:tcPr>
          <w:p w14:paraId="717BA46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Digital Usefulness</w:t>
            </w:r>
          </w:p>
        </w:tc>
        <w:tc>
          <w:tcPr>
            <w:tcW w:w="820" w:type="dxa"/>
            <w:vAlign w:val="center"/>
            <w:hideMark/>
          </w:tcPr>
          <w:p w14:paraId="2F5E60B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0.44</w:t>
            </w:r>
          </w:p>
        </w:tc>
        <w:tc>
          <w:tcPr>
            <w:tcW w:w="1104" w:type="dxa"/>
            <w:vAlign w:val="center"/>
            <w:hideMark/>
          </w:tcPr>
          <w:p w14:paraId="52B195A9"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5.21</w:t>
            </w:r>
          </w:p>
        </w:tc>
        <w:tc>
          <w:tcPr>
            <w:tcW w:w="1231" w:type="dxa"/>
            <w:vAlign w:val="center"/>
            <w:hideMark/>
          </w:tcPr>
          <w:p w14:paraId="01C76949"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0.000</w:t>
            </w:r>
          </w:p>
        </w:tc>
      </w:tr>
      <w:tr w:rsidR="006E6AFA" w:rsidRPr="006E6AFA" w14:paraId="41CD921D" w14:textId="77777777" w:rsidTr="00C77F28">
        <w:trPr>
          <w:tblCellSpacing w:w="15" w:type="dxa"/>
        </w:trPr>
        <w:tc>
          <w:tcPr>
            <w:tcW w:w="3357" w:type="dxa"/>
            <w:vAlign w:val="center"/>
            <w:hideMark/>
          </w:tcPr>
          <w:p w14:paraId="6C22988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Adoption Readiness</w:t>
            </w:r>
          </w:p>
        </w:tc>
        <w:tc>
          <w:tcPr>
            <w:tcW w:w="820" w:type="dxa"/>
            <w:vAlign w:val="center"/>
            <w:hideMark/>
          </w:tcPr>
          <w:p w14:paraId="0641D2F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0.31</w:t>
            </w:r>
          </w:p>
        </w:tc>
        <w:tc>
          <w:tcPr>
            <w:tcW w:w="1104" w:type="dxa"/>
            <w:vAlign w:val="center"/>
            <w:hideMark/>
          </w:tcPr>
          <w:p w14:paraId="26477E3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3.87</w:t>
            </w:r>
          </w:p>
        </w:tc>
        <w:tc>
          <w:tcPr>
            <w:tcW w:w="1231" w:type="dxa"/>
            <w:vAlign w:val="center"/>
            <w:hideMark/>
          </w:tcPr>
          <w:p w14:paraId="1FC0C836"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0.000</w:t>
            </w:r>
          </w:p>
        </w:tc>
      </w:tr>
      <w:tr w:rsidR="006E6AFA" w:rsidRPr="006E6AFA" w14:paraId="10C55591" w14:textId="77777777" w:rsidTr="00C77F28">
        <w:trPr>
          <w:tblCellSpacing w:w="15" w:type="dxa"/>
        </w:trPr>
        <w:tc>
          <w:tcPr>
            <w:tcW w:w="3357" w:type="dxa"/>
            <w:vAlign w:val="center"/>
            <w:hideMark/>
          </w:tcPr>
          <w:p w14:paraId="066B3BDB"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Frequency of Use</w:t>
            </w:r>
          </w:p>
        </w:tc>
        <w:tc>
          <w:tcPr>
            <w:tcW w:w="820" w:type="dxa"/>
            <w:vAlign w:val="center"/>
            <w:hideMark/>
          </w:tcPr>
          <w:p w14:paraId="5AE3E17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0.28</w:t>
            </w:r>
          </w:p>
        </w:tc>
        <w:tc>
          <w:tcPr>
            <w:tcW w:w="1104" w:type="dxa"/>
            <w:vAlign w:val="center"/>
            <w:hideMark/>
          </w:tcPr>
          <w:p w14:paraId="734CEF0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3.14</w:t>
            </w:r>
          </w:p>
        </w:tc>
        <w:tc>
          <w:tcPr>
            <w:tcW w:w="1231" w:type="dxa"/>
            <w:vAlign w:val="center"/>
            <w:hideMark/>
          </w:tcPr>
          <w:p w14:paraId="697A380E"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0.002</w:t>
            </w:r>
          </w:p>
        </w:tc>
      </w:tr>
      <w:tr w:rsidR="006E6AFA" w:rsidRPr="006E6AFA" w14:paraId="781DE52B" w14:textId="77777777" w:rsidTr="00C77F28">
        <w:trPr>
          <w:tblCellSpacing w:w="15" w:type="dxa"/>
        </w:trPr>
        <w:tc>
          <w:tcPr>
            <w:tcW w:w="3357" w:type="dxa"/>
            <w:vAlign w:val="center"/>
            <w:hideMark/>
          </w:tcPr>
          <w:p w14:paraId="7D70656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t>R² = 0.53</w:t>
            </w:r>
            <w:r w:rsidRPr="006E6AFA">
              <w:rPr>
                <w:rFonts w:ascii="Times New Roman" w:hAnsi="Times New Roman" w:cs="Times New Roman"/>
                <w:sz w:val="24"/>
                <w:szCs w:val="24"/>
              </w:rPr>
              <w:t>, F(3, 98) = 36.94, p &lt; 0.001</w:t>
            </w:r>
          </w:p>
        </w:tc>
        <w:tc>
          <w:tcPr>
            <w:tcW w:w="820" w:type="dxa"/>
            <w:vAlign w:val="center"/>
            <w:hideMark/>
          </w:tcPr>
          <w:p w14:paraId="5BEF166E" w14:textId="77777777" w:rsidR="006E6AFA" w:rsidRPr="006E6AFA" w:rsidRDefault="006E6AFA" w:rsidP="006E6AFA">
            <w:pPr>
              <w:spacing w:line="360" w:lineRule="auto"/>
              <w:jc w:val="both"/>
              <w:rPr>
                <w:rFonts w:ascii="Times New Roman" w:hAnsi="Times New Roman" w:cs="Times New Roman"/>
                <w:sz w:val="24"/>
                <w:szCs w:val="24"/>
              </w:rPr>
            </w:pPr>
          </w:p>
        </w:tc>
        <w:tc>
          <w:tcPr>
            <w:tcW w:w="1104" w:type="dxa"/>
            <w:vAlign w:val="center"/>
            <w:hideMark/>
          </w:tcPr>
          <w:p w14:paraId="7E3C5718" w14:textId="77777777" w:rsidR="006E6AFA" w:rsidRPr="006E6AFA" w:rsidRDefault="006E6AFA" w:rsidP="006E6AFA">
            <w:pPr>
              <w:spacing w:line="360" w:lineRule="auto"/>
              <w:jc w:val="both"/>
              <w:rPr>
                <w:rFonts w:ascii="Times New Roman" w:hAnsi="Times New Roman" w:cs="Times New Roman"/>
                <w:sz w:val="24"/>
                <w:szCs w:val="24"/>
              </w:rPr>
            </w:pPr>
          </w:p>
        </w:tc>
        <w:tc>
          <w:tcPr>
            <w:tcW w:w="1231" w:type="dxa"/>
            <w:vAlign w:val="center"/>
            <w:hideMark/>
          </w:tcPr>
          <w:p w14:paraId="6BE62B74" w14:textId="77777777" w:rsidR="006E6AFA" w:rsidRPr="006E6AFA" w:rsidRDefault="006E6AFA" w:rsidP="006E6AFA">
            <w:pPr>
              <w:spacing w:line="360" w:lineRule="auto"/>
              <w:jc w:val="both"/>
              <w:rPr>
                <w:rFonts w:ascii="Times New Roman" w:hAnsi="Times New Roman" w:cs="Times New Roman"/>
                <w:sz w:val="24"/>
                <w:szCs w:val="24"/>
              </w:rPr>
            </w:pPr>
          </w:p>
        </w:tc>
      </w:tr>
    </w:tbl>
    <w:p w14:paraId="2DED8F58" w14:textId="299AAAFD"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 xml:space="preserve">These results confirm that digital usefulness, readiness and frequency significantly predict efficiency, supporting </w:t>
      </w:r>
      <w:r w:rsidRPr="00C77F28">
        <w:rPr>
          <w:rFonts w:ascii="Times New Roman" w:hAnsi="Times New Roman" w:cs="Times New Roman"/>
          <w:sz w:val="24"/>
          <w:szCs w:val="24"/>
        </w:rPr>
        <w:t>H1, H2</w:t>
      </w:r>
      <w:r w:rsidR="00757256">
        <w:rPr>
          <w:rFonts w:ascii="Times New Roman" w:hAnsi="Times New Roman" w:cs="Times New Roman"/>
          <w:sz w:val="24"/>
          <w:szCs w:val="24"/>
        </w:rPr>
        <w:t xml:space="preserve"> and</w:t>
      </w:r>
      <w:r w:rsidRPr="00C77F28">
        <w:rPr>
          <w:rFonts w:ascii="Times New Roman" w:hAnsi="Times New Roman" w:cs="Times New Roman"/>
          <w:sz w:val="24"/>
          <w:szCs w:val="24"/>
        </w:rPr>
        <w:t xml:space="preserve"> H3</w:t>
      </w:r>
      <w:r w:rsidRPr="006E6AFA">
        <w:rPr>
          <w:rFonts w:ascii="Times New Roman" w:hAnsi="Times New Roman" w:cs="Times New Roman"/>
          <w:sz w:val="24"/>
          <w:szCs w:val="24"/>
        </w:rPr>
        <w:t>.</w:t>
      </w:r>
    </w:p>
    <w:p w14:paraId="0DA0EC07"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Model 2: Predicting Sustainability Outcomes</w:t>
      </w:r>
    </w:p>
    <w:tbl>
      <w:tblPr>
        <w:tblW w:w="0" w:type="auto"/>
        <w:tblCellSpacing w:w="15"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8"/>
        <w:gridCol w:w="993"/>
        <w:gridCol w:w="1275"/>
        <w:gridCol w:w="1418"/>
      </w:tblGrid>
      <w:tr w:rsidR="006E6AFA" w:rsidRPr="006E6AFA" w14:paraId="2D8BE37E" w14:textId="77777777" w:rsidTr="00C77F28">
        <w:trPr>
          <w:tblHeader/>
          <w:tblCellSpacing w:w="15" w:type="dxa"/>
        </w:trPr>
        <w:tc>
          <w:tcPr>
            <w:tcW w:w="3073" w:type="dxa"/>
            <w:vAlign w:val="center"/>
            <w:hideMark/>
          </w:tcPr>
          <w:p w14:paraId="718B7FD6"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lastRenderedPageBreak/>
              <w:t>Predictor Variable</w:t>
            </w:r>
          </w:p>
        </w:tc>
        <w:tc>
          <w:tcPr>
            <w:tcW w:w="963" w:type="dxa"/>
            <w:vAlign w:val="center"/>
            <w:hideMark/>
          </w:tcPr>
          <w:p w14:paraId="0FB436E5"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β</w:t>
            </w:r>
          </w:p>
        </w:tc>
        <w:tc>
          <w:tcPr>
            <w:tcW w:w="1245" w:type="dxa"/>
            <w:vAlign w:val="center"/>
            <w:hideMark/>
          </w:tcPr>
          <w:p w14:paraId="0FAAB64D"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t-value</w:t>
            </w:r>
          </w:p>
        </w:tc>
        <w:tc>
          <w:tcPr>
            <w:tcW w:w="1373" w:type="dxa"/>
            <w:vAlign w:val="center"/>
            <w:hideMark/>
          </w:tcPr>
          <w:p w14:paraId="232069E9"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Sig. (p)</w:t>
            </w:r>
          </w:p>
        </w:tc>
      </w:tr>
      <w:tr w:rsidR="006E6AFA" w:rsidRPr="006E6AFA" w14:paraId="55AD4449" w14:textId="77777777" w:rsidTr="00C77F28">
        <w:trPr>
          <w:tblCellSpacing w:w="15" w:type="dxa"/>
        </w:trPr>
        <w:tc>
          <w:tcPr>
            <w:tcW w:w="3073" w:type="dxa"/>
            <w:vAlign w:val="center"/>
            <w:hideMark/>
          </w:tcPr>
          <w:p w14:paraId="6AA3161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Digital Usefulness</w:t>
            </w:r>
          </w:p>
        </w:tc>
        <w:tc>
          <w:tcPr>
            <w:tcW w:w="963" w:type="dxa"/>
            <w:vAlign w:val="center"/>
            <w:hideMark/>
          </w:tcPr>
          <w:p w14:paraId="0D9253FC"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0.39</w:t>
            </w:r>
          </w:p>
        </w:tc>
        <w:tc>
          <w:tcPr>
            <w:tcW w:w="1245" w:type="dxa"/>
            <w:vAlign w:val="center"/>
            <w:hideMark/>
          </w:tcPr>
          <w:p w14:paraId="41AC9AC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4.66</w:t>
            </w:r>
          </w:p>
        </w:tc>
        <w:tc>
          <w:tcPr>
            <w:tcW w:w="1373" w:type="dxa"/>
            <w:vAlign w:val="center"/>
            <w:hideMark/>
          </w:tcPr>
          <w:p w14:paraId="15BB836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0.000</w:t>
            </w:r>
          </w:p>
        </w:tc>
      </w:tr>
      <w:tr w:rsidR="006E6AFA" w:rsidRPr="006E6AFA" w14:paraId="5F3AF234" w14:textId="77777777" w:rsidTr="00C77F28">
        <w:trPr>
          <w:tblCellSpacing w:w="15" w:type="dxa"/>
        </w:trPr>
        <w:tc>
          <w:tcPr>
            <w:tcW w:w="3073" w:type="dxa"/>
            <w:vAlign w:val="center"/>
            <w:hideMark/>
          </w:tcPr>
          <w:p w14:paraId="732188FF"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Adoption Readiness</w:t>
            </w:r>
          </w:p>
        </w:tc>
        <w:tc>
          <w:tcPr>
            <w:tcW w:w="963" w:type="dxa"/>
            <w:vAlign w:val="center"/>
            <w:hideMark/>
          </w:tcPr>
          <w:p w14:paraId="68918EBA"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0.25</w:t>
            </w:r>
          </w:p>
        </w:tc>
        <w:tc>
          <w:tcPr>
            <w:tcW w:w="1245" w:type="dxa"/>
            <w:vAlign w:val="center"/>
            <w:hideMark/>
          </w:tcPr>
          <w:p w14:paraId="331D6B9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3.02</w:t>
            </w:r>
          </w:p>
        </w:tc>
        <w:tc>
          <w:tcPr>
            <w:tcW w:w="1373" w:type="dxa"/>
            <w:vAlign w:val="center"/>
            <w:hideMark/>
          </w:tcPr>
          <w:p w14:paraId="0AB51032"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0.003</w:t>
            </w:r>
          </w:p>
        </w:tc>
      </w:tr>
      <w:tr w:rsidR="006E6AFA" w:rsidRPr="006E6AFA" w14:paraId="49A57CFF" w14:textId="77777777" w:rsidTr="00C77F28">
        <w:trPr>
          <w:tblCellSpacing w:w="15" w:type="dxa"/>
        </w:trPr>
        <w:tc>
          <w:tcPr>
            <w:tcW w:w="3073" w:type="dxa"/>
            <w:vAlign w:val="center"/>
            <w:hideMark/>
          </w:tcPr>
          <w:p w14:paraId="736A9CE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Frequency of Use</w:t>
            </w:r>
          </w:p>
        </w:tc>
        <w:tc>
          <w:tcPr>
            <w:tcW w:w="963" w:type="dxa"/>
            <w:vAlign w:val="center"/>
            <w:hideMark/>
          </w:tcPr>
          <w:p w14:paraId="5C11B529"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0.20</w:t>
            </w:r>
          </w:p>
        </w:tc>
        <w:tc>
          <w:tcPr>
            <w:tcW w:w="1245" w:type="dxa"/>
            <w:vAlign w:val="center"/>
            <w:hideMark/>
          </w:tcPr>
          <w:p w14:paraId="2E5FDA1C"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2.41</w:t>
            </w:r>
          </w:p>
        </w:tc>
        <w:tc>
          <w:tcPr>
            <w:tcW w:w="1373" w:type="dxa"/>
            <w:vAlign w:val="center"/>
            <w:hideMark/>
          </w:tcPr>
          <w:p w14:paraId="2E3F3373"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0.018</w:t>
            </w:r>
          </w:p>
        </w:tc>
      </w:tr>
      <w:tr w:rsidR="006E6AFA" w:rsidRPr="006E6AFA" w14:paraId="51CA1AA6" w14:textId="77777777" w:rsidTr="00C77F28">
        <w:trPr>
          <w:tblCellSpacing w:w="15" w:type="dxa"/>
        </w:trPr>
        <w:tc>
          <w:tcPr>
            <w:tcW w:w="3073" w:type="dxa"/>
            <w:vAlign w:val="center"/>
            <w:hideMark/>
          </w:tcPr>
          <w:p w14:paraId="6CB921A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t>R² = 0.46</w:t>
            </w:r>
            <w:r w:rsidRPr="006E6AFA">
              <w:rPr>
                <w:rFonts w:ascii="Times New Roman" w:hAnsi="Times New Roman" w:cs="Times New Roman"/>
                <w:sz w:val="24"/>
                <w:szCs w:val="24"/>
              </w:rPr>
              <w:t>, F(3, 98) = 27.83, p &lt; 0.001</w:t>
            </w:r>
          </w:p>
        </w:tc>
        <w:tc>
          <w:tcPr>
            <w:tcW w:w="963" w:type="dxa"/>
            <w:vAlign w:val="center"/>
            <w:hideMark/>
          </w:tcPr>
          <w:p w14:paraId="154C9D12" w14:textId="77777777" w:rsidR="006E6AFA" w:rsidRPr="006E6AFA" w:rsidRDefault="006E6AFA" w:rsidP="006E6AFA">
            <w:pPr>
              <w:spacing w:line="360" w:lineRule="auto"/>
              <w:jc w:val="both"/>
              <w:rPr>
                <w:rFonts w:ascii="Times New Roman" w:hAnsi="Times New Roman" w:cs="Times New Roman"/>
                <w:sz w:val="24"/>
                <w:szCs w:val="24"/>
              </w:rPr>
            </w:pPr>
          </w:p>
        </w:tc>
        <w:tc>
          <w:tcPr>
            <w:tcW w:w="1245" w:type="dxa"/>
            <w:vAlign w:val="center"/>
            <w:hideMark/>
          </w:tcPr>
          <w:p w14:paraId="37328532" w14:textId="77777777" w:rsidR="006E6AFA" w:rsidRPr="006E6AFA" w:rsidRDefault="006E6AFA" w:rsidP="006E6AFA">
            <w:pPr>
              <w:spacing w:line="360" w:lineRule="auto"/>
              <w:jc w:val="both"/>
              <w:rPr>
                <w:rFonts w:ascii="Times New Roman" w:hAnsi="Times New Roman" w:cs="Times New Roman"/>
                <w:sz w:val="24"/>
                <w:szCs w:val="24"/>
              </w:rPr>
            </w:pPr>
          </w:p>
        </w:tc>
        <w:tc>
          <w:tcPr>
            <w:tcW w:w="1373" w:type="dxa"/>
            <w:vAlign w:val="center"/>
            <w:hideMark/>
          </w:tcPr>
          <w:p w14:paraId="282C97D9" w14:textId="77777777" w:rsidR="006E6AFA" w:rsidRPr="006E6AFA" w:rsidRDefault="006E6AFA" w:rsidP="006E6AFA">
            <w:pPr>
              <w:spacing w:line="360" w:lineRule="auto"/>
              <w:jc w:val="both"/>
              <w:rPr>
                <w:rFonts w:ascii="Times New Roman" w:hAnsi="Times New Roman" w:cs="Times New Roman"/>
                <w:sz w:val="24"/>
                <w:szCs w:val="24"/>
              </w:rPr>
            </w:pPr>
          </w:p>
        </w:tc>
      </w:tr>
    </w:tbl>
    <w:p w14:paraId="069A6E9E" w14:textId="77777777" w:rsidR="00C77F28" w:rsidRDefault="00C77F28" w:rsidP="006E6AFA">
      <w:pPr>
        <w:spacing w:line="360" w:lineRule="auto"/>
        <w:jc w:val="both"/>
        <w:rPr>
          <w:rFonts w:ascii="Times New Roman" w:hAnsi="Times New Roman" w:cs="Times New Roman"/>
          <w:sz w:val="24"/>
          <w:szCs w:val="24"/>
        </w:rPr>
      </w:pPr>
    </w:p>
    <w:p w14:paraId="1E928FF2" w14:textId="7E9DDAA0" w:rsid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 xml:space="preserve">Again, all predictors are statistically significant, providing evidence in support of </w:t>
      </w:r>
      <w:r w:rsidRPr="00C77F28">
        <w:rPr>
          <w:rFonts w:ascii="Times New Roman" w:hAnsi="Times New Roman" w:cs="Times New Roman"/>
          <w:b/>
          <w:bCs/>
          <w:sz w:val="24"/>
          <w:szCs w:val="24"/>
        </w:rPr>
        <w:t>H4.</w:t>
      </w:r>
      <w:r w:rsidR="00C77F28">
        <w:rPr>
          <w:rFonts w:ascii="Times New Roman" w:hAnsi="Times New Roman" w:cs="Times New Roman"/>
          <w:sz w:val="24"/>
          <w:szCs w:val="24"/>
        </w:rPr>
        <w:t xml:space="preserve"> </w:t>
      </w:r>
      <w:r w:rsidRPr="00C77F28">
        <w:rPr>
          <w:rFonts w:ascii="Times New Roman" w:hAnsi="Times New Roman" w:cs="Times New Roman"/>
          <w:sz w:val="24"/>
          <w:szCs w:val="24"/>
        </w:rPr>
        <w:t>Scatterplot of Adoption Readiness and Sustainability Outcomes</w:t>
      </w:r>
      <w:r w:rsidR="00C77F28">
        <w:rPr>
          <w:rFonts w:ascii="Times New Roman" w:hAnsi="Times New Roman" w:cs="Times New Roman"/>
          <w:sz w:val="24"/>
          <w:szCs w:val="24"/>
        </w:rPr>
        <w:t xml:space="preserve">. </w:t>
      </w:r>
      <w:r w:rsidRPr="00C77F28">
        <w:rPr>
          <w:rFonts w:ascii="Times New Roman" w:hAnsi="Times New Roman" w:cs="Times New Roman"/>
          <w:sz w:val="24"/>
          <w:szCs w:val="24"/>
        </w:rPr>
        <w:t>This plot demonstrates a moderate positive correlation between adoption readiness and sustainability performance</w:t>
      </w:r>
      <w:r w:rsidRPr="006E6AFA">
        <w:rPr>
          <w:rFonts w:ascii="Times New Roman" w:hAnsi="Times New Roman" w:cs="Times New Roman"/>
          <w:sz w:val="24"/>
          <w:szCs w:val="24"/>
        </w:rPr>
        <w:t>. As readiness increases, so does the likelihood of improved sustainability outcomes.</w:t>
      </w:r>
    </w:p>
    <w:p w14:paraId="1A26B2F0" w14:textId="75AADD13" w:rsidR="006E6AFA" w:rsidRDefault="006E6AFA" w:rsidP="006E6AF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CB3EB9" wp14:editId="60F165D2">
            <wp:extent cx="4902673" cy="3147641"/>
            <wp:effectExtent l="0" t="0" r="0" b="0"/>
            <wp:docPr id="21304794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2257" cy="3166635"/>
                    </a:xfrm>
                    <a:prstGeom prst="rect">
                      <a:avLst/>
                    </a:prstGeom>
                    <a:noFill/>
                  </pic:spPr>
                </pic:pic>
              </a:graphicData>
            </a:graphic>
          </wp:inline>
        </w:drawing>
      </w:r>
    </w:p>
    <w:p w14:paraId="0E2D47AA" w14:textId="34D4DD02" w:rsidR="006E6AFA" w:rsidRP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6AFA" w:rsidRPr="006E6AFA">
        <w:rPr>
          <w:rFonts w:ascii="Times New Roman" w:hAnsi="Times New Roman" w:cs="Times New Roman"/>
          <w:sz w:val="24"/>
          <w:szCs w:val="24"/>
        </w:rPr>
        <w:t>Figure 4 demonstrates the strength of this relationship.</w:t>
      </w:r>
    </w:p>
    <w:p w14:paraId="67A4922F" w14:textId="2CBEF780" w:rsidR="006E6AFA" w:rsidRPr="006E6AFA" w:rsidRDefault="006E6AFA" w:rsidP="006E6AFA">
      <w:pPr>
        <w:spacing w:line="360" w:lineRule="auto"/>
        <w:jc w:val="both"/>
        <w:rPr>
          <w:rFonts w:ascii="Times New Roman" w:hAnsi="Times New Roman" w:cs="Times New Roman"/>
          <w:sz w:val="24"/>
          <w:szCs w:val="24"/>
        </w:rPr>
      </w:pPr>
    </w:p>
    <w:p w14:paraId="2F890804"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4.6 Moderation Analysis</w:t>
      </w:r>
    </w:p>
    <w:p w14:paraId="37054D5B" w14:textId="7AB59546"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 xml:space="preserve">To explore whether </w:t>
      </w:r>
      <w:r w:rsidRPr="00C77F28">
        <w:rPr>
          <w:rFonts w:ascii="Times New Roman" w:hAnsi="Times New Roman" w:cs="Times New Roman"/>
          <w:sz w:val="24"/>
          <w:szCs w:val="24"/>
        </w:rPr>
        <w:t>adoption readiness moderates</w:t>
      </w:r>
      <w:r w:rsidRPr="006E6AFA">
        <w:rPr>
          <w:rFonts w:ascii="Times New Roman" w:hAnsi="Times New Roman" w:cs="Times New Roman"/>
          <w:sz w:val="24"/>
          <w:szCs w:val="24"/>
        </w:rPr>
        <w:t xml:space="preserve"> the relationship between digital usefulness and efficiency, an interaction term Usefulness </w:t>
      </w:r>
      <w:r w:rsidR="00396361">
        <w:rPr>
          <w:rFonts w:ascii="Times New Roman" w:hAnsi="Times New Roman" w:cs="Times New Roman"/>
          <w:sz w:val="24"/>
          <w:szCs w:val="24"/>
        </w:rPr>
        <w:t xml:space="preserve">or </w:t>
      </w:r>
      <w:r w:rsidRPr="006E6AFA">
        <w:rPr>
          <w:rFonts w:ascii="Times New Roman" w:hAnsi="Times New Roman" w:cs="Times New Roman"/>
          <w:sz w:val="24"/>
          <w:szCs w:val="24"/>
        </w:rPr>
        <w:t>Readiness was entered.</w:t>
      </w:r>
    </w:p>
    <w:p w14:paraId="617575F9" w14:textId="195949B1"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b/>
          <w:bCs/>
          <w:sz w:val="24"/>
          <w:szCs w:val="24"/>
        </w:rPr>
        <w:lastRenderedPageBreak/>
        <w:t xml:space="preserve">Table 4: Moderation Test </w:t>
      </w:r>
      <w:r w:rsidR="00C77F28">
        <w:rPr>
          <w:rFonts w:ascii="Times New Roman" w:hAnsi="Times New Roman" w:cs="Times New Roman"/>
          <w:b/>
          <w:bCs/>
          <w:sz w:val="24"/>
          <w:szCs w:val="24"/>
        </w:rPr>
        <w:t>-</w:t>
      </w:r>
      <w:r w:rsidRPr="006E6AFA">
        <w:rPr>
          <w:rFonts w:ascii="Times New Roman" w:hAnsi="Times New Roman" w:cs="Times New Roman"/>
          <w:b/>
          <w:bCs/>
          <w:sz w:val="24"/>
          <w:szCs w:val="24"/>
        </w:rPr>
        <w:t xml:space="preserve"> Interaction Effects</w:t>
      </w:r>
    </w:p>
    <w:tbl>
      <w:tblPr>
        <w:tblW w:w="0" w:type="auto"/>
        <w:tblCellSpacing w:w="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7"/>
        <w:gridCol w:w="992"/>
        <w:gridCol w:w="1276"/>
        <w:gridCol w:w="1275"/>
      </w:tblGrid>
      <w:tr w:rsidR="006E6AFA" w:rsidRPr="006E6AFA" w14:paraId="06F8F992" w14:textId="77777777" w:rsidTr="00C77F28">
        <w:trPr>
          <w:tblHeader/>
          <w:tblCellSpacing w:w="15" w:type="dxa"/>
        </w:trPr>
        <w:tc>
          <w:tcPr>
            <w:tcW w:w="2932" w:type="dxa"/>
            <w:vAlign w:val="center"/>
            <w:hideMark/>
          </w:tcPr>
          <w:p w14:paraId="723BAA1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Predictor</w:t>
            </w:r>
          </w:p>
        </w:tc>
        <w:tc>
          <w:tcPr>
            <w:tcW w:w="962" w:type="dxa"/>
            <w:vAlign w:val="center"/>
            <w:hideMark/>
          </w:tcPr>
          <w:p w14:paraId="75F95659"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β</w:t>
            </w:r>
          </w:p>
        </w:tc>
        <w:tc>
          <w:tcPr>
            <w:tcW w:w="1246" w:type="dxa"/>
            <w:vAlign w:val="center"/>
            <w:hideMark/>
          </w:tcPr>
          <w:p w14:paraId="79728971"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t-value</w:t>
            </w:r>
          </w:p>
        </w:tc>
        <w:tc>
          <w:tcPr>
            <w:tcW w:w="1230" w:type="dxa"/>
            <w:vAlign w:val="center"/>
            <w:hideMark/>
          </w:tcPr>
          <w:p w14:paraId="3A0FB0A8" w14:textId="77777777"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p-value</w:t>
            </w:r>
          </w:p>
        </w:tc>
      </w:tr>
      <w:tr w:rsidR="006E6AFA" w:rsidRPr="006E6AFA" w14:paraId="4017AE16" w14:textId="77777777" w:rsidTr="00C77F28">
        <w:trPr>
          <w:tblCellSpacing w:w="15" w:type="dxa"/>
        </w:trPr>
        <w:tc>
          <w:tcPr>
            <w:tcW w:w="2932" w:type="dxa"/>
            <w:vAlign w:val="center"/>
            <w:hideMark/>
          </w:tcPr>
          <w:p w14:paraId="188B1608"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Digital Usefulness</w:t>
            </w:r>
          </w:p>
        </w:tc>
        <w:tc>
          <w:tcPr>
            <w:tcW w:w="962" w:type="dxa"/>
            <w:vAlign w:val="center"/>
            <w:hideMark/>
          </w:tcPr>
          <w:p w14:paraId="2AD8E907"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0.42</w:t>
            </w:r>
          </w:p>
        </w:tc>
        <w:tc>
          <w:tcPr>
            <w:tcW w:w="1246" w:type="dxa"/>
            <w:vAlign w:val="center"/>
            <w:hideMark/>
          </w:tcPr>
          <w:p w14:paraId="5E708D41"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5.13</w:t>
            </w:r>
          </w:p>
        </w:tc>
        <w:tc>
          <w:tcPr>
            <w:tcW w:w="1230" w:type="dxa"/>
            <w:vAlign w:val="center"/>
            <w:hideMark/>
          </w:tcPr>
          <w:p w14:paraId="1EE7DD0B"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0.000</w:t>
            </w:r>
          </w:p>
        </w:tc>
      </w:tr>
      <w:tr w:rsidR="006E6AFA" w:rsidRPr="006E6AFA" w14:paraId="0BB99D66" w14:textId="77777777" w:rsidTr="00C77F28">
        <w:trPr>
          <w:tblCellSpacing w:w="15" w:type="dxa"/>
        </w:trPr>
        <w:tc>
          <w:tcPr>
            <w:tcW w:w="2932" w:type="dxa"/>
            <w:vAlign w:val="center"/>
            <w:hideMark/>
          </w:tcPr>
          <w:p w14:paraId="677E599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Adoption Readiness</w:t>
            </w:r>
          </w:p>
        </w:tc>
        <w:tc>
          <w:tcPr>
            <w:tcW w:w="962" w:type="dxa"/>
            <w:vAlign w:val="center"/>
            <w:hideMark/>
          </w:tcPr>
          <w:p w14:paraId="753F8FE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0.29</w:t>
            </w:r>
          </w:p>
        </w:tc>
        <w:tc>
          <w:tcPr>
            <w:tcW w:w="1246" w:type="dxa"/>
            <w:vAlign w:val="center"/>
            <w:hideMark/>
          </w:tcPr>
          <w:p w14:paraId="22817F65"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3.76</w:t>
            </w:r>
          </w:p>
        </w:tc>
        <w:tc>
          <w:tcPr>
            <w:tcW w:w="1230" w:type="dxa"/>
            <w:vAlign w:val="center"/>
            <w:hideMark/>
          </w:tcPr>
          <w:p w14:paraId="5D0108C0"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0.000</w:t>
            </w:r>
          </w:p>
        </w:tc>
      </w:tr>
      <w:tr w:rsidR="006E6AFA" w:rsidRPr="006E6AFA" w14:paraId="43944D71" w14:textId="77777777" w:rsidTr="00C77F28">
        <w:trPr>
          <w:tblCellSpacing w:w="15" w:type="dxa"/>
        </w:trPr>
        <w:tc>
          <w:tcPr>
            <w:tcW w:w="2932" w:type="dxa"/>
            <w:vAlign w:val="center"/>
            <w:hideMark/>
          </w:tcPr>
          <w:p w14:paraId="6AD7F7E4"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Usefulness × Readiness (Interaction)</w:t>
            </w:r>
          </w:p>
        </w:tc>
        <w:tc>
          <w:tcPr>
            <w:tcW w:w="962" w:type="dxa"/>
            <w:vAlign w:val="center"/>
            <w:hideMark/>
          </w:tcPr>
          <w:p w14:paraId="7A4DDB9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0.16</w:t>
            </w:r>
          </w:p>
        </w:tc>
        <w:tc>
          <w:tcPr>
            <w:tcW w:w="1246" w:type="dxa"/>
            <w:vAlign w:val="center"/>
            <w:hideMark/>
          </w:tcPr>
          <w:p w14:paraId="17EF048F"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2.02</w:t>
            </w:r>
          </w:p>
        </w:tc>
        <w:tc>
          <w:tcPr>
            <w:tcW w:w="1230" w:type="dxa"/>
            <w:vAlign w:val="center"/>
            <w:hideMark/>
          </w:tcPr>
          <w:p w14:paraId="478E926D" w14:textId="77777777" w:rsidR="006E6AFA" w:rsidRP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0.046</w:t>
            </w:r>
          </w:p>
        </w:tc>
      </w:tr>
    </w:tbl>
    <w:p w14:paraId="3933E859" w14:textId="77777777" w:rsidR="00C77F28" w:rsidRDefault="00C77F28" w:rsidP="006E6AFA">
      <w:pPr>
        <w:spacing w:line="360" w:lineRule="auto"/>
        <w:jc w:val="both"/>
        <w:rPr>
          <w:rFonts w:ascii="Times New Roman" w:hAnsi="Times New Roman" w:cs="Times New Roman"/>
          <w:sz w:val="24"/>
          <w:szCs w:val="24"/>
        </w:rPr>
      </w:pPr>
    </w:p>
    <w:p w14:paraId="301F1C25" w14:textId="63BB12B7" w:rsidR="006E6AFA" w:rsidRDefault="006E6AFA" w:rsidP="006E6AFA">
      <w:pPr>
        <w:spacing w:line="360" w:lineRule="auto"/>
        <w:jc w:val="both"/>
        <w:rPr>
          <w:rFonts w:ascii="Times New Roman" w:hAnsi="Times New Roman" w:cs="Times New Roman"/>
          <w:sz w:val="24"/>
          <w:szCs w:val="24"/>
        </w:rPr>
      </w:pPr>
      <w:r w:rsidRPr="006E6AFA">
        <w:rPr>
          <w:rFonts w:ascii="Times New Roman" w:hAnsi="Times New Roman" w:cs="Times New Roman"/>
          <w:sz w:val="24"/>
          <w:szCs w:val="24"/>
        </w:rPr>
        <w:t xml:space="preserve">The interaction effect is significant, indicating that higher adoption readiness </w:t>
      </w:r>
      <w:r w:rsidRPr="00C77F28">
        <w:rPr>
          <w:rFonts w:ascii="Times New Roman" w:hAnsi="Times New Roman" w:cs="Times New Roman"/>
          <w:sz w:val="24"/>
          <w:szCs w:val="24"/>
        </w:rPr>
        <w:t>amplifies the positive effect of digital usefulness on efficiency outcomes.</w:t>
      </w:r>
      <w:r w:rsidR="00C77F28" w:rsidRPr="00C77F28">
        <w:rPr>
          <w:rFonts w:ascii="Times New Roman" w:hAnsi="Times New Roman" w:cs="Times New Roman"/>
          <w:sz w:val="24"/>
          <w:szCs w:val="24"/>
        </w:rPr>
        <w:t xml:space="preserve"> </w:t>
      </w:r>
      <w:r w:rsidRPr="00C77F28">
        <w:rPr>
          <w:rFonts w:ascii="Times New Roman" w:hAnsi="Times New Roman" w:cs="Times New Roman"/>
          <w:sz w:val="24"/>
          <w:szCs w:val="24"/>
        </w:rPr>
        <w:t>Moderation Effect of Readiness on Usefulness</w:t>
      </w:r>
      <w:r w:rsidR="00C77F28">
        <w:rPr>
          <w:rFonts w:ascii="Times New Roman" w:hAnsi="Times New Roman" w:cs="Times New Roman"/>
          <w:sz w:val="24"/>
          <w:szCs w:val="24"/>
        </w:rPr>
        <w:t xml:space="preserve"> - </w:t>
      </w:r>
      <w:r w:rsidRPr="00C77F28">
        <w:rPr>
          <w:rFonts w:ascii="Times New Roman" w:hAnsi="Times New Roman" w:cs="Times New Roman"/>
          <w:sz w:val="24"/>
          <w:szCs w:val="24"/>
        </w:rPr>
        <w:t>Efficiency Relationship</w:t>
      </w:r>
      <w:r w:rsidR="00C77F28" w:rsidRPr="00C77F28">
        <w:rPr>
          <w:rFonts w:ascii="Times New Roman" w:hAnsi="Times New Roman" w:cs="Times New Roman"/>
          <w:sz w:val="24"/>
          <w:szCs w:val="24"/>
        </w:rPr>
        <w:t xml:space="preserve">. </w:t>
      </w:r>
      <w:r w:rsidRPr="00C77F28">
        <w:rPr>
          <w:rFonts w:ascii="Times New Roman" w:hAnsi="Times New Roman" w:cs="Times New Roman"/>
          <w:sz w:val="24"/>
          <w:szCs w:val="24"/>
        </w:rPr>
        <w:t>This line graph presents the interaction effect of readiness on the relationship between digital usefulness and efficiency. Farmers</w:t>
      </w:r>
      <w:r w:rsidRPr="006E6AFA">
        <w:rPr>
          <w:rFonts w:ascii="Times New Roman" w:hAnsi="Times New Roman" w:cs="Times New Roman"/>
          <w:sz w:val="24"/>
          <w:szCs w:val="24"/>
        </w:rPr>
        <w:t xml:space="preserve"> with high readiness experience significantly stronger gains in efficiency from digital technology use than those with low readiness.</w:t>
      </w:r>
    </w:p>
    <w:p w14:paraId="4777BA4F" w14:textId="5B5E3512" w:rsidR="00AA1056" w:rsidRP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1056">
        <w:rPr>
          <w:rFonts w:ascii="Times New Roman" w:hAnsi="Times New Roman" w:cs="Times New Roman"/>
          <w:noProof/>
          <w:sz w:val="24"/>
          <w:szCs w:val="24"/>
        </w:rPr>
        <w:drawing>
          <wp:inline distT="0" distB="0" distL="0" distR="0" wp14:anchorId="42BAE11F" wp14:editId="3D263DFA">
            <wp:extent cx="4261005" cy="2764641"/>
            <wp:effectExtent l="0" t="0" r="6350" b="0"/>
            <wp:docPr id="6233903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02313" cy="2791443"/>
                    </a:xfrm>
                    <a:prstGeom prst="rect">
                      <a:avLst/>
                    </a:prstGeom>
                    <a:noFill/>
                  </pic:spPr>
                </pic:pic>
              </a:graphicData>
            </a:graphic>
          </wp:inline>
        </w:drawing>
      </w:r>
    </w:p>
    <w:p w14:paraId="7CD980EC" w14:textId="25B7FADC" w:rsidR="006E6AFA" w:rsidRDefault="00C77F28" w:rsidP="006E6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E6AFA" w:rsidRPr="006E6AFA">
        <w:rPr>
          <w:rFonts w:ascii="Times New Roman" w:hAnsi="Times New Roman" w:cs="Times New Roman"/>
          <w:sz w:val="24"/>
          <w:szCs w:val="24"/>
        </w:rPr>
        <w:t>Figure 5, showing distinct slopes for low vs high readiness.</w:t>
      </w:r>
    </w:p>
    <w:p w14:paraId="3D50733B" w14:textId="77777777" w:rsidR="00C77F28" w:rsidRDefault="00C77F28" w:rsidP="006E6AFA">
      <w:pPr>
        <w:spacing w:line="360" w:lineRule="auto"/>
        <w:jc w:val="both"/>
        <w:rPr>
          <w:rFonts w:ascii="Times New Roman" w:hAnsi="Times New Roman" w:cs="Times New Roman"/>
          <w:b/>
          <w:bCs/>
          <w:sz w:val="24"/>
          <w:szCs w:val="24"/>
        </w:rPr>
      </w:pPr>
    </w:p>
    <w:p w14:paraId="270E9E56" w14:textId="1E1F9980" w:rsidR="00342FC4" w:rsidRDefault="00E91BBB" w:rsidP="006E6AFA">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Regression Assumption Testing</w:t>
      </w:r>
    </w:p>
    <w:p w14:paraId="128CCAEB" w14:textId="52616CF5" w:rsidR="00E91BBB" w:rsidRPr="006E6AFA" w:rsidRDefault="00E91BBB" w:rsidP="006E6AFA">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To ensure statistical validity, diagnostic tests were conducted for all regression models. </w:t>
      </w:r>
      <w:r w:rsidRPr="00C77F28">
        <w:rPr>
          <w:rFonts w:ascii="Times New Roman" w:hAnsi="Times New Roman" w:cs="Times New Roman"/>
          <w:sz w:val="24"/>
          <w:szCs w:val="24"/>
        </w:rPr>
        <w:t xml:space="preserve">Variance Inflation Factor (VIF) scores for all predictors were below 2.0, indicating no </w:t>
      </w:r>
      <w:r w:rsidRPr="00C77F28">
        <w:rPr>
          <w:rFonts w:ascii="Times New Roman" w:hAnsi="Times New Roman" w:cs="Times New Roman"/>
          <w:sz w:val="24"/>
          <w:szCs w:val="24"/>
        </w:rPr>
        <w:lastRenderedPageBreak/>
        <w:t>multicollinearity. Scatterplots of standardised residuals showed no severe violations of homoscedasticity and the relationships between</w:t>
      </w:r>
      <w:r w:rsidRPr="00E91BBB">
        <w:rPr>
          <w:rFonts w:ascii="Times New Roman" w:hAnsi="Times New Roman" w:cs="Times New Roman"/>
          <w:sz w:val="24"/>
          <w:szCs w:val="24"/>
        </w:rPr>
        <w:t xml:space="preserve"> predictors and outcomes were confirmed to be linear. Residuals were approximately normally distributed based on histogram and P–P plots, satisfying normality assumptions. These checks confirm the robustness of the regression outputs.</w:t>
      </w:r>
    </w:p>
    <w:p w14:paraId="3F33E2A8" w14:textId="16D60D0A" w:rsidR="006E6AFA" w:rsidRPr="006E6AFA" w:rsidRDefault="006E6AFA" w:rsidP="006E6AFA">
      <w:pPr>
        <w:spacing w:line="360" w:lineRule="auto"/>
        <w:jc w:val="both"/>
        <w:rPr>
          <w:rFonts w:ascii="Times New Roman" w:hAnsi="Times New Roman" w:cs="Times New Roman"/>
          <w:sz w:val="24"/>
          <w:szCs w:val="24"/>
        </w:rPr>
      </w:pPr>
    </w:p>
    <w:p w14:paraId="448B29DD" w14:textId="07CA1900" w:rsidR="006E6AFA" w:rsidRPr="006E6AFA" w:rsidRDefault="006E6AFA" w:rsidP="006E6AFA">
      <w:pPr>
        <w:spacing w:line="360" w:lineRule="auto"/>
        <w:jc w:val="both"/>
        <w:rPr>
          <w:rFonts w:ascii="Times New Roman" w:hAnsi="Times New Roman" w:cs="Times New Roman"/>
          <w:b/>
          <w:bCs/>
          <w:sz w:val="24"/>
          <w:szCs w:val="24"/>
        </w:rPr>
      </w:pPr>
      <w:r w:rsidRPr="006E6AFA">
        <w:rPr>
          <w:rFonts w:ascii="Times New Roman" w:hAnsi="Times New Roman" w:cs="Times New Roman"/>
          <w:b/>
          <w:bCs/>
          <w:sz w:val="24"/>
          <w:szCs w:val="24"/>
        </w:rPr>
        <w:t>4.7 Interpretation of Findings</w:t>
      </w:r>
      <w:r w:rsidR="0034566E">
        <w:rPr>
          <w:rFonts w:ascii="Times New Roman" w:hAnsi="Times New Roman" w:cs="Times New Roman"/>
          <w:b/>
          <w:bCs/>
          <w:sz w:val="24"/>
          <w:szCs w:val="24"/>
        </w:rPr>
        <w:t xml:space="preserve"> </w:t>
      </w:r>
    </w:p>
    <w:p w14:paraId="5A9C4524" w14:textId="77777777" w:rsidR="00AA1E62" w:rsidRPr="00AA1E62" w:rsidRDefault="00AA1E62" w:rsidP="00AA1E62">
      <w:pPr>
        <w:spacing w:line="360" w:lineRule="auto"/>
        <w:jc w:val="both"/>
        <w:rPr>
          <w:rFonts w:ascii="Times New Roman" w:hAnsi="Times New Roman" w:cs="Times New Roman"/>
          <w:sz w:val="24"/>
          <w:szCs w:val="24"/>
        </w:rPr>
      </w:pPr>
      <w:r w:rsidRPr="00AA1E62">
        <w:rPr>
          <w:rFonts w:ascii="Times New Roman" w:hAnsi="Times New Roman" w:cs="Times New Roman"/>
          <w:sz w:val="24"/>
          <w:szCs w:val="24"/>
        </w:rPr>
        <w:t>The findings confirm that digital technologies, when perceived as useful and integrated into daily practice, significantly enhance both operational efficiency and sustainability outcomes in UK commercial farming. Usefulness emerged as the strongest and most consistent predictor across models, reinforcing the Technology Acceptance Model’s emphasis on perceived value as a key determinant of adoption and outcomes.</w:t>
      </w:r>
    </w:p>
    <w:p w14:paraId="38155B88" w14:textId="1423EEE0" w:rsidR="00AA1E62" w:rsidRPr="00AA1E62" w:rsidRDefault="00AA1E62" w:rsidP="00AA1E62">
      <w:pPr>
        <w:spacing w:line="360" w:lineRule="auto"/>
        <w:jc w:val="both"/>
        <w:rPr>
          <w:rFonts w:ascii="Times New Roman" w:hAnsi="Times New Roman" w:cs="Times New Roman"/>
          <w:sz w:val="24"/>
          <w:szCs w:val="24"/>
        </w:rPr>
      </w:pPr>
      <w:r w:rsidRPr="00AA1E62">
        <w:rPr>
          <w:rFonts w:ascii="Times New Roman" w:hAnsi="Times New Roman" w:cs="Times New Roman"/>
          <w:sz w:val="24"/>
          <w:szCs w:val="24"/>
        </w:rPr>
        <w:t>However, several nuances provide important critical insights. First, frequency of use showed only a modest effect on both efficiency (β = 0.28) and sustainability (β = 0.20). While still significant, this was weaker than expected given the emphasis in Diffusion of Innovation (DOI) studies on routine technology use as a driver of impact (Barnes et al., 2019). This contrast suggests that in the UK context, merely using technologies frequently may not yield substantial gains unless those tools are strategically aligned with farm operations. In other words, quality and purpose of use may matter more than quantity</w:t>
      </w:r>
      <w:r w:rsidR="00D33521">
        <w:rPr>
          <w:rFonts w:ascii="Times New Roman" w:hAnsi="Times New Roman" w:cs="Times New Roman"/>
          <w:sz w:val="24"/>
          <w:szCs w:val="24"/>
        </w:rPr>
        <w:t xml:space="preserve"> (</w:t>
      </w:r>
      <w:r w:rsidR="00D33521" w:rsidRPr="00BA78E1">
        <w:rPr>
          <w:rFonts w:ascii="Times New Roman" w:hAnsi="Times New Roman" w:cs="Times New Roman"/>
          <w:sz w:val="24"/>
          <w:szCs w:val="24"/>
        </w:rPr>
        <w:t>Shojaei</w:t>
      </w:r>
      <w:r w:rsidR="00D33521">
        <w:rPr>
          <w:rFonts w:ascii="Times New Roman" w:hAnsi="Times New Roman" w:cs="Times New Roman"/>
          <w:sz w:val="24"/>
          <w:szCs w:val="24"/>
        </w:rPr>
        <w:t xml:space="preserve"> </w:t>
      </w:r>
      <w:r w:rsidR="00D33521" w:rsidRPr="00BA78E1">
        <w:rPr>
          <w:rFonts w:ascii="Times New Roman" w:hAnsi="Times New Roman" w:cs="Times New Roman"/>
          <w:sz w:val="24"/>
          <w:szCs w:val="24"/>
        </w:rPr>
        <w:t>and Burgess, 2022</w:t>
      </w:r>
      <w:r w:rsidR="00D33521">
        <w:rPr>
          <w:rFonts w:ascii="Times New Roman" w:hAnsi="Times New Roman" w:cs="Times New Roman"/>
          <w:sz w:val="24"/>
          <w:szCs w:val="24"/>
        </w:rPr>
        <w:t>)</w:t>
      </w:r>
      <w:r w:rsidRPr="00AA1E62">
        <w:rPr>
          <w:rFonts w:ascii="Times New Roman" w:hAnsi="Times New Roman" w:cs="Times New Roman"/>
          <w:sz w:val="24"/>
          <w:szCs w:val="24"/>
        </w:rPr>
        <w:t>.</w:t>
      </w:r>
    </w:p>
    <w:p w14:paraId="26654800" w14:textId="5CB6C09A" w:rsidR="00AA1E62" w:rsidRPr="00AA1E62" w:rsidRDefault="00AA1E62" w:rsidP="00AA1E62">
      <w:pPr>
        <w:spacing w:line="360" w:lineRule="auto"/>
        <w:jc w:val="both"/>
        <w:rPr>
          <w:rFonts w:ascii="Times New Roman" w:hAnsi="Times New Roman" w:cs="Times New Roman"/>
          <w:sz w:val="24"/>
          <w:szCs w:val="24"/>
        </w:rPr>
      </w:pPr>
      <w:r w:rsidRPr="00AA1E62">
        <w:rPr>
          <w:rFonts w:ascii="Times New Roman" w:hAnsi="Times New Roman" w:cs="Times New Roman"/>
          <w:sz w:val="24"/>
          <w:szCs w:val="24"/>
        </w:rPr>
        <w:t>Second, the moderating effect of adoption readiness was significant (β = 0.16, p = 0.046) but relatively weak compared to some prior findings that emphasise readiness as a decisive enabler of digital adoption (Eastwood et al., 2017). This indicates that while readiness amplifies the benefits of perceived usefulness, other factors such as policy support, training availability</w:t>
      </w:r>
      <w:r w:rsidR="00757256">
        <w:rPr>
          <w:rFonts w:ascii="Times New Roman" w:hAnsi="Times New Roman" w:cs="Times New Roman"/>
          <w:sz w:val="24"/>
          <w:szCs w:val="24"/>
        </w:rPr>
        <w:t xml:space="preserve"> or</w:t>
      </w:r>
      <w:r w:rsidRPr="00AA1E62">
        <w:rPr>
          <w:rFonts w:ascii="Times New Roman" w:hAnsi="Times New Roman" w:cs="Times New Roman"/>
          <w:sz w:val="24"/>
          <w:szCs w:val="24"/>
        </w:rPr>
        <w:t xml:space="preserve"> infrastructure may exert stronger influences on efficiency outcomes</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Jain</w:t>
      </w:r>
      <w:r w:rsidR="00D33521">
        <w:rPr>
          <w:rFonts w:ascii="Times New Roman" w:hAnsi="Times New Roman" w:cs="Times New Roman"/>
          <w:sz w:val="24"/>
          <w:szCs w:val="24"/>
        </w:rPr>
        <w:t xml:space="preserve"> et al., 2025)</w:t>
      </w:r>
      <w:r w:rsidRPr="00AA1E62">
        <w:rPr>
          <w:rFonts w:ascii="Times New Roman" w:hAnsi="Times New Roman" w:cs="Times New Roman"/>
          <w:sz w:val="24"/>
          <w:szCs w:val="24"/>
        </w:rPr>
        <w:t>.</w:t>
      </w:r>
    </w:p>
    <w:p w14:paraId="1687E871" w14:textId="0AB0536E" w:rsidR="00AA1E62" w:rsidRPr="00AA1E62" w:rsidRDefault="00AA1E62" w:rsidP="00AA1E62">
      <w:pPr>
        <w:spacing w:line="360" w:lineRule="auto"/>
        <w:jc w:val="both"/>
        <w:rPr>
          <w:rFonts w:ascii="Times New Roman" w:hAnsi="Times New Roman" w:cs="Times New Roman"/>
          <w:sz w:val="24"/>
          <w:szCs w:val="24"/>
        </w:rPr>
      </w:pPr>
      <w:r w:rsidRPr="00AA1E62">
        <w:rPr>
          <w:rFonts w:ascii="Times New Roman" w:hAnsi="Times New Roman" w:cs="Times New Roman"/>
          <w:sz w:val="24"/>
          <w:szCs w:val="24"/>
        </w:rPr>
        <w:t>Third, no null hypotheses were retained, meaning all predictors were statistically significant. This result contrasts with parts of the literature where adoption readiness or sustainability links have been inconsistent (Visser et al., 2021). The stronger significance in this study may reflect the sample’s relatively high engagement with digital tools or recent UK policy incentives promoting agri-tech adoption</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Elufioye,</w:t>
      </w:r>
      <w:r w:rsidR="00D33521">
        <w:rPr>
          <w:rFonts w:ascii="Times New Roman" w:hAnsi="Times New Roman" w:cs="Times New Roman"/>
          <w:sz w:val="24"/>
          <w:szCs w:val="24"/>
        </w:rPr>
        <w:t xml:space="preserve"> 2024)</w:t>
      </w:r>
      <w:r w:rsidRPr="00AA1E62">
        <w:rPr>
          <w:rFonts w:ascii="Times New Roman" w:hAnsi="Times New Roman" w:cs="Times New Roman"/>
          <w:sz w:val="24"/>
          <w:szCs w:val="24"/>
        </w:rPr>
        <w:t>.</w:t>
      </w:r>
    </w:p>
    <w:p w14:paraId="76ECF29E" w14:textId="77979AC8" w:rsidR="00AA1E62" w:rsidRPr="00AA1E62" w:rsidRDefault="00AA1E62" w:rsidP="00AA1E62">
      <w:pPr>
        <w:spacing w:line="360" w:lineRule="auto"/>
        <w:jc w:val="both"/>
        <w:rPr>
          <w:rFonts w:ascii="Times New Roman" w:hAnsi="Times New Roman" w:cs="Times New Roman"/>
          <w:sz w:val="24"/>
          <w:szCs w:val="24"/>
        </w:rPr>
      </w:pPr>
      <w:r w:rsidRPr="00AA1E62">
        <w:rPr>
          <w:rFonts w:ascii="Times New Roman" w:hAnsi="Times New Roman" w:cs="Times New Roman"/>
          <w:sz w:val="24"/>
          <w:szCs w:val="24"/>
        </w:rPr>
        <w:t xml:space="preserve">Taken together, the results not only confirm theoretical expectations but also highlight areas where outcomes diverge from prior studies. The weaker-than-expected effects of frequency and </w:t>
      </w:r>
      <w:r w:rsidRPr="00AA1E62">
        <w:rPr>
          <w:rFonts w:ascii="Times New Roman" w:hAnsi="Times New Roman" w:cs="Times New Roman"/>
          <w:sz w:val="24"/>
          <w:szCs w:val="24"/>
        </w:rPr>
        <w:lastRenderedPageBreak/>
        <w:t>readiness suggest that digital adoption alone is insufficient without complementary institutional, financial</w:t>
      </w:r>
      <w:r w:rsidR="00757256">
        <w:rPr>
          <w:rFonts w:ascii="Times New Roman" w:hAnsi="Times New Roman" w:cs="Times New Roman"/>
          <w:sz w:val="24"/>
          <w:szCs w:val="24"/>
        </w:rPr>
        <w:t xml:space="preserve"> and</w:t>
      </w:r>
      <w:r w:rsidRPr="00AA1E62">
        <w:rPr>
          <w:rFonts w:ascii="Times New Roman" w:hAnsi="Times New Roman" w:cs="Times New Roman"/>
          <w:sz w:val="24"/>
          <w:szCs w:val="24"/>
        </w:rPr>
        <w:t xml:space="preserve"> training support. These insights strengthen the study’s credibility by showing that not all relationships were straightforward</w:t>
      </w:r>
      <w:r w:rsidR="00757256">
        <w:rPr>
          <w:rFonts w:ascii="Times New Roman" w:hAnsi="Times New Roman" w:cs="Times New Roman"/>
          <w:sz w:val="24"/>
          <w:szCs w:val="24"/>
        </w:rPr>
        <w:t xml:space="preserve"> and</w:t>
      </w:r>
      <w:r w:rsidRPr="00AA1E62">
        <w:rPr>
          <w:rFonts w:ascii="Times New Roman" w:hAnsi="Times New Roman" w:cs="Times New Roman"/>
          <w:sz w:val="24"/>
          <w:szCs w:val="24"/>
        </w:rPr>
        <w:t xml:space="preserve"> they underscore the importance of contextualising digital farming adoption within broader systemic and structural conditions.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92"/>
        <w:gridCol w:w="3624"/>
      </w:tblGrid>
      <w:tr w:rsidR="00E91BBB" w:rsidRPr="00E91BBB" w14:paraId="3A98EAB3" w14:textId="77777777" w:rsidTr="00E91BBB">
        <w:trPr>
          <w:tblHeader/>
          <w:tblCellSpacing w:w="15" w:type="dxa"/>
        </w:trPr>
        <w:tc>
          <w:tcPr>
            <w:tcW w:w="0" w:type="auto"/>
            <w:vAlign w:val="center"/>
            <w:hideMark/>
          </w:tcPr>
          <w:p w14:paraId="5F9C20B8" w14:textId="77777777" w:rsidR="00E91BBB" w:rsidRPr="00E91BBB" w:rsidRDefault="00E91BBB" w:rsidP="00E91BBB">
            <w:pPr>
              <w:spacing w:line="360" w:lineRule="auto"/>
              <w:jc w:val="both"/>
              <w:rPr>
                <w:rFonts w:ascii="Times New Roman" w:hAnsi="Times New Roman" w:cs="Times New Roman"/>
                <w:b/>
                <w:bCs/>
                <w:sz w:val="24"/>
                <w:szCs w:val="24"/>
              </w:rPr>
            </w:pPr>
            <w:r w:rsidRPr="00E91BBB">
              <w:rPr>
                <w:rFonts w:ascii="Times New Roman" w:hAnsi="Times New Roman" w:cs="Times New Roman"/>
                <w:b/>
                <w:bCs/>
                <w:sz w:val="24"/>
                <w:szCs w:val="24"/>
              </w:rPr>
              <w:t>Hypothesis</w:t>
            </w:r>
          </w:p>
        </w:tc>
        <w:tc>
          <w:tcPr>
            <w:tcW w:w="0" w:type="auto"/>
            <w:vAlign w:val="center"/>
            <w:hideMark/>
          </w:tcPr>
          <w:p w14:paraId="32DBF028" w14:textId="77777777" w:rsidR="00E91BBB" w:rsidRPr="00E91BBB" w:rsidRDefault="00E91BBB" w:rsidP="00E91BBB">
            <w:pPr>
              <w:spacing w:line="360" w:lineRule="auto"/>
              <w:jc w:val="both"/>
              <w:rPr>
                <w:rFonts w:ascii="Times New Roman" w:hAnsi="Times New Roman" w:cs="Times New Roman"/>
                <w:b/>
                <w:bCs/>
                <w:sz w:val="24"/>
                <w:szCs w:val="24"/>
              </w:rPr>
            </w:pPr>
            <w:r w:rsidRPr="00E91BBB">
              <w:rPr>
                <w:rFonts w:ascii="Times New Roman" w:hAnsi="Times New Roman" w:cs="Times New Roman"/>
                <w:b/>
                <w:bCs/>
                <w:sz w:val="24"/>
                <w:szCs w:val="24"/>
              </w:rPr>
              <w:t>Key Result Summary</w:t>
            </w:r>
          </w:p>
        </w:tc>
      </w:tr>
      <w:tr w:rsidR="00E91BBB" w:rsidRPr="00E91BBB" w14:paraId="6C353722" w14:textId="77777777" w:rsidTr="00E91BBB">
        <w:trPr>
          <w:tblCellSpacing w:w="15" w:type="dxa"/>
        </w:trPr>
        <w:tc>
          <w:tcPr>
            <w:tcW w:w="0" w:type="auto"/>
            <w:vAlign w:val="center"/>
            <w:hideMark/>
          </w:tcPr>
          <w:p w14:paraId="1770A966"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H1</w:t>
            </w:r>
            <w:r w:rsidRPr="00E91BBB">
              <w:rPr>
                <w:rFonts w:ascii="Times New Roman" w:hAnsi="Times New Roman" w:cs="Times New Roman"/>
                <w:sz w:val="24"/>
                <w:szCs w:val="24"/>
              </w:rPr>
              <w:t>: Perceived usefulness of digital tools significantly predicts efficiency improvement</w:t>
            </w:r>
          </w:p>
        </w:tc>
        <w:tc>
          <w:tcPr>
            <w:tcW w:w="0" w:type="auto"/>
            <w:vAlign w:val="center"/>
            <w:hideMark/>
          </w:tcPr>
          <w:p w14:paraId="49F58D29"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β = 0.44, </w:t>
            </w:r>
            <w:r w:rsidRPr="00E91BBB">
              <w:rPr>
                <w:rFonts w:ascii="Times New Roman" w:hAnsi="Times New Roman" w:cs="Times New Roman"/>
                <w:i/>
                <w:iCs/>
                <w:sz w:val="24"/>
                <w:szCs w:val="24"/>
              </w:rPr>
              <w:t>p</w:t>
            </w:r>
            <w:r w:rsidRPr="00E91BBB">
              <w:rPr>
                <w:rFonts w:ascii="Times New Roman" w:hAnsi="Times New Roman" w:cs="Times New Roman"/>
                <w:sz w:val="24"/>
                <w:szCs w:val="24"/>
              </w:rPr>
              <w:t xml:space="preserve"> &lt; 0.001 – strong positive relationship</w:t>
            </w:r>
          </w:p>
        </w:tc>
      </w:tr>
      <w:tr w:rsidR="00E91BBB" w:rsidRPr="00E91BBB" w14:paraId="7E398C02" w14:textId="77777777" w:rsidTr="00E91BBB">
        <w:trPr>
          <w:tblCellSpacing w:w="15" w:type="dxa"/>
        </w:trPr>
        <w:tc>
          <w:tcPr>
            <w:tcW w:w="0" w:type="auto"/>
            <w:vAlign w:val="center"/>
            <w:hideMark/>
          </w:tcPr>
          <w:p w14:paraId="5090FA01"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H2</w:t>
            </w:r>
            <w:r w:rsidRPr="00E91BBB">
              <w:rPr>
                <w:rFonts w:ascii="Times New Roman" w:hAnsi="Times New Roman" w:cs="Times New Roman"/>
                <w:sz w:val="24"/>
                <w:szCs w:val="24"/>
              </w:rPr>
              <w:t>: Adoption readiness significantly predicts efficiency outcomes</w:t>
            </w:r>
          </w:p>
        </w:tc>
        <w:tc>
          <w:tcPr>
            <w:tcW w:w="0" w:type="auto"/>
            <w:vAlign w:val="center"/>
            <w:hideMark/>
          </w:tcPr>
          <w:p w14:paraId="2C597065"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β = 0.31, </w:t>
            </w:r>
            <w:r w:rsidRPr="00E91BBB">
              <w:rPr>
                <w:rFonts w:ascii="Times New Roman" w:hAnsi="Times New Roman" w:cs="Times New Roman"/>
                <w:i/>
                <w:iCs/>
                <w:sz w:val="24"/>
                <w:szCs w:val="24"/>
              </w:rPr>
              <w:t>p</w:t>
            </w:r>
            <w:r w:rsidRPr="00E91BBB">
              <w:rPr>
                <w:rFonts w:ascii="Times New Roman" w:hAnsi="Times New Roman" w:cs="Times New Roman"/>
                <w:sz w:val="24"/>
                <w:szCs w:val="24"/>
              </w:rPr>
              <w:t xml:space="preserve"> &lt; 0.001 – moderate positive effect</w:t>
            </w:r>
          </w:p>
        </w:tc>
      </w:tr>
      <w:tr w:rsidR="00E91BBB" w:rsidRPr="00E91BBB" w14:paraId="3A27CF20" w14:textId="77777777" w:rsidTr="00E91BBB">
        <w:trPr>
          <w:tblCellSpacing w:w="15" w:type="dxa"/>
        </w:trPr>
        <w:tc>
          <w:tcPr>
            <w:tcW w:w="0" w:type="auto"/>
            <w:vAlign w:val="center"/>
            <w:hideMark/>
          </w:tcPr>
          <w:p w14:paraId="00BD2736"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H3</w:t>
            </w:r>
            <w:r w:rsidRPr="00E91BBB">
              <w:rPr>
                <w:rFonts w:ascii="Times New Roman" w:hAnsi="Times New Roman" w:cs="Times New Roman"/>
                <w:sz w:val="24"/>
                <w:szCs w:val="24"/>
              </w:rPr>
              <w:t>: Frequency of digital tool use predicts efficiency</w:t>
            </w:r>
          </w:p>
        </w:tc>
        <w:tc>
          <w:tcPr>
            <w:tcW w:w="0" w:type="auto"/>
            <w:vAlign w:val="center"/>
            <w:hideMark/>
          </w:tcPr>
          <w:p w14:paraId="58CFE241"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β = 0.28, </w:t>
            </w:r>
            <w:r w:rsidRPr="00E91BBB">
              <w:rPr>
                <w:rFonts w:ascii="Times New Roman" w:hAnsi="Times New Roman" w:cs="Times New Roman"/>
                <w:i/>
                <w:iCs/>
                <w:sz w:val="24"/>
                <w:szCs w:val="24"/>
              </w:rPr>
              <w:t>p</w:t>
            </w:r>
            <w:r w:rsidRPr="00E91BBB">
              <w:rPr>
                <w:rFonts w:ascii="Times New Roman" w:hAnsi="Times New Roman" w:cs="Times New Roman"/>
                <w:sz w:val="24"/>
                <w:szCs w:val="24"/>
              </w:rPr>
              <w:t xml:space="preserve"> &lt; 0.01 – regular use improves efficiency</w:t>
            </w:r>
          </w:p>
        </w:tc>
      </w:tr>
      <w:tr w:rsidR="00E91BBB" w:rsidRPr="00E91BBB" w14:paraId="1C6F0087" w14:textId="77777777" w:rsidTr="00E91BBB">
        <w:trPr>
          <w:tblCellSpacing w:w="15" w:type="dxa"/>
        </w:trPr>
        <w:tc>
          <w:tcPr>
            <w:tcW w:w="0" w:type="auto"/>
            <w:vAlign w:val="center"/>
            <w:hideMark/>
          </w:tcPr>
          <w:p w14:paraId="2441CD9A"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H4</w:t>
            </w:r>
            <w:r w:rsidRPr="00E91BBB">
              <w:rPr>
                <w:rFonts w:ascii="Times New Roman" w:hAnsi="Times New Roman" w:cs="Times New Roman"/>
                <w:sz w:val="24"/>
                <w:szCs w:val="24"/>
              </w:rPr>
              <w:t>: Digital tool adoption positively affects sustainability outcomes</w:t>
            </w:r>
          </w:p>
        </w:tc>
        <w:tc>
          <w:tcPr>
            <w:tcW w:w="0" w:type="auto"/>
            <w:vAlign w:val="center"/>
            <w:hideMark/>
          </w:tcPr>
          <w:p w14:paraId="483E6329"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β = 0.39, </w:t>
            </w:r>
            <w:r w:rsidRPr="00E91BBB">
              <w:rPr>
                <w:rFonts w:ascii="Times New Roman" w:hAnsi="Times New Roman" w:cs="Times New Roman"/>
                <w:i/>
                <w:iCs/>
                <w:sz w:val="24"/>
                <w:szCs w:val="24"/>
              </w:rPr>
              <w:t>p</w:t>
            </w:r>
            <w:r w:rsidRPr="00E91BBB">
              <w:rPr>
                <w:rFonts w:ascii="Times New Roman" w:hAnsi="Times New Roman" w:cs="Times New Roman"/>
                <w:sz w:val="24"/>
                <w:szCs w:val="24"/>
              </w:rPr>
              <w:t xml:space="preserve"> &lt; 0.001 – strong predictor</w:t>
            </w:r>
          </w:p>
        </w:tc>
      </w:tr>
      <w:tr w:rsidR="00E91BBB" w:rsidRPr="00E91BBB" w14:paraId="6BC2B651" w14:textId="77777777" w:rsidTr="00E91BBB">
        <w:trPr>
          <w:tblCellSpacing w:w="15" w:type="dxa"/>
        </w:trPr>
        <w:tc>
          <w:tcPr>
            <w:tcW w:w="0" w:type="auto"/>
            <w:vAlign w:val="center"/>
            <w:hideMark/>
          </w:tcPr>
          <w:p w14:paraId="6973EC58"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b/>
                <w:bCs/>
                <w:sz w:val="24"/>
                <w:szCs w:val="24"/>
              </w:rPr>
              <w:t>H5</w:t>
            </w:r>
            <w:r w:rsidRPr="00E91BBB">
              <w:rPr>
                <w:rFonts w:ascii="Times New Roman" w:hAnsi="Times New Roman" w:cs="Times New Roman"/>
                <w:sz w:val="24"/>
                <w:szCs w:val="24"/>
              </w:rPr>
              <w:t>: Readiness moderates the relationship between usefulness and efficiency</w:t>
            </w:r>
          </w:p>
        </w:tc>
        <w:tc>
          <w:tcPr>
            <w:tcW w:w="0" w:type="auto"/>
            <w:vAlign w:val="center"/>
            <w:hideMark/>
          </w:tcPr>
          <w:p w14:paraId="49340578" w14:textId="77777777" w:rsidR="00E91BBB" w:rsidRPr="00E91BBB" w:rsidRDefault="00E91BBB" w:rsidP="00E91BBB">
            <w:pPr>
              <w:spacing w:line="360" w:lineRule="auto"/>
              <w:jc w:val="both"/>
              <w:rPr>
                <w:rFonts w:ascii="Times New Roman" w:hAnsi="Times New Roman" w:cs="Times New Roman"/>
                <w:sz w:val="24"/>
                <w:szCs w:val="24"/>
              </w:rPr>
            </w:pPr>
            <w:r w:rsidRPr="00E91BBB">
              <w:rPr>
                <w:rFonts w:ascii="Times New Roman" w:hAnsi="Times New Roman" w:cs="Times New Roman"/>
                <w:sz w:val="24"/>
                <w:szCs w:val="24"/>
              </w:rPr>
              <w:t xml:space="preserve">Interaction β = 0.16, </w:t>
            </w:r>
            <w:r w:rsidRPr="00E91BBB">
              <w:rPr>
                <w:rFonts w:ascii="Times New Roman" w:hAnsi="Times New Roman" w:cs="Times New Roman"/>
                <w:i/>
                <w:iCs/>
                <w:sz w:val="24"/>
                <w:szCs w:val="24"/>
              </w:rPr>
              <w:t>p</w:t>
            </w:r>
            <w:r w:rsidRPr="00E91BBB">
              <w:rPr>
                <w:rFonts w:ascii="Times New Roman" w:hAnsi="Times New Roman" w:cs="Times New Roman"/>
                <w:sz w:val="24"/>
                <w:szCs w:val="24"/>
              </w:rPr>
              <w:t xml:space="preserve"> = 0.046 – significant moderation</w:t>
            </w:r>
          </w:p>
        </w:tc>
      </w:tr>
    </w:tbl>
    <w:p w14:paraId="3067E8EF" w14:textId="77777777" w:rsidR="00E91BBB" w:rsidRPr="006E6AFA" w:rsidRDefault="00E91BBB" w:rsidP="006E6AFA">
      <w:pPr>
        <w:spacing w:line="360" w:lineRule="auto"/>
        <w:jc w:val="both"/>
        <w:rPr>
          <w:rFonts w:ascii="Times New Roman" w:hAnsi="Times New Roman" w:cs="Times New Roman"/>
          <w:sz w:val="24"/>
          <w:szCs w:val="24"/>
        </w:rPr>
      </w:pPr>
    </w:p>
    <w:p w14:paraId="2400976D" w14:textId="77777777" w:rsidR="006E6AFA" w:rsidRPr="00E5623A" w:rsidRDefault="006E6AFA" w:rsidP="00E5623A">
      <w:pPr>
        <w:spacing w:line="360" w:lineRule="auto"/>
        <w:jc w:val="both"/>
        <w:rPr>
          <w:rFonts w:ascii="Times New Roman" w:hAnsi="Times New Roman" w:cs="Times New Roman"/>
          <w:sz w:val="24"/>
          <w:szCs w:val="24"/>
        </w:rPr>
      </w:pPr>
    </w:p>
    <w:p w14:paraId="06A52BB1" w14:textId="77777777" w:rsidR="004E3976" w:rsidRDefault="004E3976" w:rsidP="008974D6">
      <w:pPr>
        <w:spacing w:line="360" w:lineRule="auto"/>
        <w:jc w:val="both"/>
        <w:rPr>
          <w:rFonts w:ascii="Times New Roman" w:hAnsi="Times New Roman" w:cs="Times New Roman"/>
          <w:b/>
          <w:bCs/>
          <w:sz w:val="24"/>
          <w:szCs w:val="24"/>
        </w:rPr>
      </w:pPr>
    </w:p>
    <w:p w14:paraId="08D25605" w14:textId="77777777" w:rsidR="004E3976" w:rsidRDefault="004E3976" w:rsidP="008974D6">
      <w:pPr>
        <w:spacing w:line="360" w:lineRule="auto"/>
        <w:jc w:val="both"/>
        <w:rPr>
          <w:rFonts w:ascii="Times New Roman" w:hAnsi="Times New Roman" w:cs="Times New Roman"/>
          <w:b/>
          <w:bCs/>
          <w:sz w:val="24"/>
          <w:szCs w:val="24"/>
        </w:rPr>
      </w:pPr>
    </w:p>
    <w:p w14:paraId="4EF558D0" w14:textId="77777777" w:rsidR="004E3976" w:rsidRDefault="004E3976" w:rsidP="008974D6">
      <w:pPr>
        <w:spacing w:line="360" w:lineRule="auto"/>
        <w:jc w:val="both"/>
        <w:rPr>
          <w:rFonts w:ascii="Times New Roman" w:hAnsi="Times New Roman" w:cs="Times New Roman"/>
          <w:b/>
          <w:bCs/>
          <w:sz w:val="24"/>
          <w:szCs w:val="24"/>
        </w:rPr>
      </w:pPr>
    </w:p>
    <w:p w14:paraId="4DCDCEEE" w14:textId="77777777" w:rsidR="004E3976" w:rsidRDefault="004E3976" w:rsidP="008974D6">
      <w:pPr>
        <w:spacing w:line="360" w:lineRule="auto"/>
        <w:jc w:val="both"/>
        <w:rPr>
          <w:rFonts w:ascii="Times New Roman" w:hAnsi="Times New Roman" w:cs="Times New Roman"/>
          <w:b/>
          <w:bCs/>
          <w:sz w:val="24"/>
          <w:szCs w:val="24"/>
        </w:rPr>
      </w:pPr>
    </w:p>
    <w:p w14:paraId="6B757131" w14:textId="77777777" w:rsidR="004E3976" w:rsidRDefault="004E3976" w:rsidP="008974D6">
      <w:pPr>
        <w:spacing w:line="360" w:lineRule="auto"/>
        <w:jc w:val="both"/>
        <w:rPr>
          <w:rFonts w:ascii="Times New Roman" w:hAnsi="Times New Roman" w:cs="Times New Roman"/>
          <w:b/>
          <w:bCs/>
          <w:sz w:val="24"/>
          <w:szCs w:val="24"/>
        </w:rPr>
      </w:pPr>
    </w:p>
    <w:p w14:paraId="5574D387" w14:textId="77777777" w:rsidR="004E3976" w:rsidRDefault="004E3976" w:rsidP="008974D6">
      <w:pPr>
        <w:spacing w:line="360" w:lineRule="auto"/>
        <w:jc w:val="both"/>
        <w:rPr>
          <w:rFonts w:ascii="Times New Roman" w:hAnsi="Times New Roman" w:cs="Times New Roman"/>
          <w:b/>
          <w:bCs/>
          <w:sz w:val="24"/>
          <w:szCs w:val="24"/>
        </w:rPr>
      </w:pPr>
    </w:p>
    <w:p w14:paraId="26FEA401" w14:textId="77777777" w:rsidR="004E3976" w:rsidRDefault="004E3976" w:rsidP="008974D6">
      <w:pPr>
        <w:spacing w:line="360" w:lineRule="auto"/>
        <w:jc w:val="both"/>
        <w:rPr>
          <w:rFonts w:ascii="Times New Roman" w:hAnsi="Times New Roman" w:cs="Times New Roman"/>
          <w:b/>
          <w:bCs/>
          <w:sz w:val="24"/>
          <w:szCs w:val="24"/>
        </w:rPr>
      </w:pPr>
    </w:p>
    <w:p w14:paraId="546630DB" w14:textId="77777777" w:rsidR="004E3976" w:rsidRDefault="004E3976" w:rsidP="008974D6">
      <w:pPr>
        <w:spacing w:line="360" w:lineRule="auto"/>
        <w:jc w:val="both"/>
        <w:rPr>
          <w:rFonts w:ascii="Times New Roman" w:hAnsi="Times New Roman" w:cs="Times New Roman"/>
          <w:b/>
          <w:bCs/>
          <w:sz w:val="24"/>
          <w:szCs w:val="24"/>
        </w:rPr>
      </w:pPr>
    </w:p>
    <w:p w14:paraId="4AC34711" w14:textId="77777777" w:rsidR="004E3976" w:rsidRDefault="004E3976" w:rsidP="008974D6">
      <w:pPr>
        <w:spacing w:line="360" w:lineRule="auto"/>
        <w:jc w:val="both"/>
        <w:rPr>
          <w:rFonts w:ascii="Times New Roman" w:hAnsi="Times New Roman" w:cs="Times New Roman"/>
          <w:b/>
          <w:bCs/>
          <w:sz w:val="24"/>
          <w:szCs w:val="24"/>
        </w:rPr>
      </w:pPr>
    </w:p>
    <w:p w14:paraId="1A914826" w14:textId="3032184B" w:rsidR="008974D6" w:rsidRPr="008974D6" w:rsidRDefault="004E3976" w:rsidP="008974D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8974D6" w:rsidRPr="008974D6">
        <w:rPr>
          <w:rFonts w:ascii="Times New Roman" w:hAnsi="Times New Roman" w:cs="Times New Roman"/>
          <w:b/>
          <w:bCs/>
          <w:sz w:val="32"/>
          <w:szCs w:val="32"/>
        </w:rPr>
        <w:t>Chapter 5: Discussion</w:t>
      </w:r>
    </w:p>
    <w:p w14:paraId="52898BB5"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5.1 Revisiting the Hypotheses</w:t>
      </w:r>
    </w:p>
    <w:p w14:paraId="01C1778C" w14:textId="77777777"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This study set out to examine the impact of digital technology adoption on efficiency and sustainability outcomes in UK commercial farming. Five hypotheses were developed from the integrated theoretical framework (TAM, DOI, RBV) and tested using regression models. The results confirm that all five hypotheses (H1–H5) were supported:</w:t>
      </w:r>
    </w:p>
    <w:p w14:paraId="7613F2B3" w14:textId="77777777" w:rsidR="008974D6" w:rsidRPr="008974D6" w:rsidRDefault="008974D6" w:rsidP="008974D6">
      <w:pPr>
        <w:numPr>
          <w:ilvl w:val="0"/>
          <w:numId w:val="28"/>
        </w:numPr>
        <w:spacing w:line="360" w:lineRule="auto"/>
        <w:jc w:val="both"/>
        <w:rPr>
          <w:rFonts w:ascii="Times New Roman" w:hAnsi="Times New Roman" w:cs="Times New Roman"/>
          <w:sz w:val="24"/>
          <w:szCs w:val="24"/>
        </w:rPr>
      </w:pPr>
      <w:r w:rsidRPr="008974D6">
        <w:rPr>
          <w:rFonts w:ascii="Times New Roman" w:hAnsi="Times New Roman" w:cs="Times New Roman"/>
          <w:b/>
          <w:bCs/>
          <w:sz w:val="24"/>
          <w:szCs w:val="24"/>
        </w:rPr>
        <w:t>H1:</w:t>
      </w:r>
      <w:r w:rsidRPr="008974D6">
        <w:rPr>
          <w:rFonts w:ascii="Times New Roman" w:hAnsi="Times New Roman" w:cs="Times New Roman"/>
          <w:sz w:val="24"/>
          <w:szCs w:val="24"/>
        </w:rPr>
        <w:t xml:space="preserve"> Perceived usefulness significantly predicted efficiency improvement (β = 0.44, p &lt; 0.001).</w:t>
      </w:r>
    </w:p>
    <w:p w14:paraId="7652A9BF" w14:textId="77777777" w:rsidR="008974D6" w:rsidRPr="008974D6" w:rsidRDefault="008974D6" w:rsidP="008974D6">
      <w:pPr>
        <w:numPr>
          <w:ilvl w:val="0"/>
          <w:numId w:val="28"/>
        </w:numPr>
        <w:spacing w:line="360" w:lineRule="auto"/>
        <w:jc w:val="both"/>
        <w:rPr>
          <w:rFonts w:ascii="Times New Roman" w:hAnsi="Times New Roman" w:cs="Times New Roman"/>
          <w:sz w:val="24"/>
          <w:szCs w:val="24"/>
        </w:rPr>
      </w:pPr>
      <w:r w:rsidRPr="008974D6">
        <w:rPr>
          <w:rFonts w:ascii="Times New Roman" w:hAnsi="Times New Roman" w:cs="Times New Roman"/>
          <w:b/>
          <w:bCs/>
          <w:sz w:val="24"/>
          <w:szCs w:val="24"/>
        </w:rPr>
        <w:t>H2:</w:t>
      </w:r>
      <w:r w:rsidRPr="008974D6">
        <w:rPr>
          <w:rFonts w:ascii="Times New Roman" w:hAnsi="Times New Roman" w:cs="Times New Roman"/>
          <w:sz w:val="24"/>
          <w:szCs w:val="24"/>
        </w:rPr>
        <w:t xml:space="preserve"> Adoption readiness significantly predicted efficiency outcomes (β = 0.31, p &lt; 0.001).</w:t>
      </w:r>
    </w:p>
    <w:p w14:paraId="5C470ABB" w14:textId="77777777" w:rsidR="008974D6" w:rsidRPr="008974D6" w:rsidRDefault="008974D6" w:rsidP="008974D6">
      <w:pPr>
        <w:numPr>
          <w:ilvl w:val="0"/>
          <w:numId w:val="28"/>
        </w:numPr>
        <w:spacing w:line="360" w:lineRule="auto"/>
        <w:jc w:val="both"/>
        <w:rPr>
          <w:rFonts w:ascii="Times New Roman" w:hAnsi="Times New Roman" w:cs="Times New Roman"/>
          <w:sz w:val="24"/>
          <w:szCs w:val="24"/>
        </w:rPr>
      </w:pPr>
      <w:r w:rsidRPr="008974D6">
        <w:rPr>
          <w:rFonts w:ascii="Times New Roman" w:hAnsi="Times New Roman" w:cs="Times New Roman"/>
          <w:b/>
          <w:bCs/>
          <w:sz w:val="24"/>
          <w:szCs w:val="24"/>
        </w:rPr>
        <w:t>H3:</w:t>
      </w:r>
      <w:r w:rsidRPr="008974D6">
        <w:rPr>
          <w:rFonts w:ascii="Times New Roman" w:hAnsi="Times New Roman" w:cs="Times New Roman"/>
          <w:sz w:val="24"/>
          <w:szCs w:val="24"/>
        </w:rPr>
        <w:t xml:space="preserve"> Frequency of use predicted efficiency (β = 0.28, p &lt; 0.01).</w:t>
      </w:r>
    </w:p>
    <w:p w14:paraId="2C739C00" w14:textId="77777777" w:rsidR="008974D6" w:rsidRPr="008974D6" w:rsidRDefault="008974D6" w:rsidP="008974D6">
      <w:pPr>
        <w:numPr>
          <w:ilvl w:val="0"/>
          <w:numId w:val="28"/>
        </w:numPr>
        <w:spacing w:line="360" w:lineRule="auto"/>
        <w:jc w:val="both"/>
        <w:rPr>
          <w:rFonts w:ascii="Times New Roman" w:hAnsi="Times New Roman" w:cs="Times New Roman"/>
          <w:sz w:val="24"/>
          <w:szCs w:val="24"/>
        </w:rPr>
      </w:pPr>
      <w:r w:rsidRPr="008974D6">
        <w:rPr>
          <w:rFonts w:ascii="Times New Roman" w:hAnsi="Times New Roman" w:cs="Times New Roman"/>
          <w:b/>
          <w:bCs/>
          <w:sz w:val="24"/>
          <w:szCs w:val="24"/>
        </w:rPr>
        <w:t>H4:</w:t>
      </w:r>
      <w:r w:rsidRPr="008974D6">
        <w:rPr>
          <w:rFonts w:ascii="Times New Roman" w:hAnsi="Times New Roman" w:cs="Times New Roman"/>
          <w:sz w:val="24"/>
          <w:szCs w:val="24"/>
        </w:rPr>
        <w:t xml:space="preserve"> Digital tool adoption significantly predicted sustainability outcomes (β = 0.39, p &lt; 0.001).</w:t>
      </w:r>
    </w:p>
    <w:p w14:paraId="6A346D56" w14:textId="77777777" w:rsidR="008974D6" w:rsidRPr="008974D6" w:rsidRDefault="008974D6" w:rsidP="008974D6">
      <w:pPr>
        <w:numPr>
          <w:ilvl w:val="0"/>
          <w:numId w:val="28"/>
        </w:numPr>
        <w:spacing w:line="360" w:lineRule="auto"/>
        <w:jc w:val="both"/>
        <w:rPr>
          <w:rFonts w:ascii="Times New Roman" w:hAnsi="Times New Roman" w:cs="Times New Roman"/>
          <w:sz w:val="24"/>
          <w:szCs w:val="24"/>
        </w:rPr>
      </w:pPr>
      <w:r w:rsidRPr="008974D6">
        <w:rPr>
          <w:rFonts w:ascii="Times New Roman" w:hAnsi="Times New Roman" w:cs="Times New Roman"/>
          <w:b/>
          <w:bCs/>
          <w:sz w:val="24"/>
          <w:szCs w:val="24"/>
        </w:rPr>
        <w:t>H5:</w:t>
      </w:r>
      <w:r w:rsidRPr="008974D6">
        <w:rPr>
          <w:rFonts w:ascii="Times New Roman" w:hAnsi="Times New Roman" w:cs="Times New Roman"/>
          <w:sz w:val="24"/>
          <w:szCs w:val="24"/>
        </w:rPr>
        <w:t xml:space="preserve"> Adoption readiness moderated the usefulness–efficiency relationship (interaction β = 0.16, p = 0.046).</w:t>
      </w:r>
    </w:p>
    <w:p w14:paraId="78536510" w14:textId="74832D46"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By confirming these hypotheses, the study provides strong empirical support for the argument that digital technologies enhance both productivity and sustainability in commercial agriculture but that the scale of these benefits depends on farmers’ readiness and capacity to adopt them.</w:t>
      </w:r>
    </w:p>
    <w:p w14:paraId="32591B70"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5.2 Interpretation Through Theoretical Models</w:t>
      </w:r>
    </w:p>
    <w:p w14:paraId="1F7E5EA6" w14:textId="6BEF5F8F"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The findings align closely with the Technology Acceptance Model (TAM), which posits that perceived usefulness is the most important determinant of technology adoption. Farmers who perceived clear efficiency and sustainability benefits reported greater performance improvements, mirroring earlier studies in agricultural technology contexts (</w:t>
      </w:r>
      <w:r w:rsidR="00D33521" w:rsidRPr="00846D7E">
        <w:rPr>
          <w:rFonts w:ascii="Times New Roman" w:hAnsi="Times New Roman" w:cs="Times New Roman"/>
          <w:sz w:val="24"/>
          <w:szCs w:val="24"/>
        </w:rPr>
        <w:t>Baldock</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and Kam,</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2024</w:t>
      </w:r>
      <w:r w:rsidRPr="008974D6">
        <w:rPr>
          <w:rFonts w:ascii="Times New Roman" w:hAnsi="Times New Roman" w:cs="Times New Roman"/>
          <w:sz w:val="24"/>
          <w:szCs w:val="24"/>
        </w:rPr>
        <w:t>).</w:t>
      </w:r>
    </w:p>
    <w:p w14:paraId="4E01BA4E" w14:textId="10A1EAB6"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The Diffusion of Innovation (DOI) theory is also strongly supported. Adoption readiness capturing trialability, compatibility and willingness to invest  emerged as both a direct predictor of efficiency and a moderator of the usefulness</w:t>
      </w:r>
      <w:r w:rsidR="00757256">
        <w:rPr>
          <w:rFonts w:ascii="Times New Roman" w:hAnsi="Times New Roman" w:cs="Times New Roman"/>
          <w:sz w:val="24"/>
          <w:szCs w:val="24"/>
        </w:rPr>
        <w:t xml:space="preserve"> - </w:t>
      </w:r>
      <w:r w:rsidRPr="008974D6">
        <w:rPr>
          <w:rFonts w:ascii="Times New Roman" w:hAnsi="Times New Roman" w:cs="Times New Roman"/>
          <w:sz w:val="24"/>
          <w:szCs w:val="24"/>
        </w:rPr>
        <w:t>efficiency relationship. This highlights the importance of peer influence, skills</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infrastructure in amplifying the benefits of digital farming, consistent with findings by</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 xml:space="preserve">Karunathilake, </w:t>
      </w:r>
      <w:r w:rsidR="00D33521">
        <w:rPr>
          <w:rFonts w:ascii="Times New Roman" w:hAnsi="Times New Roman" w:cs="Times New Roman"/>
          <w:sz w:val="24"/>
          <w:szCs w:val="24"/>
        </w:rPr>
        <w:t>(2023)</w:t>
      </w:r>
      <w:r w:rsidRPr="008974D6">
        <w:rPr>
          <w:rFonts w:ascii="Times New Roman" w:hAnsi="Times New Roman" w:cs="Times New Roman"/>
          <w:sz w:val="24"/>
          <w:szCs w:val="24"/>
        </w:rPr>
        <w:t>.</w:t>
      </w:r>
    </w:p>
    <w:p w14:paraId="33551E6D" w14:textId="4F329BE3"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lastRenderedPageBreak/>
        <w:t>The Resource-Based View (RBV) contributes a strategic lens by framing digital technologies as internal resources that can yield sustainable competitive advantage when embedded in organisational routines. The evidence here suggests that digital tools do enhance efficiency and sustainability</w:t>
      </w:r>
      <w:r w:rsidR="00757256">
        <w:rPr>
          <w:rFonts w:ascii="Times New Roman" w:hAnsi="Times New Roman" w:cs="Times New Roman"/>
          <w:sz w:val="24"/>
          <w:szCs w:val="24"/>
        </w:rPr>
        <w:t xml:space="preserve"> </w:t>
      </w:r>
      <w:r w:rsidRPr="008974D6">
        <w:rPr>
          <w:rFonts w:ascii="Times New Roman" w:hAnsi="Times New Roman" w:cs="Times New Roman"/>
          <w:sz w:val="24"/>
          <w:szCs w:val="24"/>
        </w:rPr>
        <w:t>but their value is conditional on readiness and integration. This reflects RBV’s VRIO criteri</w:t>
      </w:r>
      <w:r w:rsidR="00D33521">
        <w:rPr>
          <w:rFonts w:ascii="Times New Roman" w:hAnsi="Times New Roman" w:cs="Times New Roman"/>
          <w:sz w:val="24"/>
          <w:szCs w:val="24"/>
        </w:rPr>
        <w:t xml:space="preserve">a such as </w:t>
      </w:r>
      <w:r w:rsidRPr="008974D6">
        <w:rPr>
          <w:rFonts w:ascii="Times New Roman" w:hAnsi="Times New Roman" w:cs="Times New Roman"/>
          <w:sz w:val="24"/>
          <w:szCs w:val="24"/>
        </w:rPr>
        <w:t>technologies must be valuable, rare, difficult to imitate and supported by organisational capability to translate into long-term advantage (Poppe et al., 2022).</w:t>
      </w:r>
    </w:p>
    <w:p w14:paraId="637CF823"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5.3 Unexpected or Weaker Findings</w:t>
      </w:r>
    </w:p>
    <w:p w14:paraId="4C484DED" w14:textId="01FB8694"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Although all hypotheses were statistically supported, some results were weaker than anticipated. The frequency of use showed only a modest effect on efficiency (β = 0.28) and sustainability (β = 0.20). Prior DOI-based studies often emphasise routine technology use as a decisive driver of outcomes (</w:t>
      </w:r>
      <w:r w:rsidR="00D33521" w:rsidRPr="00846D7E">
        <w:rPr>
          <w:rFonts w:ascii="Times New Roman" w:hAnsi="Times New Roman" w:cs="Times New Roman"/>
          <w:sz w:val="24"/>
          <w:szCs w:val="24"/>
        </w:rPr>
        <w:t>Henderson,</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2024</w:t>
      </w:r>
      <w:r w:rsidRPr="008974D6">
        <w:rPr>
          <w:rFonts w:ascii="Times New Roman" w:hAnsi="Times New Roman" w:cs="Times New Roman"/>
          <w:sz w:val="24"/>
          <w:szCs w:val="24"/>
        </w:rPr>
        <w:t>). The relatively lower effect in this study suggests that it is not the frequency of digital tool use that matters most</w:t>
      </w:r>
      <w:r w:rsidR="00757256">
        <w:rPr>
          <w:rFonts w:ascii="Times New Roman" w:hAnsi="Times New Roman" w:cs="Times New Roman"/>
          <w:sz w:val="24"/>
          <w:szCs w:val="24"/>
        </w:rPr>
        <w:t xml:space="preserve"> but</w:t>
      </w:r>
      <w:r w:rsidRPr="008974D6">
        <w:rPr>
          <w:rFonts w:ascii="Times New Roman" w:hAnsi="Times New Roman" w:cs="Times New Roman"/>
          <w:sz w:val="24"/>
          <w:szCs w:val="24"/>
        </w:rPr>
        <w:t xml:space="preserve"> how strategically and effectively those tools are applied. Similarly, the moderation effect of readiness was statistically significant but marginal (p = 0.046), weaker than some literature predicts (Eastwood et al., 2017). These anomalies may reflect measurement limitations self-reported data, respondent optimism bias or contextual factors such as the uneven availability of broadband infrastructure across rural UK regions.</w:t>
      </w:r>
    </w:p>
    <w:p w14:paraId="0CE25691" w14:textId="77777777"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Acknowledging these subtleties strengthens the credibility of the findings, signalling that while the overall benefits of digital adoption are clear, they are not uniformly realised across all contexts.</w:t>
      </w:r>
    </w:p>
    <w:p w14:paraId="621FA781"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5.4 Broader Policy and Practical Implications</w:t>
      </w:r>
    </w:p>
    <w:p w14:paraId="7369EDDB" w14:textId="06FD6C04"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The findings also carry important implications beyond the farm level. At the policy level, results reinforce the need for DEFRA and other bodies to move beyond funding hardware alone and instead prioritise capacity building</w:t>
      </w:r>
      <w:r w:rsidR="00D33521">
        <w:rPr>
          <w:rFonts w:ascii="Times New Roman" w:hAnsi="Times New Roman" w:cs="Times New Roman"/>
          <w:sz w:val="24"/>
          <w:szCs w:val="24"/>
        </w:rPr>
        <w:t xml:space="preserve">, </w:t>
      </w:r>
      <w:r w:rsidRPr="008974D6">
        <w:rPr>
          <w:rFonts w:ascii="Times New Roman" w:hAnsi="Times New Roman" w:cs="Times New Roman"/>
          <w:sz w:val="24"/>
          <w:szCs w:val="24"/>
        </w:rPr>
        <w:t>including training programmes, advisory services</w:t>
      </w:r>
      <w:r w:rsidR="00396361">
        <w:rPr>
          <w:rFonts w:ascii="Times New Roman" w:hAnsi="Times New Roman" w:cs="Times New Roman"/>
          <w:sz w:val="24"/>
          <w:szCs w:val="24"/>
        </w:rPr>
        <w:t xml:space="preserve"> </w:t>
      </w:r>
      <w:r w:rsidRPr="008974D6">
        <w:rPr>
          <w:rFonts w:ascii="Times New Roman" w:hAnsi="Times New Roman" w:cs="Times New Roman"/>
          <w:sz w:val="24"/>
          <w:szCs w:val="24"/>
        </w:rPr>
        <w:t>and rural broadband expansion</w:t>
      </w:r>
      <w:r w:rsidR="00D33521">
        <w:rPr>
          <w:rFonts w:ascii="Times New Roman" w:hAnsi="Times New Roman" w:cs="Times New Roman"/>
          <w:sz w:val="24"/>
          <w:szCs w:val="24"/>
        </w:rPr>
        <w:t xml:space="preserve"> </w:t>
      </w:r>
      <w:r w:rsidRPr="008974D6">
        <w:rPr>
          <w:rFonts w:ascii="Times New Roman" w:hAnsi="Times New Roman" w:cs="Times New Roman"/>
          <w:sz w:val="24"/>
          <w:szCs w:val="24"/>
        </w:rPr>
        <w:t>to increase adoption readiness</w:t>
      </w:r>
      <w:r w:rsidR="00D33521">
        <w:rPr>
          <w:rFonts w:ascii="Times New Roman" w:hAnsi="Times New Roman" w:cs="Times New Roman"/>
          <w:sz w:val="24"/>
          <w:szCs w:val="24"/>
        </w:rPr>
        <w:t xml:space="preserve"> (</w:t>
      </w:r>
      <w:r w:rsidR="00D33521" w:rsidRPr="00846D7E">
        <w:rPr>
          <w:rFonts w:ascii="Times New Roman" w:hAnsi="Times New Roman" w:cs="Times New Roman"/>
          <w:sz w:val="24"/>
          <w:szCs w:val="24"/>
        </w:rPr>
        <w:t>Van der Ploeg, 2020</w:t>
      </w:r>
      <w:r w:rsidR="00D33521">
        <w:rPr>
          <w:rFonts w:ascii="Times New Roman" w:hAnsi="Times New Roman" w:cs="Times New Roman"/>
          <w:sz w:val="24"/>
          <w:szCs w:val="24"/>
        </w:rPr>
        <w:t>)</w:t>
      </w:r>
      <w:r w:rsidRPr="008974D6">
        <w:rPr>
          <w:rFonts w:ascii="Times New Roman" w:hAnsi="Times New Roman" w:cs="Times New Roman"/>
          <w:sz w:val="24"/>
          <w:szCs w:val="24"/>
        </w:rPr>
        <w:t>. Agri-tech providers should also consider flexible financing models such as leasing or shared ownership schemes to lower cost barriers, particularly for small and medium-scale farms.</w:t>
      </w:r>
    </w:p>
    <w:p w14:paraId="41D6DD46" w14:textId="1CC3B6B1"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In addition, the weaker-than-expected effects of frequency highlight that policymakers and industry actors should focus on quality of use rather than volume of use. Providing training on how to embed technologies into decision-making and aligning tools with sustainability incentives could maximise the value of adoption</w:t>
      </w:r>
      <w:r w:rsidR="004E3976">
        <w:rPr>
          <w:rFonts w:ascii="Times New Roman" w:hAnsi="Times New Roman" w:cs="Times New Roman"/>
          <w:sz w:val="24"/>
          <w:szCs w:val="24"/>
        </w:rPr>
        <w:t xml:space="preserve"> (</w:t>
      </w:r>
      <w:r w:rsidR="004E3976" w:rsidRPr="00846D7E">
        <w:rPr>
          <w:rFonts w:ascii="Times New Roman" w:hAnsi="Times New Roman" w:cs="Times New Roman"/>
          <w:sz w:val="24"/>
          <w:szCs w:val="24"/>
        </w:rPr>
        <w:t xml:space="preserve">Anastasiadis, </w:t>
      </w:r>
      <w:r w:rsidR="004E3976">
        <w:rPr>
          <w:rFonts w:ascii="Times New Roman" w:hAnsi="Times New Roman" w:cs="Times New Roman"/>
          <w:sz w:val="24"/>
          <w:szCs w:val="24"/>
        </w:rPr>
        <w:t>2025)</w:t>
      </w:r>
      <w:r w:rsidRPr="008974D6">
        <w:rPr>
          <w:rFonts w:ascii="Times New Roman" w:hAnsi="Times New Roman" w:cs="Times New Roman"/>
          <w:sz w:val="24"/>
          <w:szCs w:val="24"/>
        </w:rPr>
        <w:t>.</w:t>
      </w:r>
    </w:p>
    <w:p w14:paraId="6AF3A3DD"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lastRenderedPageBreak/>
        <w:t>5.5 Theoretical Contribution</w:t>
      </w:r>
    </w:p>
    <w:p w14:paraId="1FE24288" w14:textId="181E1081"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This study contributes to theory by demonstrating the value of theoretical triangulation. TAM explains perceptions of usefulness, DOI contextualises readiness and adoption spread</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RBV shows how technologies create strategic value. Importantly, the results strengthen RBV’s relevance in agriculture by confirming that digital capability can function as a strategic resource, delivering VRIO value when accompanied by organisational readiness</w:t>
      </w:r>
      <w:r w:rsidR="004E3976">
        <w:rPr>
          <w:rFonts w:ascii="Times New Roman" w:hAnsi="Times New Roman" w:cs="Times New Roman"/>
          <w:sz w:val="24"/>
          <w:szCs w:val="24"/>
        </w:rPr>
        <w:t xml:space="preserve"> (</w:t>
      </w:r>
      <w:r w:rsidR="004E3976" w:rsidRPr="0046448A">
        <w:rPr>
          <w:rFonts w:ascii="Times New Roman" w:hAnsi="Times New Roman" w:cs="Times New Roman"/>
          <w:sz w:val="24"/>
          <w:szCs w:val="24"/>
        </w:rPr>
        <w:t>Dube</w:t>
      </w:r>
      <w:r w:rsidR="004E3976">
        <w:rPr>
          <w:rFonts w:ascii="Times New Roman" w:hAnsi="Times New Roman" w:cs="Times New Roman"/>
          <w:sz w:val="24"/>
          <w:szCs w:val="24"/>
        </w:rPr>
        <w:t>, 2024)</w:t>
      </w:r>
      <w:r w:rsidRPr="008974D6">
        <w:rPr>
          <w:rFonts w:ascii="Times New Roman" w:hAnsi="Times New Roman" w:cs="Times New Roman"/>
          <w:sz w:val="24"/>
          <w:szCs w:val="24"/>
        </w:rPr>
        <w:t>. By linking behavioural intention, social diffusion</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strategic performance, this study offers a more integrated account of how digitalisation drives efficiency and sustainability in farming.</w:t>
      </w:r>
    </w:p>
    <w:p w14:paraId="22BCF908" w14:textId="77777777" w:rsidR="004E3976" w:rsidRDefault="004E3976" w:rsidP="008974D6">
      <w:pPr>
        <w:spacing w:line="360" w:lineRule="auto"/>
        <w:jc w:val="both"/>
        <w:rPr>
          <w:rFonts w:ascii="Times New Roman" w:hAnsi="Times New Roman" w:cs="Times New Roman"/>
          <w:b/>
          <w:bCs/>
          <w:sz w:val="24"/>
          <w:szCs w:val="24"/>
        </w:rPr>
      </w:pPr>
    </w:p>
    <w:p w14:paraId="12AB5751" w14:textId="77777777" w:rsidR="004E3976" w:rsidRDefault="004E3976" w:rsidP="008974D6">
      <w:pPr>
        <w:spacing w:line="360" w:lineRule="auto"/>
        <w:jc w:val="both"/>
        <w:rPr>
          <w:rFonts w:ascii="Times New Roman" w:hAnsi="Times New Roman" w:cs="Times New Roman"/>
          <w:b/>
          <w:bCs/>
          <w:sz w:val="24"/>
          <w:szCs w:val="24"/>
        </w:rPr>
      </w:pPr>
    </w:p>
    <w:p w14:paraId="6988812C" w14:textId="77777777" w:rsidR="004E3976" w:rsidRDefault="004E3976" w:rsidP="008974D6">
      <w:pPr>
        <w:spacing w:line="360" w:lineRule="auto"/>
        <w:jc w:val="both"/>
        <w:rPr>
          <w:rFonts w:ascii="Times New Roman" w:hAnsi="Times New Roman" w:cs="Times New Roman"/>
          <w:b/>
          <w:bCs/>
          <w:sz w:val="24"/>
          <w:szCs w:val="24"/>
        </w:rPr>
      </w:pPr>
    </w:p>
    <w:p w14:paraId="39FEDD33" w14:textId="77777777" w:rsidR="004E3976" w:rsidRDefault="004E3976" w:rsidP="008974D6">
      <w:pPr>
        <w:spacing w:line="360" w:lineRule="auto"/>
        <w:jc w:val="both"/>
        <w:rPr>
          <w:rFonts w:ascii="Times New Roman" w:hAnsi="Times New Roman" w:cs="Times New Roman"/>
          <w:b/>
          <w:bCs/>
          <w:sz w:val="24"/>
          <w:szCs w:val="24"/>
        </w:rPr>
      </w:pPr>
    </w:p>
    <w:p w14:paraId="10883E34" w14:textId="77777777" w:rsidR="004E3976" w:rsidRDefault="004E3976" w:rsidP="008974D6">
      <w:pPr>
        <w:spacing w:line="360" w:lineRule="auto"/>
        <w:jc w:val="both"/>
        <w:rPr>
          <w:rFonts w:ascii="Times New Roman" w:hAnsi="Times New Roman" w:cs="Times New Roman"/>
          <w:b/>
          <w:bCs/>
          <w:sz w:val="24"/>
          <w:szCs w:val="24"/>
        </w:rPr>
      </w:pPr>
    </w:p>
    <w:p w14:paraId="51890A18" w14:textId="77777777" w:rsidR="004E3976" w:rsidRDefault="004E3976" w:rsidP="008974D6">
      <w:pPr>
        <w:spacing w:line="360" w:lineRule="auto"/>
        <w:jc w:val="both"/>
        <w:rPr>
          <w:rFonts w:ascii="Times New Roman" w:hAnsi="Times New Roman" w:cs="Times New Roman"/>
          <w:b/>
          <w:bCs/>
          <w:sz w:val="24"/>
          <w:szCs w:val="24"/>
        </w:rPr>
      </w:pPr>
    </w:p>
    <w:p w14:paraId="08899D8C" w14:textId="77777777" w:rsidR="004E3976" w:rsidRDefault="004E3976" w:rsidP="008974D6">
      <w:pPr>
        <w:spacing w:line="360" w:lineRule="auto"/>
        <w:jc w:val="both"/>
        <w:rPr>
          <w:rFonts w:ascii="Times New Roman" w:hAnsi="Times New Roman" w:cs="Times New Roman"/>
          <w:b/>
          <w:bCs/>
          <w:sz w:val="24"/>
          <w:szCs w:val="24"/>
        </w:rPr>
      </w:pPr>
    </w:p>
    <w:p w14:paraId="65C613EC" w14:textId="77777777" w:rsidR="004E3976" w:rsidRDefault="004E3976" w:rsidP="008974D6">
      <w:pPr>
        <w:spacing w:line="360" w:lineRule="auto"/>
        <w:jc w:val="both"/>
        <w:rPr>
          <w:rFonts w:ascii="Times New Roman" w:hAnsi="Times New Roman" w:cs="Times New Roman"/>
          <w:b/>
          <w:bCs/>
          <w:sz w:val="24"/>
          <w:szCs w:val="24"/>
        </w:rPr>
      </w:pPr>
    </w:p>
    <w:p w14:paraId="773149FE" w14:textId="77777777" w:rsidR="004E3976" w:rsidRDefault="004E3976" w:rsidP="008974D6">
      <w:pPr>
        <w:spacing w:line="360" w:lineRule="auto"/>
        <w:jc w:val="both"/>
        <w:rPr>
          <w:rFonts w:ascii="Times New Roman" w:hAnsi="Times New Roman" w:cs="Times New Roman"/>
          <w:b/>
          <w:bCs/>
          <w:sz w:val="24"/>
          <w:szCs w:val="24"/>
        </w:rPr>
      </w:pPr>
    </w:p>
    <w:p w14:paraId="7DA69D77" w14:textId="77777777" w:rsidR="004E3976" w:rsidRDefault="004E3976" w:rsidP="008974D6">
      <w:pPr>
        <w:spacing w:line="360" w:lineRule="auto"/>
        <w:jc w:val="both"/>
        <w:rPr>
          <w:rFonts w:ascii="Times New Roman" w:hAnsi="Times New Roman" w:cs="Times New Roman"/>
          <w:b/>
          <w:bCs/>
          <w:sz w:val="24"/>
          <w:szCs w:val="24"/>
        </w:rPr>
      </w:pPr>
    </w:p>
    <w:p w14:paraId="54308AF0" w14:textId="77777777" w:rsidR="004E3976" w:rsidRDefault="004E3976" w:rsidP="008974D6">
      <w:pPr>
        <w:spacing w:line="360" w:lineRule="auto"/>
        <w:jc w:val="both"/>
        <w:rPr>
          <w:rFonts w:ascii="Times New Roman" w:hAnsi="Times New Roman" w:cs="Times New Roman"/>
          <w:b/>
          <w:bCs/>
          <w:sz w:val="24"/>
          <w:szCs w:val="24"/>
        </w:rPr>
      </w:pPr>
    </w:p>
    <w:p w14:paraId="212A2114" w14:textId="77777777" w:rsidR="004E3976" w:rsidRDefault="004E3976" w:rsidP="008974D6">
      <w:pPr>
        <w:spacing w:line="360" w:lineRule="auto"/>
        <w:jc w:val="both"/>
        <w:rPr>
          <w:rFonts w:ascii="Times New Roman" w:hAnsi="Times New Roman" w:cs="Times New Roman"/>
          <w:b/>
          <w:bCs/>
          <w:sz w:val="24"/>
          <w:szCs w:val="24"/>
        </w:rPr>
      </w:pPr>
    </w:p>
    <w:p w14:paraId="0AE4793B" w14:textId="77777777" w:rsidR="004E3976" w:rsidRDefault="004E3976" w:rsidP="008974D6">
      <w:pPr>
        <w:spacing w:line="360" w:lineRule="auto"/>
        <w:jc w:val="both"/>
        <w:rPr>
          <w:rFonts w:ascii="Times New Roman" w:hAnsi="Times New Roman" w:cs="Times New Roman"/>
          <w:b/>
          <w:bCs/>
          <w:sz w:val="24"/>
          <w:szCs w:val="24"/>
        </w:rPr>
      </w:pPr>
    </w:p>
    <w:p w14:paraId="2476737E" w14:textId="77777777" w:rsidR="004E3976" w:rsidRDefault="004E3976" w:rsidP="008974D6">
      <w:pPr>
        <w:spacing w:line="360" w:lineRule="auto"/>
        <w:jc w:val="both"/>
        <w:rPr>
          <w:rFonts w:ascii="Times New Roman" w:hAnsi="Times New Roman" w:cs="Times New Roman"/>
          <w:b/>
          <w:bCs/>
          <w:sz w:val="24"/>
          <w:szCs w:val="24"/>
        </w:rPr>
      </w:pPr>
    </w:p>
    <w:p w14:paraId="46FB990A" w14:textId="77777777" w:rsidR="004E3976" w:rsidRDefault="004E3976" w:rsidP="008974D6">
      <w:pPr>
        <w:spacing w:line="360" w:lineRule="auto"/>
        <w:jc w:val="both"/>
        <w:rPr>
          <w:rFonts w:ascii="Times New Roman" w:hAnsi="Times New Roman" w:cs="Times New Roman"/>
          <w:b/>
          <w:bCs/>
          <w:sz w:val="24"/>
          <w:szCs w:val="24"/>
        </w:rPr>
      </w:pPr>
    </w:p>
    <w:p w14:paraId="31F1B64E" w14:textId="77777777" w:rsidR="004E3976" w:rsidRDefault="004E3976" w:rsidP="008974D6">
      <w:pPr>
        <w:spacing w:line="360" w:lineRule="auto"/>
        <w:jc w:val="both"/>
        <w:rPr>
          <w:rFonts w:ascii="Times New Roman" w:hAnsi="Times New Roman" w:cs="Times New Roman"/>
          <w:b/>
          <w:bCs/>
          <w:sz w:val="24"/>
          <w:szCs w:val="24"/>
        </w:rPr>
      </w:pPr>
    </w:p>
    <w:p w14:paraId="3209B5AC" w14:textId="5C4CE225" w:rsidR="008974D6" w:rsidRPr="008974D6" w:rsidRDefault="004E3976" w:rsidP="008974D6">
      <w:pPr>
        <w:spacing w:line="360" w:lineRule="auto"/>
        <w:jc w:val="both"/>
        <w:rPr>
          <w:rFonts w:ascii="Times New Roman" w:hAnsi="Times New Roman" w:cs="Times New Roman"/>
          <w:b/>
          <w:bCs/>
          <w:sz w:val="32"/>
          <w:szCs w:val="32"/>
        </w:rPr>
      </w:pPr>
      <w:r w:rsidRPr="00BC1529">
        <w:rPr>
          <w:rFonts w:ascii="Times New Roman" w:hAnsi="Times New Roman" w:cs="Times New Roman"/>
          <w:b/>
          <w:bCs/>
          <w:sz w:val="32"/>
          <w:szCs w:val="32"/>
        </w:rPr>
        <w:t xml:space="preserve">                      </w:t>
      </w:r>
      <w:r w:rsidR="008974D6" w:rsidRPr="008974D6">
        <w:rPr>
          <w:rFonts w:ascii="Times New Roman" w:hAnsi="Times New Roman" w:cs="Times New Roman"/>
          <w:b/>
          <w:bCs/>
          <w:sz w:val="32"/>
          <w:szCs w:val="32"/>
        </w:rPr>
        <w:t>Chapter 6: Conclusion and Recommendations</w:t>
      </w:r>
    </w:p>
    <w:p w14:paraId="398B60A6"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6.1 Conclusion</w:t>
      </w:r>
    </w:p>
    <w:p w14:paraId="33079FFD" w14:textId="636D7602"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lastRenderedPageBreak/>
        <w:t>This study set out to investigate the extent to which digital technologies enhance sustainability and efficiency in UK commercial farming, guided by TAM, DOI</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RBV theoretical frameworks. The analysis of survey data confirmed all five hypotheses perceived usefulness, adoption readiness</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frequency of use all significantly predicted efficiency outcomes, digital adoption predicted sustainability</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readiness moderated the usefulness</w:t>
      </w:r>
      <w:r w:rsidR="00396361">
        <w:rPr>
          <w:rFonts w:ascii="Times New Roman" w:hAnsi="Times New Roman" w:cs="Times New Roman"/>
          <w:sz w:val="24"/>
          <w:szCs w:val="24"/>
        </w:rPr>
        <w:t xml:space="preserve"> - </w:t>
      </w:r>
      <w:r w:rsidRPr="008974D6">
        <w:rPr>
          <w:rFonts w:ascii="Times New Roman" w:hAnsi="Times New Roman" w:cs="Times New Roman"/>
          <w:sz w:val="24"/>
          <w:szCs w:val="24"/>
        </w:rPr>
        <w:t>efficiency link.</w:t>
      </w:r>
    </w:p>
    <w:p w14:paraId="46918507" w14:textId="4FC7C763"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Key findings reveal that usefulness is the strongest predictor, highlighting that farmers adopt and benefit from digital tools when they deliver tangible performance gains. Readiness also emerged as a crucial factor, not only as a direct predictor but also as a moderator, suggesting that skills, infrastructure</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willingness to invest amplify the value of digital adoption. In contrast, frequency of use had weaker effects than expected, underscoring that effective integration matters more than sheer usage.</w:t>
      </w:r>
    </w:p>
    <w:p w14:paraId="57A92865" w14:textId="245E6C64"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Theoretically, this research extends TAM, DOI</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RBV in the agricultural context. It confirms TAM’s emphasis on usefulness over ease of use, shows DOI’s readiness construct as both a driver and amplifier of adoption</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demonstrates RBV’s relevance by framing digital technologies as VRIO resources whose value is realised only under supportive organisational and systemic conditions.</w:t>
      </w:r>
    </w:p>
    <w:p w14:paraId="0F7F9624"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6.2 Practical Recommendations</w:t>
      </w:r>
    </w:p>
    <w:p w14:paraId="2CAFA8B0" w14:textId="6B09ED5D"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 xml:space="preserve">Based on these findings, several specific and actionable recommendations can be made for policymakers, </w:t>
      </w:r>
      <w:proofErr w:type="spellStart"/>
      <w:r w:rsidRPr="008974D6">
        <w:rPr>
          <w:rFonts w:ascii="Times New Roman" w:hAnsi="Times New Roman" w:cs="Times New Roman"/>
          <w:sz w:val="24"/>
          <w:szCs w:val="24"/>
        </w:rPr>
        <w:t>agri</w:t>
      </w:r>
      <w:proofErr w:type="spellEnd"/>
      <w:r w:rsidRPr="008974D6">
        <w:rPr>
          <w:rFonts w:ascii="Times New Roman" w:hAnsi="Times New Roman" w:cs="Times New Roman"/>
          <w:sz w:val="24"/>
          <w:szCs w:val="24"/>
        </w:rPr>
        <w:t>-tech providers</w:t>
      </w:r>
      <w:r w:rsidR="00757256">
        <w:rPr>
          <w:rFonts w:ascii="Times New Roman" w:hAnsi="Times New Roman" w:cs="Times New Roman"/>
          <w:sz w:val="24"/>
          <w:szCs w:val="24"/>
        </w:rPr>
        <w:t xml:space="preserve"> and</w:t>
      </w:r>
      <w:r w:rsidRPr="008974D6">
        <w:rPr>
          <w:rFonts w:ascii="Times New Roman" w:hAnsi="Times New Roman" w:cs="Times New Roman"/>
          <w:sz w:val="24"/>
          <w:szCs w:val="24"/>
        </w:rPr>
        <w:t xml:space="preserve"> farming practitioners:</w:t>
      </w:r>
    </w:p>
    <w:p w14:paraId="69E737F5" w14:textId="77777777" w:rsidR="008974D6" w:rsidRPr="008974D6" w:rsidRDefault="008974D6" w:rsidP="008974D6">
      <w:pPr>
        <w:numPr>
          <w:ilvl w:val="0"/>
          <w:numId w:val="29"/>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Expand DEFRA’s digital skills funding to small and medium commercial farms, ensuring training opportunities are not limited to larger enterprises.</w:t>
      </w:r>
    </w:p>
    <w:p w14:paraId="665AB1E8" w14:textId="77777777" w:rsidR="008974D6" w:rsidRPr="008974D6" w:rsidRDefault="008974D6" w:rsidP="008974D6">
      <w:pPr>
        <w:numPr>
          <w:ilvl w:val="0"/>
          <w:numId w:val="29"/>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Develop peer-led training models where early adopters mentor neighbouring farms, leveraging DOI’s emphasis on social diffusion.</w:t>
      </w:r>
    </w:p>
    <w:p w14:paraId="4067ED71" w14:textId="77777777" w:rsidR="008974D6" w:rsidRPr="008974D6" w:rsidRDefault="008974D6" w:rsidP="008974D6">
      <w:pPr>
        <w:numPr>
          <w:ilvl w:val="0"/>
          <w:numId w:val="29"/>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Improve rural broadband infrastructure as a prerequisite for cloud-based farm management systems and real-time monitoring.</w:t>
      </w:r>
    </w:p>
    <w:p w14:paraId="6E0CF1EC" w14:textId="55E583D9" w:rsidR="008974D6" w:rsidRPr="008974D6" w:rsidRDefault="008974D6" w:rsidP="008974D6">
      <w:pPr>
        <w:numPr>
          <w:ilvl w:val="0"/>
          <w:numId w:val="29"/>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Introduce flexible financing models such as leasing, subsidies or cooperative ownership of costly technologies to lower barriers for smaller farms.</w:t>
      </w:r>
    </w:p>
    <w:p w14:paraId="01A9DDD4" w14:textId="05EBD3FB" w:rsidR="008974D6" w:rsidRPr="008974D6" w:rsidRDefault="008974D6" w:rsidP="008974D6">
      <w:pPr>
        <w:numPr>
          <w:ilvl w:val="0"/>
          <w:numId w:val="29"/>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Align sustainability incentives with digital tools by linking agri-environmental subsidies to measurable reductions in fertiliser use, water consumption and emissions through smart technologies.</w:t>
      </w:r>
    </w:p>
    <w:p w14:paraId="6CAFC17D"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lastRenderedPageBreak/>
        <w:t>6.3 Study Limitations</w:t>
      </w:r>
    </w:p>
    <w:p w14:paraId="2D9ED073" w14:textId="77777777"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Several limitations should be acknowledged. First, the reliance on a purposive sample of 102 commercial farmers limits the generalisability of results across the entire UK farming population. Second, data were self-reported, introducing potential response or optimism bias. Third, the cross-sectional design captures adoption at one point in time, preventing assessment of long-term impacts or causal relationships.</w:t>
      </w:r>
    </w:p>
    <w:p w14:paraId="40AF8A58" w14:textId="77777777" w:rsidR="008974D6" w:rsidRPr="008974D6" w:rsidRDefault="008974D6" w:rsidP="008974D6">
      <w:pPr>
        <w:spacing w:line="360" w:lineRule="auto"/>
        <w:jc w:val="both"/>
        <w:rPr>
          <w:rFonts w:ascii="Times New Roman" w:hAnsi="Times New Roman" w:cs="Times New Roman"/>
          <w:b/>
          <w:bCs/>
          <w:sz w:val="24"/>
          <w:szCs w:val="24"/>
        </w:rPr>
      </w:pPr>
      <w:r w:rsidRPr="008974D6">
        <w:rPr>
          <w:rFonts w:ascii="Times New Roman" w:hAnsi="Times New Roman" w:cs="Times New Roman"/>
          <w:b/>
          <w:bCs/>
          <w:sz w:val="24"/>
          <w:szCs w:val="24"/>
        </w:rPr>
        <w:t>6.4 Future Research Directions</w:t>
      </w:r>
    </w:p>
    <w:p w14:paraId="295B1F26" w14:textId="77777777" w:rsidR="008974D6" w:rsidRPr="008974D6" w:rsidRDefault="008974D6" w:rsidP="008974D6">
      <w:p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To address these limitations and build on the current study, future research should consider:</w:t>
      </w:r>
    </w:p>
    <w:p w14:paraId="27C6ABBB" w14:textId="77777777" w:rsidR="008974D6" w:rsidRPr="008974D6" w:rsidRDefault="008974D6" w:rsidP="008974D6">
      <w:pPr>
        <w:numPr>
          <w:ilvl w:val="0"/>
          <w:numId w:val="30"/>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Longitudinal studies tracking the long-term economic and environmental returns of digital adoption over multiple seasons.</w:t>
      </w:r>
    </w:p>
    <w:p w14:paraId="0BB6DDE2" w14:textId="5697A5C2" w:rsidR="008974D6" w:rsidRPr="008974D6" w:rsidRDefault="008974D6" w:rsidP="008974D6">
      <w:pPr>
        <w:numPr>
          <w:ilvl w:val="0"/>
          <w:numId w:val="30"/>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Comparative studies examining adoption dynamics across agricultural sectors arable vs livestock or between UK and EU farms under different policy regimes.</w:t>
      </w:r>
    </w:p>
    <w:p w14:paraId="016ADC61" w14:textId="405131AF" w:rsidR="008974D6" w:rsidRPr="008974D6" w:rsidRDefault="008974D6" w:rsidP="008974D6">
      <w:pPr>
        <w:numPr>
          <w:ilvl w:val="0"/>
          <w:numId w:val="30"/>
        </w:numPr>
        <w:spacing w:line="360" w:lineRule="auto"/>
        <w:jc w:val="both"/>
        <w:rPr>
          <w:rFonts w:ascii="Times New Roman" w:hAnsi="Times New Roman" w:cs="Times New Roman"/>
          <w:sz w:val="24"/>
          <w:szCs w:val="24"/>
        </w:rPr>
      </w:pPr>
      <w:r w:rsidRPr="008974D6">
        <w:rPr>
          <w:rFonts w:ascii="Times New Roman" w:hAnsi="Times New Roman" w:cs="Times New Roman"/>
          <w:sz w:val="24"/>
          <w:szCs w:val="24"/>
        </w:rPr>
        <w:t>Qualitative investigations into psychological and social barriers to adoption such as trust, data privacy concerns and perceptions of autonomy.</w:t>
      </w:r>
    </w:p>
    <w:p w14:paraId="4555704A" w14:textId="77777777" w:rsidR="00E5623A" w:rsidRPr="00E5623A" w:rsidRDefault="00E5623A" w:rsidP="00E5623A">
      <w:pPr>
        <w:spacing w:line="360" w:lineRule="auto"/>
        <w:jc w:val="both"/>
        <w:rPr>
          <w:rFonts w:ascii="Times New Roman" w:hAnsi="Times New Roman" w:cs="Times New Roman"/>
          <w:sz w:val="24"/>
          <w:szCs w:val="24"/>
        </w:rPr>
      </w:pPr>
    </w:p>
    <w:p w14:paraId="42877101" w14:textId="77777777" w:rsidR="00E5623A" w:rsidRPr="008F4367" w:rsidRDefault="00E5623A" w:rsidP="008F4367">
      <w:pPr>
        <w:spacing w:line="360" w:lineRule="auto"/>
        <w:jc w:val="both"/>
        <w:rPr>
          <w:rFonts w:ascii="Times New Roman" w:hAnsi="Times New Roman" w:cs="Times New Roman"/>
          <w:sz w:val="24"/>
          <w:szCs w:val="24"/>
        </w:rPr>
      </w:pPr>
    </w:p>
    <w:p w14:paraId="62F3D665" w14:textId="77777777" w:rsidR="008F4367" w:rsidRPr="00023DE5" w:rsidRDefault="008F4367" w:rsidP="00023DE5">
      <w:pPr>
        <w:spacing w:line="360" w:lineRule="auto"/>
        <w:jc w:val="both"/>
        <w:rPr>
          <w:rFonts w:ascii="Times New Roman" w:hAnsi="Times New Roman" w:cs="Times New Roman"/>
          <w:sz w:val="24"/>
          <w:szCs w:val="24"/>
        </w:rPr>
      </w:pPr>
    </w:p>
    <w:p w14:paraId="78FD9411" w14:textId="77777777" w:rsidR="00023DE5" w:rsidRPr="00023DE5" w:rsidRDefault="00023DE5" w:rsidP="00023DE5">
      <w:pPr>
        <w:spacing w:line="360" w:lineRule="auto"/>
        <w:jc w:val="both"/>
        <w:rPr>
          <w:rFonts w:ascii="Times New Roman" w:hAnsi="Times New Roman" w:cs="Times New Roman"/>
          <w:sz w:val="24"/>
          <w:szCs w:val="24"/>
        </w:rPr>
      </w:pPr>
    </w:p>
    <w:p w14:paraId="31B546C6" w14:textId="77777777" w:rsidR="00023DE5" w:rsidRPr="00BA78E1" w:rsidRDefault="00023DE5" w:rsidP="00BA78E1">
      <w:pPr>
        <w:spacing w:line="360" w:lineRule="auto"/>
        <w:jc w:val="both"/>
        <w:rPr>
          <w:rFonts w:ascii="Times New Roman" w:hAnsi="Times New Roman" w:cs="Times New Roman"/>
          <w:sz w:val="24"/>
          <w:szCs w:val="24"/>
        </w:rPr>
      </w:pPr>
    </w:p>
    <w:p w14:paraId="7F250FBC" w14:textId="77777777" w:rsidR="00BA78E1" w:rsidRPr="007573FC" w:rsidRDefault="00BA78E1" w:rsidP="00BA78E1">
      <w:pPr>
        <w:spacing w:line="360" w:lineRule="auto"/>
        <w:jc w:val="both"/>
        <w:rPr>
          <w:rFonts w:ascii="Times New Roman" w:hAnsi="Times New Roman" w:cs="Times New Roman"/>
          <w:sz w:val="24"/>
          <w:szCs w:val="24"/>
        </w:rPr>
      </w:pPr>
    </w:p>
    <w:p w14:paraId="279E1AB8" w14:textId="77777777" w:rsidR="00F709D8" w:rsidRDefault="00F709D8" w:rsidP="007573FC">
      <w:pPr>
        <w:spacing w:line="360" w:lineRule="auto"/>
        <w:jc w:val="both"/>
        <w:rPr>
          <w:rFonts w:ascii="Times New Roman" w:hAnsi="Times New Roman" w:cs="Times New Roman"/>
          <w:sz w:val="24"/>
          <w:szCs w:val="24"/>
        </w:rPr>
      </w:pPr>
    </w:p>
    <w:p w14:paraId="15F698D7" w14:textId="77777777" w:rsidR="00A30E35" w:rsidRDefault="00A30E35" w:rsidP="007573FC">
      <w:pPr>
        <w:spacing w:line="360" w:lineRule="auto"/>
        <w:jc w:val="both"/>
        <w:rPr>
          <w:rFonts w:ascii="Times New Roman" w:hAnsi="Times New Roman" w:cs="Times New Roman"/>
          <w:sz w:val="24"/>
          <w:szCs w:val="24"/>
        </w:rPr>
      </w:pPr>
    </w:p>
    <w:p w14:paraId="5BF4E83D" w14:textId="77777777" w:rsidR="00A30E35" w:rsidRDefault="00A30E35" w:rsidP="007573FC">
      <w:pPr>
        <w:spacing w:line="360" w:lineRule="auto"/>
        <w:jc w:val="both"/>
        <w:rPr>
          <w:rFonts w:ascii="Times New Roman" w:hAnsi="Times New Roman" w:cs="Times New Roman"/>
          <w:sz w:val="24"/>
          <w:szCs w:val="24"/>
        </w:rPr>
      </w:pPr>
    </w:p>
    <w:p w14:paraId="08D6B819" w14:textId="77777777" w:rsidR="004E3976" w:rsidRDefault="004E3976" w:rsidP="007573FC">
      <w:pPr>
        <w:spacing w:line="360" w:lineRule="auto"/>
        <w:jc w:val="both"/>
        <w:rPr>
          <w:rFonts w:ascii="Times New Roman" w:hAnsi="Times New Roman" w:cs="Times New Roman"/>
          <w:b/>
          <w:bCs/>
          <w:sz w:val="28"/>
          <w:szCs w:val="28"/>
        </w:rPr>
      </w:pPr>
    </w:p>
    <w:p w14:paraId="22CE1F3D" w14:textId="20EB9598" w:rsidR="00A30E35" w:rsidRPr="00A30E35" w:rsidRDefault="00A30E35" w:rsidP="007573FC">
      <w:pPr>
        <w:spacing w:line="360" w:lineRule="auto"/>
        <w:jc w:val="both"/>
        <w:rPr>
          <w:rFonts w:ascii="Times New Roman" w:hAnsi="Times New Roman" w:cs="Times New Roman"/>
          <w:b/>
          <w:bCs/>
          <w:sz w:val="28"/>
          <w:szCs w:val="28"/>
        </w:rPr>
      </w:pPr>
      <w:r w:rsidRPr="00A30E35">
        <w:rPr>
          <w:rFonts w:ascii="Times New Roman" w:hAnsi="Times New Roman" w:cs="Times New Roman"/>
          <w:b/>
          <w:bCs/>
          <w:sz w:val="28"/>
          <w:szCs w:val="28"/>
        </w:rPr>
        <w:t>References</w:t>
      </w:r>
      <w:r>
        <w:rPr>
          <w:rFonts w:ascii="Times New Roman" w:hAnsi="Times New Roman" w:cs="Times New Roman"/>
          <w:b/>
          <w:bCs/>
          <w:sz w:val="28"/>
          <w:szCs w:val="28"/>
        </w:rPr>
        <w:t>:</w:t>
      </w:r>
    </w:p>
    <w:p w14:paraId="614F5335" w14:textId="50031F21"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Franks, J.R., 2022. UK Agriculture at a Crossroads. </w:t>
      </w:r>
      <w:r w:rsidRPr="007573FC">
        <w:rPr>
          <w:rFonts w:ascii="Times New Roman" w:hAnsi="Times New Roman" w:cs="Times New Roman"/>
          <w:i/>
          <w:iCs/>
          <w:sz w:val="24"/>
          <w:szCs w:val="24"/>
        </w:rPr>
        <w:t>Outlook on Agriculture</w:t>
      </w:r>
      <w:r w:rsidRPr="007573FC">
        <w:rPr>
          <w:rFonts w:ascii="Times New Roman" w:hAnsi="Times New Roman" w:cs="Times New Roman"/>
          <w:sz w:val="24"/>
          <w:szCs w:val="24"/>
        </w:rPr>
        <w:t>, </w:t>
      </w:r>
      <w:r w:rsidRPr="007573FC">
        <w:rPr>
          <w:rFonts w:ascii="Times New Roman" w:hAnsi="Times New Roman" w:cs="Times New Roman"/>
          <w:i/>
          <w:iCs/>
          <w:sz w:val="24"/>
          <w:szCs w:val="24"/>
        </w:rPr>
        <w:t>51</w:t>
      </w:r>
      <w:r w:rsidRPr="007573FC">
        <w:rPr>
          <w:rFonts w:ascii="Times New Roman" w:hAnsi="Times New Roman" w:cs="Times New Roman"/>
          <w:sz w:val="24"/>
          <w:szCs w:val="24"/>
        </w:rPr>
        <w:t>(4), pp.448-459.</w:t>
      </w:r>
    </w:p>
    <w:p w14:paraId="327555F4" w14:textId="78C72CAE"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lastRenderedPageBreak/>
        <w:t>Edmondson, J.L., Childs, D.Z., Dobson, M.C., Gaston, K.J., Warren, P.H. and Leake, J.R., 2020. Feeding a city–Leicester as a case study of the importance of allotments for horticultural production in the UK. Science of the Total Environment, 705, p.135930.</w:t>
      </w:r>
    </w:p>
    <w:p w14:paraId="78EDF930" w14:textId="75DCA6F1"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Lombi, E., Donner, E., Dusinska, M. and Wickson, F., 2019. A One Health approach to managing the applications and implications of nanotechnologies in agriculture. </w:t>
      </w:r>
      <w:r w:rsidRPr="007573FC">
        <w:rPr>
          <w:rFonts w:ascii="Times New Roman" w:hAnsi="Times New Roman" w:cs="Times New Roman"/>
          <w:i/>
          <w:iCs/>
          <w:sz w:val="24"/>
          <w:szCs w:val="24"/>
        </w:rPr>
        <w:t>Nature Nanotechnology</w:t>
      </w:r>
      <w:r w:rsidRPr="007573FC">
        <w:rPr>
          <w:rFonts w:ascii="Times New Roman" w:hAnsi="Times New Roman" w:cs="Times New Roman"/>
          <w:sz w:val="24"/>
          <w:szCs w:val="24"/>
        </w:rPr>
        <w:t>, </w:t>
      </w:r>
      <w:r w:rsidRPr="007573FC">
        <w:rPr>
          <w:rFonts w:ascii="Times New Roman" w:hAnsi="Times New Roman" w:cs="Times New Roman"/>
          <w:i/>
          <w:iCs/>
          <w:sz w:val="24"/>
          <w:szCs w:val="24"/>
        </w:rPr>
        <w:t>14</w:t>
      </w:r>
      <w:r w:rsidRPr="007573FC">
        <w:rPr>
          <w:rFonts w:ascii="Times New Roman" w:hAnsi="Times New Roman" w:cs="Times New Roman"/>
          <w:sz w:val="24"/>
          <w:szCs w:val="24"/>
        </w:rPr>
        <w:t>(6), pp.523-531.</w:t>
      </w:r>
    </w:p>
    <w:p w14:paraId="55D190B2" w14:textId="51F56D08"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Forster, E.J., Healey, J.R., Dymond, C. and Styles, D., 2021. Commercial afforestation can deliver effective climate change mitigation under multiple decarbonisation pathways. </w:t>
      </w:r>
      <w:r w:rsidRPr="007573FC">
        <w:rPr>
          <w:rFonts w:ascii="Times New Roman" w:hAnsi="Times New Roman" w:cs="Times New Roman"/>
          <w:i/>
          <w:iCs/>
          <w:sz w:val="24"/>
          <w:szCs w:val="24"/>
        </w:rPr>
        <w:t>Nature communications</w:t>
      </w:r>
      <w:r w:rsidRPr="007573FC">
        <w:rPr>
          <w:rFonts w:ascii="Times New Roman" w:hAnsi="Times New Roman" w:cs="Times New Roman"/>
          <w:sz w:val="24"/>
          <w:szCs w:val="24"/>
        </w:rPr>
        <w:t>, </w:t>
      </w:r>
      <w:r w:rsidRPr="007573FC">
        <w:rPr>
          <w:rFonts w:ascii="Times New Roman" w:hAnsi="Times New Roman" w:cs="Times New Roman"/>
          <w:i/>
          <w:iCs/>
          <w:sz w:val="24"/>
          <w:szCs w:val="24"/>
        </w:rPr>
        <w:t>12</w:t>
      </w:r>
      <w:r w:rsidRPr="007573FC">
        <w:rPr>
          <w:rFonts w:ascii="Times New Roman" w:hAnsi="Times New Roman" w:cs="Times New Roman"/>
          <w:sz w:val="24"/>
          <w:szCs w:val="24"/>
        </w:rPr>
        <w:t>(1), p.3831.</w:t>
      </w:r>
    </w:p>
    <w:p w14:paraId="15A8FE2C" w14:textId="6F8CD5AC"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Tzachor, A., Devare, M., King, B., Avin, S. and Ó hÉigeartaigh, S., 2022. Responsible artificial intelligence in agriculture requires systemic understanding of risks and externalities. </w:t>
      </w:r>
      <w:r w:rsidRPr="007573FC">
        <w:rPr>
          <w:rFonts w:ascii="Times New Roman" w:hAnsi="Times New Roman" w:cs="Times New Roman"/>
          <w:i/>
          <w:iCs/>
          <w:sz w:val="24"/>
          <w:szCs w:val="24"/>
        </w:rPr>
        <w:t>Nature Machine Intelligence</w:t>
      </w:r>
      <w:r w:rsidRPr="007573FC">
        <w:rPr>
          <w:rFonts w:ascii="Times New Roman" w:hAnsi="Times New Roman" w:cs="Times New Roman"/>
          <w:sz w:val="24"/>
          <w:szCs w:val="24"/>
        </w:rPr>
        <w:t>, </w:t>
      </w:r>
      <w:r w:rsidRPr="007573FC">
        <w:rPr>
          <w:rFonts w:ascii="Times New Roman" w:hAnsi="Times New Roman" w:cs="Times New Roman"/>
          <w:i/>
          <w:iCs/>
          <w:sz w:val="24"/>
          <w:szCs w:val="24"/>
        </w:rPr>
        <w:t>4</w:t>
      </w:r>
      <w:r w:rsidRPr="007573FC">
        <w:rPr>
          <w:rFonts w:ascii="Times New Roman" w:hAnsi="Times New Roman" w:cs="Times New Roman"/>
          <w:sz w:val="24"/>
          <w:szCs w:val="24"/>
        </w:rPr>
        <w:t>(2), pp.104-109.</w:t>
      </w:r>
    </w:p>
    <w:p w14:paraId="7FE31450" w14:textId="53715CDB"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Sumberg, J. and Giller, K.E., 2022. What is ‘conventional’agriculture?. </w:t>
      </w:r>
      <w:r w:rsidRPr="007573FC">
        <w:rPr>
          <w:rFonts w:ascii="Times New Roman" w:hAnsi="Times New Roman" w:cs="Times New Roman"/>
          <w:i/>
          <w:iCs/>
          <w:sz w:val="24"/>
          <w:szCs w:val="24"/>
        </w:rPr>
        <w:t>Global Food Security</w:t>
      </w:r>
      <w:r w:rsidRPr="007573FC">
        <w:rPr>
          <w:rFonts w:ascii="Times New Roman" w:hAnsi="Times New Roman" w:cs="Times New Roman"/>
          <w:sz w:val="24"/>
          <w:szCs w:val="24"/>
        </w:rPr>
        <w:t>, </w:t>
      </w:r>
      <w:r w:rsidRPr="007573FC">
        <w:rPr>
          <w:rFonts w:ascii="Times New Roman" w:hAnsi="Times New Roman" w:cs="Times New Roman"/>
          <w:i/>
          <w:iCs/>
          <w:sz w:val="24"/>
          <w:szCs w:val="24"/>
        </w:rPr>
        <w:t>32</w:t>
      </w:r>
      <w:r w:rsidRPr="007573FC">
        <w:rPr>
          <w:rFonts w:ascii="Times New Roman" w:hAnsi="Times New Roman" w:cs="Times New Roman"/>
          <w:sz w:val="24"/>
          <w:szCs w:val="24"/>
        </w:rPr>
        <w:t>, p.100617.</w:t>
      </w:r>
    </w:p>
    <w:p w14:paraId="01248CBF" w14:textId="26C2B4B1"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Shanks, W., Dunant, C.F., Drewniok, M.P., Lupton, R.C., Serrenho, A. and Allwood, J.M., 2019. How much cement can we do without? Lessons from cement material flows in the UK. </w:t>
      </w:r>
      <w:r w:rsidRPr="007573FC">
        <w:rPr>
          <w:rFonts w:ascii="Times New Roman" w:hAnsi="Times New Roman" w:cs="Times New Roman"/>
          <w:i/>
          <w:iCs/>
          <w:sz w:val="24"/>
          <w:szCs w:val="24"/>
        </w:rPr>
        <w:t>Resources, Conservation and Recycling</w:t>
      </w:r>
      <w:r w:rsidRPr="007573FC">
        <w:rPr>
          <w:rFonts w:ascii="Times New Roman" w:hAnsi="Times New Roman" w:cs="Times New Roman"/>
          <w:sz w:val="24"/>
          <w:szCs w:val="24"/>
        </w:rPr>
        <w:t>, </w:t>
      </w:r>
      <w:r w:rsidRPr="007573FC">
        <w:rPr>
          <w:rFonts w:ascii="Times New Roman" w:hAnsi="Times New Roman" w:cs="Times New Roman"/>
          <w:i/>
          <w:iCs/>
          <w:sz w:val="24"/>
          <w:szCs w:val="24"/>
        </w:rPr>
        <w:t>141</w:t>
      </w:r>
      <w:r w:rsidRPr="007573FC">
        <w:rPr>
          <w:rFonts w:ascii="Times New Roman" w:hAnsi="Times New Roman" w:cs="Times New Roman"/>
          <w:sz w:val="24"/>
          <w:szCs w:val="24"/>
        </w:rPr>
        <w:t>, pp.441-454.</w:t>
      </w:r>
    </w:p>
    <w:p w14:paraId="678BCFF1" w14:textId="4ABEDD3F" w:rsidR="007573FC" w:rsidRDefault="007573FC" w:rsidP="007573FC">
      <w:pPr>
        <w:spacing w:line="360" w:lineRule="auto"/>
        <w:jc w:val="both"/>
        <w:rPr>
          <w:rFonts w:ascii="Times New Roman" w:hAnsi="Times New Roman" w:cs="Times New Roman"/>
          <w:sz w:val="24"/>
          <w:szCs w:val="24"/>
        </w:rPr>
      </w:pPr>
      <w:r w:rsidRPr="007573FC">
        <w:rPr>
          <w:rFonts w:ascii="Times New Roman" w:hAnsi="Times New Roman" w:cs="Times New Roman"/>
          <w:sz w:val="24"/>
          <w:szCs w:val="24"/>
        </w:rPr>
        <w:t>Bossio, D.A., Cook-Patton, S.C., Ellis, P.W., Fargione, J., Sanderman, J., Smith, P., Wood, S., Zomer, R.J., Von Unger, M., Emmer, I.M. and Griscom, B.W., 2020. The role of soil carbon in natural climate solutions. </w:t>
      </w:r>
      <w:r w:rsidRPr="007573FC">
        <w:rPr>
          <w:rFonts w:ascii="Times New Roman" w:hAnsi="Times New Roman" w:cs="Times New Roman"/>
          <w:i/>
          <w:iCs/>
          <w:sz w:val="24"/>
          <w:szCs w:val="24"/>
        </w:rPr>
        <w:t>Nature Sustainability</w:t>
      </w:r>
      <w:r w:rsidRPr="007573FC">
        <w:rPr>
          <w:rFonts w:ascii="Times New Roman" w:hAnsi="Times New Roman" w:cs="Times New Roman"/>
          <w:sz w:val="24"/>
          <w:szCs w:val="24"/>
        </w:rPr>
        <w:t>, </w:t>
      </w:r>
      <w:r w:rsidRPr="007573FC">
        <w:rPr>
          <w:rFonts w:ascii="Times New Roman" w:hAnsi="Times New Roman" w:cs="Times New Roman"/>
          <w:i/>
          <w:iCs/>
          <w:sz w:val="24"/>
          <w:szCs w:val="24"/>
        </w:rPr>
        <w:t>3</w:t>
      </w:r>
      <w:r w:rsidRPr="007573FC">
        <w:rPr>
          <w:rFonts w:ascii="Times New Roman" w:hAnsi="Times New Roman" w:cs="Times New Roman"/>
          <w:sz w:val="24"/>
          <w:szCs w:val="24"/>
        </w:rPr>
        <w:t>(5), pp.391-398.</w:t>
      </w:r>
    </w:p>
    <w:p w14:paraId="311D5CF7" w14:textId="1F7B82F8"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Rotz, S., Duncan, E., Small, M., Botschner, J., Dara, R., Mosby, I., Reed, M. and Fraser, E.D., 2019. The politics of digital agricultural technologies: a preliminary review. </w:t>
      </w:r>
      <w:r w:rsidRPr="007E35EA">
        <w:rPr>
          <w:rFonts w:ascii="Times New Roman" w:hAnsi="Times New Roman" w:cs="Times New Roman"/>
          <w:i/>
          <w:iCs/>
          <w:sz w:val="24"/>
          <w:szCs w:val="24"/>
        </w:rPr>
        <w:t>Sociologia ruralis</w:t>
      </w:r>
      <w:r w:rsidRPr="007E35EA">
        <w:rPr>
          <w:rFonts w:ascii="Times New Roman" w:hAnsi="Times New Roman" w:cs="Times New Roman"/>
          <w:sz w:val="24"/>
          <w:szCs w:val="24"/>
        </w:rPr>
        <w:t>, </w:t>
      </w:r>
      <w:r w:rsidRPr="007E35EA">
        <w:rPr>
          <w:rFonts w:ascii="Times New Roman" w:hAnsi="Times New Roman" w:cs="Times New Roman"/>
          <w:i/>
          <w:iCs/>
          <w:sz w:val="24"/>
          <w:szCs w:val="24"/>
        </w:rPr>
        <w:t>59</w:t>
      </w:r>
      <w:r w:rsidRPr="007E35EA">
        <w:rPr>
          <w:rFonts w:ascii="Times New Roman" w:hAnsi="Times New Roman" w:cs="Times New Roman"/>
          <w:sz w:val="24"/>
          <w:szCs w:val="24"/>
        </w:rPr>
        <w:t>(2), pp.203-229.</w:t>
      </w:r>
    </w:p>
    <w:p w14:paraId="44C27C50" w14:textId="6FC0981B"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Salihu, H., Jibril, H., Roper, S.</w:t>
      </w:r>
      <w:r w:rsidR="003E50FF">
        <w:rPr>
          <w:rFonts w:ascii="Times New Roman" w:hAnsi="Times New Roman" w:cs="Times New Roman"/>
          <w:sz w:val="24"/>
          <w:szCs w:val="24"/>
        </w:rPr>
        <w:t xml:space="preserve"> or</w:t>
      </w:r>
      <w:r w:rsidRPr="007E35EA">
        <w:rPr>
          <w:rFonts w:ascii="Times New Roman" w:hAnsi="Times New Roman" w:cs="Times New Roman"/>
          <w:sz w:val="24"/>
          <w:szCs w:val="24"/>
        </w:rPr>
        <w:t>tega-Argiles, R. and Yuan, P.Y., 2025. Mapping the innovation and commercialisation infrastructure for agricultural technology in the UK.</w:t>
      </w:r>
    </w:p>
    <w:p w14:paraId="6DF4DF27" w14:textId="5D03F2EE"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Shepherd, M., Turner, J.A., Small, B. and Wheeler, D., 2020. Priorities for science to overcome hurdles thwarting the full promise of the ‘digital agriculture’revolution. </w:t>
      </w:r>
      <w:r w:rsidRPr="007E35EA">
        <w:rPr>
          <w:rFonts w:ascii="Times New Roman" w:hAnsi="Times New Roman" w:cs="Times New Roman"/>
          <w:i/>
          <w:iCs/>
          <w:sz w:val="24"/>
          <w:szCs w:val="24"/>
        </w:rPr>
        <w:t>Journal of the Science of Food and Agriculture</w:t>
      </w:r>
      <w:r w:rsidRPr="007E35EA">
        <w:rPr>
          <w:rFonts w:ascii="Times New Roman" w:hAnsi="Times New Roman" w:cs="Times New Roman"/>
          <w:sz w:val="24"/>
          <w:szCs w:val="24"/>
        </w:rPr>
        <w:t>, </w:t>
      </w:r>
      <w:r w:rsidRPr="007E35EA">
        <w:rPr>
          <w:rFonts w:ascii="Times New Roman" w:hAnsi="Times New Roman" w:cs="Times New Roman"/>
          <w:i/>
          <w:iCs/>
          <w:sz w:val="24"/>
          <w:szCs w:val="24"/>
        </w:rPr>
        <w:t>100</w:t>
      </w:r>
      <w:r w:rsidRPr="007E35EA">
        <w:rPr>
          <w:rFonts w:ascii="Times New Roman" w:hAnsi="Times New Roman" w:cs="Times New Roman"/>
          <w:sz w:val="24"/>
          <w:szCs w:val="24"/>
        </w:rPr>
        <w:t>(14), pp.5083-5092.</w:t>
      </w:r>
    </w:p>
    <w:p w14:paraId="26562349" w14:textId="2698718F"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lastRenderedPageBreak/>
        <w:t>Duncan, E., Abdulai, A.R. and Fraser, E.D., 2021. Modernizing agriculture through digital technologies: Prospects and challenges. </w:t>
      </w:r>
      <w:r w:rsidRPr="007E35EA">
        <w:rPr>
          <w:rFonts w:ascii="Times New Roman" w:hAnsi="Times New Roman" w:cs="Times New Roman"/>
          <w:i/>
          <w:iCs/>
          <w:sz w:val="24"/>
          <w:szCs w:val="24"/>
        </w:rPr>
        <w:t>Handbook on the human impact of agriculture</w:t>
      </w:r>
      <w:r w:rsidRPr="007E35EA">
        <w:rPr>
          <w:rFonts w:ascii="Times New Roman" w:hAnsi="Times New Roman" w:cs="Times New Roman"/>
          <w:sz w:val="24"/>
          <w:szCs w:val="24"/>
        </w:rPr>
        <w:t>, pp.138-161.</w:t>
      </w:r>
    </w:p>
    <w:p w14:paraId="76A048EF" w14:textId="7AEC312A"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Gebresenbet, G., Bosona, T., Patterson, D., Persson, H., Fischer, B., Mandaluniz, N., Chirici, G., Zacepins, A., Komasilovs, V., Pitulac, T. and Nasirahmadi, A., 2023. A concept for application of integrated digital technologies to enhance future smart agricultural systems. </w:t>
      </w:r>
      <w:r w:rsidRPr="007E35EA">
        <w:rPr>
          <w:rFonts w:ascii="Times New Roman" w:hAnsi="Times New Roman" w:cs="Times New Roman"/>
          <w:i/>
          <w:iCs/>
          <w:sz w:val="24"/>
          <w:szCs w:val="24"/>
        </w:rPr>
        <w:t>Smart agricultural technology</w:t>
      </w:r>
      <w:r w:rsidRPr="007E35EA">
        <w:rPr>
          <w:rFonts w:ascii="Times New Roman" w:hAnsi="Times New Roman" w:cs="Times New Roman"/>
          <w:sz w:val="24"/>
          <w:szCs w:val="24"/>
        </w:rPr>
        <w:t>, </w:t>
      </w:r>
      <w:r w:rsidRPr="007E35EA">
        <w:rPr>
          <w:rFonts w:ascii="Times New Roman" w:hAnsi="Times New Roman" w:cs="Times New Roman"/>
          <w:i/>
          <w:iCs/>
          <w:sz w:val="24"/>
          <w:szCs w:val="24"/>
        </w:rPr>
        <w:t>5</w:t>
      </w:r>
      <w:r w:rsidRPr="007E35EA">
        <w:rPr>
          <w:rFonts w:ascii="Times New Roman" w:hAnsi="Times New Roman" w:cs="Times New Roman"/>
          <w:sz w:val="24"/>
          <w:szCs w:val="24"/>
        </w:rPr>
        <w:t>, p.100255.</w:t>
      </w:r>
    </w:p>
    <w:p w14:paraId="2D4300A9" w14:textId="1D88D933"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Gabriel, A. and Gandorfer, M., 2023. Adoption of digital technologies in agriculture</w:t>
      </w:r>
      <w:r w:rsidR="003E50FF">
        <w:rPr>
          <w:rFonts w:ascii="Times New Roman" w:hAnsi="Times New Roman" w:cs="Times New Roman"/>
          <w:sz w:val="24"/>
          <w:szCs w:val="24"/>
        </w:rPr>
        <w:t xml:space="preserve"> </w:t>
      </w:r>
      <w:r w:rsidRPr="007E35EA">
        <w:rPr>
          <w:rFonts w:ascii="Times New Roman" w:hAnsi="Times New Roman" w:cs="Times New Roman"/>
          <w:sz w:val="24"/>
          <w:szCs w:val="24"/>
        </w:rPr>
        <w:t>an inventory in a european small-scale farming region. </w:t>
      </w:r>
      <w:r w:rsidRPr="007E35EA">
        <w:rPr>
          <w:rFonts w:ascii="Times New Roman" w:hAnsi="Times New Roman" w:cs="Times New Roman"/>
          <w:i/>
          <w:iCs/>
          <w:sz w:val="24"/>
          <w:szCs w:val="24"/>
        </w:rPr>
        <w:t>Precision Agriculture</w:t>
      </w:r>
      <w:r w:rsidRPr="007E35EA">
        <w:rPr>
          <w:rFonts w:ascii="Times New Roman" w:hAnsi="Times New Roman" w:cs="Times New Roman"/>
          <w:sz w:val="24"/>
          <w:szCs w:val="24"/>
        </w:rPr>
        <w:t>, </w:t>
      </w:r>
      <w:r w:rsidRPr="007E35EA">
        <w:rPr>
          <w:rFonts w:ascii="Times New Roman" w:hAnsi="Times New Roman" w:cs="Times New Roman"/>
          <w:i/>
          <w:iCs/>
          <w:sz w:val="24"/>
          <w:szCs w:val="24"/>
        </w:rPr>
        <w:t>24</w:t>
      </w:r>
      <w:r w:rsidRPr="007E35EA">
        <w:rPr>
          <w:rFonts w:ascii="Times New Roman" w:hAnsi="Times New Roman" w:cs="Times New Roman"/>
          <w:sz w:val="24"/>
          <w:szCs w:val="24"/>
        </w:rPr>
        <w:t>(1), pp.68-91.</w:t>
      </w:r>
    </w:p>
    <w:p w14:paraId="79687800" w14:textId="5DFFD833"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Smidt, H.J. and Jokonya, O., 2022. Factors affecting digital technology adoption by small-scale farmers in agriculture value chains (AVCs) in South Africa. </w:t>
      </w:r>
      <w:r w:rsidRPr="007E35EA">
        <w:rPr>
          <w:rFonts w:ascii="Times New Roman" w:hAnsi="Times New Roman" w:cs="Times New Roman"/>
          <w:i/>
          <w:iCs/>
          <w:sz w:val="24"/>
          <w:szCs w:val="24"/>
        </w:rPr>
        <w:t>Information Technology for Development</w:t>
      </w:r>
      <w:r w:rsidRPr="007E35EA">
        <w:rPr>
          <w:rFonts w:ascii="Times New Roman" w:hAnsi="Times New Roman" w:cs="Times New Roman"/>
          <w:sz w:val="24"/>
          <w:szCs w:val="24"/>
        </w:rPr>
        <w:t>, </w:t>
      </w:r>
      <w:r w:rsidRPr="007E35EA">
        <w:rPr>
          <w:rFonts w:ascii="Times New Roman" w:hAnsi="Times New Roman" w:cs="Times New Roman"/>
          <w:i/>
          <w:iCs/>
          <w:sz w:val="24"/>
          <w:szCs w:val="24"/>
        </w:rPr>
        <w:t>28</w:t>
      </w:r>
      <w:r w:rsidRPr="007E35EA">
        <w:rPr>
          <w:rFonts w:ascii="Times New Roman" w:hAnsi="Times New Roman" w:cs="Times New Roman"/>
          <w:sz w:val="24"/>
          <w:szCs w:val="24"/>
        </w:rPr>
        <w:t>(3), pp.558-584.</w:t>
      </w:r>
    </w:p>
    <w:p w14:paraId="2DF31299" w14:textId="234495A3"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Maraveas, C., Piromalis, D., Arvanitis, K.G., Bartzanas, T. and Loukatos, D., 2022. Applications of IoT for optimized greenhouse environment and resources management. </w:t>
      </w:r>
      <w:r w:rsidRPr="007E35EA">
        <w:rPr>
          <w:rFonts w:ascii="Times New Roman" w:hAnsi="Times New Roman" w:cs="Times New Roman"/>
          <w:i/>
          <w:iCs/>
          <w:sz w:val="24"/>
          <w:szCs w:val="24"/>
        </w:rPr>
        <w:t>Computers and Electronics in Agriculture</w:t>
      </w:r>
      <w:r w:rsidRPr="007E35EA">
        <w:rPr>
          <w:rFonts w:ascii="Times New Roman" w:hAnsi="Times New Roman" w:cs="Times New Roman"/>
          <w:sz w:val="24"/>
          <w:szCs w:val="24"/>
        </w:rPr>
        <w:t>, </w:t>
      </w:r>
      <w:r w:rsidRPr="007E35EA">
        <w:rPr>
          <w:rFonts w:ascii="Times New Roman" w:hAnsi="Times New Roman" w:cs="Times New Roman"/>
          <w:i/>
          <w:iCs/>
          <w:sz w:val="24"/>
          <w:szCs w:val="24"/>
        </w:rPr>
        <w:t>198</w:t>
      </w:r>
      <w:r w:rsidRPr="007E35EA">
        <w:rPr>
          <w:rFonts w:ascii="Times New Roman" w:hAnsi="Times New Roman" w:cs="Times New Roman"/>
          <w:sz w:val="24"/>
          <w:szCs w:val="24"/>
        </w:rPr>
        <w:t>, p.106993.</w:t>
      </w:r>
    </w:p>
    <w:p w14:paraId="26581645" w14:textId="36C370F6"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Pfeiffer, J., Gabriel, A. and Gandorfer, M., 2021. Understanding the public attitudinal acceptance of digital farming technologies: a nationwide survey in Germany. </w:t>
      </w:r>
      <w:r w:rsidRPr="007E35EA">
        <w:rPr>
          <w:rFonts w:ascii="Times New Roman" w:hAnsi="Times New Roman" w:cs="Times New Roman"/>
          <w:i/>
          <w:iCs/>
          <w:sz w:val="24"/>
          <w:szCs w:val="24"/>
        </w:rPr>
        <w:t>Agriculture and Human Values</w:t>
      </w:r>
      <w:r w:rsidRPr="007E35EA">
        <w:rPr>
          <w:rFonts w:ascii="Times New Roman" w:hAnsi="Times New Roman" w:cs="Times New Roman"/>
          <w:sz w:val="24"/>
          <w:szCs w:val="24"/>
        </w:rPr>
        <w:t>, </w:t>
      </w:r>
      <w:r w:rsidRPr="007E35EA">
        <w:rPr>
          <w:rFonts w:ascii="Times New Roman" w:hAnsi="Times New Roman" w:cs="Times New Roman"/>
          <w:i/>
          <w:iCs/>
          <w:sz w:val="24"/>
          <w:szCs w:val="24"/>
        </w:rPr>
        <w:t>38</w:t>
      </w:r>
      <w:r w:rsidRPr="007E35EA">
        <w:rPr>
          <w:rFonts w:ascii="Times New Roman" w:hAnsi="Times New Roman" w:cs="Times New Roman"/>
          <w:sz w:val="24"/>
          <w:szCs w:val="24"/>
        </w:rPr>
        <w:t>(1), pp.107-128.</w:t>
      </w:r>
    </w:p>
    <w:p w14:paraId="01C56E9A" w14:textId="39DE1D98" w:rsidR="007E35EA" w:rsidRDefault="007E35EA" w:rsidP="007573FC">
      <w:pPr>
        <w:spacing w:line="360" w:lineRule="auto"/>
        <w:jc w:val="both"/>
        <w:rPr>
          <w:rFonts w:ascii="Times New Roman" w:hAnsi="Times New Roman" w:cs="Times New Roman"/>
          <w:sz w:val="24"/>
          <w:szCs w:val="24"/>
        </w:rPr>
      </w:pPr>
      <w:r w:rsidRPr="007E35EA">
        <w:rPr>
          <w:rFonts w:ascii="Times New Roman" w:hAnsi="Times New Roman" w:cs="Times New Roman"/>
          <w:sz w:val="24"/>
          <w:szCs w:val="24"/>
        </w:rPr>
        <w:t>Kernecker, M., Knierim, A., Wurbs, A., Kraus, T. and Borges, F., 2020. Experience versus expectation: Farmers’ perceptions of smart farming technologies for cropping systems across Europe. </w:t>
      </w:r>
      <w:r w:rsidRPr="007E35EA">
        <w:rPr>
          <w:rFonts w:ascii="Times New Roman" w:hAnsi="Times New Roman" w:cs="Times New Roman"/>
          <w:i/>
          <w:iCs/>
          <w:sz w:val="24"/>
          <w:szCs w:val="24"/>
        </w:rPr>
        <w:t>Precision Agriculture</w:t>
      </w:r>
      <w:r w:rsidRPr="007E35EA">
        <w:rPr>
          <w:rFonts w:ascii="Times New Roman" w:hAnsi="Times New Roman" w:cs="Times New Roman"/>
          <w:sz w:val="24"/>
          <w:szCs w:val="24"/>
        </w:rPr>
        <w:t>, </w:t>
      </w:r>
      <w:r w:rsidRPr="007E35EA">
        <w:rPr>
          <w:rFonts w:ascii="Times New Roman" w:hAnsi="Times New Roman" w:cs="Times New Roman"/>
          <w:i/>
          <w:iCs/>
          <w:sz w:val="24"/>
          <w:szCs w:val="24"/>
        </w:rPr>
        <w:t>21</w:t>
      </w:r>
      <w:r w:rsidRPr="007E35EA">
        <w:rPr>
          <w:rFonts w:ascii="Times New Roman" w:hAnsi="Times New Roman" w:cs="Times New Roman"/>
          <w:sz w:val="24"/>
          <w:szCs w:val="24"/>
        </w:rPr>
        <w:t>(1), pp.34-50.</w:t>
      </w:r>
    </w:p>
    <w:p w14:paraId="5459F2C0" w14:textId="65B97478"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Wiseman, L., Sanderson, J., Zhang, A. and Jakku, E., 2019. Farmers and their data: An examination of farmers’ reluctance to share their data through the lens of the laws impacting smart farming. </w:t>
      </w:r>
      <w:r w:rsidRPr="00BA78E1">
        <w:rPr>
          <w:rFonts w:ascii="Times New Roman" w:hAnsi="Times New Roman" w:cs="Times New Roman"/>
          <w:i/>
          <w:iCs/>
          <w:sz w:val="24"/>
          <w:szCs w:val="24"/>
        </w:rPr>
        <w:t>NJAS-Wageningen Journal of Life Sciences</w:t>
      </w:r>
      <w:r w:rsidRPr="00BA78E1">
        <w:rPr>
          <w:rFonts w:ascii="Times New Roman" w:hAnsi="Times New Roman" w:cs="Times New Roman"/>
          <w:sz w:val="24"/>
          <w:szCs w:val="24"/>
        </w:rPr>
        <w:t>, </w:t>
      </w:r>
      <w:r w:rsidRPr="00BA78E1">
        <w:rPr>
          <w:rFonts w:ascii="Times New Roman" w:hAnsi="Times New Roman" w:cs="Times New Roman"/>
          <w:i/>
          <w:iCs/>
          <w:sz w:val="24"/>
          <w:szCs w:val="24"/>
        </w:rPr>
        <w:t>90</w:t>
      </w:r>
      <w:r w:rsidRPr="00BA78E1">
        <w:rPr>
          <w:rFonts w:ascii="Times New Roman" w:hAnsi="Times New Roman" w:cs="Times New Roman"/>
          <w:sz w:val="24"/>
          <w:szCs w:val="24"/>
        </w:rPr>
        <w:t>, p.100301.</w:t>
      </w:r>
    </w:p>
    <w:p w14:paraId="51E4CC96" w14:textId="499BCBA9"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Visser, O., Sippel, S.R. and Thiemann, L., 2021. Imprecision farming? Examining the (in) accuracy and risks of digital agriculture. </w:t>
      </w:r>
      <w:r w:rsidRPr="00BA78E1">
        <w:rPr>
          <w:rFonts w:ascii="Times New Roman" w:hAnsi="Times New Roman" w:cs="Times New Roman"/>
          <w:i/>
          <w:iCs/>
          <w:sz w:val="24"/>
          <w:szCs w:val="24"/>
        </w:rPr>
        <w:t>Journal of Rural Studies</w:t>
      </w:r>
      <w:r w:rsidRPr="00BA78E1">
        <w:rPr>
          <w:rFonts w:ascii="Times New Roman" w:hAnsi="Times New Roman" w:cs="Times New Roman"/>
          <w:sz w:val="24"/>
          <w:szCs w:val="24"/>
        </w:rPr>
        <w:t>, </w:t>
      </w:r>
      <w:r w:rsidRPr="00BA78E1">
        <w:rPr>
          <w:rFonts w:ascii="Times New Roman" w:hAnsi="Times New Roman" w:cs="Times New Roman"/>
          <w:i/>
          <w:iCs/>
          <w:sz w:val="24"/>
          <w:szCs w:val="24"/>
        </w:rPr>
        <w:t>86</w:t>
      </w:r>
      <w:r w:rsidRPr="00BA78E1">
        <w:rPr>
          <w:rFonts w:ascii="Times New Roman" w:hAnsi="Times New Roman" w:cs="Times New Roman"/>
          <w:sz w:val="24"/>
          <w:szCs w:val="24"/>
        </w:rPr>
        <w:t>, pp.623-632.</w:t>
      </w:r>
    </w:p>
    <w:p w14:paraId="454E28E0" w14:textId="3646C067"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Smidt, H.J. and Jokonya, O., 2022. Factors affecting digital technology adoption by small-scale farmers in agriculture value chains (AVCs) in South Africa. </w:t>
      </w:r>
      <w:r w:rsidRPr="00BA78E1">
        <w:rPr>
          <w:rFonts w:ascii="Times New Roman" w:hAnsi="Times New Roman" w:cs="Times New Roman"/>
          <w:i/>
          <w:iCs/>
          <w:sz w:val="24"/>
          <w:szCs w:val="24"/>
        </w:rPr>
        <w:t>Information Technology for Development</w:t>
      </w:r>
      <w:r w:rsidRPr="00BA78E1">
        <w:rPr>
          <w:rFonts w:ascii="Times New Roman" w:hAnsi="Times New Roman" w:cs="Times New Roman"/>
          <w:sz w:val="24"/>
          <w:szCs w:val="24"/>
        </w:rPr>
        <w:t>, </w:t>
      </w:r>
      <w:r w:rsidRPr="00BA78E1">
        <w:rPr>
          <w:rFonts w:ascii="Times New Roman" w:hAnsi="Times New Roman" w:cs="Times New Roman"/>
          <w:i/>
          <w:iCs/>
          <w:sz w:val="24"/>
          <w:szCs w:val="24"/>
        </w:rPr>
        <w:t>28</w:t>
      </w:r>
      <w:r w:rsidRPr="00BA78E1">
        <w:rPr>
          <w:rFonts w:ascii="Times New Roman" w:hAnsi="Times New Roman" w:cs="Times New Roman"/>
          <w:sz w:val="24"/>
          <w:szCs w:val="24"/>
        </w:rPr>
        <w:t>(3), pp.558-584.</w:t>
      </w:r>
    </w:p>
    <w:p w14:paraId="29D79F07" w14:textId="4E84DEA2"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lastRenderedPageBreak/>
        <w:t>Rust, N.A., Stankovics, P., Jarvis, R.M., Morris-Trainor, Z., de Vries, J.R., Ingram, J., Mills, J., Glikman, J.A., Parkinson, J., Toth, Z. and Hansda, R., 2022. Have farmers had enough of experts?. </w:t>
      </w:r>
      <w:r w:rsidRPr="00BA78E1">
        <w:rPr>
          <w:rFonts w:ascii="Times New Roman" w:hAnsi="Times New Roman" w:cs="Times New Roman"/>
          <w:i/>
          <w:iCs/>
          <w:sz w:val="24"/>
          <w:szCs w:val="24"/>
        </w:rPr>
        <w:t>Environmental management</w:t>
      </w:r>
      <w:r w:rsidRPr="00BA78E1">
        <w:rPr>
          <w:rFonts w:ascii="Times New Roman" w:hAnsi="Times New Roman" w:cs="Times New Roman"/>
          <w:sz w:val="24"/>
          <w:szCs w:val="24"/>
        </w:rPr>
        <w:t>, </w:t>
      </w:r>
      <w:r w:rsidRPr="00BA78E1">
        <w:rPr>
          <w:rFonts w:ascii="Times New Roman" w:hAnsi="Times New Roman" w:cs="Times New Roman"/>
          <w:i/>
          <w:iCs/>
          <w:sz w:val="24"/>
          <w:szCs w:val="24"/>
        </w:rPr>
        <w:t>69</w:t>
      </w:r>
      <w:r w:rsidRPr="00BA78E1">
        <w:rPr>
          <w:rFonts w:ascii="Times New Roman" w:hAnsi="Times New Roman" w:cs="Times New Roman"/>
          <w:sz w:val="24"/>
          <w:szCs w:val="24"/>
        </w:rPr>
        <w:t>(1), pp.31-44.</w:t>
      </w:r>
    </w:p>
    <w:p w14:paraId="20A9D135" w14:textId="3736BE0F"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Clapp, J. and Ruder, S.L., 2020. Precision technologies for agriculture: Digital farming, gene-edited crops</w:t>
      </w:r>
      <w:r w:rsidR="003E50FF">
        <w:rPr>
          <w:rFonts w:ascii="Times New Roman" w:hAnsi="Times New Roman" w:cs="Times New Roman"/>
          <w:sz w:val="24"/>
          <w:szCs w:val="24"/>
        </w:rPr>
        <w:t xml:space="preserve"> and </w:t>
      </w:r>
      <w:r w:rsidRPr="00BA78E1">
        <w:rPr>
          <w:rFonts w:ascii="Times New Roman" w:hAnsi="Times New Roman" w:cs="Times New Roman"/>
          <w:sz w:val="24"/>
          <w:szCs w:val="24"/>
        </w:rPr>
        <w:t xml:space="preserve"> the politics of sustainability. </w:t>
      </w:r>
      <w:r w:rsidRPr="00BA78E1">
        <w:rPr>
          <w:rFonts w:ascii="Times New Roman" w:hAnsi="Times New Roman" w:cs="Times New Roman"/>
          <w:i/>
          <w:iCs/>
          <w:sz w:val="24"/>
          <w:szCs w:val="24"/>
        </w:rPr>
        <w:t>Global Environmental Politics</w:t>
      </w:r>
      <w:r w:rsidRPr="00BA78E1">
        <w:rPr>
          <w:rFonts w:ascii="Times New Roman" w:hAnsi="Times New Roman" w:cs="Times New Roman"/>
          <w:sz w:val="24"/>
          <w:szCs w:val="24"/>
        </w:rPr>
        <w:t>, </w:t>
      </w:r>
      <w:r w:rsidRPr="00BA78E1">
        <w:rPr>
          <w:rFonts w:ascii="Times New Roman" w:hAnsi="Times New Roman" w:cs="Times New Roman"/>
          <w:i/>
          <w:iCs/>
          <w:sz w:val="24"/>
          <w:szCs w:val="24"/>
        </w:rPr>
        <w:t>20</w:t>
      </w:r>
      <w:r w:rsidRPr="00BA78E1">
        <w:rPr>
          <w:rFonts w:ascii="Times New Roman" w:hAnsi="Times New Roman" w:cs="Times New Roman"/>
          <w:sz w:val="24"/>
          <w:szCs w:val="24"/>
        </w:rPr>
        <w:t>(3), pp.49-69.</w:t>
      </w:r>
    </w:p>
    <w:p w14:paraId="5F15D297" w14:textId="28D0F8FF"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Pfeiffer, J., Gabriel, A. and Gandorfer, M., 2021. Understanding the public attitudinal acceptance of digital farming technologies: a nationwide survey in Germany. </w:t>
      </w:r>
      <w:r w:rsidRPr="00BA78E1">
        <w:rPr>
          <w:rFonts w:ascii="Times New Roman" w:hAnsi="Times New Roman" w:cs="Times New Roman"/>
          <w:i/>
          <w:iCs/>
          <w:sz w:val="24"/>
          <w:szCs w:val="24"/>
        </w:rPr>
        <w:t>Agriculture and Human Values</w:t>
      </w:r>
      <w:r w:rsidRPr="00BA78E1">
        <w:rPr>
          <w:rFonts w:ascii="Times New Roman" w:hAnsi="Times New Roman" w:cs="Times New Roman"/>
          <w:sz w:val="24"/>
          <w:szCs w:val="24"/>
        </w:rPr>
        <w:t>, </w:t>
      </w:r>
      <w:r w:rsidRPr="00BA78E1">
        <w:rPr>
          <w:rFonts w:ascii="Times New Roman" w:hAnsi="Times New Roman" w:cs="Times New Roman"/>
          <w:i/>
          <w:iCs/>
          <w:sz w:val="24"/>
          <w:szCs w:val="24"/>
        </w:rPr>
        <w:t>38</w:t>
      </w:r>
      <w:r w:rsidRPr="00BA78E1">
        <w:rPr>
          <w:rFonts w:ascii="Times New Roman" w:hAnsi="Times New Roman" w:cs="Times New Roman"/>
          <w:sz w:val="24"/>
          <w:szCs w:val="24"/>
        </w:rPr>
        <w:t>(1), pp.107-128.</w:t>
      </w:r>
    </w:p>
    <w:p w14:paraId="492C1E29" w14:textId="155C8F02"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Fabregas, R., Kremer, M. and Schilbach, F., 2019. Realizing the potential of digital development: The case of agricultural advice. </w:t>
      </w:r>
      <w:r w:rsidRPr="00BA78E1">
        <w:rPr>
          <w:rFonts w:ascii="Times New Roman" w:hAnsi="Times New Roman" w:cs="Times New Roman"/>
          <w:i/>
          <w:iCs/>
          <w:sz w:val="24"/>
          <w:szCs w:val="24"/>
        </w:rPr>
        <w:t>Science</w:t>
      </w:r>
      <w:r w:rsidRPr="00BA78E1">
        <w:rPr>
          <w:rFonts w:ascii="Times New Roman" w:hAnsi="Times New Roman" w:cs="Times New Roman"/>
          <w:sz w:val="24"/>
          <w:szCs w:val="24"/>
        </w:rPr>
        <w:t>, </w:t>
      </w:r>
      <w:r w:rsidRPr="00BA78E1">
        <w:rPr>
          <w:rFonts w:ascii="Times New Roman" w:hAnsi="Times New Roman" w:cs="Times New Roman"/>
          <w:i/>
          <w:iCs/>
          <w:sz w:val="24"/>
          <w:szCs w:val="24"/>
        </w:rPr>
        <w:t>366</w:t>
      </w:r>
      <w:r w:rsidRPr="00BA78E1">
        <w:rPr>
          <w:rFonts w:ascii="Times New Roman" w:hAnsi="Times New Roman" w:cs="Times New Roman"/>
          <w:sz w:val="24"/>
          <w:szCs w:val="24"/>
        </w:rPr>
        <w:t>(6471), p.eaay3038.</w:t>
      </w:r>
    </w:p>
    <w:p w14:paraId="712DDE9C" w14:textId="37A5AC83"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Vaintrub, M.O., Levit, H., Chincarini, M., Fusaro, I., Giammarco, M. and Vignola, G., 2021. Precision livestock farming, automats and new technologies: Possible applications in extensive dairy sheep farming. </w:t>
      </w:r>
      <w:r w:rsidRPr="00BA78E1">
        <w:rPr>
          <w:rFonts w:ascii="Times New Roman" w:hAnsi="Times New Roman" w:cs="Times New Roman"/>
          <w:i/>
          <w:iCs/>
          <w:sz w:val="24"/>
          <w:szCs w:val="24"/>
        </w:rPr>
        <w:t>Animal</w:t>
      </w:r>
      <w:r w:rsidRPr="00BA78E1">
        <w:rPr>
          <w:rFonts w:ascii="Times New Roman" w:hAnsi="Times New Roman" w:cs="Times New Roman"/>
          <w:sz w:val="24"/>
          <w:szCs w:val="24"/>
        </w:rPr>
        <w:t>, </w:t>
      </w:r>
      <w:r w:rsidRPr="00BA78E1">
        <w:rPr>
          <w:rFonts w:ascii="Times New Roman" w:hAnsi="Times New Roman" w:cs="Times New Roman"/>
          <w:i/>
          <w:iCs/>
          <w:sz w:val="24"/>
          <w:szCs w:val="24"/>
        </w:rPr>
        <w:t>15</w:t>
      </w:r>
      <w:r w:rsidRPr="00BA78E1">
        <w:rPr>
          <w:rFonts w:ascii="Times New Roman" w:hAnsi="Times New Roman" w:cs="Times New Roman"/>
          <w:sz w:val="24"/>
          <w:szCs w:val="24"/>
        </w:rPr>
        <w:t>(3), p.100143.</w:t>
      </w:r>
    </w:p>
    <w:p w14:paraId="6FCC2C8B" w14:textId="3219C7D0"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Giles, J., 2020. Policy Push &amp; Commercial Pull-What's changing UK farming and food?. </w:t>
      </w:r>
      <w:r w:rsidRPr="00BA78E1">
        <w:rPr>
          <w:rFonts w:ascii="Times New Roman" w:hAnsi="Times New Roman" w:cs="Times New Roman"/>
          <w:i/>
          <w:iCs/>
          <w:sz w:val="24"/>
          <w:szCs w:val="24"/>
        </w:rPr>
        <w:t>International Journal of Agricultural Management</w:t>
      </w:r>
      <w:r w:rsidRPr="00BA78E1">
        <w:rPr>
          <w:rFonts w:ascii="Times New Roman" w:hAnsi="Times New Roman" w:cs="Times New Roman"/>
          <w:sz w:val="24"/>
          <w:szCs w:val="24"/>
        </w:rPr>
        <w:t>, </w:t>
      </w:r>
      <w:r w:rsidRPr="00BA78E1">
        <w:rPr>
          <w:rFonts w:ascii="Times New Roman" w:hAnsi="Times New Roman" w:cs="Times New Roman"/>
          <w:i/>
          <w:iCs/>
          <w:sz w:val="24"/>
          <w:szCs w:val="24"/>
        </w:rPr>
        <w:t>9</w:t>
      </w:r>
      <w:r w:rsidRPr="00BA78E1">
        <w:rPr>
          <w:rFonts w:ascii="Times New Roman" w:hAnsi="Times New Roman" w:cs="Times New Roman"/>
          <w:sz w:val="24"/>
          <w:szCs w:val="24"/>
        </w:rPr>
        <w:t>, pp.12-15.</w:t>
      </w:r>
    </w:p>
    <w:p w14:paraId="1A29A76F" w14:textId="51D1FBDD"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Self, P. and Storing, H.J., 2023. </w:t>
      </w:r>
      <w:r w:rsidRPr="00BA78E1">
        <w:rPr>
          <w:rFonts w:ascii="Times New Roman" w:hAnsi="Times New Roman" w:cs="Times New Roman"/>
          <w:i/>
          <w:iCs/>
          <w:sz w:val="24"/>
          <w:szCs w:val="24"/>
        </w:rPr>
        <w:t>The state and the farmer</w:t>
      </w:r>
      <w:r w:rsidRPr="00BA78E1">
        <w:rPr>
          <w:rFonts w:ascii="Times New Roman" w:hAnsi="Times New Roman" w:cs="Times New Roman"/>
          <w:sz w:val="24"/>
          <w:szCs w:val="24"/>
        </w:rPr>
        <w:t>. Routledge.</w:t>
      </w:r>
    </w:p>
    <w:p w14:paraId="05219B6E" w14:textId="02845545"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Buckwell, A.E., Harvey, D.R., Thomson, K.J. and Parton, K.A., 2019. </w:t>
      </w:r>
      <w:r w:rsidRPr="00BA78E1">
        <w:rPr>
          <w:rFonts w:ascii="Times New Roman" w:hAnsi="Times New Roman" w:cs="Times New Roman"/>
          <w:i/>
          <w:iCs/>
          <w:sz w:val="24"/>
          <w:szCs w:val="24"/>
        </w:rPr>
        <w:t>The costs of the common agricultural policy</w:t>
      </w:r>
      <w:r w:rsidRPr="00BA78E1">
        <w:rPr>
          <w:rFonts w:ascii="Times New Roman" w:hAnsi="Times New Roman" w:cs="Times New Roman"/>
          <w:sz w:val="24"/>
          <w:szCs w:val="24"/>
        </w:rPr>
        <w:t>. Routledge.</w:t>
      </w:r>
    </w:p>
    <w:p w14:paraId="28F04B87" w14:textId="040E256B"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Birner, R., Daum, T. and Pray, C., 2021. Who drives the digital revolution in agriculture? A review of supply‐side trends, players and challenges. </w:t>
      </w:r>
      <w:r w:rsidRPr="00BA78E1">
        <w:rPr>
          <w:rFonts w:ascii="Times New Roman" w:hAnsi="Times New Roman" w:cs="Times New Roman"/>
          <w:i/>
          <w:iCs/>
          <w:sz w:val="24"/>
          <w:szCs w:val="24"/>
        </w:rPr>
        <w:t>Applied economic perspectives and policy</w:t>
      </w:r>
      <w:r w:rsidRPr="00BA78E1">
        <w:rPr>
          <w:rFonts w:ascii="Times New Roman" w:hAnsi="Times New Roman" w:cs="Times New Roman"/>
          <w:sz w:val="24"/>
          <w:szCs w:val="24"/>
        </w:rPr>
        <w:t>, </w:t>
      </w:r>
      <w:r w:rsidRPr="00BA78E1">
        <w:rPr>
          <w:rFonts w:ascii="Times New Roman" w:hAnsi="Times New Roman" w:cs="Times New Roman"/>
          <w:i/>
          <w:iCs/>
          <w:sz w:val="24"/>
          <w:szCs w:val="24"/>
        </w:rPr>
        <w:t>43</w:t>
      </w:r>
      <w:r w:rsidRPr="00BA78E1">
        <w:rPr>
          <w:rFonts w:ascii="Times New Roman" w:hAnsi="Times New Roman" w:cs="Times New Roman"/>
          <w:sz w:val="24"/>
          <w:szCs w:val="24"/>
        </w:rPr>
        <w:t>(4), pp.1260-1285.</w:t>
      </w:r>
    </w:p>
    <w:p w14:paraId="7DD8E48F" w14:textId="05418582"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Duncan, E., Abdulai, A.R. and Fraser, E.D., 2021. Modernizing agriculture through digital technologies: Prospects and challenges. </w:t>
      </w:r>
      <w:r w:rsidRPr="00BA78E1">
        <w:rPr>
          <w:rFonts w:ascii="Times New Roman" w:hAnsi="Times New Roman" w:cs="Times New Roman"/>
          <w:i/>
          <w:iCs/>
          <w:sz w:val="24"/>
          <w:szCs w:val="24"/>
        </w:rPr>
        <w:t>Handbook on the human impact of agriculture</w:t>
      </w:r>
      <w:r w:rsidRPr="00BA78E1">
        <w:rPr>
          <w:rFonts w:ascii="Times New Roman" w:hAnsi="Times New Roman" w:cs="Times New Roman"/>
          <w:sz w:val="24"/>
          <w:szCs w:val="24"/>
        </w:rPr>
        <w:t>, pp.138-161.</w:t>
      </w:r>
    </w:p>
    <w:p w14:paraId="3121DF7D" w14:textId="31634463"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Barrett, H. and Rose, D.C., 2022. Perceptions of the fourth agricultural revolution: what’s in, what’s out</w:t>
      </w:r>
      <w:r w:rsidR="003E50FF">
        <w:rPr>
          <w:rFonts w:ascii="Times New Roman" w:hAnsi="Times New Roman" w:cs="Times New Roman"/>
          <w:sz w:val="24"/>
          <w:szCs w:val="24"/>
        </w:rPr>
        <w:t xml:space="preserve"> and </w:t>
      </w:r>
      <w:r w:rsidRPr="00BA78E1">
        <w:rPr>
          <w:rFonts w:ascii="Times New Roman" w:hAnsi="Times New Roman" w:cs="Times New Roman"/>
          <w:sz w:val="24"/>
          <w:szCs w:val="24"/>
        </w:rPr>
        <w:t xml:space="preserve"> what consequences are anticipated?. </w:t>
      </w:r>
      <w:r w:rsidRPr="00BA78E1">
        <w:rPr>
          <w:rFonts w:ascii="Times New Roman" w:hAnsi="Times New Roman" w:cs="Times New Roman"/>
          <w:i/>
          <w:iCs/>
          <w:sz w:val="24"/>
          <w:szCs w:val="24"/>
        </w:rPr>
        <w:t>Sociologia Ruralis</w:t>
      </w:r>
      <w:r w:rsidRPr="00BA78E1">
        <w:rPr>
          <w:rFonts w:ascii="Times New Roman" w:hAnsi="Times New Roman" w:cs="Times New Roman"/>
          <w:sz w:val="24"/>
          <w:szCs w:val="24"/>
        </w:rPr>
        <w:t>, </w:t>
      </w:r>
      <w:r w:rsidRPr="00BA78E1">
        <w:rPr>
          <w:rFonts w:ascii="Times New Roman" w:hAnsi="Times New Roman" w:cs="Times New Roman"/>
          <w:i/>
          <w:iCs/>
          <w:sz w:val="24"/>
          <w:szCs w:val="24"/>
        </w:rPr>
        <w:t>62</w:t>
      </w:r>
      <w:r w:rsidRPr="00BA78E1">
        <w:rPr>
          <w:rFonts w:ascii="Times New Roman" w:hAnsi="Times New Roman" w:cs="Times New Roman"/>
          <w:sz w:val="24"/>
          <w:szCs w:val="24"/>
        </w:rPr>
        <w:t>(2), pp.162-189.</w:t>
      </w:r>
    </w:p>
    <w:p w14:paraId="4649B54F" w14:textId="29B20D71" w:rsidR="00BA78E1" w:rsidRDefault="00BA78E1" w:rsidP="007573FC">
      <w:pPr>
        <w:spacing w:line="360" w:lineRule="auto"/>
        <w:jc w:val="both"/>
        <w:rPr>
          <w:rFonts w:ascii="Times New Roman" w:hAnsi="Times New Roman" w:cs="Times New Roman"/>
          <w:sz w:val="24"/>
          <w:szCs w:val="24"/>
        </w:rPr>
      </w:pPr>
      <w:r w:rsidRPr="00BA78E1">
        <w:rPr>
          <w:rFonts w:ascii="Times New Roman" w:hAnsi="Times New Roman" w:cs="Times New Roman"/>
          <w:sz w:val="24"/>
          <w:szCs w:val="24"/>
        </w:rPr>
        <w:t>Shojaei, R.S. and Burgess, G., 2022. Non-technical inhibitors: Exploring the adoption of digital innovation in the UK construction industry. </w:t>
      </w:r>
      <w:r w:rsidRPr="00BA78E1">
        <w:rPr>
          <w:rFonts w:ascii="Times New Roman" w:hAnsi="Times New Roman" w:cs="Times New Roman"/>
          <w:i/>
          <w:iCs/>
          <w:sz w:val="24"/>
          <w:szCs w:val="24"/>
        </w:rPr>
        <w:t>Technological Forecasting and Social Change</w:t>
      </w:r>
      <w:r w:rsidRPr="00BA78E1">
        <w:rPr>
          <w:rFonts w:ascii="Times New Roman" w:hAnsi="Times New Roman" w:cs="Times New Roman"/>
          <w:sz w:val="24"/>
          <w:szCs w:val="24"/>
        </w:rPr>
        <w:t>, </w:t>
      </w:r>
      <w:r w:rsidRPr="00BA78E1">
        <w:rPr>
          <w:rFonts w:ascii="Times New Roman" w:hAnsi="Times New Roman" w:cs="Times New Roman"/>
          <w:i/>
          <w:iCs/>
          <w:sz w:val="24"/>
          <w:szCs w:val="24"/>
        </w:rPr>
        <w:t>185</w:t>
      </w:r>
      <w:r w:rsidRPr="00BA78E1">
        <w:rPr>
          <w:rFonts w:ascii="Times New Roman" w:hAnsi="Times New Roman" w:cs="Times New Roman"/>
          <w:sz w:val="24"/>
          <w:szCs w:val="24"/>
        </w:rPr>
        <w:t>, p.122036.</w:t>
      </w:r>
    </w:p>
    <w:p w14:paraId="5F71BB7A" w14:textId="23177C3B" w:rsidR="004E3976" w:rsidRDefault="004E3976" w:rsidP="004E3976">
      <w:pPr>
        <w:spacing w:line="360" w:lineRule="auto"/>
        <w:jc w:val="both"/>
        <w:rPr>
          <w:rFonts w:ascii="Times New Roman" w:hAnsi="Times New Roman" w:cs="Times New Roman"/>
          <w:sz w:val="24"/>
          <w:szCs w:val="24"/>
        </w:rPr>
      </w:pPr>
      <w:bookmarkStart w:id="1" w:name="_Hlk206586550"/>
      <w:r w:rsidRPr="00846D7E">
        <w:rPr>
          <w:rFonts w:ascii="Times New Roman" w:hAnsi="Times New Roman" w:cs="Times New Roman"/>
          <w:sz w:val="24"/>
          <w:szCs w:val="24"/>
        </w:rPr>
        <w:lastRenderedPageBreak/>
        <w:t>Jain, G., Jain</w:t>
      </w:r>
      <w:bookmarkEnd w:id="1"/>
      <w:r w:rsidRPr="00846D7E">
        <w:rPr>
          <w:rFonts w:ascii="Times New Roman" w:hAnsi="Times New Roman" w:cs="Times New Roman"/>
          <w:sz w:val="24"/>
          <w:szCs w:val="24"/>
        </w:rPr>
        <w:t>, A., Jaiswal, A., Ahmad, S., Kapse, V.M. and Bisht, S.S., 2025. Transformative Potential: IoT, Cloud, Big Data</w:t>
      </w:r>
      <w:r w:rsidR="00757256">
        <w:rPr>
          <w:rFonts w:ascii="Times New Roman" w:hAnsi="Times New Roman" w:cs="Times New Roman"/>
          <w:sz w:val="24"/>
          <w:szCs w:val="24"/>
        </w:rPr>
        <w:t xml:space="preserve"> and</w:t>
      </w:r>
      <w:r w:rsidRPr="00846D7E">
        <w:rPr>
          <w:rFonts w:ascii="Times New Roman" w:hAnsi="Times New Roman" w:cs="Times New Roman"/>
          <w:sz w:val="24"/>
          <w:szCs w:val="24"/>
        </w:rPr>
        <w:t xml:space="preserve"> AI-Driven Blockchain Digital Twins in Agriculture. In Blockchain and Digital Twin Applications in Smart Agriculture (pp. 92-111). Auerbach Publications.</w:t>
      </w:r>
    </w:p>
    <w:p w14:paraId="29322A7D" w14:textId="77777777" w:rsidR="004E3976" w:rsidRDefault="004E3976" w:rsidP="004E3976">
      <w:pPr>
        <w:spacing w:line="360" w:lineRule="auto"/>
        <w:jc w:val="both"/>
        <w:rPr>
          <w:rFonts w:ascii="Times New Roman" w:hAnsi="Times New Roman" w:cs="Times New Roman"/>
          <w:sz w:val="24"/>
          <w:szCs w:val="24"/>
        </w:rPr>
      </w:pPr>
      <w:bookmarkStart w:id="2" w:name="_Hlk206586603"/>
      <w:r w:rsidRPr="00846D7E">
        <w:rPr>
          <w:rFonts w:ascii="Times New Roman" w:hAnsi="Times New Roman" w:cs="Times New Roman"/>
          <w:sz w:val="24"/>
          <w:szCs w:val="24"/>
        </w:rPr>
        <w:t>Elufioye,</w:t>
      </w:r>
      <w:bookmarkEnd w:id="2"/>
      <w:r w:rsidRPr="00846D7E">
        <w:rPr>
          <w:rFonts w:ascii="Times New Roman" w:hAnsi="Times New Roman" w:cs="Times New Roman"/>
          <w:sz w:val="24"/>
          <w:szCs w:val="24"/>
        </w:rPr>
        <w:t xml:space="preserve"> O.A., Ike, C.U., Odeyemi, O., Usman, F.O. and Mhlongo, N.Z., 2024. Ai-Driven predictive analytics in agricultural supply chains: a review: assessing the benefits and challenges of ai in forecasting demand and optimizing supply in agriculture. Computer Science &amp; IT Research Journal, 5(2), pp.473-497.</w:t>
      </w:r>
    </w:p>
    <w:p w14:paraId="0494B7DC" w14:textId="77777777" w:rsidR="004E3976" w:rsidRDefault="004E3976" w:rsidP="004E3976">
      <w:pPr>
        <w:spacing w:line="360" w:lineRule="auto"/>
        <w:jc w:val="both"/>
        <w:rPr>
          <w:rFonts w:ascii="Times New Roman" w:hAnsi="Times New Roman" w:cs="Times New Roman"/>
          <w:sz w:val="24"/>
          <w:szCs w:val="24"/>
        </w:rPr>
      </w:pPr>
      <w:bookmarkStart w:id="3" w:name="_Hlk206586656"/>
      <w:r w:rsidRPr="00846D7E">
        <w:rPr>
          <w:rFonts w:ascii="Times New Roman" w:hAnsi="Times New Roman" w:cs="Times New Roman"/>
          <w:sz w:val="24"/>
          <w:szCs w:val="24"/>
        </w:rPr>
        <w:t>Baldock, D. and Kam, H., 2024</w:t>
      </w:r>
      <w:bookmarkEnd w:id="3"/>
      <w:r w:rsidRPr="00846D7E">
        <w:rPr>
          <w:rFonts w:ascii="Times New Roman" w:hAnsi="Times New Roman" w:cs="Times New Roman"/>
          <w:sz w:val="24"/>
          <w:szCs w:val="24"/>
        </w:rPr>
        <w:t>. Agri-Environmental Policies in England after Brexit.</w:t>
      </w:r>
    </w:p>
    <w:p w14:paraId="585E1A1C" w14:textId="77777777" w:rsidR="004E3976" w:rsidRDefault="004E3976" w:rsidP="004E3976">
      <w:pPr>
        <w:spacing w:line="360" w:lineRule="auto"/>
        <w:jc w:val="both"/>
        <w:rPr>
          <w:rFonts w:ascii="Times New Roman" w:hAnsi="Times New Roman" w:cs="Times New Roman"/>
          <w:sz w:val="24"/>
          <w:szCs w:val="24"/>
        </w:rPr>
      </w:pPr>
      <w:bookmarkStart w:id="4" w:name="_Hlk206586716"/>
      <w:r w:rsidRPr="00846D7E">
        <w:rPr>
          <w:rFonts w:ascii="Times New Roman" w:hAnsi="Times New Roman" w:cs="Times New Roman"/>
          <w:sz w:val="24"/>
          <w:szCs w:val="24"/>
        </w:rPr>
        <w:t xml:space="preserve">Karunathilake, </w:t>
      </w:r>
      <w:bookmarkEnd w:id="4"/>
      <w:r w:rsidRPr="00846D7E">
        <w:rPr>
          <w:rFonts w:ascii="Times New Roman" w:hAnsi="Times New Roman" w:cs="Times New Roman"/>
          <w:sz w:val="24"/>
          <w:szCs w:val="24"/>
        </w:rPr>
        <w:t>E.M.B.M., Le, A.T., Heo, S., Chung, Y.S. and Mansoor, S., 2023. The path to smart farming: Innovations and opportunities in precision agriculture. Agriculture, 13(8), p.1593.</w:t>
      </w:r>
    </w:p>
    <w:p w14:paraId="2D1C7DF0" w14:textId="77777777" w:rsidR="004E3976" w:rsidRDefault="004E3976" w:rsidP="004E3976">
      <w:pPr>
        <w:spacing w:line="360" w:lineRule="auto"/>
        <w:jc w:val="both"/>
        <w:rPr>
          <w:rFonts w:ascii="Times New Roman" w:hAnsi="Times New Roman" w:cs="Times New Roman"/>
          <w:sz w:val="24"/>
          <w:szCs w:val="24"/>
        </w:rPr>
      </w:pPr>
      <w:bookmarkStart w:id="5" w:name="_Hlk206586785"/>
      <w:r w:rsidRPr="00846D7E">
        <w:rPr>
          <w:rFonts w:ascii="Times New Roman" w:hAnsi="Times New Roman" w:cs="Times New Roman"/>
          <w:sz w:val="24"/>
          <w:szCs w:val="24"/>
        </w:rPr>
        <w:t>Henderson, S.I., 2024</w:t>
      </w:r>
      <w:bookmarkEnd w:id="5"/>
      <w:r w:rsidRPr="00846D7E">
        <w:rPr>
          <w:rFonts w:ascii="Times New Roman" w:hAnsi="Times New Roman" w:cs="Times New Roman"/>
          <w:sz w:val="24"/>
          <w:szCs w:val="24"/>
        </w:rPr>
        <w:t>. Assessing the use of chemical inputs in UK agriculture and its impact on farm productivity and labour requirements (Doctoral dissertation, University of Kent (United Kingdom)).</w:t>
      </w:r>
    </w:p>
    <w:p w14:paraId="39182AE4" w14:textId="77777777" w:rsidR="004E3976" w:rsidRDefault="004E3976" w:rsidP="004E3976">
      <w:pPr>
        <w:spacing w:line="360" w:lineRule="auto"/>
        <w:jc w:val="both"/>
        <w:rPr>
          <w:rFonts w:ascii="Times New Roman" w:hAnsi="Times New Roman" w:cs="Times New Roman"/>
          <w:sz w:val="24"/>
          <w:szCs w:val="24"/>
        </w:rPr>
      </w:pPr>
      <w:bookmarkStart w:id="6" w:name="_Hlk206586832"/>
      <w:r w:rsidRPr="00846D7E">
        <w:rPr>
          <w:rFonts w:ascii="Times New Roman" w:hAnsi="Times New Roman" w:cs="Times New Roman"/>
          <w:sz w:val="24"/>
          <w:szCs w:val="24"/>
        </w:rPr>
        <w:t>Van der Ploeg, J.D., 2020</w:t>
      </w:r>
      <w:bookmarkEnd w:id="6"/>
      <w:r w:rsidRPr="00846D7E">
        <w:rPr>
          <w:rFonts w:ascii="Times New Roman" w:hAnsi="Times New Roman" w:cs="Times New Roman"/>
          <w:sz w:val="24"/>
          <w:szCs w:val="24"/>
        </w:rPr>
        <w:t>. Farmers’ upheaval, climate crisis and populism. The journal of peasant studies, 47(3), pp.589-605.</w:t>
      </w:r>
    </w:p>
    <w:p w14:paraId="6F324A56" w14:textId="77777777" w:rsidR="004E3976" w:rsidRDefault="004E3976" w:rsidP="004E3976">
      <w:pPr>
        <w:spacing w:line="360" w:lineRule="auto"/>
        <w:jc w:val="both"/>
        <w:rPr>
          <w:rFonts w:ascii="Times New Roman" w:hAnsi="Times New Roman" w:cs="Times New Roman"/>
          <w:sz w:val="24"/>
          <w:szCs w:val="24"/>
        </w:rPr>
      </w:pPr>
      <w:bookmarkStart w:id="7" w:name="_Hlk206587041"/>
      <w:r w:rsidRPr="00846D7E">
        <w:rPr>
          <w:rFonts w:ascii="Times New Roman" w:hAnsi="Times New Roman" w:cs="Times New Roman"/>
          <w:sz w:val="24"/>
          <w:szCs w:val="24"/>
        </w:rPr>
        <w:t xml:space="preserve">Anastasiadis, </w:t>
      </w:r>
      <w:bookmarkEnd w:id="7"/>
      <w:r w:rsidRPr="00846D7E">
        <w:rPr>
          <w:rFonts w:ascii="Times New Roman" w:hAnsi="Times New Roman" w:cs="Times New Roman"/>
          <w:sz w:val="24"/>
          <w:szCs w:val="24"/>
        </w:rPr>
        <w:t>F., Apostolidou, I. and Tsolakis, N., 2025. Challenges and opportunities of supply chain traceability: insights from emergent agri-food sector. Supply Chain Management: An International Journal, 30(1), pp.106-126.</w:t>
      </w:r>
    </w:p>
    <w:p w14:paraId="775AB974" w14:textId="77777777" w:rsidR="004E3976" w:rsidRPr="00846D7E" w:rsidRDefault="004E3976" w:rsidP="004E3976">
      <w:pPr>
        <w:spacing w:line="360" w:lineRule="auto"/>
        <w:jc w:val="both"/>
        <w:rPr>
          <w:rFonts w:ascii="Times New Roman" w:hAnsi="Times New Roman" w:cs="Times New Roman"/>
          <w:sz w:val="24"/>
          <w:szCs w:val="24"/>
        </w:rPr>
      </w:pPr>
      <w:bookmarkStart w:id="8" w:name="_Hlk206587103"/>
      <w:r w:rsidRPr="0046448A">
        <w:rPr>
          <w:rFonts w:ascii="Times New Roman" w:hAnsi="Times New Roman" w:cs="Times New Roman"/>
          <w:sz w:val="24"/>
          <w:szCs w:val="24"/>
        </w:rPr>
        <w:t>Dube, B., Nkomo</w:t>
      </w:r>
      <w:bookmarkEnd w:id="8"/>
      <w:r w:rsidRPr="0046448A">
        <w:rPr>
          <w:rFonts w:ascii="Times New Roman" w:hAnsi="Times New Roman" w:cs="Times New Roman"/>
          <w:sz w:val="24"/>
          <w:szCs w:val="24"/>
        </w:rPr>
        <w:t>, D. and Apadile-Thokweng, M., 2024. Pragmatism: an essential philosophy for mixed methods research in education. </w:t>
      </w:r>
      <w:r w:rsidRPr="0046448A">
        <w:rPr>
          <w:rFonts w:ascii="Times New Roman" w:hAnsi="Times New Roman" w:cs="Times New Roman"/>
          <w:i/>
          <w:iCs/>
          <w:sz w:val="24"/>
          <w:szCs w:val="24"/>
        </w:rPr>
        <w:t>Int. J. Res. Innov. Soc. Sci</w:t>
      </w:r>
      <w:r w:rsidRPr="0046448A">
        <w:rPr>
          <w:rFonts w:ascii="Times New Roman" w:hAnsi="Times New Roman" w:cs="Times New Roman"/>
          <w:sz w:val="24"/>
          <w:szCs w:val="24"/>
        </w:rPr>
        <w:t>, </w:t>
      </w:r>
      <w:r w:rsidRPr="0046448A">
        <w:rPr>
          <w:rFonts w:ascii="Times New Roman" w:hAnsi="Times New Roman" w:cs="Times New Roman"/>
          <w:i/>
          <w:iCs/>
          <w:sz w:val="24"/>
          <w:szCs w:val="24"/>
        </w:rPr>
        <w:t>8</w:t>
      </w:r>
      <w:r w:rsidRPr="0046448A">
        <w:rPr>
          <w:rFonts w:ascii="Times New Roman" w:hAnsi="Times New Roman" w:cs="Times New Roman"/>
          <w:sz w:val="24"/>
          <w:szCs w:val="24"/>
        </w:rPr>
        <w:t>(3), pp.1001-1010.</w:t>
      </w:r>
    </w:p>
    <w:p w14:paraId="1AD45947" w14:textId="77777777" w:rsidR="004E3976" w:rsidRDefault="004E3976" w:rsidP="007573FC">
      <w:pPr>
        <w:spacing w:line="360" w:lineRule="auto"/>
        <w:jc w:val="both"/>
        <w:rPr>
          <w:rFonts w:ascii="Times New Roman" w:hAnsi="Times New Roman" w:cs="Times New Roman"/>
          <w:sz w:val="24"/>
          <w:szCs w:val="24"/>
        </w:rPr>
      </w:pPr>
    </w:p>
    <w:p w14:paraId="77E1BC36" w14:textId="77777777" w:rsidR="00BA78E1" w:rsidRDefault="00BA78E1" w:rsidP="007573FC">
      <w:pPr>
        <w:spacing w:line="360" w:lineRule="auto"/>
        <w:jc w:val="both"/>
        <w:rPr>
          <w:rFonts w:ascii="Times New Roman" w:hAnsi="Times New Roman" w:cs="Times New Roman"/>
          <w:sz w:val="24"/>
          <w:szCs w:val="24"/>
        </w:rPr>
      </w:pPr>
    </w:p>
    <w:p w14:paraId="7342EFCA" w14:textId="77777777" w:rsidR="002B7ABA" w:rsidRDefault="002B7ABA" w:rsidP="007573FC">
      <w:pPr>
        <w:spacing w:line="360" w:lineRule="auto"/>
        <w:jc w:val="both"/>
        <w:rPr>
          <w:rFonts w:ascii="Times New Roman" w:hAnsi="Times New Roman" w:cs="Times New Roman"/>
          <w:sz w:val="24"/>
          <w:szCs w:val="24"/>
        </w:rPr>
      </w:pPr>
    </w:p>
    <w:p w14:paraId="21EBDABA" w14:textId="77777777" w:rsidR="002B7ABA" w:rsidRDefault="002B7ABA" w:rsidP="007573FC">
      <w:pPr>
        <w:spacing w:line="360" w:lineRule="auto"/>
        <w:jc w:val="both"/>
        <w:rPr>
          <w:rFonts w:ascii="Times New Roman" w:hAnsi="Times New Roman" w:cs="Times New Roman"/>
          <w:sz w:val="24"/>
          <w:szCs w:val="24"/>
        </w:rPr>
      </w:pPr>
    </w:p>
    <w:p w14:paraId="3CECBF5B" w14:textId="77777777" w:rsidR="002B7ABA" w:rsidRDefault="002B7ABA" w:rsidP="002B7AB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Appendices:</w:t>
      </w:r>
    </w:p>
    <w:p w14:paraId="786A87CA" w14:textId="0B259C60" w:rsidR="002B7ABA" w:rsidRPr="002B7ABA" w:rsidRDefault="002B7ABA" w:rsidP="002B7ABA">
      <w:pPr>
        <w:spacing w:line="360" w:lineRule="auto"/>
        <w:jc w:val="both"/>
        <w:rPr>
          <w:rFonts w:ascii="Times New Roman" w:hAnsi="Times New Roman" w:cs="Times New Roman"/>
          <w:b/>
          <w:bCs/>
          <w:sz w:val="24"/>
          <w:szCs w:val="24"/>
        </w:rPr>
      </w:pPr>
      <w:r w:rsidRPr="002B7ABA">
        <w:rPr>
          <w:rFonts w:ascii="Times New Roman" w:hAnsi="Times New Roman" w:cs="Times New Roman"/>
          <w:b/>
          <w:bCs/>
          <w:sz w:val="24"/>
          <w:szCs w:val="24"/>
        </w:rPr>
        <w:t>Appendix A: Survey Questionnaire</w:t>
      </w:r>
    </w:p>
    <w:p w14:paraId="29E83B9B" w14:textId="77777777"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lastRenderedPageBreak/>
        <w:t>Section A – Demographics</w:t>
      </w:r>
    </w:p>
    <w:p w14:paraId="4D438073" w14:textId="77777777" w:rsidR="002B7ABA" w:rsidRPr="002B7ABA" w:rsidRDefault="002B7ABA" w:rsidP="002B7ABA">
      <w:pPr>
        <w:numPr>
          <w:ilvl w:val="0"/>
          <w:numId w:val="34"/>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What is your age?</w:t>
      </w:r>
    </w:p>
    <w:p w14:paraId="31A39F22"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Under 25</w:t>
      </w:r>
    </w:p>
    <w:p w14:paraId="6D1CAFA5"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25–34</w:t>
      </w:r>
    </w:p>
    <w:p w14:paraId="008B340C"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35–44</w:t>
      </w:r>
    </w:p>
    <w:p w14:paraId="7758616F"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45–54</w:t>
      </w:r>
    </w:p>
    <w:p w14:paraId="149EDE8E"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55+</w:t>
      </w:r>
    </w:p>
    <w:p w14:paraId="2DCCBCF0" w14:textId="77777777" w:rsidR="002B7ABA" w:rsidRPr="002B7ABA" w:rsidRDefault="002B7ABA" w:rsidP="002B7ABA">
      <w:pPr>
        <w:numPr>
          <w:ilvl w:val="0"/>
          <w:numId w:val="34"/>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What is your gender?</w:t>
      </w:r>
    </w:p>
    <w:p w14:paraId="22790461"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Male</w:t>
      </w:r>
    </w:p>
    <w:p w14:paraId="17A9B1C4"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Female</w:t>
      </w:r>
    </w:p>
    <w:p w14:paraId="64156C57"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Prefer not to say</w:t>
      </w:r>
    </w:p>
    <w:p w14:paraId="24EA3207" w14:textId="77777777" w:rsidR="002B7ABA" w:rsidRPr="002B7ABA" w:rsidRDefault="002B7ABA" w:rsidP="002B7ABA">
      <w:pPr>
        <w:numPr>
          <w:ilvl w:val="0"/>
          <w:numId w:val="34"/>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What is the size of your farm?</w:t>
      </w:r>
    </w:p>
    <w:p w14:paraId="478E0A03"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Small (&lt;50 hectares)</w:t>
      </w:r>
    </w:p>
    <w:p w14:paraId="2F22FC44"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Medium (50–200 hectares)</w:t>
      </w:r>
    </w:p>
    <w:p w14:paraId="6C349B1C"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Large (&gt;200 hectares)</w:t>
      </w:r>
    </w:p>
    <w:p w14:paraId="392F7C48" w14:textId="77777777" w:rsidR="002B7ABA" w:rsidRPr="002B7ABA" w:rsidRDefault="002B7ABA" w:rsidP="002B7ABA">
      <w:pPr>
        <w:numPr>
          <w:ilvl w:val="0"/>
          <w:numId w:val="34"/>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Where is your farm located?</w:t>
      </w:r>
    </w:p>
    <w:p w14:paraId="6DBF9A6A"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England</w:t>
      </w:r>
    </w:p>
    <w:p w14:paraId="6A93C08D"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Scotland</w:t>
      </w:r>
    </w:p>
    <w:p w14:paraId="414EDEBA"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Wales</w:t>
      </w:r>
    </w:p>
    <w:p w14:paraId="09C368EE" w14:textId="77777777" w:rsidR="002B7ABA" w:rsidRPr="002B7ABA" w:rsidRDefault="002B7ABA" w:rsidP="002B7ABA">
      <w:pPr>
        <w:numPr>
          <w:ilvl w:val="1"/>
          <w:numId w:val="34"/>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Northern Ireland</w:t>
      </w:r>
    </w:p>
    <w:p w14:paraId="289D2065" w14:textId="5CF2CB91" w:rsidR="002B7ABA" w:rsidRPr="002B7ABA" w:rsidRDefault="002B7ABA" w:rsidP="002B7ABA">
      <w:pPr>
        <w:spacing w:line="360" w:lineRule="auto"/>
        <w:jc w:val="both"/>
        <w:rPr>
          <w:rFonts w:ascii="Times New Roman" w:hAnsi="Times New Roman" w:cs="Times New Roman"/>
          <w:sz w:val="24"/>
          <w:szCs w:val="24"/>
        </w:rPr>
      </w:pPr>
    </w:p>
    <w:p w14:paraId="5698C90B" w14:textId="77777777" w:rsid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t>Section B – Digital Technology Use</w:t>
      </w:r>
      <w:r w:rsidRPr="002B7ABA">
        <w:rPr>
          <w:rFonts w:ascii="Times New Roman" w:hAnsi="Times New Roman" w:cs="Times New Roman"/>
          <w:sz w:val="24"/>
          <w:szCs w:val="24"/>
        </w:rPr>
        <w:t xml:space="preserve"> </w:t>
      </w:r>
      <w:r w:rsidRPr="002B7ABA">
        <w:rPr>
          <w:rFonts w:ascii="Times New Roman" w:hAnsi="Times New Roman" w:cs="Times New Roman"/>
          <w:i/>
          <w:iCs/>
          <w:sz w:val="24"/>
          <w:szCs w:val="24"/>
        </w:rPr>
        <w:t>(Linked to H1–H3)</w:t>
      </w:r>
    </w:p>
    <w:p w14:paraId="2EF0836E" w14:textId="4800826F"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5. How frequently do you use digital farming tools (e.g., sensors, drones, farm software)?</w:t>
      </w:r>
    </w:p>
    <w:p w14:paraId="5BEEEA67" w14:textId="77777777" w:rsidR="002B7ABA" w:rsidRPr="002B7ABA" w:rsidRDefault="002B7ABA" w:rsidP="002B7ABA">
      <w:pPr>
        <w:numPr>
          <w:ilvl w:val="0"/>
          <w:numId w:val="35"/>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lastRenderedPageBreak/>
        <w:t>☐</w:t>
      </w:r>
      <w:r w:rsidRPr="002B7ABA">
        <w:rPr>
          <w:rFonts w:ascii="Times New Roman" w:hAnsi="Times New Roman" w:cs="Times New Roman"/>
          <w:sz w:val="24"/>
          <w:szCs w:val="24"/>
        </w:rPr>
        <w:t xml:space="preserve"> Never</w:t>
      </w:r>
    </w:p>
    <w:p w14:paraId="77A34A48" w14:textId="77777777" w:rsidR="002B7ABA" w:rsidRPr="002B7ABA" w:rsidRDefault="002B7ABA" w:rsidP="002B7ABA">
      <w:pPr>
        <w:numPr>
          <w:ilvl w:val="0"/>
          <w:numId w:val="35"/>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Rarely</w:t>
      </w:r>
    </w:p>
    <w:p w14:paraId="4E659654" w14:textId="77777777" w:rsidR="002B7ABA" w:rsidRPr="002B7ABA" w:rsidRDefault="002B7ABA" w:rsidP="002B7ABA">
      <w:pPr>
        <w:numPr>
          <w:ilvl w:val="0"/>
          <w:numId w:val="35"/>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Occasionally</w:t>
      </w:r>
    </w:p>
    <w:p w14:paraId="2A44FD31" w14:textId="77777777" w:rsidR="002B7ABA" w:rsidRPr="002B7ABA" w:rsidRDefault="002B7ABA" w:rsidP="002B7ABA">
      <w:pPr>
        <w:numPr>
          <w:ilvl w:val="0"/>
          <w:numId w:val="35"/>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Frequently</w:t>
      </w:r>
    </w:p>
    <w:p w14:paraId="29569540" w14:textId="1EDFAF93" w:rsidR="002B7ABA" w:rsidRDefault="002B7ABA" w:rsidP="002B7ABA">
      <w:pPr>
        <w:numPr>
          <w:ilvl w:val="0"/>
          <w:numId w:val="35"/>
        </w:numPr>
        <w:spacing w:line="360" w:lineRule="auto"/>
        <w:jc w:val="both"/>
        <w:rPr>
          <w:rFonts w:ascii="Times New Roman" w:hAnsi="Times New Roman" w:cs="Times New Roman"/>
          <w:sz w:val="24"/>
          <w:szCs w:val="24"/>
        </w:rPr>
      </w:pPr>
      <w:r w:rsidRPr="002B7ABA">
        <w:rPr>
          <w:rFonts w:ascii="Segoe UI Symbol" w:hAnsi="Segoe UI Symbol" w:cs="Segoe UI Symbol"/>
          <w:sz w:val="24"/>
          <w:szCs w:val="24"/>
        </w:rPr>
        <w:t>☐</w:t>
      </w:r>
      <w:r w:rsidRPr="002B7ABA">
        <w:rPr>
          <w:rFonts w:ascii="Times New Roman" w:hAnsi="Times New Roman" w:cs="Times New Roman"/>
          <w:sz w:val="24"/>
          <w:szCs w:val="24"/>
        </w:rPr>
        <w:t xml:space="preserve"> Very frequently</w:t>
      </w:r>
    </w:p>
    <w:p w14:paraId="116F4016" w14:textId="77777777" w:rsidR="002B7ABA" w:rsidRPr="002B7ABA" w:rsidRDefault="002B7ABA" w:rsidP="002B7ABA">
      <w:pPr>
        <w:spacing w:line="360" w:lineRule="auto"/>
        <w:ind w:left="360"/>
        <w:jc w:val="both"/>
        <w:rPr>
          <w:rFonts w:ascii="Times New Roman" w:hAnsi="Times New Roman" w:cs="Times New Roman"/>
          <w:sz w:val="24"/>
          <w:szCs w:val="24"/>
        </w:rPr>
      </w:pPr>
    </w:p>
    <w:p w14:paraId="5147C7AC" w14:textId="14DFEDFA" w:rsidR="002B7ABA" w:rsidRPr="002B7ABA" w:rsidRDefault="002B7ABA" w:rsidP="002B7ABA">
      <w:pPr>
        <w:pStyle w:val="ListParagraph"/>
        <w:numPr>
          <w:ilvl w:val="0"/>
          <w:numId w:val="36"/>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Perceived usefulness: “Using digital tools improves efficiency and productivity on my farm.”</w:t>
      </w:r>
    </w:p>
    <w:p w14:paraId="49C40386" w14:textId="77777777" w:rsidR="002B7ABA" w:rsidRPr="002B7ABA" w:rsidRDefault="002B7ABA" w:rsidP="002B7ABA">
      <w:pPr>
        <w:numPr>
          <w:ilvl w:val="1"/>
          <w:numId w:val="36"/>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7FC8170C" w14:textId="77777777" w:rsidR="002B7ABA" w:rsidRPr="002B7ABA" w:rsidRDefault="002B7ABA" w:rsidP="002B7ABA">
      <w:pPr>
        <w:numPr>
          <w:ilvl w:val="0"/>
          <w:numId w:val="36"/>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Perceived ease of use: “Digital tools are easy to learn and integrate into my farm operations.”</w:t>
      </w:r>
    </w:p>
    <w:p w14:paraId="3A2932BA" w14:textId="77777777" w:rsidR="002B7ABA" w:rsidRPr="002B7ABA" w:rsidRDefault="002B7ABA" w:rsidP="002B7ABA">
      <w:pPr>
        <w:numPr>
          <w:ilvl w:val="1"/>
          <w:numId w:val="36"/>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598BDDB7" w14:textId="682827BF" w:rsidR="002B7ABA" w:rsidRPr="002B7ABA" w:rsidRDefault="002B7ABA" w:rsidP="002B7ABA">
      <w:pPr>
        <w:spacing w:line="360" w:lineRule="auto"/>
        <w:jc w:val="both"/>
        <w:rPr>
          <w:rFonts w:ascii="Times New Roman" w:hAnsi="Times New Roman" w:cs="Times New Roman"/>
          <w:sz w:val="24"/>
          <w:szCs w:val="24"/>
        </w:rPr>
      </w:pPr>
    </w:p>
    <w:p w14:paraId="68678F2E" w14:textId="77777777" w:rsid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t>Section C – Adoption Readiness</w:t>
      </w:r>
      <w:r w:rsidRPr="002B7ABA">
        <w:rPr>
          <w:rFonts w:ascii="Times New Roman" w:hAnsi="Times New Roman" w:cs="Times New Roman"/>
          <w:sz w:val="24"/>
          <w:szCs w:val="24"/>
        </w:rPr>
        <w:t xml:space="preserve"> </w:t>
      </w:r>
      <w:r w:rsidRPr="002B7ABA">
        <w:rPr>
          <w:rFonts w:ascii="Times New Roman" w:hAnsi="Times New Roman" w:cs="Times New Roman"/>
          <w:i/>
          <w:iCs/>
          <w:sz w:val="24"/>
          <w:szCs w:val="24"/>
        </w:rPr>
        <w:t>(Linked to H2, H5)</w:t>
      </w:r>
    </w:p>
    <w:p w14:paraId="65C58EA5" w14:textId="62B22CA5"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8. “I have sufficient digital skills to adopt new technologies.”</w:t>
      </w:r>
    </w:p>
    <w:p w14:paraId="66FE2F9F" w14:textId="77777777" w:rsidR="002B7ABA" w:rsidRPr="002B7ABA" w:rsidRDefault="002B7ABA" w:rsidP="002B7ABA">
      <w:pPr>
        <w:numPr>
          <w:ilvl w:val="0"/>
          <w:numId w:val="37"/>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4075E53E" w14:textId="77777777" w:rsidR="002B7ABA" w:rsidRPr="002B7ABA" w:rsidRDefault="002B7ABA" w:rsidP="002B7ABA">
      <w:pPr>
        <w:numPr>
          <w:ilvl w:val="0"/>
          <w:numId w:val="38"/>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“I am willing to invest in digital technologies even when initial costs are high.”</w:t>
      </w:r>
    </w:p>
    <w:p w14:paraId="05E84661" w14:textId="77777777" w:rsidR="002B7ABA" w:rsidRPr="002B7ABA" w:rsidRDefault="002B7ABA" w:rsidP="002B7ABA">
      <w:pPr>
        <w:numPr>
          <w:ilvl w:val="1"/>
          <w:numId w:val="38"/>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22E5B7C9" w14:textId="77777777" w:rsid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t>Section D – Efficiency Outcomes</w:t>
      </w:r>
      <w:r w:rsidRPr="002B7ABA">
        <w:rPr>
          <w:rFonts w:ascii="Times New Roman" w:hAnsi="Times New Roman" w:cs="Times New Roman"/>
          <w:sz w:val="24"/>
          <w:szCs w:val="24"/>
        </w:rPr>
        <w:t xml:space="preserve"> </w:t>
      </w:r>
      <w:r w:rsidRPr="002B7ABA">
        <w:rPr>
          <w:rFonts w:ascii="Times New Roman" w:hAnsi="Times New Roman" w:cs="Times New Roman"/>
          <w:i/>
          <w:iCs/>
          <w:sz w:val="24"/>
          <w:szCs w:val="24"/>
        </w:rPr>
        <w:t>(Linked to H1–H3)</w:t>
      </w:r>
    </w:p>
    <w:p w14:paraId="5AA581C2" w14:textId="74D4CDBD"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10. “Digital tools have reduced my farm’s input costs (e.g., fertiliser, water, fuel).”</w:t>
      </w:r>
      <w:r w:rsidRPr="002B7ABA">
        <w:rPr>
          <w:rFonts w:ascii="Times New Roman" w:hAnsi="Times New Roman" w:cs="Times New Roman"/>
          <w:sz w:val="24"/>
          <w:szCs w:val="24"/>
        </w:rPr>
        <w:br/>
        <w:t>- 1 = Strongly disagree → 5 = Strongly agree</w:t>
      </w:r>
    </w:p>
    <w:p w14:paraId="1A6FE5DE" w14:textId="77777777" w:rsidR="002B7ABA" w:rsidRPr="002B7ABA" w:rsidRDefault="002B7ABA" w:rsidP="002B7ABA">
      <w:pPr>
        <w:numPr>
          <w:ilvl w:val="0"/>
          <w:numId w:val="39"/>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“Digital tools have improved crop/livestock yields on my farm.”</w:t>
      </w:r>
    </w:p>
    <w:p w14:paraId="51D228D3" w14:textId="77777777" w:rsidR="002B7ABA" w:rsidRPr="002B7ABA" w:rsidRDefault="002B7ABA" w:rsidP="002B7ABA">
      <w:pPr>
        <w:spacing w:line="360" w:lineRule="auto"/>
        <w:ind w:left="1440"/>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067502D1" w14:textId="77777777" w:rsidR="002B7ABA" w:rsidRPr="002B7ABA" w:rsidRDefault="002B7ABA" w:rsidP="002B7ABA">
      <w:pPr>
        <w:numPr>
          <w:ilvl w:val="0"/>
          <w:numId w:val="39"/>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“Digital technologies have improved decision-making and time efficiency.”</w:t>
      </w:r>
    </w:p>
    <w:p w14:paraId="51F9CF6F" w14:textId="4785DFBD" w:rsidR="002B7ABA" w:rsidRPr="002B7ABA" w:rsidRDefault="002B7ABA" w:rsidP="002B7A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7ABA">
        <w:rPr>
          <w:rFonts w:ascii="Times New Roman" w:hAnsi="Times New Roman" w:cs="Times New Roman"/>
          <w:sz w:val="24"/>
          <w:szCs w:val="24"/>
        </w:rPr>
        <w:t>1 = Strongly disagree → 5 = Strongly agree</w:t>
      </w:r>
    </w:p>
    <w:p w14:paraId="72C6BEE6" w14:textId="77777777" w:rsid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lastRenderedPageBreak/>
        <w:t>Section E – Sustainability Outcomes</w:t>
      </w:r>
      <w:r w:rsidRPr="002B7ABA">
        <w:rPr>
          <w:rFonts w:ascii="Times New Roman" w:hAnsi="Times New Roman" w:cs="Times New Roman"/>
          <w:sz w:val="24"/>
          <w:szCs w:val="24"/>
        </w:rPr>
        <w:t xml:space="preserve"> </w:t>
      </w:r>
      <w:r w:rsidRPr="002B7ABA">
        <w:rPr>
          <w:rFonts w:ascii="Times New Roman" w:hAnsi="Times New Roman" w:cs="Times New Roman"/>
          <w:i/>
          <w:iCs/>
          <w:sz w:val="24"/>
          <w:szCs w:val="24"/>
        </w:rPr>
        <w:t>(Linked to H4)</w:t>
      </w:r>
    </w:p>
    <w:p w14:paraId="14F0645A" w14:textId="3358DA98"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13. “Digital tools have reduced environmental impacts (e.g., fertiliser, pesticide, water use).”</w:t>
      </w:r>
      <w:r w:rsidRPr="002B7ABA">
        <w:rPr>
          <w:rFonts w:ascii="Times New Roman" w:hAnsi="Times New Roman" w:cs="Times New Roman"/>
          <w:sz w:val="24"/>
          <w:szCs w:val="24"/>
        </w:rPr>
        <w:br/>
        <w:t>- 1 = Strongly disagree → 5 = Strongly agree</w:t>
      </w:r>
    </w:p>
    <w:p w14:paraId="65467C14" w14:textId="77777777" w:rsidR="002B7ABA" w:rsidRPr="002B7ABA" w:rsidRDefault="002B7ABA" w:rsidP="002B7ABA">
      <w:pPr>
        <w:numPr>
          <w:ilvl w:val="0"/>
          <w:numId w:val="40"/>
        </w:num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“Digital technologies contribute to sustainable land management practices.”</w:t>
      </w:r>
    </w:p>
    <w:p w14:paraId="5C12EB9F" w14:textId="77777777"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 = Strongly disagree → 5 = Strongly agree</w:t>
      </w:r>
    </w:p>
    <w:p w14:paraId="1F0746D7" w14:textId="5C9EFE57" w:rsid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b/>
          <w:bCs/>
          <w:sz w:val="24"/>
          <w:szCs w:val="24"/>
        </w:rPr>
        <w:t xml:space="preserve">Section F – Open Question </w:t>
      </w:r>
    </w:p>
    <w:p w14:paraId="03E25A91" w14:textId="06CA6EBF" w:rsidR="002B7ABA" w:rsidRPr="002B7ABA" w:rsidRDefault="002B7ABA" w:rsidP="002B7ABA">
      <w:pPr>
        <w:spacing w:line="360" w:lineRule="auto"/>
        <w:jc w:val="both"/>
        <w:rPr>
          <w:rFonts w:ascii="Times New Roman" w:hAnsi="Times New Roman" w:cs="Times New Roman"/>
          <w:sz w:val="24"/>
          <w:szCs w:val="24"/>
        </w:rPr>
      </w:pPr>
      <w:r w:rsidRPr="002B7ABA">
        <w:rPr>
          <w:rFonts w:ascii="Times New Roman" w:hAnsi="Times New Roman" w:cs="Times New Roman"/>
          <w:sz w:val="24"/>
          <w:szCs w:val="24"/>
        </w:rPr>
        <w:t>15. Please describe one challenge you have faced in adopting digital technologies.</w:t>
      </w:r>
    </w:p>
    <w:p w14:paraId="215ED3EA" w14:textId="77777777" w:rsidR="002B7ABA" w:rsidRDefault="002B7ABA" w:rsidP="007573FC">
      <w:pPr>
        <w:spacing w:line="360" w:lineRule="auto"/>
        <w:jc w:val="both"/>
        <w:rPr>
          <w:rFonts w:ascii="Times New Roman" w:hAnsi="Times New Roman" w:cs="Times New Roman"/>
          <w:sz w:val="24"/>
          <w:szCs w:val="24"/>
        </w:rPr>
      </w:pPr>
    </w:p>
    <w:p w14:paraId="67A9CB0D" w14:textId="77777777" w:rsidR="002B7ABA" w:rsidRDefault="002B7ABA" w:rsidP="002B7ABA">
      <w:pPr>
        <w:rPr>
          <w:rFonts w:ascii="Times New Roman" w:hAnsi="Times New Roman" w:cs="Times New Roman"/>
          <w:sz w:val="24"/>
          <w:szCs w:val="24"/>
        </w:rPr>
      </w:pPr>
    </w:p>
    <w:p w14:paraId="196D18BE" w14:textId="77777777" w:rsidR="002B7ABA" w:rsidRPr="002B7ABA" w:rsidRDefault="002B7ABA" w:rsidP="002B7ABA">
      <w:pPr>
        <w:rPr>
          <w:rFonts w:ascii="Times New Roman" w:hAnsi="Times New Roman" w:cs="Times New Roman"/>
          <w:b/>
          <w:bCs/>
          <w:sz w:val="24"/>
          <w:szCs w:val="24"/>
        </w:rPr>
      </w:pPr>
      <w:r w:rsidRPr="002B7ABA">
        <w:rPr>
          <w:rFonts w:ascii="Times New Roman" w:hAnsi="Times New Roman" w:cs="Times New Roman"/>
          <w:b/>
          <w:bCs/>
          <w:sz w:val="24"/>
          <w:szCs w:val="24"/>
        </w:rPr>
        <w:t>Appendix B: SPSS Data Analysis Details</w:t>
      </w:r>
    </w:p>
    <w:p w14:paraId="095B00AD" w14:textId="77777777" w:rsidR="002B7ABA" w:rsidRPr="002B7ABA" w:rsidRDefault="002B7ABA" w:rsidP="002B7ABA">
      <w:pPr>
        <w:rPr>
          <w:rFonts w:ascii="Times New Roman" w:hAnsi="Times New Roman" w:cs="Times New Roman"/>
          <w:sz w:val="24"/>
          <w:szCs w:val="24"/>
        </w:rPr>
      </w:pPr>
      <w:r w:rsidRPr="002B7ABA">
        <w:rPr>
          <w:rFonts w:ascii="Times New Roman" w:hAnsi="Times New Roman" w:cs="Times New Roman"/>
          <w:sz w:val="24"/>
          <w:szCs w:val="24"/>
        </w:rPr>
        <w:t>Data were analysed using IBM SPSS Statistics (Version XX). The process included:</w:t>
      </w:r>
    </w:p>
    <w:p w14:paraId="0335AF0D"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t>Data Screening</w:t>
      </w:r>
    </w:p>
    <w:p w14:paraId="3D89386A"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Checked for missing values; cases with &gt;10% missing data were removed.</w:t>
      </w:r>
    </w:p>
    <w:p w14:paraId="5445FC8F"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Outliers tested using z-scores (&gt;3.0 flagged).</w:t>
      </w:r>
    </w:p>
    <w:p w14:paraId="1BF6DC08"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t>Reliability Testing</w:t>
      </w:r>
    </w:p>
    <w:p w14:paraId="6863EFD4"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Cronbach’s alpha was applied to multi-item scales (Usefulness, Ease of Use, Adoption Readiness, Efficiency, Sustainability).</w:t>
      </w:r>
    </w:p>
    <w:p w14:paraId="5CF47872"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All scales achieved α &gt; 0.7, indicating acceptable reliability.</w:t>
      </w:r>
    </w:p>
    <w:p w14:paraId="29BDA4DA"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t>Descriptive Statistics</w:t>
      </w:r>
    </w:p>
    <w:p w14:paraId="6B6A0733"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Frequencies and means were reported for demographic variables and key constructs.</w:t>
      </w:r>
    </w:p>
    <w:p w14:paraId="5DA31EB8"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t>Regression Analysis</w:t>
      </w:r>
    </w:p>
    <w:p w14:paraId="55DE67F6"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Multiple linear regression tested H1–H4 (predicting efficiency and sustainability outcomes).</w:t>
      </w:r>
    </w:p>
    <w:p w14:paraId="50473084"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Moderation analysis tested H5 using an interaction term (Adoption Readiness × Perceived Usefulness).</w:t>
      </w:r>
    </w:p>
    <w:p w14:paraId="561D2439"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t>Assumption Testing</w:t>
      </w:r>
    </w:p>
    <w:p w14:paraId="37038A9B"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Multicollinearity checked via Variance Inflation Factor (VIF &lt; 5).</w:t>
      </w:r>
    </w:p>
    <w:p w14:paraId="1DE9255E"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Normality assessed through skewness and kurtosis (&lt;±2).</w:t>
      </w:r>
    </w:p>
    <w:p w14:paraId="144B3E73"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Homoscedasticity confirmed by residual plots.</w:t>
      </w:r>
    </w:p>
    <w:p w14:paraId="25A77734" w14:textId="77777777" w:rsidR="002B7ABA" w:rsidRPr="002B7ABA" w:rsidRDefault="002B7ABA" w:rsidP="002B7ABA">
      <w:pPr>
        <w:numPr>
          <w:ilvl w:val="0"/>
          <w:numId w:val="41"/>
        </w:numPr>
        <w:rPr>
          <w:rFonts w:ascii="Times New Roman" w:hAnsi="Times New Roman" w:cs="Times New Roman"/>
          <w:sz w:val="24"/>
          <w:szCs w:val="24"/>
        </w:rPr>
      </w:pPr>
      <w:r w:rsidRPr="002B7ABA">
        <w:rPr>
          <w:rFonts w:ascii="Times New Roman" w:hAnsi="Times New Roman" w:cs="Times New Roman"/>
          <w:b/>
          <w:bCs/>
          <w:sz w:val="24"/>
          <w:szCs w:val="24"/>
        </w:rPr>
        <w:lastRenderedPageBreak/>
        <w:t>Reporting</w:t>
      </w:r>
    </w:p>
    <w:p w14:paraId="2494CCED" w14:textId="0FD3D3C8"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Regression coefficients (β), significance values (p)</w:t>
      </w:r>
      <w:r w:rsidR="00757256">
        <w:rPr>
          <w:rFonts w:ascii="Times New Roman" w:hAnsi="Times New Roman" w:cs="Times New Roman"/>
          <w:sz w:val="24"/>
          <w:szCs w:val="24"/>
        </w:rPr>
        <w:t xml:space="preserve"> and</w:t>
      </w:r>
      <w:r w:rsidRPr="002B7ABA">
        <w:rPr>
          <w:rFonts w:ascii="Times New Roman" w:hAnsi="Times New Roman" w:cs="Times New Roman"/>
          <w:sz w:val="24"/>
          <w:szCs w:val="24"/>
        </w:rPr>
        <w:t xml:space="preserve"> model R² were reported.</w:t>
      </w:r>
    </w:p>
    <w:p w14:paraId="7B865B10" w14:textId="77777777" w:rsidR="002B7ABA" w:rsidRPr="002B7ABA" w:rsidRDefault="002B7ABA" w:rsidP="002B7ABA">
      <w:pPr>
        <w:numPr>
          <w:ilvl w:val="1"/>
          <w:numId w:val="41"/>
        </w:numPr>
        <w:rPr>
          <w:rFonts w:ascii="Times New Roman" w:hAnsi="Times New Roman" w:cs="Times New Roman"/>
          <w:sz w:val="24"/>
          <w:szCs w:val="24"/>
        </w:rPr>
      </w:pPr>
      <w:r w:rsidRPr="002B7ABA">
        <w:rPr>
          <w:rFonts w:ascii="Times New Roman" w:hAnsi="Times New Roman" w:cs="Times New Roman"/>
          <w:sz w:val="24"/>
          <w:szCs w:val="24"/>
        </w:rPr>
        <w:t>Significant results were discussed in Chapter 4 with links to hypotheses.</w:t>
      </w:r>
    </w:p>
    <w:p w14:paraId="56B79C73" w14:textId="77777777" w:rsidR="002B7ABA" w:rsidRPr="002B7ABA" w:rsidRDefault="002B7ABA" w:rsidP="002B7ABA">
      <w:pPr>
        <w:rPr>
          <w:rFonts w:ascii="Times New Roman" w:hAnsi="Times New Roman" w:cs="Times New Roman"/>
          <w:sz w:val="24"/>
          <w:szCs w:val="24"/>
        </w:rPr>
      </w:pPr>
    </w:p>
    <w:sectPr w:rsidR="002B7ABA" w:rsidRPr="002B7AB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F311" w14:textId="77777777" w:rsidR="000E01AA" w:rsidRDefault="000E01AA" w:rsidP="00BC1529">
      <w:pPr>
        <w:spacing w:after="0" w:line="240" w:lineRule="auto"/>
      </w:pPr>
      <w:r>
        <w:separator/>
      </w:r>
    </w:p>
  </w:endnote>
  <w:endnote w:type="continuationSeparator" w:id="0">
    <w:p w14:paraId="38C895F9" w14:textId="77777777" w:rsidR="000E01AA" w:rsidRDefault="000E01AA" w:rsidP="00BC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ACF5A" w14:textId="77777777" w:rsidR="000E01AA" w:rsidRDefault="000E01AA" w:rsidP="00BC1529">
      <w:pPr>
        <w:spacing w:after="0" w:line="240" w:lineRule="auto"/>
      </w:pPr>
      <w:r>
        <w:separator/>
      </w:r>
    </w:p>
  </w:footnote>
  <w:footnote w:type="continuationSeparator" w:id="0">
    <w:p w14:paraId="3BB8E58B" w14:textId="77777777" w:rsidR="000E01AA" w:rsidRDefault="000E01AA" w:rsidP="00BC1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8323640"/>
      <w:docPartObj>
        <w:docPartGallery w:val="Page Numbers (Top of Page)"/>
        <w:docPartUnique/>
      </w:docPartObj>
    </w:sdtPr>
    <w:sdtEndPr>
      <w:rPr>
        <w:noProof/>
      </w:rPr>
    </w:sdtEndPr>
    <w:sdtContent>
      <w:p w14:paraId="3B7B911B" w14:textId="7204112A" w:rsidR="003E193A" w:rsidRDefault="003E19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07667D" w14:textId="77777777" w:rsidR="003E193A" w:rsidRDefault="003E1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17A"/>
    <w:multiLevelType w:val="multilevel"/>
    <w:tmpl w:val="6186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975AB"/>
    <w:multiLevelType w:val="multilevel"/>
    <w:tmpl w:val="E48C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A4B06"/>
    <w:multiLevelType w:val="multilevel"/>
    <w:tmpl w:val="EAC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A3ADF"/>
    <w:multiLevelType w:val="multilevel"/>
    <w:tmpl w:val="7908A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828DA"/>
    <w:multiLevelType w:val="multilevel"/>
    <w:tmpl w:val="CFD8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E0671"/>
    <w:multiLevelType w:val="multilevel"/>
    <w:tmpl w:val="8E42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6284E"/>
    <w:multiLevelType w:val="multilevel"/>
    <w:tmpl w:val="F92A48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C6975"/>
    <w:multiLevelType w:val="multilevel"/>
    <w:tmpl w:val="FBB26FA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35389A"/>
    <w:multiLevelType w:val="multilevel"/>
    <w:tmpl w:val="5718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13262"/>
    <w:multiLevelType w:val="multilevel"/>
    <w:tmpl w:val="4260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969AD"/>
    <w:multiLevelType w:val="multilevel"/>
    <w:tmpl w:val="C7E4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FE7E0C"/>
    <w:multiLevelType w:val="multilevel"/>
    <w:tmpl w:val="B1EA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B35EC"/>
    <w:multiLevelType w:val="multilevel"/>
    <w:tmpl w:val="D556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7C5EA2"/>
    <w:multiLevelType w:val="multilevel"/>
    <w:tmpl w:val="91C6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563FC"/>
    <w:multiLevelType w:val="multilevel"/>
    <w:tmpl w:val="ECDE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1F0BFF"/>
    <w:multiLevelType w:val="multilevel"/>
    <w:tmpl w:val="CCA6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95C23"/>
    <w:multiLevelType w:val="multilevel"/>
    <w:tmpl w:val="ECBA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312313"/>
    <w:multiLevelType w:val="multilevel"/>
    <w:tmpl w:val="760E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105D60"/>
    <w:multiLevelType w:val="multilevel"/>
    <w:tmpl w:val="DBD6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AC665C"/>
    <w:multiLevelType w:val="multilevel"/>
    <w:tmpl w:val="27600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F3053D"/>
    <w:multiLevelType w:val="multilevel"/>
    <w:tmpl w:val="2EF0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222D92"/>
    <w:multiLevelType w:val="multilevel"/>
    <w:tmpl w:val="E466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EA6F0F"/>
    <w:multiLevelType w:val="multilevel"/>
    <w:tmpl w:val="9DB2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AC3058"/>
    <w:multiLevelType w:val="multilevel"/>
    <w:tmpl w:val="D730CE8E"/>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826D9B"/>
    <w:multiLevelType w:val="multilevel"/>
    <w:tmpl w:val="62D0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3C06DC"/>
    <w:multiLevelType w:val="multilevel"/>
    <w:tmpl w:val="8A80D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876939"/>
    <w:multiLevelType w:val="multilevel"/>
    <w:tmpl w:val="FA84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57766E"/>
    <w:multiLevelType w:val="multilevel"/>
    <w:tmpl w:val="6A7A237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32096"/>
    <w:multiLevelType w:val="multilevel"/>
    <w:tmpl w:val="AA80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721AFD"/>
    <w:multiLevelType w:val="multilevel"/>
    <w:tmpl w:val="3D46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AA21D8"/>
    <w:multiLevelType w:val="multilevel"/>
    <w:tmpl w:val="3812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DD4397"/>
    <w:multiLevelType w:val="multilevel"/>
    <w:tmpl w:val="789A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511B37"/>
    <w:multiLevelType w:val="multilevel"/>
    <w:tmpl w:val="8FE6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F40811"/>
    <w:multiLevelType w:val="multilevel"/>
    <w:tmpl w:val="478A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961170"/>
    <w:multiLevelType w:val="multilevel"/>
    <w:tmpl w:val="6D52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AA495F"/>
    <w:multiLevelType w:val="multilevel"/>
    <w:tmpl w:val="0786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FE300F"/>
    <w:multiLevelType w:val="multilevel"/>
    <w:tmpl w:val="FE7E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F44736"/>
    <w:multiLevelType w:val="multilevel"/>
    <w:tmpl w:val="35D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757AA"/>
    <w:multiLevelType w:val="multilevel"/>
    <w:tmpl w:val="9C00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1C6F6C"/>
    <w:multiLevelType w:val="multilevel"/>
    <w:tmpl w:val="B2EE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3C2AD1"/>
    <w:multiLevelType w:val="multilevel"/>
    <w:tmpl w:val="81E2194C"/>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2680031">
    <w:abstractNumId w:val="28"/>
  </w:num>
  <w:num w:numId="2" w16cid:durableId="1996565910">
    <w:abstractNumId w:val="24"/>
  </w:num>
  <w:num w:numId="3" w16cid:durableId="359207272">
    <w:abstractNumId w:val="8"/>
  </w:num>
  <w:num w:numId="4" w16cid:durableId="199056623">
    <w:abstractNumId w:val="14"/>
  </w:num>
  <w:num w:numId="5" w16cid:durableId="1761177966">
    <w:abstractNumId w:val="12"/>
  </w:num>
  <w:num w:numId="6" w16cid:durableId="1576666546">
    <w:abstractNumId w:val="29"/>
  </w:num>
  <w:num w:numId="7" w16cid:durableId="1527909607">
    <w:abstractNumId w:val="21"/>
  </w:num>
  <w:num w:numId="8" w16cid:durableId="778643437">
    <w:abstractNumId w:val="11"/>
  </w:num>
  <w:num w:numId="9" w16cid:durableId="1432973246">
    <w:abstractNumId w:val="37"/>
  </w:num>
  <w:num w:numId="10" w16cid:durableId="342830081">
    <w:abstractNumId w:val="5"/>
  </w:num>
  <w:num w:numId="11" w16cid:durableId="690381407">
    <w:abstractNumId w:val="35"/>
  </w:num>
  <w:num w:numId="12" w16cid:durableId="2053075250">
    <w:abstractNumId w:val="13"/>
  </w:num>
  <w:num w:numId="13" w16cid:durableId="1133671164">
    <w:abstractNumId w:val="30"/>
  </w:num>
  <w:num w:numId="14" w16cid:durableId="1799032915">
    <w:abstractNumId w:val="39"/>
  </w:num>
  <w:num w:numId="15" w16cid:durableId="231237239">
    <w:abstractNumId w:val="38"/>
  </w:num>
  <w:num w:numId="16" w16cid:durableId="17584341">
    <w:abstractNumId w:val="19"/>
  </w:num>
  <w:num w:numId="17" w16cid:durableId="1860267135">
    <w:abstractNumId w:val="26"/>
  </w:num>
  <w:num w:numId="18" w16cid:durableId="1111316341">
    <w:abstractNumId w:val="1"/>
  </w:num>
  <w:num w:numId="19" w16cid:durableId="1676419618">
    <w:abstractNumId w:val="32"/>
  </w:num>
  <w:num w:numId="20" w16cid:durableId="1727799974">
    <w:abstractNumId w:val="15"/>
  </w:num>
  <w:num w:numId="21" w16cid:durableId="990400499">
    <w:abstractNumId w:val="18"/>
  </w:num>
  <w:num w:numId="22" w16cid:durableId="341737437">
    <w:abstractNumId w:val="20"/>
  </w:num>
  <w:num w:numId="23" w16cid:durableId="1642807395">
    <w:abstractNumId w:val="33"/>
  </w:num>
  <w:num w:numId="24" w16cid:durableId="2051032535">
    <w:abstractNumId w:val="31"/>
  </w:num>
  <w:num w:numId="25" w16cid:durableId="28379736">
    <w:abstractNumId w:val="10"/>
  </w:num>
  <w:num w:numId="26" w16cid:durableId="1659651987">
    <w:abstractNumId w:val="4"/>
  </w:num>
  <w:num w:numId="27" w16cid:durableId="1046249183">
    <w:abstractNumId w:val="2"/>
  </w:num>
  <w:num w:numId="28" w16cid:durableId="917398664">
    <w:abstractNumId w:val="22"/>
  </w:num>
  <w:num w:numId="29" w16cid:durableId="1042095323">
    <w:abstractNumId w:val="36"/>
  </w:num>
  <w:num w:numId="30" w16cid:durableId="731150005">
    <w:abstractNumId w:val="16"/>
  </w:num>
  <w:num w:numId="31" w16cid:durableId="1746226664">
    <w:abstractNumId w:val="0"/>
  </w:num>
  <w:num w:numId="32" w16cid:durableId="2009407993">
    <w:abstractNumId w:val="3"/>
  </w:num>
  <w:num w:numId="33" w16cid:durableId="1583224778">
    <w:abstractNumId w:val="9"/>
  </w:num>
  <w:num w:numId="34" w16cid:durableId="1799293994">
    <w:abstractNumId w:val="25"/>
  </w:num>
  <w:num w:numId="35" w16cid:durableId="689915920">
    <w:abstractNumId w:val="34"/>
  </w:num>
  <w:num w:numId="36" w16cid:durableId="1902204077">
    <w:abstractNumId w:val="27"/>
  </w:num>
  <w:num w:numId="37" w16cid:durableId="1894460121">
    <w:abstractNumId w:val="17"/>
  </w:num>
  <w:num w:numId="38" w16cid:durableId="1630472003">
    <w:abstractNumId w:val="7"/>
  </w:num>
  <w:num w:numId="39" w16cid:durableId="1442725598">
    <w:abstractNumId w:val="23"/>
  </w:num>
  <w:num w:numId="40" w16cid:durableId="2017993111">
    <w:abstractNumId w:val="40"/>
  </w:num>
  <w:num w:numId="41" w16cid:durableId="1154192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3FC"/>
    <w:rsid w:val="00023DE5"/>
    <w:rsid w:val="000E01AA"/>
    <w:rsid w:val="00137EA1"/>
    <w:rsid w:val="002B7ABA"/>
    <w:rsid w:val="00324A14"/>
    <w:rsid w:val="00342FC4"/>
    <w:rsid w:val="0034566E"/>
    <w:rsid w:val="00353D44"/>
    <w:rsid w:val="00370A81"/>
    <w:rsid w:val="00396361"/>
    <w:rsid w:val="003A19A2"/>
    <w:rsid w:val="003E193A"/>
    <w:rsid w:val="003E50FF"/>
    <w:rsid w:val="0049765A"/>
    <w:rsid w:val="004C263F"/>
    <w:rsid w:val="004E3976"/>
    <w:rsid w:val="004F6C9C"/>
    <w:rsid w:val="006B41C2"/>
    <w:rsid w:val="006E6AFA"/>
    <w:rsid w:val="00724263"/>
    <w:rsid w:val="00757256"/>
    <w:rsid w:val="007573FC"/>
    <w:rsid w:val="00797871"/>
    <w:rsid w:val="007E35EA"/>
    <w:rsid w:val="008974D6"/>
    <w:rsid w:val="008F4367"/>
    <w:rsid w:val="0092044E"/>
    <w:rsid w:val="00A30E35"/>
    <w:rsid w:val="00A86F61"/>
    <w:rsid w:val="00AA1056"/>
    <w:rsid w:val="00AA1E62"/>
    <w:rsid w:val="00B600A1"/>
    <w:rsid w:val="00BA78E1"/>
    <w:rsid w:val="00BB764B"/>
    <w:rsid w:val="00BC1529"/>
    <w:rsid w:val="00C23CF6"/>
    <w:rsid w:val="00C77F28"/>
    <w:rsid w:val="00D33521"/>
    <w:rsid w:val="00E5623A"/>
    <w:rsid w:val="00E91BBB"/>
    <w:rsid w:val="00ED6931"/>
    <w:rsid w:val="00F5606A"/>
    <w:rsid w:val="00F709D8"/>
    <w:rsid w:val="00F83DA8"/>
    <w:rsid w:val="00FF0C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2365"/>
  <w15:chartTrackingRefBased/>
  <w15:docId w15:val="{47DCBB55-4526-4E03-B0E3-0FDDACA2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3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73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73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73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73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73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3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3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3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3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73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73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73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73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73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3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3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3FC"/>
    <w:rPr>
      <w:rFonts w:eastAsiaTheme="majorEastAsia" w:cstheme="majorBidi"/>
      <w:color w:val="272727" w:themeColor="text1" w:themeTint="D8"/>
    </w:rPr>
  </w:style>
  <w:style w:type="paragraph" w:styleId="Title">
    <w:name w:val="Title"/>
    <w:basedOn w:val="Normal"/>
    <w:next w:val="Normal"/>
    <w:link w:val="TitleChar"/>
    <w:uiPriority w:val="10"/>
    <w:qFormat/>
    <w:rsid w:val="007573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3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3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3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3FC"/>
    <w:pPr>
      <w:spacing w:before="160"/>
      <w:jc w:val="center"/>
    </w:pPr>
    <w:rPr>
      <w:i/>
      <w:iCs/>
      <w:color w:val="404040" w:themeColor="text1" w:themeTint="BF"/>
    </w:rPr>
  </w:style>
  <w:style w:type="character" w:customStyle="1" w:styleId="QuoteChar">
    <w:name w:val="Quote Char"/>
    <w:basedOn w:val="DefaultParagraphFont"/>
    <w:link w:val="Quote"/>
    <w:uiPriority w:val="29"/>
    <w:rsid w:val="007573FC"/>
    <w:rPr>
      <w:i/>
      <w:iCs/>
      <w:color w:val="404040" w:themeColor="text1" w:themeTint="BF"/>
    </w:rPr>
  </w:style>
  <w:style w:type="paragraph" w:styleId="ListParagraph">
    <w:name w:val="List Paragraph"/>
    <w:basedOn w:val="Normal"/>
    <w:uiPriority w:val="34"/>
    <w:qFormat/>
    <w:rsid w:val="007573FC"/>
    <w:pPr>
      <w:ind w:left="720"/>
      <w:contextualSpacing/>
    </w:pPr>
  </w:style>
  <w:style w:type="character" w:styleId="IntenseEmphasis">
    <w:name w:val="Intense Emphasis"/>
    <w:basedOn w:val="DefaultParagraphFont"/>
    <w:uiPriority w:val="21"/>
    <w:qFormat/>
    <w:rsid w:val="007573FC"/>
    <w:rPr>
      <w:i/>
      <w:iCs/>
      <w:color w:val="2F5496" w:themeColor="accent1" w:themeShade="BF"/>
    </w:rPr>
  </w:style>
  <w:style w:type="paragraph" w:styleId="IntenseQuote">
    <w:name w:val="Intense Quote"/>
    <w:basedOn w:val="Normal"/>
    <w:next w:val="Normal"/>
    <w:link w:val="IntenseQuoteChar"/>
    <w:uiPriority w:val="30"/>
    <w:qFormat/>
    <w:rsid w:val="007573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73FC"/>
    <w:rPr>
      <w:i/>
      <w:iCs/>
      <w:color w:val="2F5496" w:themeColor="accent1" w:themeShade="BF"/>
    </w:rPr>
  </w:style>
  <w:style w:type="character" w:styleId="IntenseReference">
    <w:name w:val="Intense Reference"/>
    <w:basedOn w:val="DefaultParagraphFont"/>
    <w:uiPriority w:val="32"/>
    <w:qFormat/>
    <w:rsid w:val="007573FC"/>
    <w:rPr>
      <w:b/>
      <w:bCs/>
      <w:smallCaps/>
      <w:color w:val="2F5496" w:themeColor="accent1" w:themeShade="BF"/>
      <w:spacing w:val="5"/>
    </w:rPr>
  </w:style>
  <w:style w:type="table" w:styleId="TableGrid">
    <w:name w:val="Table Grid"/>
    <w:basedOn w:val="TableNormal"/>
    <w:uiPriority w:val="39"/>
    <w:rsid w:val="00F56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1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529"/>
  </w:style>
  <w:style w:type="paragraph" w:styleId="Footer">
    <w:name w:val="footer"/>
    <w:basedOn w:val="Normal"/>
    <w:link w:val="FooterChar"/>
    <w:uiPriority w:val="99"/>
    <w:unhideWhenUsed/>
    <w:rsid w:val="00BC1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6810">
      <w:bodyDiv w:val="1"/>
      <w:marLeft w:val="0"/>
      <w:marRight w:val="0"/>
      <w:marTop w:val="0"/>
      <w:marBottom w:val="0"/>
      <w:divBdr>
        <w:top w:val="none" w:sz="0" w:space="0" w:color="auto"/>
        <w:left w:val="none" w:sz="0" w:space="0" w:color="auto"/>
        <w:bottom w:val="none" w:sz="0" w:space="0" w:color="auto"/>
        <w:right w:val="none" w:sz="0" w:space="0" w:color="auto"/>
      </w:divBdr>
    </w:div>
    <w:div w:id="90048357">
      <w:bodyDiv w:val="1"/>
      <w:marLeft w:val="0"/>
      <w:marRight w:val="0"/>
      <w:marTop w:val="0"/>
      <w:marBottom w:val="0"/>
      <w:divBdr>
        <w:top w:val="none" w:sz="0" w:space="0" w:color="auto"/>
        <w:left w:val="none" w:sz="0" w:space="0" w:color="auto"/>
        <w:bottom w:val="none" w:sz="0" w:space="0" w:color="auto"/>
        <w:right w:val="none" w:sz="0" w:space="0" w:color="auto"/>
      </w:divBdr>
    </w:div>
    <w:div w:id="146552462">
      <w:bodyDiv w:val="1"/>
      <w:marLeft w:val="0"/>
      <w:marRight w:val="0"/>
      <w:marTop w:val="0"/>
      <w:marBottom w:val="0"/>
      <w:divBdr>
        <w:top w:val="none" w:sz="0" w:space="0" w:color="auto"/>
        <w:left w:val="none" w:sz="0" w:space="0" w:color="auto"/>
        <w:bottom w:val="none" w:sz="0" w:space="0" w:color="auto"/>
        <w:right w:val="none" w:sz="0" w:space="0" w:color="auto"/>
      </w:divBdr>
    </w:div>
    <w:div w:id="199824661">
      <w:bodyDiv w:val="1"/>
      <w:marLeft w:val="0"/>
      <w:marRight w:val="0"/>
      <w:marTop w:val="0"/>
      <w:marBottom w:val="0"/>
      <w:divBdr>
        <w:top w:val="none" w:sz="0" w:space="0" w:color="auto"/>
        <w:left w:val="none" w:sz="0" w:space="0" w:color="auto"/>
        <w:bottom w:val="none" w:sz="0" w:space="0" w:color="auto"/>
        <w:right w:val="none" w:sz="0" w:space="0" w:color="auto"/>
      </w:divBdr>
    </w:div>
    <w:div w:id="328220233">
      <w:bodyDiv w:val="1"/>
      <w:marLeft w:val="0"/>
      <w:marRight w:val="0"/>
      <w:marTop w:val="0"/>
      <w:marBottom w:val="0"/>
      <w:divBdr>
        <w:top w:val="none" w:sz="0" w:space="0" w:color="auto"/>
        <w:left w:val="none" w:sz="0" w:space="0" w:color="auto"/>
        <w:bottom w:val="none" w:sz="0" w:space="0" w:color="auto"/>
        <w:right w:val="none" w:sz="0" w:space="0" w:color="auto"/>
      </w:divBdr>
    </w:div>
    <w:div w:id="424031846">
      <w:bodyDiv w:val="1"/>
      <w:marLeft w:val="0"/>
      <w:marRight w:val="0"/>
      <w:marTop w:val="0"/>
      <w:marBottom w:val="0"/>
      <w:divBdr>
        <w:top w:val="none" w:sz="0" w:space="0" w:color="auto"/>
        <w:left w:val="none" w:sz="0" w:space="0" w:color="auto"/>
        <w:bottom w:val="none" w:sz="0" w:space="0" w:color="auto"/>
        <w:right w:val="none" w:sz="0" w:space="0" w:color="auto"/>
      </w:divBdr>
    </w:div>
    <w:div w:id="518663403">
      <w:bodyDiv w:val="1"/>
      <w:marLeft w:val="0"/>
      <w:marRight w:val="0"/>
      <w:marTop w:val="0"/>
      <w:marBottom w:val="0"/>
      <w:divBdr>
        <w:top w:val="none" w:sz="0" w:space="0" w:color="auto"/>
        <w:left w:val="none" w:sz="0" w:space="0" w:color="auto"/>
        <w:bottom w:val="none" w:sz="0" w:space="0" w:color="auto"/>
        <w:right w:val="none" w:sz="0" w:space="0" w:color="auto"/>
      </w:divBdr>
    </w:div>
    <w:div w:id="552892072">
      <w:bodyDiv w:val="1"/>
      <w:marLeft w:val="0"/>
      <w:marRight w:val="0"/>
      <w:marTop w:val="0"/>
      <w:marBottom w:val="0"/>
      <w:divBdr>
        <w:top w:val="none" w:sz="0" w:space="0" w:color="auto"/>
        <w:left w:val="none" w:sz="0" w:space="0" w:color="auto"/>
        <w:bottom w:val="none" w:sz="0" w:space="0" w:color="auto"/>
        <w:right w:val="none" w:sz="0" w:space="0" w:color="auto"/>
      </w:divBdr>
    </w:div>
    <w:div w:id="619144039">
      <w:bodyDiv w:val="1"/>
      <w:marLeft w:val="0"/>
      <w:marRight w:val="0"/>
      <w:marTop w:val="0"/>
      <w:marBottom w:val="0"/>
      <w:divBdr>
        <w:top w:val="none" w:sz="0" w:space="0" w:color="auto"/>
        <w:left w:val="none" w:sz="0" w:space="0" w:color="auto"/>
        <w:bottom w:val="none" w:sz="0" w:space="0" w:color="auto"/>
        <w:right w:val="none" w:sz="0" w:space="0" w:color="auto"/>
      </w:divBdr>
    </w:div>
    <w:div w:id="632834759">
      <w:bodyDiv w:val="1"/>
      <w:marLeft w:val="0"/>
      <w:marRight w:val="0"/>
      <w:marTop w:val="0"/>
      <w:marBottom w:val="0"/>
      <w:divBdr>
        <w:top w:val="none" w:sz="0" w:space="0" w:color="auto"/>
        <w:left w:val="none" w:sz="0" w:space="0" w:color="auto"/>
        <w:bottom w:val="none" w:sz="0" w:space="0" w:color="auto"/>
        <w:right w:val="none" w:sz="0" w:space="0" w:color="auto"/>
      </w:divBdr>
    </w:div>
    <w:div w:id="634917209">
      <w:bodyDiv w:val="1"/>
      <w:marLeft w:val="0"/>
      <w:marRight w:val="0"/>
      <w:marTop w:val="0"/>
      <w:marBottom w:val="0"/>
      <w:divBdr>
        <w:top w:val="none" w:sz="0" w:space="0" w:color="auto"/>
        <w:left w:val="none" w:sz="0" w:space="0" w:color="auto"/>
        <w:bottom w:val="none" w:sz="0" w:space="0" w:color="auto"/>
        <w:right w:val="none" w:sz="0" w:space="0" w:color="auto"/>
      </w:divBdr>
      <w:divsChild>
        <w:div w:id="1329669422">
          <w:marLeft w:val="0"/>
          <w:marRight w:val="0"/>
          <w:marTop w:val="0"/>
          <w:marBottom w:val="0"/>
          <w:divBdr>
            <w:top w:val="none" w:sz="0" w:space="0" w:color="auto"/>
            <w:left w:val="none" w:sz="0" w:space="0" w:color="auto"/>
            <w:bottom w:val="none" w:sz="0" w:space="0" w:color="auto"/>
            <w:right w:val="none" w:sz="0" w:space="0" w:color="auto"/>
          </w:divBdr>
          <w:divsChild>
            <w:div w:id="1692687655">
              <w:marLeft w:val="0"/>
              <w:marRight w:val="0"/>
              <w:marTop w:val="0"/>
              <w:marBottom w:val="0"/>
              <w:divBdr>
                <w:top w:val="none" w:sz="0" w:space="0" w:color="auto"/>
                <w:left w:val="none" w:sz="0" w:space="0" w:color="auto"/>
                <w:bottom w:val="none" w:sz="0" w:space="0" w:color="auto"/>
                <w:right w:val="none" w:sz="0" w:space="0" w:color="auto"/>
              </w:divBdr>
            </w:div>
          </w:divsChild>
        </w:div>
        <w:div w:id="2106420306">
          <w:marLeft w:val="0"/>
          <w:marRight w:val="0"/>
          <w:marTop w:val="0"/>
          <w:marBottom w:val="0"/>
          <w:divBdr>
            <w:top w:val="none" w:sz="0" w:space="0" w:color="auto"/>
            <w:left w:val="none" w:sz="0" w:space="0" w:color="auto"/>
            <w:bottom w:val="none" w:sz="0" w:space="0" w:color="auto"/>
            <w:right w:val="none" w:sz="0" w:space="0" w:color="auto"/>
          </w:divBdr>
          <w:divsChild>
            <w:div w:id="1403066890">
              <w:marLeft w:val="0"/>
              <w:marRight w:val="0"/>
              <w:marTop w:val="0"/>
              <w:marBottom w:val="0"/>
              <w:divBdr>
                <w:top w:val="none" w:sz="0" w:space="0" w:color="auto"/>
                <w:left w:val="none" w:sz="0" w:space="0" w:color="auto"/>
                <w:bottom w:val="none" w:sz="0" w:space="0" w:color="auto"/>
                <w:right w:val="none" w:sz="0" w:space="0" w:color="auto"/>
              </w:divBdr>
            </w:div>
          </w:divsChild>
        </w:div>
        <w:div w:id="1117214740">
          <w:marLeft w:val="0"/>
          <w:marRight w:val="0"/>
          <w:marTop w:val="0"/>
          <w:marBottom w:val="0"/>
          <w:divBdr>
            <w:top w:val="none" w:sz="0" w:space="0" w:color="auto"/>
            <w:left w:val="none" w:sz="0" w:space="0" w:color="auto"/>
            <w:bottom w:val="none" w:sz="0" w:space="0" w:color="auto"/>
            <w:right w:val="none" w:sz="0" w:space="0" w:color="auto"/>
          </w:divBdr>
          <w:divsChild>
            <w:div w:id="1222055686">
              <w:marLeft w:val="0"/>
              <w:marRight w:val="0"/>
              <w:marTop w:val="0"/>
              <w:marBottom w:val="0"/>
              <w:divBdr>
                <w:top w:val="none" w:sz="0" w:space="0" w:color="auto"/>
                <w:left w:val="none" w:sz="0" w:space="0" w:color="auto"/>
                <w:bottom w:val="none" w:sz="0" w:space="0" w:color="auto"/>
                <w:right w:val="none" w:sz="0" w:space="0" w:color="auto"/>
              </w:divBdr>
            </w:div>
          </w:divsChild>
        </w:div>
        <w:div w:id="1410227152">
          <w:marLeft w:val="0"/>
          <w:marRight w:val="0"/>
          <w:marTop w:val="0"/>
          <w:marBottom w:val="0"/>
          <w:divBdr>
            <w:top w:val="none" w:sz="0" w:space="0" w:color="auto"/>
            <w:left w:val="none" w:sz="0" w:space="0" w:color="auto"/>
            <w:bottom w:val="none" w:sz="0" w:space="0" w:color="auto"/>
            <w:right w:val="none" w:sz="0" w:space="0" w:color="auto"/>
          </w:divBdr>
          <w:divsChild>
            <w:div w:id="1289043150">
              <w:marLeft w:val="0"/>
              <w:marRight w:val="0"/>
              <w:marTop w:val="0"/>
              <w:marBottom w:val="0"/>
              <w:divBdr>
                <w:top w:val="none" w:sz="0" w:space="0" w:color="auto"/>
                <w:left w:val="none" w:sz="0" w:space="0" w:color="auto"/>
                <w:bottom w:val="none" w:sz="0" w:space="0" w:color="auto"/>
                <w:right w:val="none" w:sz="0" w:space="0" w:color="auto"/>
              </w:divBdr>
            </w:div>
          </w:divsChild>
        </w:div>
        <w:div w:id="671568733">
          <w:marLeft w:val="0"/>
          <w:marRight w:val="0"/>
          <w:marTop w:val="0"/>
          <w:marBottom w:val="0"/>
          <w:divBdr>
            <w:top w:val="none" w:sz="0" w:space="0" w:color="auto"/>
            <w:left w:val="none" w:sz="0" w:space="0" w:color="auto"/>
            <w:bottom w:val="none" w:sz="0" w:space="0" w:color="auto"/>
            <w:right w:val="none" w:sz="0" w:space="0" w:color="auto"/>
          </w:divBdr>
          <w:divsChild>
            <w:div w:id="1792631496">
              <w:marLeft w:val="0"/>
              <w:marRight w:val="0"/>
              <w:marTop w:val="0"/>
              <w:marBottom w:val="0"/>
              <w:divBdr>
                <w:top w:val="none" w:sz="0" w:space="0" w:color="auto"/>
                <w:left w:val="none" w:sz="0" w:space="0" w:color="auto"/>
                <w:bottom w:val="none" w:sz="0" w:space="0" w:color="auto"/>
                <w:right w:val="none" w:sz="0" w:space="0" w:color="auto"/>
              </w:divBdr>
            </w:div>
          </w:divsChild>
        </w:div>
        <w:div w:id="178399336">
          <w:marLeft w:val="0"/>
          <w:marRight w:val="0"/>
          <w:marTop w:val="0"/>
          <w:marBottom w:val="0"/>
          <w:divBdr>
            <w:top w:val="none" w:sz="0" w:space="0" w:color="auto"/>
            <w:left w:val="none" w:sz="0" w:space="0" w:color="auto"/>
            <w:bottom w:val="none" w:sz="0" w:space="0" w:color="auto"/>
            <w:right w:val="none" w:sz="0" w:space="0" w:color="auto"/>
          </w:divBdr>
          <w:divsChild>
            <w:div w:id="1134181774">
              <w:marLeft w:val="0"/>
              <w:marRight w:val="0"/>
              <w:marTop w:val="0"/>
              <w:marBottom w:val="0"/>
              <w:divBdr>
                <w:top w:val="none" w:sz="0" w:space="0" w:color="auto"/>
                <w:left w:val="none" w:sz="0" w:space="0" w:color="auto"/>
                <w:bottom w:val="none" w:sz="0" w:space="0" w:color="auto"/>
                <w:right w:val="none" w:sz="0" w:space="0" w:color="auto"/>
              </w:divBdr>
            </w:div>
          </w:divsChild>
        </w:div>
        <w:div w:id="825626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1663352">
      <w:bodyDiv w:val="1"/>
      <w:marLeft w:val="0"/>
      <w:marRight w:val="0"/>
      <w:marTop w:val="0"/>
      <w:marBottom w:val="0"/>
      <w:divBdr>
        <w:top w:val="none" w:sz="0" w:space="0" w:color="auto"/>
        <w:left w:val="none" w:sz="0" w:space="0" w:color="auto"/>
        <w:bottom w:val="none" w:sz="0" w:space="0" w:color="auto"/>
        <w:right w:val="none" w:sz="0" w:space="0" w:color="auto"/>
      </w:divBdr>
    </w:div>
    <w:div w:id="718162659">
      <w:bodyDiv w:val="1"/>
      <w:marLeft w:val="0"/>
      <w:marRight w:val="0"/>
      <w:marTop w:val="0"/>
      <w:marBottom w:val="0"/>
      <w:divBdr>
        <w:top w:val="none" w:sz="0" w:space="0" w:color="auto"/>
        <w:left w:val="none" w:sz="0" w:space="0" w:color="auto"/>
        <w:bottom w:val="none" w:sz="0" w:space="0" w:color="auto"/>
        <w:right w:val="none" w:sz="0" w:space="0" w:color="auto"/>
      </w:divBdr>
    </w:div>
    <w:div w:id="719326112">
      <w:bodyDiv w:val="1"/>
      <w:marLeft w:val="0"/>
      <w:marRight w:val="0"/>
      <w:marTop w:val="0"/>
      <w:marBottom w:val="0"/>
      <w:divBdr>
        <w:top w:val="none" w:sz="0" w:space="0" w:color="auto"/>
        <w:left w:val="none" w:sz="0" w:space="0" w:color="auto"/>
        <w:bottom w:val="none" w:sz="0" w:space="0" w:color="auto"/>
        <w:right w:val="none" w:sz="0" w:space="0" w:color="auto"/>
      </w:divBdr>
    </w:div>
    <w:div w:id="720515269">
      <w:bodyDiv w:val="1"/>
      <w:marLeft w:val="0"/>
      <w:marRight w:val="0"/>
      <w:marTop w:val="0"/>
      <w:marBottom w:val="0"/>
      <w:divBdr>
        <w:top w:val="none" w:sz="0" w:space="0" w:color="auto"/>
        <w:left w:val="none" w:sz="0" w:space="0" w:color="auto"/>
        <w:bottom w:val="none" w:sz="0" w:space="0" w:color="auto"/>
        <w:right w:val="none" w:sz="0" w:space="0" w:color="auto"/>
      </w:divBdr>
    </w:div>
    <w:div w:id="745148515">
      <w:bodyDiv w:val="1"/>
      <w:marLeft w:val="0"/>
      <w:marRight w:val="0"/>
      <w:marTop w:val="0"/>
      <w:marBottom w:val="0"/>
      <w:divBdr>
        <w:top w:val="none" w:sz="0" w:space="0" w:color="auto"/>
        <w:left w:val="none" w:sz="0" w:space="0" w:color="auto"/>
        <w:bottom w:val="none" w:sz="0" w:space="0" w:color="auto"/>
        <w:right w:val="none" w:sz="0" w:space="0" w:color="auto"/>
      </w:divBdr>
    </w:div>
    <w:div w:id="861670218">
      <w:bodyDiv w:val="1"/>
      <w:marLeft w:val="0"/>
      <w:marRight w:val="0"/>
      <w:marTop w:val="0"/>
      <w:marBottom w:val="0"/>
      <w:divBdr>
        <w:top w:val="none" w:sz="0" w:space="0" w:color="auto"/>
        <w:left w:val="none" w:sz="0" w:space="0" w:color="auto"/>
        <w:bottom w:val="none" w:sz="0" w:space="0" w:color="auto"/>
        <w:right w:val="none" w:sz="0" w:space="0" w:color="auto"/>
      </w:divBdr>
    </w:div>
    <w:div w:id="901332884">
      <w:bodyDiv w:val="1"/>
      <w:marLeft w:val="0"/>
      <w:marRight w:val="0"/>
      <w:marTop w:val="0"/>
      <w:marBottom w:val="0"/>
      <w:divBdr>
        <w:top w:val="none" w:sz="0" w:space="0" w:color="auto"/>
        <w:left w:val="none" w:sz="0" w:space="0" w:color="auto"/>
        <w:bottom w:val="none" w:sz="0" w:space="0" w:color="auto"/>
        <w:right w:val="none" w:sz="0" w:space="0" w:color="auto"/>
      </w:divBdr>
    </w:div>
    <w:div w:id="925842967">
      <w:bodyDiv w:val="1"/>
      <w:marLeft w:val="0"/>
      <w:marRight w:val="0"/>
      <w:marTop w:val="0"/>
      <w:marBottom w:val="0"/>
      <w:divBdr>
        <w:top w:val="none" w:sz="0" w:space="0" w:color="auto"/>
        <w:left w:val="none" w:sz="0" w:space="0" w:color="auto"/>
        <w:bottom w:val="none" w:sz="0" w:space="0" w:color="auto"/>
        <w:right w:val="none" w:sz="0" w:space="0" w:color="auto"/>
      </w:divBdr>
    </w:div>
    <w:div w:id="1386828971">
      <w:bodyDiv w:val="1"/>
      <w:marLeft w:val="0"/>
      <w:marRight w:val="0"/>
      <w:marTop w:val="0"/>
      <w:marBottom w:val="0"/>
      <w:divBdr>
        <w:top w:val="none" w:sz="0" w:space="0" w:color="auto"/>
        <w:left w:val="none" w:sz="0" w:space="0" w:color="auto"/>
        <w:bottom w:val="none" w:sz="0" w:space="0" w:color="auto"/>
        <w:right w:val="none" w:sz="0" w:space="0" w:color="auto"/>
      </w:divBdr>
    </w:div>
    <w:div w:id="1627815592">
      <w:bodyDiv w:val="1"/>
      <w:marLeft w:val="0"/>
      <w:marRight w:val="0"/>
      <w:marTop w:val="0"/>
      <w:marBottom w:val="0"/>
      <w:divBdr>
        <w:top w:val="none" w:sz="0" w:space="0" w:color="auto"/>
        <w:left w:val="none" w:sz="0" w:space="0" w:color="auto"/>
        <w:bottom w:val="none" w:sz="0" w:space="0" w:color="auto"/>
        <w:right w:val="none" w:sz="0" w:space="0" w:color="auto"/>
      </w:divBdr>
    </w:div>
    <w:div w:id="1640450839">
      <w:bodyDiv w:val="1"/>
      <w:marLeft w:val="0"/>
      <w:marRight w:val="0"/>
      <w:marTop w:val="0"/>
      <w:marBottom w:val="0"/>
      <w:divBdr>
        <w:top w:val="none" w:sz="0" w:space="0" w:color="auto"/>
        <w:left w:val="none" w:sz="0" w:space="0" w:color="auto"/>
        <w:bottom w:val="none" w:sz="0" w:space="0" w:color="auto"/>
        <w:right w:val="none" w:sz="0" w:space="0" w:color="auto"/>
      </w:divBdr>
    </w:div>
    <w:div w:id="1649282573">
      <w:bodyDiv w:val="1"/>
      <w:marLeft w:val="0"/>
      <w:marRight w:val="0"/>
      <w:marTop w:val="0"/>
      <w:marBottom w:val="0"/>
      <w:divBdr>
        <w:top w:val="none" w:sz="0" w:space="0" w:color="auto"/>
        <w:left w:val="none" w:sz="0" w:space="0" w:color="auto"/>
        <w:bottom w:val="none" w:sz="0" w:space="0" w:color="auto"/>
        <w:right w:val="none" w:sz="0" w:space="0" w:color="auto"/>
      </w:divBdr>
    </w:div>
    <w:div w:id="1789080283">
      <w:bodyDiv w:val="1"/>
      <w:marLeft w:val="0"/>
      <w:marRight w:val="0"/>
      <w:marTop w:val="0"/>
      <w:marBottom w:val="0"/>
      <w:divBdr>
        <w:top w:val="none" w:sz="0" w:space="0" w:color="auto"/>
        <w:left w:val="none" w:sz="0" w:space="0" w:color="auto"/>
        <w:bottom w:val="none" w:sz="0" w:space="0" w:color="auto"/>
        <w:right w:val="none" w:sz="0" w:space="0" w:color="auto"/>
      </w:divBdr>
    </w:div>
    <w:div w:id="1825464337">
      <w:bodyDiv w:val="1"/>
      <w:marLeft w:val="0"/>
      <w:marRight w:val="0"/>
      <w:marTop w:val="0"/>
      <w:marBottom w:val="0"/>
      <w:divBdr>
        <w:top w:val="none" w:sz="0" w:space="0" w:color="auto"/>
        <w:left w:val="none" w:sz="0" w:space="0" w:color="auto"/>
        <w:bottom w:val="none" w:sz="0" w:space="0" w:color="auto"/>
        <w:right w:val="none" w:sz="0" w:space="0" w:color="auto"/>
      </w:divBdr>
    </w:div>
    <w:div w:id="1852715928">
      <w:bodyDiv w:val="1"/>
      <w:marLeft w:val="0"/>
      <w:marRight w:val="0"/>
      <w:marTop w:val="0"/>
      <w:marBottom w:val="0"/>
      <w:divBdr>
        <w:top w:val="none" w:sz="0" w:space="0" w:color="auto"/>
        <w:left w:val="none" w:sz="0" w:space="0" w:color="auto"/>
        <w:bottom w:val="none" w:sz="0" w:space="0" w:color="auto"/>
        <w:right w:val="none" w:sz="0" w:space="0" w:color="auto"/>
      </w:divBdr>
    </w:div>
    <w:div w:id="1857381680">
      <w:bodyDiv w:val="1"/>
      <w:marLeft w:val="0"/>
      <w:marRight w:val="0"/>
      <w:marTop w:val="0"/>
      <w:marBottom w:val="0"/>
      <w:divBdr>
        <w:top w:val="none" w:sz="0" w:space="0" w:color="auto"/>
        <w:left w:val="none" w:sz="0" w:space="0" w:color="auto"/>
        <w:bottom w:val="none" w:sz="0" w:space="0" w:color="auto"/>
        <w:right w:val="none" w:sz="0" w:space="0" w:color="auto"/>
      </w:divBdr>
    </w:div>
    <w:div w:id="1893810541">
      <w:bodyDiv w:val="1"/>
      <w:marLeft w:val="0"/>
      <w:marRight w:val="0"/>
      <w:marTop w:val="0"/>
      <w:marBottom w:val="0"/>
      <w:divBdr>
        <w:top w:val="none" w:sz="0" w:space="0" w:color="auto"/>
        <w:left w:val="none" w:sz="0" w:space="0" w:color="auto"/>
        <w:bottom w:val="none" w:sz="0" w:space="0" w:color="auto"/>
        <w:right w:val="none" w:sz="0" w:space="0" w:color="auto"/>
      </w:divBdr>
    </w:div>
    <w:div w:id="1936672350">
      <w:bodyDiv w:val="1"/>
      <w:marLeft w:val="0"/>
      <w:marRight w:val="0"/>
      <w:marTop w:val="0"/>
      <w:marBottom w:val="0"/>
      <w:divBdr>
        <w:top w:val="none" w:sz="0" w:space="0" w:color="auto"/>
        <w:left w:val="none" w:sz="0" w:space="0" w:color="auto"/>
        <w:bottom w:val="none" w:sz="0" w:space="0" w:color="auto"/>
        <w:right w:val="none" w:sz="0" w:space="0" w:color="auto"/>
      </w:divBdr>
      <w:divsChild>
        <w:div w:id="652607988">
          <w:marLeft w:val="0"/>
          <w:marRight w:val="0"/>
          <w:marTop w:val="0"/>
          <w:marBottom w:val="0"/>
          <w:divBdr>
            <w:top w:val="none" w:sz="0" w:space="0" w:color="auto"/>
            <w:left w:val="none" w:sz="0" w:space="0" w:color="auto"/>
            <w:bottom w:val="none" w:sz="0" w:space="0" w:color="auto"/>
            <w:right w:val="none" w:sz="0" w:space="0" w:color="auto"/>
          </w:divBdr>
          <w:divsChild>
            <w:div w:id="361788018">
              <w:marLeft w:val="0"/>
              <w:marRight w:val="0"/>
              <w:marTop w:val="0"/>
              <w:marBottom w:val="0"/>
              <w:divBdr>
                <w:top w:val="none" w:sz="0" w:space="0" w:color="auto"/>
                <w:left w:val="none" w:sz="0" w:space="0" w:color="auto"/>
                <w:bottom w:val="none" w:sz="0" w:space="0" w:color="auto"/>
                <w:right w:val="none" w:sz="0" w:space="0" w:color="auto"/>
              </w:divBdr>
            </w:div>
          </w:divsChild>
        </w:div>
        <w:div w:id="581526455">
          <w:marLeft w:val="0"/>
          <w:marRight w:val="0"/>
          <w:marTop w:val="0"/>
          <w:marBottom w:val="0"/>
          <w:divBdr>
            <w:top w:val="none" w:sz="0" w:space="0" w:color="auto"/>
            <w:left w:val="none" w:sz="0" w:space="0" w:color="auto"/>
            <w:bottom w:val="none" w:sz="0" w:space="0" w:color="auto"/>
            <w:right w:val="none" w:sz="0" w:space="0" w:color="auto"/>
          </w:divBdr>
          <w:divsChild>
            <w:div w:id="1412581765">
              <w:marLeft w:val="0"/>
              <w:marRight w:val="0"/>
              <w:marTop w:val="0"/>
              <w:marBottom w:val="0"/>
              <w:divBdr>
                <w:top w:val="none" w:sz="0" w:space="0" w:color="auto"/>
                <w:left w:val="none" w:sz="0" w:space="0" w:color="auto"/>
                <w:bottom w:val="none" w:sz="0" w:space="0" w:color="auto"/>
                <w:right w:val="none" w:sz="0" w:space="0" w:color="auto"/>
              </w:divBdr>
            </w:div>
          </w:divsChild>
        </w:div>
        <w:div w:id="1460955403">
          <w:marLeft w:val="0"/>
          <w:marRight w:val="0"/>
          <w:marTop w:val="0"/>
          <w:marBottom w:val="0"/>
          <w:divBdr>
            <w:top w:val="none" w:sz="0" w:space="0" w:color="auto"/>
            <w:left w:val="none" w:sz="0" w:space="0" w:color="auto"/>
            <w:bottom w:val="none" w:sz="0" w:space="0" w:color="auto"/>
            <w:right w:val="none" w:sz="0" w:space="0" w:color="auto"/>
          </w:divBdr>
          <w:divsChild>
            <w:div w:id="315839259">
              <w:marLeft w:val="0"/>
              <w:marRight w:val="0"/>
              <w:marTop w:val="0"/>
              <w:marBottom w:val="0"/>
              <w:divBdr>
                <w:top w:val="none" w:sz="0" w:space="0" w:color="auto"/>
                <w:left w:val="none" w:sz="0" w:space="0" w:color="auto"/>
                <w:bottom w:val="none" w:sz="0" w:space="0" w:color="auto"/>
                <w:right w:val="none" w:sz="0" w:space="0" w:color="auto"/>
              </w:divBdr>
            </w:div>
          </w:divsChild>
        </w:div>
        <w:div w:id="28117845">
          <w:marLeft w:val="0"/>
          <w:marRight w:val="0"/>
          <w:marTop w:val="0"/>
          <w:marBottom w:val="0"/>
          <w:divBdr>
            <w:top w:val="none" w:sz="0" w:space="0" w:color="auto"/>
            <w:left w:val="none" w:sz="0" w:space="0" w:color="auto"/>
            <w:bottom w:val="none" w:sz="0" w:space="0" w:color="auto"/>
            <w:right w:val="none" w:sz="0" w:space="0" w:color="auto"/>
          </w:divBdr>
          <w:divsChild>
            <w:div w:id="42140222">
              <w:marLeft w:val="0"/>
              <w:marRight w:val="0"/>
              <w:marTop w:val="0"/>
              <w:marBottom w:val="0"/>
              <w:divBdr>
                <w:top w:val="none" w:sz="0" w:space="0" w:color="auto"/>
                <w:left w:val="none" w:sz="0" w:space="0" w:color="auto"/>
                <w:bottom w:val="none" w:sz="0" w:space="0" w:color="auto"/>
                <w:right w:val="none" w:sz="0" w:space="0" w:color="auto"/>
              </w:divBdr>
            </w:div>
          </w:divsChild>
        </w:div>
        <w:div w:id="199515219">
          <w:marLeft w:val="0"/>
          <w:marRight w:val="0"/>
          <w:marTop w:val="0"/>
          <w:marBottom w:val="0"/>
          <w:divBdr>
            <w:top w:val="none" w:sz="0" w:space="0" w:color="auto"/>
            <w:left w:val="none" w:sz="0" w:space="0" w:color="auto"/>
            <w:bottom w:val="none" w:sz="0" w:space="0" w:color="auto"/>
            <w:right w:val="none" w:sz="0" w:space="0" w:color="auto"/>
          </w:divBdr>
          <w:divsChild>
            <w:div w:id="860901922">
              <w:marLeft w:val="0"/>
              <w:marRight w:val="0"/>
              <w:marTop w:val="0"/>
              <w:marBottom w:val="0"/>
              <w:divBdr>
                <w:top w:val="none" w:sz="0" w:space="0" w:color="auto"/>
                <w:left w:val="none" w:sz="0" w:space="0" w:color="auto"/>
                <w:bottom w:val="none" w:sz="0" w:space="0" w:color="auto"/>
                <w:right w:val="none" w:sz="0" w:space="0" w:color="auto"/>
              </w:divBdr>
            </w:div>
          </w:divsChild>
        </w:div>
        <w:div w:id="1716155643">
          <w:marLeft w:val="0"/>
          <w:marRight w:val="0"/>
          <w:marTop w:val="0"/>
          <w:marBottom w:val="0"/>
          <w:divBdr>
            <w:top w:val="none" w:sz="0" w:space="0" w:color="auto"/>
            <w:left w:val="none" w:sz="0" w:space="0" w:color="auto"/>
            <w:bottom w:val="none" w:sz="0" w:space="0" w:color="auto"/>
            <w:right w:val="none" w:sz="0" w:space="0" w:color="auto"/>
          </w:divBdr>
          <w:divsChild>
            <w:div w:id="533419237">
              <w:marLeft w:val="0"/>
              <w:marRight w:val="0"/>
              <w:marTop w:val="0"/>
              <w:marBottom w:val="0"/>
              <w:divBdr>
                <w:top w:val="none" w:sz="0" w:space="0" w:color="auto"/>
                <w:left w:val="none" w:sz="0" w:space="0" w:color="auto"/>
                <w:bottom w:val="none" w:sz="0" w:space="0" w:color="auto"/>
                <w:right w:val="none" w:sz="0" w:space="0" w:color="auto"/>
              </w:divBdr>
            </w:div>
          </w:divsChild>
        </w:div>
        <w:div w:id="1587494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57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1637</TotalTime>
  <Pages>46</Pages>
  <Words>11092</Words>
  <Characters>63226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Narendra Nelavalli</dc:creator>
  <cp:keywords/>
  <dc:description/>
  <cp:lastModifiedBy>Narendra Nelavalli</cp:lastModifiedBy>
  <cp:revision>25</cp:revision>
  <dcterms:created xsi:type="dcterms:W3CDTF">2025-07-14T21:20:00Z</dcterms:created>
  <dcterms:modified xsi:type="dcterms:W3CDTF">2025-08-22T08:36:00Z</dcterms:modified>
</cp:coreProperties>
</file>