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media/image11.svg" ContentType="image/svg+xml"/>
  <Override PartName="/word/media/image13.svg" ContentType="image/svg+xml"/>
  <Override PartName="/word/media/image15.svg" ContentType="image/svg+xml"/>
  <Override PartName="/word/media/image17.svg" ContentType="image/svg+xml"/>
  <Override PartName="/word/media/image19.svg" ContentType="image/svg+xml"/>
  <Override PartName="/word/media/image21.svg" ContentType="image/svg+xml"/>
  <Override PartName="/word/media/image3.svg" ContentType="image/svg+xml"/>
  <Override PartName="/word/media/image5.svg" ContentType="image/svg+xml"/>
  <Override PartName="/word/media/image7.svg" ContentType="image/svg+xml"/>
  <Override PartName="/word/media/image9.svg" ContentType="image/sv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color w:val="000000" w:themeColor="text1"/>
          <w14:textFill>
            <w14:solidFill>
              <w14:schemeClr w14:val="tx1"/>
            </w14:solidFill>
          </w14:textFill>
        </w:rPr>
        <w:id w:val="-1"/>
        <w:docPartObj>
          <w:docPartGallery w:val="AutoText"/>
        </w:docPartObj>
      </w:sdtPr>
      <w:sdtEndPr>
        <w:rPr>
          <w:rFonts w:ascii="Times New Roman" w:hAnsi="Times New Roman" w:cs="Times New Roman"/>
          <w:color w:val="000000" w:themeColor="text1"/>
          <w14:textFill>
            <w14:solidFill>
              <w14:schemeClr w14:val="tx1"/>
            </w14:solidFill>
          </w14:textFill>
        </w:rPr>
      </w:sdtEndPr>
      <w:sdtContent>
        <w:p w14:paraId="1D070310">
          <w:pPr>
            <w:spacing w:line="36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mc:AlternateContent>
              <mc:Choice Requires="wpg">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0"/>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156082"/>
                              </a:solid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6"/>
                                <a:stretch>
                                  <a:fillRect r="-7574"/>
                                </a:stretch>
                              </a:blipFill>
                              <a:ln w="1905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57" o:spid="_x0000_s1026" o:spt="203" style="position:absolute;left:0pt;margin-left:18.05pt;margin-top:18.2pt;height:95.7pt;width:576pt;mso-position-horizontal-relative:page;mso-position-vertical-relative:page;z-index:251659264;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">
                    <o:lock v:ext="edit" aspectratio="f"/>
                    <v:shape id="Rectangle 51" o:spid="_x0000_s1026" o:spt="100" style="position:absolute;left:0;top:-1;height:1130373;width:7315200;v-text-anchor:middle;" fillcolor="#156082" filled="t" stroked="f" coordsize="7312660,1129665" o:gfxdata="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Z1ggtvQAA&#10;ANwAAAAPAAAAAAAAAAEAIAAAACIAAABkcnMvZG93bnJldi54bWxQSwECFAAUAAAACACHTuJAMy8F&#10;njsAAAA5AAAAEAAAAAAAAAABACAAAAAMAQAAZHJzL3NoYXBleG1sLnhtbFBLBQYAAAAABgAGAFsB&#10;AAC2AwAAAAA=&#10;" path="m0,0l7312660,0,7312660,1129665,3619500,733425,0,1091565,0,0xe">
                      <v:path o:connectlocs="0,0;7315200,0;7315200,1130373;3620757,733884;0,1092249;0,0" o:connectangles="0,0,0,0,0,0"/>
                      <v:fill on="t" focussize="0,0"/>
                      <v:stroke on="f" weight="1.5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V11ySrsAAADc&#10;AAAADwAAAGRycy9kb3ducmV2LnhtbEVPS2sCMRC+F/ofwhR6KZpssSJbo6BYao911fOQTDeLm8my&#10;SX301zeC4G0+vudM52ffiiP1sQmsoRgqEMQm2IZrDdvqYzABEROyxTYwabhQhPns8WGKpQ0n/qbj&#10;JtUih3AsUYNLqSuljMaRxzgMHXHmfkLvMWXY19L2eMrhvpWvSo2lx4Zzg8OOlo7MYfPrNYyWZuXS&#10;zvwdXvbt58Wpxdeuclo/PxXqHUSic7qLb+61zfPfCrg+ky+Qs3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V11ySrsAAADc&#10;AAAADwAAAAAAAAABACAAAAAiAAAAZHJzL2Rvd25yZXYueG1sUEsBAhQAFAAAAAgAh07iQDMvBZ47&#10;AAAAOQAAABAAAAAAAAAAAQAgAAAACgEAAGRycy9zaGFwZXhtbC54bWxQSwUGAAAAAAYABgBbAQAA&#10;tAMAAAAA&#10;">
                      <v:fill type="frame" on="t" focussize="0,0" recolor="t" rotate="t" r:id="rId6"/>
                      <v:stroke on="f" weight="1.5pt" miterlimit="8" joinstyle="miter"/>
                      <v:imagedata o:title=""/>
                      <o:lock v:ext="edit" aspectratio="f"/>
                    </v:rect>
                  </v:group>
                </w:pict>
              </mc:Fallback>
            </mc:AlternateContent>
          </w: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txbx>
                            <w:txbxContent>
                              <w:p w14:paraId="39081E7A">
                                <w:pPr>
                                  <w:pStyle w:val="37"/>
                                  <w:jc w:val="right"/>
                                  <w:rPr>
                                    <w:color w:val="595959" w:themeColor="text1" w:themeTint="A6"/>
                                    <w:sz w:val="18"/>
                                    <w:szCs w:val="18"/>
                                    <w14:textFill>
                                      <w14:solidFill>
                                        <w14:schemeClr w14:val="tx1">
                                          <w14:lumMod w14:val="65000"/>
                                          <w14:lumOff w14:val="35000"/>
                                        </w14:schemeClr>
                                      </w14:solidFill>
                                    </w14:textFill>
                                  </w:rPr>
                                </w:pP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Text Box 159" o:spid="_x0000_s1026" o:spt="202" type="#_x0000_t202" style="position:absolute;left:0pt;margin-left:18.05pt;margin-top:647.85pt;height:72pt;width:576pt;mso-position-horizontal-relative:page;mso-position-vertical-relative:page;mso-wrap-distance-bottom:0pt;mso-wrap-distance-left:9pt;mso-wrap-distance-right:9pt;mso-wrap-distance-top:0pt;z-index:251659264;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DxeSfrWAAAABgEAAA8AAAAAAAAAAQAgAAAAIgAAAGRycy9kb3ducmV2Lnht&#10;bFBLAQIUABQAAAAIAIdO4kBKtviPNAIAAHIEAAAOAAAAAAAAAAEAIAAAACUBAABkcnMvZTJvRG9j&#10;LnhtbFBLBQYAAAAABgAGAFkBAADLBQAAAAA=&#10;">
                    <v:fill on="f" focussize="0,0"/>
                    <v:stroke on="f" weight="0.5pt"/>
                    <v:imagedata o:title=""/>
                    <o:lock v:ext="edit" aspectratio="f"/>
                    <v:textbox inset="44.45mm,0mm,19.05mm,0mm">
                      <w:txbxContent>
                        <w:p w14:paraId="39081E7A">
                          <w:pPr>
                            <w:pStyle w:val="37"/>
                            <w:jc w:val="right"/>
                            <w:rPr>
                              <w:color w:val="595959" w:themeColor="text1" w:themeTint="A6"/>
                              <w:sz w:val="18"/>
                              <w:szCs w:val="18"/>
                              <w14:textFill>
                                <w14:solidFill>
                                  <w14:schemeClr w14:val="tx1">
                                    <w14:lumMod w14:val="65000"/>
                                    <w14:lumOff w14:val="35000"/>
                                  </w14:schemeClr>
                                </w14:solidFill>
                              </w14:textFill>
                            </w:rPr>
                          </w:pPr>
                        </w:p>
                      </w:txbxContent>
                    </v:textbox>
                    <w10:wrap type="square"/>
                  </v:shape>
                </w:pict>
              </mc:Fallback>
            </mc:AlternateContent>
          </w: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txbx>
                            <w:txbxContent>
                              <w:p w14:paraId="3A8F6E9A">
                                <w:pPr>
                                  <w:jc w:val="right"/>
                                  <w:rPr>
                                    <w:smallCaps/>
                                    <w:color w:val="404040" w:themeColor="text1" w:themeTint="BF"/>
                                    <w:sz w:val="36"/>
                                    <w:szCs w:val="36"/>
                                    <w:lang w:val="en-GB"/>
                                    <w14:textFill>
                                      <w14:solidFill>
                                        <w14:schemeClr w14:val="tx1">
                                          <w14:lumMod w14:val="75000"/>
                                          <w14:lumOff w14:val="25000"/>
                                        </w14:schemeClr>
                                      </w14:solidFill>
                                    </w14:textFill>
                                  </w:rPr>
                                </w:pPr>
                                <w:sdt>
                                  <w:sdtPr>
                                    <w:rPr>
                                      <w:caps/>
                                      <w:color w:val="156082" w:themeColor="accent1"/>
                                      <w:kern w:val="0"/>
                                      <w:sz w:val="64"/>
                                      <w:szCs w:val="64"/>
                                      <w:lang w:val="en-GB"/>
                                      <w14:textFill>
                                        <w14:solidFill>
                                          <w14:schemeClr w14:val="accent1"/>
                                        </w14:solidFill>
                                      </w14:textFill>
                                      <w14:ligatures w14:val="none"/>
                                    </w:rPr>
                                    <w:alias w:val="Title"/>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color w:val="156082" w:themeColor="accent1"/>
                                      <w:kern w:val="0"/>
                                      <w:sz w:val="64"/>
                                      <w:szCs w:val="64"/>
                                      <w:lang w:val="en-GB"/>
                                      <w14:textFill>
                                        <w14:solidFill>
                                          <w14:schemeClr w14:val="accent1"/>
                                        </w14:solidFill>
                                      </w14:textFill>
                                      <w14:ligatures w14:val="none"/>
                                    </w:rPr>
                                  </w:sdtEndPr>
                                  <w:sdtContent>
                                    <w:r>
                                      <w:rPr>
                                        <w:caps/>
                                        <w:color w:val="156082" w:themeColor="accent1"/>
                                        <w:kern w:val="0"/>
                                        <w:sz w:val="64"/>
                                        <w:szCs w:val="64"/>
                                        <w:lang w:val="en-GB"/>
                                        <w14:textFill>
                                          <w14:solidFill>
                                            <w14:schemeClr w14:val="accent1"/>
                                          </w14:solidFill>
                                        </w14:textFill>
                                        <w14:ligatures w14:val="none"/>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Text Box 163" o:spid="_x0000_s1026" o:spt="202" type="#_x0000_t202" style="position:absolute;left:0pt;margin-left:18.05pt;margin-top:237.6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QPdigdcAAAAGAQAADwAAAAAAAAABACAAAAAiAAAAZHJzL2Rvd25yZXYu&#10;eG1sUEsBAhQAFAAAAAgAh07iQOGcxXE1AgAAcwQAAA4AAAAAAAAAAQAgAAAAJgEAAGRycy9lMm9E&#10;b2MueG1sUEsFBgAAAAAGAAYAWQEAAM0FAAAAAA==&#10;">
                    <v:fill on="f" focussize="0,0"/>
                    <v:stroke on="f" weight="0.5pt"/>
                    <v:imagedata o:title=""/>
                    <o:lock v:ext="edit" aspectratio="f"/>
                    <v:textbox inset="44.45mm,0mm,19.05mm,0mm">
                      <w:txbxContent>
                        <w:p w14:paraId="3A8F6E9A">
                          <w:pPr>
                            <w:jc w:val="right"/>
                            <w:rPr>
                              <w:smallCaps/>
                              <w:color w:val="404040" w:themeColor="text1" w:themeTint="BF"/>
                              <w:sz w:val="36"/>
                              <w:szCs w:val="36"/>
                              <w:lang w:val="en-GB"/>
                              <w14:textFill>
                                <w14:solidFill>
                                  <w14:schemeClr w14:val="tx1">
                                    <w14:lumMod w14:val="75000"/>
                                    <w14:lumOff w14:val="25000"/>
                                  </w14:schemeClr>
                                </w14:solidFill>
                              </w14:textFill>
                            </w:rPr>
                          </w:pPr>
                          <w:sdt>
                            <w:sdtPr>
                              <w:rPr>
                                <w:caps/>
                                <w:color w:val="156082" w:themeColor="accent1"/>
                                <w:kern w:val="0"/>
                                <w:sz w:val="64"/>
                                <w:szCs w:val="64"/>
                                <w:lang w:val="en-GB"/>
                                <w14:textFill>
                                  <w14:solidFill>
                                    <w14:schemeClr w14:val="accent1"/>
                                  </w14:solidFill>
                                </w14:textFill>
                                <w14:ligatures w14:val="none"/>
                              </w:rPr>
                              <w:alias w:val="Title"/>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color w:val="156082" w:themeColor="accent1"/>
                                <w:kern w:val="0"/>
                                <w:sz w:val="64"/>
                                <w:szCs w:val="64"/>
                                <w:lang w:val="en-GB"/>
                                <w14:textFill>
                                  <w14:solidFill>
                                    <w14:schemeClr w14:val="accent1"/>
                                  </w14:solidFill>
                                </w14:textFill>
                                <w14:ligatures w14:val="none"/>
                              </w:rPr>
                            </w:sdtEndPr>
                            <w:sdtContent>
                              <w:r>
                                <w:rPr>
                                  <w:caps/>
                                  <w:color w:val="156082" w:themeColor="accent1"/>
                                  <w:kern w:val="0"/>
                                  <w:sz w:val="64"/>
                                  <w:szCs w:val="64"/>
                                  <w:lang w:val="en-GB"/>
                                  <w14:textFill>
                                    <w14:solidFill>
                                      <w14:schemeClr w14:val="accent1"/>
                                    </w14:solidFill>
                                  </w14:textFill>
                                  <w14:ligatures w14:val="none"/>
                                </w:rPr>
                                <w:t xml:space="preserve">     </w:t>
                              </w:r>
                            </w:sdtContent>
                          </w:sdt>
                        </w:p>
                      </w:txbxContent>
                    </v:textbox>
                    <w10:wrap type="square"/>
                  </v:shape>
                </w:pict>
              </mc:Fallback>
            </mc:AlternateContent>
          </w:r>
        </w:p>
        <w:p w14:paraId="310D3E27">
          <w:pPr>
            <w:spacing w:line="360" w:lineRule="auto"/>
            <w:rPr>
              <w:rFonts w:ascii="Times New Roman" w:hAnsi="Times New Roman" w:cs="Times New Roman"/>
              <w:color w:val="000000" w:themeColor="text1"/>
              <w14:textFill>
                <w14:solidFill>
                  <w14:schemeClr w14:val="tx1"/>
                </w14:solidFill>
              </w14:textFill>
            </w:rPr>
          </w:pPr>
          <w:r>
            <w:rPr>
              <w:rFonts w:ascii="Times New Roman" w:hAnsi="Times New Roman" w:cs="Times New Roman"/>
              <w:color w:val="000000" w:themeColor="text1"/>
              <w14:textFill>
                <w14:solidFill>
                  <w14:schemeClr w14:val="tx1"/>
                </w14:solidFill>
              </w14:textFill>
            </w:rPr>
            <mc:AlternateContent>
              <mc:Choice Requires="wps">
                <w:drawing>
                  <wp:anchor distT="0" distB="0" distL="114300" distR="114300" simplePos="0" relativeHeight="251659264" behindDoc="0" locked="0" layoutInCell="1" allowOverlap="1">
                    <wp:simplePos x="0" y="0"/>
                    <wp:positionH relativeFrom="page">
                      <wp:posOffset>381000</wp:posOffset>
                    </wp:positionH>
                    <wp:positionV relativeFrom="margin">
                      <wp:align>bottom</wp:align>
                    </wp:positionV>
                    <wp:extent cx="6954520" cy="571500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5715000"/>
                            </a:xfrm>
                            <a:prstGeom prst="rect">
                              <a:avLst/>
                            </a:prstGeom>
                            <a:noFill/>
                            <a:ln w="6350">
                              <a:noFill/>
                            </a:ln>
                            <a:effectLst/>
                          </wps:spPr>
                          <wps:txbx>
                            <w:txbxContent>
                              <w:p w14:paraId="2B92EFA0">
                                <w:pPr>
                                  <w:pStyle w:val="2"/>
                                  <w:rPr>
                                    <w:sz w:val="44"/>
                                    <w:szCs w:val="44"/>
                                    <w:lang w:val="en-GB"/>
                                  </w:rPr>
                                </w:pPr>
                                <w:r>
                                  <w:rPr>
                                    <w:b/>
                                    <w:bCs/>
                                    <w:sz w:val="44"/>
                                    <w:szCs w:val="44"/>
                                    <w:lang w:val="en-GB"/>
                                  </w:rPr>
                                  <w:t>Module Name:</w:t>
                                </w:r>
                                <w:r>
                                  <w:rPr>
                                    <w:sz w:val="44"/>
                                    <w:szCs w:val="44"/>
                                    <w:lang w:val="en-GB"/>
                                  </w:rPr>
                                  <w:t xml:space="preserve">  Networks and Cyber Security Essentials</w:t>
                                </w:r>
                              </w:p>
                              <w:p w14:paraId="3EFF9342">
                                <w:pPr>
                                  <w:pStyle w:val="2"/>
                                  <w:rPr>
                                    <w:sz w:val="44"/>
                                    <w:szCs w:val="44"/>
                                    <w:lang w:val="en-GB"/>
                                  </w:rPr>
                                </w:pPr>
                                <w:r>
                                  <w:rPr>
                                    <w:b/>
                                    <w:bCs/>
                                    <w:sz w:val="44"/>
                                    <w:szCs w:val="44"/>
                                    <w:lang w:val="en-GB"/>
                                  </w:rPr>
                                  <w:t>Module Code</w:t>
                                </w:r>
                                <w:r>
                                  <w:rPr>
                                    <w:sz w:val="44"/>
                                    <w:szCs w:val="44"/>
                                    <w:lang w:val="en-GB"/>
                                  </w:rPr>
                                  <w:t>:   ACCA4042</w:t>
                                </w:r>
                              </w:p>
                              <w:p w14:paraId="6DC1256A">
                                <w:pPr>
                                  <w:pStyle w:val="2"/>
                                  <w:rPr>
                                    <w:sz w:val="44"/>
                                    <w:szCs w:val="44"/>
                                    <w:lang w:val="en-GB"/>
                                  </w:rPr>
                                </w:pPr>
                                <w:r>
                                  <w:rPr>
                                    <w:b/>
                                    <w:bCs/>
                                    <w:sz w:val="44"/>
                                    <w:szCs w:val="44"/>
                                    <w:lang w:val="en-GB"/>
                                  </w:rPr>
                                  <w:t>Student Name</w:t>
                                </w:r>
                                <w:r>
                                  <w:rPr>
                                    <w:sz w:val="44"/>
                                    <w:szCs w:val="44"/>
                                    <w:lang w:val="en-GB"/>
                                  </w:rPr>
                                  <w:t>: Richard Valentine  Mamuto</w:t>
                                </w:r>
                              </w:p>
                              <w:p w14:paraId="25C53691">
                                <w:pPr>
                                  <w:pStyle w:val="2"/>
                                  <w:rPr>
                                    <w:sz w:val="44"/>
                                    <w:szCs w:val="44"/>
                                    <w:lang w:val="en-GB"/>
                                  </w:rPr>
                                </w:pPr>
                                <w:r>
                                  <w:rPr>
                                    <w:b/>
                                    <w:bCs/>
                                    <w:sz w:val="44"/>
                                    <w:szCs w:val="44"/>
                                    <w:lang w:val="en-GB"/>
                                  </w:rPr>
                                  <w:t>Student ID</w:t>
                                </w:r>
                                <w:r>
                                  <w:rPr>
                                    <w:sz w:val="44"/>
                                    <w:szCs w:val="44"/>
                                    <w:lang w:val="en-GB"/>
                                  </w:rPr>
                                  <w:t>: 2442383</w:t>
                                </w:r>
                              </w:p>
                              <w:p w14:paraId="19CB1140">
                                <w:pPr>
                                  <w:pStyle w:val="2"/>
                                  <w:rPr>
                                    <w:sz w:val="44"/>
                                    <w:szCs w:val="44"/>
                                    <w:lang w:val="en-GB"/>
                                  </w:rPr>
                                </w:pPr>
                                <w:r>
                                  <w:rPr>
                                    <w:b/>
                                    <w:bCs/>
                                    <w:sz w:val="44"/>
                                    <w:szCs w:val="44"/>
                                    <w:lang w:val="en-GB"/>
                                  </w:rPr>
                                  <w:t>Group</w:t>
                                </w:r>
                                <w:r>
                                  <w:rPr>
                                    <w:sz w:val="44"/>
                                    <w:szCs w:val="44"/>
                                    <w:lang w:val="en-GB"/>
                                  </w:rPr>
                                  <w:t>: 1</w:t>
                                </w:r>
                              </w:p>
                              <w:p w14:paraId="1E617D0C">
                                <w:pPr>
                                  <w:pStyle w:val="2"/>
                                  <w:rPr>
                                    <w:color w:val="595959" w:themeColor="text1" w:themeTint="A6"/>
                                    <w:sz w:val="44"/>
                                    <w:szCs w:val="44"/>
                                    <w14:textFill>
                                      <w14:solidFill>
                                        <w14:schemeClr w14:val="tx1">
                                          <w14:lumMod w14:val="65000"/>
                                          <w14:lumOff w14:val="35000"/>
                                        </w14:schemeClr>
                                      </w14:solidFill>
                                    </w14:textFill>
                                  </w:rPr>
                                </w:pPr>
                                <w:r>
                                  <w:rPr>
                                    <w:b/>
                                    <w:bCs/>
                                    <w:sz w:val="44"/>
                                    <w:szCs w:val="44"/>
                                    <w:lang w:val="en-GB"/>
                                  </w:rPr>
                                  <w:t>Lecturer’s Name</w:t>
                                </w:r>
                                <w:r>
                                  <w:rPr>
                                    <w:sz w:val="44"/>
                                    <w:szCs w:val="44"/>
                                    <w:lang w:val="en-GB"/>
                                  </w:rPr>
                                  <w:t>: Amit Naik</w:t>
                                </w:r>
                              </w:p>
                            </w:txbxContent>
                          </wps:txbx>
                          <wps:bodyPr rot="0" spcFirstLastPara="0" vertOverflow="overflow" horzOverflow="overflow" vert="horz" wrap="square" lIns="1600200" tIns="0" rIns="685800" bIns="0" numCol="1" spcCol="0" rtlCol="0" fromWordArt="0" anchor="t" anchorCtr="0" forceAA="0" compatLnSpc="1">
                            <a:noAutofit/>
                          </wps:bodyPr>
                        </wps:wsp>
                      </a:graphicData>
                    </a:graphic>
                  </wp:anchor>
                </w:drawing>
              </mc:Choice>
              <mc:Fallback>
                <w:pict>
                  <v:shape id="Text Box 161" o:spid="_x0000_s1026" o:spt="202" type="#_x0000_t202" style="position:absolute;left:0pt;margin-left:30pt;height:450pt;width:547.6pt;mso-position-horizontal-relative:page;mso-position-vertical:bottom;mso-position-vertical-relative:margin;mso-wrap-distance-bottom:0pt;mso-wrap-distance-left:9pt;mso-wrap-distance-right:9pt;mso-wrap-distance-top:0pt;z-index:251659264;mso-width-relative:page;mso-height-relative:page;" filled="f" stroked="f" coordsize="21600,21600" o:gfxdata="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QlTiKdYAAAAIAQAADwAAAAAAAAABACAAAAAiAAAAZHJzL2Rvd25yZXYu&#10;eG1sUEsBAhQAFAAAAAgAh07iQLvs1vQ2AgAAcwQAAA4AAAAAAAAAAQAgAAAAJQEAAGRycy9lMm9E&#10;b2MueG1sUEsFBgAAAAAGAAYAWQEAAM0FAAAAAA==&#10;">
                    <v:fill on="f" focussize="0,0"/>
                    <v:stroke on="f" weight="0.5pt"/>
                    <v:imagedata o:title=""/>
                    <o:lock v:ext="edit" aspectratio="f"/>
                    <v:textbox inset="44.45mm,0mm,19.05mm,0mm">
                      <w:txbxContent>
                        <w:p w14:paraId="2B92EFA0">
                          <w:pPr>
                            <w:pStyle w:val="2"/>
                            <w:rPr>
                              <w:sz w:val="44"/>
                              <w:szCs w:val="44"/>
                              <w:lang w:val="en-GB"/>
                            </w:rPr>
                          </w:pPr>
                          <w:r>
                            <w:rPr>
                              <w:b/>
                              <w:bCs/>
                              <w:sz w:val="44"/>
                              <w:szCs w:val="44"/>
                              <w:lang w:val="en-GB"/>
                            </w:rPr>
                            <w:t>Module Name:</w:t>
                          </w:r>
                          <w:r>
                            <w:rPr>
                              <w:sz w:val="44"/>
                              <w:szCs w:val="44"/>
                              <w:lang w:val="en-GB"/>
                            </w:rPr>
                            <w:t xml:space="preserve">  Networks and Cyber Security Essentials</w:t>
                          </w:r>
                        </w:p>
                        <w:p w14:paraId="3EFF9342">
                          <w:pPr>
                            <w:pStyle w:val="2"/>
                            <w:rPr>
                              <w:sz w:val="44"/>
                              <w:szCs w:val="44"/>
                              <w:lang w:val="en-GB"/>
                            </w:rPr>
                          </w:pPr>
                          <w:r>
                            <w:rPr>
                              <w:b/>
                              <w:bCs/>
                              <w:sz w:val="44"/>
                              <w:szCs w:val="44"/>
                              <w:lang w:val="en-GB"/>
                            </w:rPr>
                            <w:t>Module Code</w:t>
                          </w:r>
                          <w:r>
                            <w:rPr>
                              <w:sz w:val="44"/>
                              <w:szCs w:val="44"/>
                              <w:lang w:val="en-GB"/>
                            </w:rPr>
                            <w:t>:   ACCA4042</w:t>
                          </w:r>
                        </w:p>
                        <w:p w14:paraId="6DC1256A">
                          <w:pPr>
                            <w:pStyle w:val="2"/>
                            <w:rPr>
                              <w:sz w:val="44"/>
                              <w:szCs w:val="44"/>
                              <w:lang w:val="en-GB"/>
                            </w:rPr>
                          </w:pPr>
                          <w:r>
                            <w:rPr>
                              <w:b/>
                              <w:bCs/>
                              <w:sz w:val="44"/>
                              <w:szCs w:val="44"/>
                              <w:lang w:val="en-GB"/>
                            </w:rPr>
                            <w:t>Student Name</w:t>
                          </w:r>
                          <w:r>
                            <w:rPr>
                              <w:sz w:val="44"/>
                              <w:szCs w:val="44"/>
                              <w:lang w:val="en-GB"/>
                            </w:rPr>
                            <w:t>: Richard Valentine  Mamuto</w:t>
                          </w:r>
                        </w:p>
                        <w:p w14:paraId="25C53691">
                          <w:pPr>
                            <w:pStyle w:val="2"/>
                            <w:rPr>
                              <w:sz w:val="44"/>
                              <w:szCs w:val="44"/>
                              <w:lang w:val="en-GB"/>
                            </w:rPr>
                          </w:pPr>
                          <w:r>
                            <w:rPr>
                              <w:b/>
                              <w:bCs/>
                              <w:sz w:val="44"/>
                              <w:szCs w:val="44"/>
                              <w:lang w:val="en-GB"/>
                            </w:rPr>
                            <w:t>Student ID</w:t>
                          </w:r>
                          <w:r>
                            <w:rPr>
                              <w:sz w:val="44"/>
                              <w:szCs w:val="44"/>
                              <w:lang w:val="en-GB"/>
                            </w:rPr>
                            <w:t>: 2442383</w:t>
                          </w:r>
                        </w:p>
                        <w:p w14:paraId="19CB1140">
                          <w:pPr>
                            <w:pStyle w:val="2"/>
                            <w:rPr>
                              <w:sz w:val="44"/>
                              <w:szCs w:val="44"/>
                              <w:lang w:val="en-GB"/>
                            </w:rPr>
                          </w:pPr>
                          <w:r>
                            <w:rPr>
                              <w:b/>
                              <w:bCs/>
                              <w:sz w:val="44"/>
                              <w:szCs w:val="44"/>
                              <w:lang w:val="en-GB"/>
                            </w:rPr>
                            <w:t>Group</w:t>
                          </w:r>
                          <w:r>
                            <w:rPr>
                              <w:sz w:val="44"/>
                              <w:szCs w:val="44"/>
                              <w:lang w:val="en-GB"/>
                            </w:rPr>
                            <w:t>: 1</w:t>
                          </w:r>
                        </w:p>
                        <w:p w14:paraId="1E617D0C">
                          <w:pPr>
                            <w:pStyle w:val="2"/>
                            <w:rPr>
                              <w:color w:val="595959" w:themeColor="text1" w:themeTint="A6"/>
                              <w:sz w:val="44"/>
                              <w:szCs w:val="44"/>
                              <w14:textFill>
                                <w14:solidFill>
                                  <w14:schemeClr w14:val="tx1">
                                    <w14:lumMod w14:val="65000"/>
                                    <w14:lumOff w14:val="35000"/>
                                  </w14:schemeClr>
                                </w14:solidFill>
                              </w14:textFill>
                            </w:rPr>
                          </w:pPr>
                          <w:r>
                            <w:rPr>
                              <w:b/>
                              <w:bCs/>
                              <w:sz w:val="44"/>
                              <w:szCs w:val="44"/>
                              <w:lang w:val="en-GB"/>
                            </w:rPr>
                            <w:t>Lecturer’s Name</w:t>
                          </w:r>
                          <w:r>
                            <w:rPr>
                              <w:sz w:val="44"/>
                              <w:szCs w:val="44"/>
                              <w:lang w:val="en-GB"/>
                            </w:rPr>
                            <w:t>: Amit Naik</w:t>
                          </w:r>
                        </w:p>
                      </w:txbxContent>
                    </v:textbox>
                    <w10:wrap type="square"/>
                  </v:shape>
                </w:pict>
              </mc:Fallback>
            </mc:AlternateContent>
          </w:r>
          <w:r>
            <w:rPr>
              <w:rFonts w:ascii="Times New Roman" w:hAnsi="Times New Roman" w:cs="Times New Roman"/>
              <w:color w:val="000000" w:themeColor="text1"/>
              <w14:textFill>
                <w14:solidFill>
                  <w14:schemeClr w14:val="tx1"/>
                </w14:solidFill>
              </w14:textFill>
            </w:rPr>
            <w:br w:type="page"/>
          </w:r>
          <w:bookmarkStart w:id="0" w:name="_GoBack"/>
          <w:bookmarkEnd w:id="0"/>
        </w:p>
      </w:sdtContent>
    </w:sdt>
    <w:p w14:paraId="3D260D85">
      <w:pPr>
        <w:rPr>
          <w:rFonts w:ascii="Arial" w:hAnsi="Arial" w:cs="Arial"/>
        </w:rPr>
      </w:pPr>
      <w:r>
        <w:rPr>
          <w:rFonts w:ascii="Arial" w:hAnsi="Arial" w:cs="Arial"/>
        </w:rPr>
        <w:t>Abstract</w:t>
      </w:r>
    </w:p>
    <w:p w14:paraId="77E18BA4">
      <w:pPr>
        <w:spacing w:line="360" w:lineRule="auto"/>
        <w:jc w:val="both"/>
        <w:rPr>
          <w:rFonts w:ascii="Arial" w:hAnsi="Arial" w:cs="Arial"/>
        </w:rPr>
      </w:pPr>
      <w:r>
        <w:rPr>
          <w:rFonts w:ascii="Arial" w:hAnsi="Arial" w:cs="Arial"/>
        </w:rPr>
        <w:t>My report as prepared provides a comprehensive data security and governance framework of Health Plus Analytics (HPA), a healthcare technology company with its head office in the UK that processes sensitive patient data on behalf of NHS-related organizations. The present report recognizes internal and external cyber threats, suggests security policies that rely on ISO 27001:2022 and NIST Cybersecurity Framework (CSF) 2.0, and provides mitigation strategies according to the CIA Triad. This follows some recent cases of illegal access to the cloud and a ransomware attack. They follow the UK General Data Protection Regulation (UK GDPR) and NHS Digital Security and Protection Toolkit (DSPT) by having a seven-phase incident response plan and a systematic staff training course. The objective of the framework is to enhance the defense posture of HPA and establish a security awareness culture.</w:t>
      </w:r>
    </w:p>
    <w:p w14:paraId="7C359D82">
      <w:pPr>
        <w:pStyle w:val="2"/>
        <w:spacing w:line="360" w:lineRule="auto"/>
        <w:jc w:val="both"/>
        <w:rPr>
          <w:rFonts w:ascii="Arial" w:hAnsi="Arial" w:cs="Arial"/>
          <w:sz w:val="24"/>
          <w:szCs w:val="24"/>
        </w:rPr>
      </w:pPr>
      <w:r>
        <w:rPr>
          <w:rFonts w:ascii="Arial" w:hAnsi="Arial" w:cs="Arial"/>
          <w:sz w:val="24"/>
          <w:szCs w:val="24"/>
        </w:rPr>
        <w:t>Introduction</w:t>
      </w:r>
    </w:p>
    <w:p w14:paraId="4FF23EF3">
      <w:pPr>
        <w:spacing w:line="360" w:lineRule="auto"/>
        <w:jc w:val="both"/>
        <w:rPr>
          <w:rFonts w:ascii="Arial" w:hAnsi="Arial" w:cs="Arial"/>
        </w:rPr>
      </w:pPr>
      <w:r>
        <w:rPr>
          <w:rFonts w:ascii="Arial" w:hAnsi="Arial" w:cs="Arial"/>
        </w:rPr>
        <w:t>The healthcare sector has the highest rate of cybercrime in the world. According to IBM Security, the average healthcare data breach in 2024 cost $9.8 million, the highest cost per breach in any industry and nearly twice as high as the global average [1]. In the UK, there were some of the big NHS attacks in 2024. The best-known was the Qilin ransomware attack of Synovus, a pathology provider of King's College Hospital and Guy's and St Thomas NHS Foundation Trust. This single attack led to over 10,152 outpatient visits and 1710 elective operations to be rescheduled [2]. It is this threat scenario that led to the current security issues at HPA. The UK GDPR stipulates that within 72 hours, breaches should be reported to the Information Commissioner's Office (ICO). All NHS data processors are required to demonstrate that they have strong security controls [3], which is now in line with the NCSC Cyber Assessment Framework (CAF). The five things discussed in this report include finding threats, security policies, risk reduction methods, monitoring and responding to incidents, and staff training.</w:t>
      </w:r>
    </w:p>
    <w:p w14:paraId="33A7B889">
      <w:pPr>
        <w:pStyle w:val="2"/>
        <w:spacing w:line="360" w:lineRule="auto"/>
        <w:jc w:val="both"/>
        <w:rPr>
          <w:rFonts w:ascii="Arial" w:hAnsi="Arial" w:cs="Arial"/>
          <w:sz w:val="24"/>
          <w:szCs w:val="24"/>
        </w:rPr>
      </w:pPr>
      <w:r>
        <w:rPr>
          <w:rFonts w:ascii="Arial" w:hAnsi="Arial" w:cs="Arial"/>
          <w:sz w:val="24"/>
          <w:szCs w:val="24"/>
        </w:rPr>
        <w:t>Identifying Threats</w:t>
      </w:r>
    </w:p>
    <w:p w14:paraId="0DE43434">
      <w:pPr>
        <w:spacing w:line="360" w:lineRule="auto"/>
        <w:jc w:val="both"/>
        <w:rPr>
          <w:rFonts w:ascii="Arial" w:hAnsi="Arial" w:cs="Arial"/>
        </w:rPr>
      </w:pPr>
      <w:r>
        <w:rPr>
          <w:rFonts w:ascii="Arial" w:hAnsi="Arial" w:cs="Arial"/>
        </w:rPr>
        <w:t>We conducted a threat assessment based on risk assessment (CIA Triad) (Confidentiality, Integrity, Availability) and ensured that it aligned with the MITRE ATT&amp;CK model. Table 1 indicates that threats are either external or internal.</w:t>
      </w:r>
    </w:p>
    <w:tbl>
      <w:tblPr>
        <w:tblStyle w:val="34"/>
        <w:tblW w:w="9360" w:type="dxa"/>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1800"/>
        <w:gridCol w:w="3200"/>
        <w:gridCol w:w="1800"/>
        <w:gridCol w:w="2560"/>
      </w:tblGrid>
      <w:tr w14:paraId="73174292">
        <w:tc>
          <w:tcPr>
            <w:tcW w:w="1800" w:type="dxa"/>
            <w:tcBorders>
              <w:bottom w:val="single" w:color="666666" w:themeColor="text1" w:themeTint="99" w:sz="12" w:space="0"/>
              <w:insideH w:val="single" w:sz="12" w:space="0"/>
            </w:tcBorders>
          </w:tcPr>
          <w:p w14:paraId="06B35F26">
            <w:pPr>
              <w:spacing w:after="0" w:line="360" w:lineRule="auto"/>
              <w:jc w:val="both"/>
              <w:rPr>
                <w:rFonts w:ascii="Arial" w:hAnsi="Arial" w:cs="Arial"/>
                <w:b/>
                <w:bCs/>
              </w:rPr>
            </w:pPr>
            <w:r>
              <w:rPr>
                <w:rFonts w:ascii="Arial" w:hAnsi="Arial" w:cs="Arial"/>
                <w:b w:val="0"/>
                <w:bCs w:val="0"/>
              </w:rPr>
              <w:t>Category</w:t>
            </w:r>
          </w:p>
        </w:tc>
        <w:tc>
          <w:tcPr>
            <w:tcW w:w="3200" w:type="dxa"/>
            <w:tcBorders>
              <w:bottom w:val="single" w:color="666666" w:themeColor="text1" w:themeTint="99" w:sz="12" w:space="0"/>
              <w:insideH w:val="single" w:sz="12" w:space="0"/>
            </w:tcBorders>
          </w:tcPr>
          <w:p w14:paraId="2A55E762">
            <w:pPr>
              <w:spacing w:after="0" w:line="360" w:lineRule="auto"/>
              <w:jc w:val="both"/>
              <w:rPr>
                <w:rFonts w:ascii="Arial" w:hAnsi="Arial" w:cs="Arial"/>
                <w:b/>
                <w:bCs/>
              </w:rPr>
            </w:pPr>
            <w:r>
              <w:rPr>
                <w:rFonts w:ascii="Arial" w:hAnsi="Arial" w:cs="Arial"/>
                <w:b w:val="0"/>
                <w:bCs w:val="0"/>
              </w:rPr>
              <w:t>Threat</w:t>
            </w:r>
          </w:p>
        </w:tc>
        <w:tc>
          <w:tcPr>
            <w:tcW w:w="1800" w:type="dxa"/>
            <w:tcBorders>
              <w:bottom w:val="single" w:color="666666" w:themeColor="text1" w:themeTint="99" w:sz="12" w:space="0"/>
              <w:insideH w:val="single" w:sz="12" w:space="0"/>
            </w:tcBorders>
          </w:tcPr>
          <w:p w14:paraId="3C9A6561">
            <w:pPr>
              <w:spacing w:after="0" w:line="360" w:lineRule="auto"/>
              <w:jc w:val="both"/>
              <w:rPr>
                <w:rFonts w:ascii="Arial" w:hAnsi="Arial" w:cs="Arial"/>
                <w:b/>
                <w:bCs/>
              </w:rPr>
            </w:pPr>
            <w:r>
              <w:rPr>
                <w:rFonts w:ascii="Arial" w:hAnsi="Arial" w:cs="Arial"/>
                <w:b w:val="0"/>
                <w:bCs w:val="0"/>
              </w:rPr>
              <w:t>CIA Impact</w:t>
            </w:r>
          </w:p>
        </w:tc>
        <w:tc>
          <w:tcPr>
            <w:tcW w:w="2560" w:type="dxa"/>
            <w:tcBorders>
              <w:bottom w:val="single" w:color="666666" w:themeColor="text1" w:themeTint="99" w:sz="12" w:space="0"/>
              <w:insideH w:val="single" w:sz="12" w:space="0"/>
            </w:tcBorders>
          </w:tcPr>
          <w:p w14:paraId="0A301EB9">
            <w:pPr>
              <w:spacing w:after="0" w:line="360" w:lineRule="auto"/>
              <w:jc w:val="both"/>
              <w:rPr>
                <w:rFonts w:ascii="Arial" w:hAnsi="Arial" w:cs="Arial"/>
                <w:b/>
                <w:bCs/>
              </w:rPr>
            </w:pPr>
            <w:r>
              <w:rPr>
                <w:rFonts w:ascii="Arial" w:hAnsi="Arial" w:cs="Arial"/>
                <w:b w:val="0"/>
                <w:bCs w:val="0"/>
              </w:rPr>
              <w:t>Risk Level</w:t>
            </w:r>
          </w:p>
        </w:tc>
      </w:tr>
      <w:tr w14:paraId="62082455">
        <w:tc>
          <w:tcPr>
            <w:tcW w:w="1800" w:type="dxa"/>
          </w:tcPr>
          <w:p w14:paraId="5E61D10D">
            <w:pPr>
              <w:spacing w:after="0" w:line="360" w:lineRule="auto"/>
              <w:jc w:val="both"/>
              <w:rPr>
                <w:rFonts w:ascii="Arial" w:hAnsi="Arial" w:cs="Arial"/>
                <w:b/>
                <w:bCs/>
              </w:rPr>
            </w:pPr>
            <w:r>
              <w:rPr>
                <w:rFonts w:ascii="Arial" w:hAnsi="Arial" w:cs="Arial"/>
                <w:b/>
                <w:bCs/>
                <w:color w:val="000000"/>
              </w:rPr>
              <w:t>External</w:t>
            </w:r>
          </w:p>
        </w:tc>
        <w:tc>
          <w:tcPr>
            <w:tcW w:w="3200" w:type="dxa"/>
          </w:tcPr>
          <w:p w14:paraId="699DBCDB">
            <w:pPr>
              <w:spacing w:after="0" w:line="360" w:lineRule="auto"/>
              <w:jc w:val="both"/>
              <w:rPr>
                <w:rFonts w:ascii="Arial" w:hAnsi="Arial" w:cs="Arial"/>
              </w:rPr>
            </w:pPr>
            <w:r>
              <w:rPr>
                <w:rFonts w:ascii="Arial" w:hAnsi="Arial" w:cs="Arial"/>
                <w:color w:val="000000"/>
              </w:rPr>
              <w:t>Ransomware (RaaS)</w:t>
            </w:r>
          </w:p>
        </w:tc>
        <w:tc>
          <w:tcPr>
            <w:tcW w:w="1800" w:type="dxa"/>
          </w:tcPr>
          <w:p w14:paraId="6363154B">
            <w:pPr>
              <w:spacing w:after="0" w:line="360" w:lineRule="auto"/>
              <w:jc w:val="both"/>
              <w:rPr>
                <w:rFonts w:ascii="Arial" w:hAnsi="Arial" w:cs="Arial"/>
              </w:rPr>
            </w:pPr>
            <w:r>
              <w:rPr>
                <w:rFonts w:ascii="Arial" w:hAnsi="Arial" w:cs="Arial"/>
                <w:color w:val="000000"/>
              </w:rPr>
              <w:t>C, I, A</w:t>
            </w:r>
          </w:p>
        </w:tc>
        <w:tc>
          <w:tcPr>
            <w:tcW w:w="2560" w:type="dxa"/>
          </w:tcPr>
          <w:p w14:paraId="6B34C220">
            <w:pPr>
              <w:spacing w:after="0" w:line="360" w:lineRule="auto"/>
              <w:jc w:val="both"/>
              <w:rPr>
                <w:rFonts w:ascii="Arial" w:hAnsi="Arial" w:cs="Arial"/>
              </w:rPr>
            </w:pPr>
            <w:r>
              <w:rPr>
                <w:rFonts w:ascii="Arial" w:hAnsi="Arial" w:cs="Arial"/>
                <w:color w:val="000000"/>
              </w:rPr>
              <w:t>Critical</w:t>
            </w:r>
          </w:p>
        </w:tc>
      </w:tr>
      <w:tr w14:paraId="6E624B05">
        <w:tc>
          <w:tcPr>
            <w:tcW w:w="1800" w:type="dxa"/>
          </w:tcPr>
          <w:p w14:paraId="6D66C17E">
            <w:pPr>
              <w:spacing w:after="0" w:line="360" w:lineRule="auto"/>
              <w:jc w:val="both"/>
              <w:rPr>
                <w:rFonts w:ascii="Arial" w:hAnsi="Arial" w:cs="Arial"/>
                <w:b/>
                <w:bCs/>
              </w:rPr>
            </w:pPr>
            <w:r>
              <w:rPr>
                <w:rFonts w:ascii="Arial" w:hAnsi="Arial" w:cs="Arial"/>
                <w:b/>
                <w:bCs/>
                <w:color w:val="000000"/>
              </w:rPr>
              <w:t>External</w:t>
            </w:r>
          </w:p>
        </w:tc>
        <w:tc>
          <w:tcPr>
            <w:tcW w:w="3200" w:type="dxa"/>
          </w:tcPr>
          <w:p w14:paraId="1A19FF34">
            <w:pPr>
              <w:spacing w:after="0" w:line="360" w:lineRule="auto"/>
              <w:jc w:val="both"/>
              <w:rPr>
                <w:rFonts w:ascii="Arial" w:hAnsi="Arial" w:cs="Arial"/>
              </w:rPr>
            </w:pPr>
            <w:r>
              <w:rPr>
                <w:rFonts w:ascii="Arial" w:hAnsi="Arial" w:cs="Arial"/>
                <w:color w:val="000000"/>
              </w:rPr>
              <w:t xml:space="preserve">Phishing </w:t>
            </w:r>
          </w:p>
        </w:tc>
        <w:tc>
          <w:tcPr>
            <w:tcW w:w="1800" w:type="dxa"/>
          </w:tcPr>
          <w:p w14:paraId="72602E40">
            <w:pPr>
              <w:spacing w:after="0" w:line="360" w:lineRule="auto"/>
              <w:jc w:val="both"/>
              <w:rPr>
                <w:rFonts w:ascii="Arial" w:hAnsi="Arial" w:cs="Arial"/>
              </w:rPr>
            </w:pPr>
            <w:r>
              <w:rPr>
                <w:rFonts w:ascii="Arial" w:hAnsi="Arial" w:cs="Arial"/>
                <w:color w:val="000000"/>
              </w:rPr>
              <w:t>C, I</w:t>
            </w:r>
          </w:p>
        </w:tc>
        <w:tc>
          <w:tcPr>
            <w:tcW w:w="2560" w:type="dxa"/>
          </w:tcPr>
          <w:p w14:paraId="6EDB4E93">
            <w:pPr>
              <w:spacing w:after="0" w:line="360" w:lineRule="auto"/>
              <w:jc w:val="both"/>
              <w:rPr>
                <w:rFonts w:ascii="Arial" w:hAnsi="Arial" w:cs="Arial"/>
              </w:rPr>
            </w:pPr>
            <w:r>
              <w:rPr>
                <w:rFonts w:ascii="Arial" w:hAnsi="Arial" w:cs="Arial"/>
                <w:color w:val="000000"/>
              </w:rPr>
              <w:t>High</w:t>
            </w:r>
          </w:p>
        </w:tc>
      </w:tr>
      <w:tr w14:paraId="2C60C85A">
        <w:tc>
          <w:tcPr>
            <w:tcW w:w="1800" w:type="dxa"/>
          </w:tcPr>
          <w:p w14:paraId="4BE4F521">
            <w:pPr>
              <w:spacing w:after="0" w:line="360" w:lineRule="auto"/>
              <w:jc w:val="both"/>
              <w:rPr>
                <w:rFonts w:ascii="Arial" w:hAnsi="Arial" w:cs="Arial"/>
                <w:b/>
                <w:bCs/>
              </w:rPr>
            </w:pPr>
            <w:r>
              <w:rPr>
                <w:rFonts w:ascii="Arial" w:hAnsi="Arial" w:cs="Arial"/>
                <w:b/>
                <w:bCs/>
                <w:color w:val="000000"/>
              </w:rPr>
              <w:t>External</w:t>
            </w:r>
          </w:p>
        </w:tc>
        <w:tc>
          <w:tcPr>
            <w:tcW w:w="3200" w:type="dxa"/>
          </w:tcPr>
          <w:p w14:paraId="299CC5A3">
            <w:pPr>
              <w:spacing w:after="0" w:line="360" w:lineRule="auto"/>
              <w:jc w:val="both"/>
              <w:rPr>
                <w:rFonts w:ascii="Arial" w:hAnsi="Arial" w:cs="Arial"/>
              </w:rPr>
            </w:pPr>
            <w:r>
              <w:rPr>
                <w:rFonts w:ascii="Arial" w:hAnsi="Arial" w:cs="Arial"/>
                <w:color w:val="000000"/>
              </w:rPr>
              <w:t>Unauthorized Cloud Access</w:t>
            </w:r>
          </w:p>
        </w:tc>
        <w:tc>
          <w:tcPr>
            <w:tcW w:w="1800" w:type="dxa"/>
          </w:tcPr>
          <w:p w14:paraId="7E56BF19">
            <w:pPr>
              <w:spacing w:after="0" w:line="360" w:lineRule="auto"/>
              <w:jc w:val="both"/>
              <w:rPr>
                <w:rFonts w:ascii="Arial" w:hAnsi="Arial" w:cs="Arial"/>
              </w:rPr>
            </w:pPr>
            <w:r>
              <w:rPr>
                <w:rFonts w:ascii="Arial" w:hAnsi="Arial" w:cs="Arial"/>
                <w:color w:val="000000"/>
              </w:rPr>
              <w:t>C</w:t>
            </w:r>
          </w:p>
        </w:tc>
        <w:tc>
          <w:tcPr>
            <w:tcW w:w="2560" w:type="dxa"/>
          </w:tcPr>
          <w:p w14:paraId="60EE2DD2">
            <w:pPr>
              <w:spacing w:after="0" w:line="360" w:lineRule="auto"/>
              <w:jc w:val="both"/>
              <w:rPr>
                <w:rFonts w:ascii="Arial" w:hAnsi="Arial" w:cs="Arial"/>
              </w:rPr>
            </w:pPr>
            <w:r>
              <w:rPr>
                <w:rFonts w:ascii="Arial" w:hAnsi="Arial" w:cs="Arial"/>
                <w:color w:val="000000"/>
              </w:rPr>
              <w:t>High</w:t>
            </w:r>
          </w:p>
        </w:tc>
      </w:tr>
      <w:tr w14:paraId="6DBE8C11">
        <w:tc>
          <w:tcPr>
            <w:tcW w:w="1800" w:type="dxa"/>
          </w:tcPr>
          <w:p w14:paraId="17F2F03A">
            <w:pPr>
              <w:spacing w:after="0" w:line="360" w:lineRule="auto"/>
              <w:jc w:val="both"/>
              <w:rPr>
                <w:rFonts w:ascii="Arial" w:hAnsi="Arial" w:cs="Arial"/>
                <w:b/>
                <w:bCs/>
              </w:rPr>
            </w:pPr>
            <w:r>
              <w:rPr>
                <w:rFonts w:ascii="Arial" w:hAnsi="Arial" w:cs="Arial"/>
                <w:b/>
                <w:bCs/>
                <w:color w:val="000000"/>
              </w:rPr>
              <w:t>External</w:t>
            </w:r>
          </w:p>
        </w:tc>
        <w:tc>
          <w:tcPr>
            <w:tcW w:w="3200" w:type="dxa"/>
          </w:tcPr>
          <w:p w14:paraId="5DF69824">
            <w:pPr>
              <w:spacing w:after="0" w:line="360" w:lineRule="auto"/>
              <w:jc w:val="both"/>
              <w:rPr>
                <w:rFonts w:ascii="Arial" w:hAnsi="Arial" w:cs="Arial"/>
              </w:rPr>
            </w:pPr>
            <w:r>
              <w:rPr>
                <w:rFonts w:ascii="Arial" w:hAnsi="Arial" w:cs="Arial"/>
                <w:color w:val="000000"/>
              </w:rPr>
              <w:t>Supply-chain Compromise</w:t>
            </w:r>
          </w:p>
        </w:tc>
        <w:tc>
          <w:tcPr>
            <w:tcW w:w="1800" w:type="dxa"/>
          </w:tcPr>
          <w:p w14:paraId="58378A53">
            <w:pPr>
              <w:spacing w:after="0" w:line="360" w:lineRule="auto"/>
              <w:jc w:val="both"/>
              <w:rPr>
                <w:rFonts w:ascii="Arial" w:hAnsi="Arial" w:cs="Arial"/>
              </w:rPr>
            </w:pPr>
            <w:r>
              <w:rPr>
                <w:rFonts w:ascii="Arial" w:hAnsi="Arial" w:cs="Arial"/>
                <w:color w:val="000000"/>
              </w:rPr>
              <w:t>C, I, A</w:t>
            </w:r>
          </w:p>
        </w:tc>
        <w:tc>
          <w:tcPr>
            <w:tcW w:w="2560" w:type="dxa"/>
          </w:tcPr>
          <w:p w14:paraId="65C2658C">
            <w:pPr>
              <w:spacing w:after="0" w:line="360" w:lineRule="auto"/>
              <w:jc w:val="both"/>
              <w:rPr>
                <w:rFonts w:ascii="Arial" w:hAnsi="Arial" w:cs="Arial"/>
              </w:rPr>
            </w:pPr>
            <w:r>
              <w:rPr>
                <w:rFonts w:ascii="Arial" w:hAnsi="Arial" w:cs="Arial"/>
                <w:color w:val="000000"/>
              </w:rPr>
              <w:t>High</w:t>
            </w:r>
          </w:p>
        </w:tc>
      </w:tr>
      <w:tr w14:paraId="40D7B6F9">
        <w:tc>
          <w:tcPr>
            <w:tcW w:w="1800" w:type="dxa"/>
          </w:tcPr>
          <w:p w14:paraId="42104AB5">
            <w:pPr>
              <w:spacing w:after="0" w:line="360" w:lineRule="auto"/>
              <w:jc w:val="both"/>
              <w:rPr>
                <w:rFonts w:ascii="Arial" w:hAnsi="Arial" w:cs="Arial"/>
                <w:b/>
                <w:bCs/>
              </w:rPr>
            </w:pPr>
            <w:r>
              <w:rPr>
                <w:rFonts w:ascii="Arial" w:hAnsi="Arial" w:cs="Arial"/>
                <w:b/>
                <w:bCs/>
                <w:color w:val="000000"/>
              </w:rPr>
              <w:t>External</w:t>
            </w:r>
          </w:p>
        </w:tc>
        <w:tc>
          <w:tcPr>
            <w:tcW w:w="3200" w:type="dxa"/>
          </w:tcPr>
          <w:p w14:paraId="060ED634">
            <w:pPr>
              <w:spacing w:after="0" w:line="360" w:lineRule="auto"/>
              <w:jc w:val="both"/>
              <w:rPr>
                <w:rFonts w:ascii="Arial" w:hAnsi="Arial" w:cs="Arial"/>
              </w:rPr>
            </w:pPr>
            <w:r>
              <w:rPr>
                <w:rFonts w:ascii="Arial" w:hAnsi="Arial" w:cs="Arial"/>
                <w:color w:val="000000"/>
              </w:rPr>
              <w:t>DDoS Attack</w:t>
            </w:r>
          </w:p>
        </w:tc>
        <w:tc>
          <w:tcPr>
            <w:tcW w:w="1800" w:type="dxa"/>
          </w:tcPr>
          <w:p w14:paraId="023C3135">
            <w:pPr>
              <w:spacing w:after="0" w:line="360" w:lineRule="auto"/>
              <w:jc w:val="both"/>
              <w:rPr>
                <w:rFonts w:ascii="Arial" w:hAnsi="Arial" w:cs="Arial"/>
              </w:rPr>
            </w:pPr>
            <w:r>
              <w:rPr>
                <w:rFonts w:ascii="Arial" w:hAnsi="Arial" w:cs="Arial"/>
                <w:color w:val="000000"/>
              </w:rPr>
              <w:t>A</w:t>
            </w:r>
          </w:p>
        </w:tc>
        <w:tc>
          <w:tcPr>
            <w:tcW w:w="2560" w:type="dxa"/>
          </w:tcPr>
          <w:p w14:paraId="5A386717">
            <w:pPr>
              <w:spacing w:after="0" w:line="360" w:lineRule="auto"/>
              <w:jc w:val="both"/>
              <w:rPr>
                <w:rFonts w:ascii="Arial" w:hAnsi="Arial" w:cs="Arial"/>
              </w:rPr>
            </w:pPr>
            <w:r>
              <w:rPr>
                <w:rFonts w:ascii="Arial" w:hAnsi="Arial" w:cs="Arial"/>
                <w:color w:val="000000"/>
              </w:rPr>
              <w:t>Medium</w:t>
            </w:r>
          </w:p>
        </w:tc>
      </w:tr>
      <w:tr w14:paraId="1F44C3DC">
        <w:tc>
          <w:tcPr>
            <w:tcW w:w="1800" w:type="dxa"/>
          </w:tcPr>
          <w:p w14:paraId="2E93423A">
            <w:pPr>
              <w:spacing w:after="0" w:line="360" w:lineRule="auto"/>
              <w:jc w:val="both"/>
              <w:rPr>
                <w:rFonts w:ascii="Arial" w:hAnsi="Arial" w:cs="Arial"/>
                <w:b/>
                <w:bCs/>
              </w:rPr>
            </w:pPr>
            <w:r>
              <w:rPr>
                <w:rFonts w:ascii="Arial" w:hAnsi="Arial" w:cs="Arial"/>
                <w:b/>
                <w:bCs/>
                <w:color w:val="000000"/>
              </w:rPr>
              <w:t>Internal</w:t>
            </w:r>
          </w:p>
        </w:tc>
        <w:tc>
          <w:tcPr>
            <w:tcW w:w="3200" w:type="dxa"/>
          </w:tcPr>
          <w:p w14:paraId="626087C1">
            <w:pPr>
              <w:spacing w:after="0" w:line="360" w:lineRule="auto"/>
              <w:jc w:val="both"/>
              <w:rPr>
                <w:rFonts w:ascii="Arial" w:hAnsi="Arial" w:cs="Arial"/>
              </w:rPr>
            </w:pPr>
            <w:r>
              <w:rPr>
                <w:rFonts w:ascii="Arial" w:hAnsi="Arial" w:cs="Arial"/>
                <w:color w:val="000000"/>
              </w:rPr>
              <w:t xml:space="preserve">Negligent Insider </w:t>
            </w:r>
          </w:p>
        </w:tc>
        <w:tc>
          <w:tcPr>
            <w:tcW w:w="1800" w:type="dxa"/>
          </w:tcPr>
          <w:p w14:paraId="2C44EB67">
            <w:pPr>
              <w:spacing w:after="0" w:line="360" w:lineRule="auto"/>
              <w:jc w:val="both"/>
              <w:rPr>
                <w:rFonts w:ascii="Arial" w:hAnsi="Arial" w:cs="Arial"/>
              </w:rPr>
            </w:pPr>
            <w:r>
              <w:rPr>
                <w:rFonts w:ascii="Arial" w:hAnsi="Arial" w:cs="Arial"/>
                <w:color w:val="000000"/>
              </w:rPr>
              <w:t>C, I</w:t>
            </w:r>
          </w:p>
        </w:tc>
        <w:tc>
          <w:tcPr>
            <w:tcW w:w="2560" w:type="dxa"/>
          </w:tcPr>
          <w:p w14:paraId="6B07A4A8">
            <w:pPr>
              <w:spacing w:after="0" w:line="360" w:lineRule="auto"/>
              <w:jc w:val="both"/>
              <w:rPr>
                <w:rFonts w:ascii="Arial" w:hAnsi="Arial" w:cs="Arial"/>
              </w:rPr>
            </w:pPr>
            <w:r>
              <w:rPr>
                <w:rFonts w:ascii="Arial" w:hAnsi="Arial" w:cs="Arial"/>
                <w:color w:val="000000"/>
              </w:rPr>
              <w:t>High</w:t>
            </w:r>
          </w:p>
        </w:tc>
      </w:tr>
      <w:tr w14:paraId="53EFBE04">
        <w:tc>
          <w:tcPr>
            <w:tcW w:w="1800" w:type="dxa"/>
          </w:tcPr>
          <w:p w14:paraId="2C1A8818">
            <w:pPr>
              <w:spacing w:after="0" w:line="360" w:lineRule="auto"/>
              <w:jc w:val="both"/>
              <w:rPr>
                <w:rFonts w:ascii="Arial" w:hAnsi="Arial" w:cs="Arial"/>
                <w:b/>
                <w:bCs/>
              </w:rPr>
            </w:pPr>
            <w:r>
              <w:rPr>
                <w:rFonts w:ascii="Arial" w:hAnsi="Arial" w:cs="Arial"/>
                <w:b/>
                <w:bCs/>
                <w:color w:val="000000"/>
              </w:rPr>
              <w:t>Internal</w:t>
            </w:r>
          </w:p>
        </w:tc>
        <w:tc>
          <w:tcPr>
            <w:tcW w:w="3200" w:type="dxa"/>
          </w:tcPr>
          <w:p w14:paraId="10E3CAE7">
            <w:pPr>
              <w:spacing w:after="0" w:line="360" w:lineRule="auto"/>
              <w:jc w:val="both"/>
              <w:rPr>
                <w:rFonts w:ascii="Arial" w:hAnsi="Arial" w:cs="Arial"/>
              </w:rPr>
            </w:pPr>
            <w:r>
              <w:rPr>
                <w:rFonts w:ascii="Arial" w:hAnsi="Arial" w:cs="Arial"/>
                <w:color w:val="000000"/>
              </w:rPr>
              <w:t xml:space="preserve">Malicious Insider </w:t>
            </w:r>
          </w:p>
        </w:tc>
        <w:tc>
          <w:tcPr>
            <w:tcW w:w="1800" w:type="dxa"/>
          </w:tcPr>
          <w:p w14:paraId="0DEBACA7">
            <w:pPr>
              <w:spacing w:after="0" w:line="360" w:lineRule="auto"/>
              <w:jc w:val="both"/>
              <w:rPr>
                <w:rFonts w:ascii="Arial" w:hAnsi="Arial" w:cs="Arial"/>
              </w:rPr>
            </w:pPr>
            <w:r>
              <w:rPr>
                <w:rFonts w:ascii="Arial" w:hAnsi="Arial" w:cs="Arial"/>
                <w:color w:val="000000"/>
              </w:rPr>
              <w:t>C</w:t>
            </w:r>
          </w:p>
        </w:tc>
        <w:tc>
          <w:tcPr>
            <w:tcW w:w="2560" w:type="dxa"/>
          </w:tcPr>
          <w:p w14:paraId="254B4701">
            <w:pPr>
              <w:spacing w:after="0" w:line="360" w:lineRule="auto"/>
              <w:jc w:val="both"/>
              <w:rPr>
                <w:rFonts w:ascii="Arial" w:hAnsi="Arial" w:cs="Arial"/>
              </w:rPr>
            </w:pPr>
            <w:r>
              <w:rPr>
                <w:rFonts w:ascii="Arial" w:hAnsi="Arial" w:cs="Arial"/>
                <w:color w:val="000000"/>
              </w:rPr>
              <w:t>High</w:t>
            </w:r>
          </w:p>
        </w:tc>
      </w:tr>
      <w:tr w14:paraId="369F44B0">
        <w:tc>
          <w:tcPr>
            <w:tcW w:w="1800" w:type="dxa"/>
          </w:tcPr>
          <w:p w14:paraId="2F597253">
            <w:pPr>
              <w:spacing w:after="0" w:line="360" w:lineRule="auto"/>
              <w:jc w:val="both"/>
              <w:rPr>
                <w:rFonts w:ascii="Arial" w:hAnsi="Arial" w:cs="Arial"/>
                <w:b/>
                <w:bCs/>
              </w:rPr>
            </w:pPr>
            <w:r>
              <w:rPr>
                <w:rFonts w:ascii="Arial" w:hAnsi="Arial" w:cs="Arial"/>
                <w:b/>
                <w:bCs/>
                <w:color w:val="000000"/>
              </w:rPr>
              <w:t>Internal</w:t>
            </w:r>
          </w:p>
        </w:tc>
        <w:tc>
          <w:tcPr>
            <w:tcW w:w="3200" w:type="dxa"/>
          </w:tcPr>
          <w:p w14:paraId="1583AFF3">
            <w:pPr>
              <w:spacing w:after="0" w:line="360" w:lineRule="auto"/>
              <w:jc w:val="both"/>
              <w:rPr>
                <w:rFonts w:ascii="Arial" w:hAnsi="Arial" w:cs="Arial"/>
              </w:rPr>
            </w:pPr>
            <w:r>
              <w:rPr>
                <w:rFonts w:ascii="Arial" w:hAnsi="Arial" w:cs="Arial"/>
                <w:color w:val="000000"/>
              </w:rPr>
              <w:t>Unpatched Legacy Systems</w:t>
            </w:r>
          </w:p>
        </w:tc>
        <w:tc>
          <w:tcPr>
            <w:tcW w:w="1800" w:type="dxa"/>
          </w:tcPr>
          <w:p w14:paraId="7801AFED">
            <w:pPr>
              <w:spacing w:after="0" w:line="360" w:lineRule="auto"/>
              <w:jc w:val="both"/>
              <w:rPr>
                <w:rFonts w:ascii="Arial" w:hAnsi="Arial" w:cs="Arial"/>
              </w:rPr>
            </w:pPr>
            <w:r>
              <w:rPr>
                <w:rFonts w:ascii="Arial" w:hAnsi="Arial" w:cs="Arial"/>
                <w:color w:val="000000"/>
              </w:rPr>
              <w:t>C, I, A</w:t>
            </w:r>
          </w:p>
        </w:tc>
        <w:tc>
          <w:tcPr>
            <w:tcW w:w="2560" w:type="dxa"/>
          </w:tcPr>
          <w:p w14:paraId="73C70F34">
            <w:pPr>
              <w:spacing w:after="0" w:line="360" w:lineRule="auto"/>
              <w:jc w:val="both"/>
              <w:rPr>
                <w:rFonts w:ascii="Arial" w:hAnsi="Arial" w:cs="Arial"/>
              </w:rPr>
            </w:pPr>
            <w:r>
              <w:rPr>
                <w:rFonts w:ascii="Arial" w:hAnsi="Arial" w:cs="Arial"/>
                <w:color w:val="000000"/>
              </w:rPr>
              <w:t>Medium</w:t>
            </w:r>
          </w:p>
        </w:tc>
      </w:tr>
      <w:tr w14:paraId="167CC83C">
        <w:tc>
          <w:tcPr>
            <w:tcW w:w="1800" w:type="dxa"/>
          </w:tcPr>
          <w:p w14:paraId="171AE516">
            <w:pPr>
              <w:spacing w:after="0" w:line="360" w:lineRule="auto"/>
              <w:jc w:val="both"/>
              <w:rPr>
                <w:rFonts w:ascii="Arial" w:hAnsi="Arial" w:cs="Arial"/>
                <w:b/>
                <w:bCs/>
              </w:rPr>
            </w:pPr>
            <w:r>
              <w:rPr>
                <w:rFonts w:ascii="Arial" w:hAnsi="Arial" w:cs="Arial"/>
                <w:b/>
                <w:bCs/>
                <w:color w:val="000000"/>
              </w:rPr>
              <w:t>Internal</w:t>
            </w:r>
          </w:p>
        </w:tc>
        <w:tc>
          <w:tcPr>
            <w:tcW w:w="3200" w:type="dxa"/>
          </w:tcPr>
          <w:p w14:paraId="7DD34BF7">
            <w:pPr>
              <w:spacing w:after="0" w:line="360" w:lineRule="auto"/>
              <w:jc w:val="both"/>
              <w:rPr>
                <w:rFonts w:ascii="Arial" w:hAnsi="Arial" w:cs="Arial"/>
              </w:rPr>
            </w:pPr>
            <w:r>
              <w:rPr>
                <w:rFonts w:ascii="Arial" w:hAnsi="Arial" w:cs="Arial"/>
                <w:color w:val="000000"/>
              </w:rPr>
              <w:t>Personal Device Risk</w:t>
            </w:r>
          </w:p>
        </w:tc>
        <w:tc>
          <w:tcPr>
            <w:tcW w:w="1800" w:type="dxa"/>
          </w:tcPr>
          <w:p w14:paraId="2E162DCE">
            <w:pPr>
              <w:spacing w:after="0" w:line="360" w:lineRule="auto"/>
              <w:jc w:val="both"/>
              <w:rPr>
                <w:rFonts w:ascii="Arial" w:hAnsi="Arial" w:cs="Arial"/>
              </w:rPr>
            </w:pPr>
            <w:r>
              <w:rPr>
                <w:rFonts w:ascii="Arial" w:hAnsi="Arial" w:cs="Arial"/>
                <w:color w:val="000000"/>
              </w:rPr>
              <w:t>C</w:t>
            </w:r>
          </w:p>
        </w:tc>
        <w:tc>
          <w:tcPr>
            <w:tcW w:w="2560" w:type="dxa"/>
          </w:tcPr>
          <w:p w14:paraId="23E8010B">
            <w:pPr>
              <w:spacing w:after="0" w:line="360" w:lineRule="auto"/>
              <w:jc w:val="both"/>
              <w:rPr>
                <w:rFonts w:ascii="Arial" w:hAnsi="Arial" w:cs="Arial"/>
              </w:rPr>
            </w:pPr>
            <w:r>
              <w:rPr>
                <w:rFonts w:ascii="Arial" w:hAnsi="Arial" w:cs="Arial"/>
                <w:color w:val="000000"/>
              </w:rPr>
              <w:t>Medium</w:t>
            </w:r>
          </w:p>
        </w:tc>
      </w:tr>
    </w:tbl>
    <w:p w14:paraId="53ACA546">
      <w:pPr>
        <w:spacing w:line="360" w:lineRule="auto"/>
        <w:jc w:val="both"/>
        <w:rPr>
          <w:rFonts w:ascii="Arial" w:hAnsi="Arial" w:cs="Arial"/>
        </w:rPr>
      </w:pPr>
      <w:r>
        <w:rPr>
          <w:rFonts w:ascii="Arial" w:hAnsi="Arial" w:cs="Arial"/>
        </w:rPr>
        <w:t xml:space="preserve">Table: HPA threats </w:t>
      </w:r>
    </w:p>
    <w:p w14:paraId="075460A6">
      <w:pPr>
        <w:spacing w:line="360" w:lineRule="auto"/>
        <w:jc w:val="both"/>
        <w:rPr>
          <w:rFonts w:ascii="Arial" w:hAnsi="Arial" w:cs="Arial"/>
          <w:b/>
          <w:bCs/>
        </w:rPr>
      </w:pPr>
      <w:r>
        <w:rPr>
          <w:rFonts w:ascii="Arial" w:hAnsi="Arial" w:cs="Arial"/>
          <w:b/>
          <w:bCs/>
        </w:rPr>
        <w:t>External Threats</w:t>
      </w:r>
    </w:p>
    <w:p w14:paraId="37B711D9">
      <w:pPr>
        <w:spacing w:line="360" w:lineRule="auto"/>
        <w:jc w:val="both"/>
        <w:rPr>
          <w:rFonts w:ascii="Arial" w:hAnsi="Arial" w:cs="Arial"/>
        </w:rPr>
      </w:pPr>
      <w:r>
        <w:rPr>
          <w:rFonts w:ascii="Arial" w:hAnsi="Arial" w:cs="Arial"/>
        </w:rPr>
        <w:t>The largest external threat is ransomware. Ransomware-as-a-Service (RaaS) has facilitated easier access for attackers to systems. Microsoft Threat Intelligence has documented a 300% rise in healthcare ransomware since 2015, and healthcare will be among the ten most-targeted sectors in 2024 [4]. The 2024 Change Healthcare breach demonstrated that the ALPHV/Black Cat group can steal 192 million records in one server without multi-factor authentication (MFA). The cost of recovery was more than 1 billion. Hackers most often gain access to a system through phishing, and in 2024, the FBI received over 193,000 complaints [6]. An example of a supply-chain compromise is the Synovus attack, which demonstrates that a third-party breach can lead to issues in the whole NHS [2].</w:t>
      </w:r>
    </w:p>
    <w:p w14:paraId="48867DB2">
      <w:pPr>
        <w:spacing w:line="360" w:lineRule="auto"/>
        <w:jc w:val="both"/>
        <w:rPr>
          <w:rFonts w:ascii="Arial" w:hAnsi="Arial" w:cs="Arial"/>
          <w:b/>
          <w:bCs/>
        </w:rPr>
      </w:pPr>
      <w:r>
        <w:rPr>
          <w:rFonts w:ascii="Arial" w:hAnsi="Arial" w:cs="Arial"/>
          <w:b/>
          <w:bCs/>
        </w:rPr>
        <w:t>Internal Threats</w:t>
      </w:r>
    </w:p>
    <w:p w14:paraId="38B1D629">
      <w:pPr>
        <w:spacing w:line="360" w:lineRule="auto"/>
        <w:jc w:val="both"/>
        <w:rPr>
          <w:rFonts w:ascii="Arial" w:hAnsi="Arial" w:cs="Arial"/>
        </w:rPr>
      </w:pPr>
      <w:r>
        <w:rPr>
          <w:rFonts w:ascii="Arial" w:hAnsi="Arial" w:cs="Arial"/>
        </w:rPr>
        <w:t>According to a peer-reviewed study published in Applied Sciences (2026), the most frequent reason behind healthcare data breaches is caused by negligent insiders. This is due to the fact that they have excessive work to perform, their operations are too complex, and they receive inadequate training [7]. It is even riskier due to the fact that the workforce of HPA is decentralized, and employees can use their own devices. One threat to confidentiality is malicious insiders, though they are not as frequent. According to the founding CEO of the NCSC, one of the main factors behind the successful Synovus attack was legacy systems that were not patched [8]. This renders patch management significant internal control of HPA.</w:t>
      </w:r>
    </w:p>
    <w:p w14:paraId="1971B11F">
      <w:pPr>
        <w:pStyle w:val="2"/>
        <w:spacing w:line="360" w:lineRule="auto"/>
        <w:jc w:val="both"/>
        <w:rPr>
          <w:rFonts w:ascii="Arial" w:hAnsi="Arial" w:cs="Arial"/>
          <w:sz w:val="24"/>
          <w:szCs w:val="24"/>
        </w:rPr>
      </w:pPr>
      <w:r>
        <w:rPr>
          <w:rFonts w:ascii="Arial" w:hAnsi="Arial" w:cs="Arial"/>
          <w:sz w:val="24"/>
          <w:szCs w:val="24"/>
        </w:rPr>
        <w:t>Policies for Security</w:t>
      </w:r>
    </w:p>
    <w:p w14:paraId="001A6B6F">
      <w:pPr>
        <w:spacing w:line="360" w:lineRule="auto"/>
        <w:jc w:val="both"/>
        <w:rPr>
          <w:rFonts w:ascii="Arial" w:hAnsi="Arial" w:cs="Arial"/>
        </w:rPr>
      </w:pPr>
      <w:r>
        <w:rPr>
          <w:rFonts w:ascii="Arial" w:hAnsi="Arial" w:cs="Arial"/>
        </w:rPr>
        <w:t>ISO 27001:2022 [9] and NIST CSF 2.0 [10] are the two frameworks that HPA's policies are based on. NIST CSF 2.0 added a sixth core function called Govern to the five already in place (Identify, Protect, Respond, Recover), and the four items were now known as the Information Security Management System (ISMS). This took governance as the foundation of any security activity [10].</w:t>
      </w:r>
    </w:p>
    <w:p w14:paraId="3B3CA1FD">
      <w:pPr>
        <w:spacing w:line="360" w:lineRule="auto"/>
        <w:jc w:val="both"/>
        <w:rPr>
          <w:rFonts w:ascii="Arial" w:hAnsi="Arial" w:cs="Arial"/>
        </w:rPr>
      </w:pPr>
      <w:r>
        <w:rPr>
          <w:rFonts w:ascii="Arial" w:hAnsi="Arial" w:cs="Arial"/>
        </w:rPr>
        <w:t>The ISMS will establish the scope, assign roles (with an Information Security Officer included), and maintain a risk register that is updated at least once per year to ensure that all of the seven UK GDPR principles are adhered to [11]. Access to patient data will be restricted to the minimum number of people through Role-Based Access Control (RBAC). All data which is not in motion will be encrypted with AES-256, and data which is moving will be encrypted with TLS 1.3. A formal BYOD policy will, before any access to company resources, entail enrollment in Mobile Device Management (MDM), encryption and multi-factor authentication (MFA). Critical security patches need to be installed within 48 hours of release by the vendor. High-severity patches need to be put in place within seven days. Any legacy systems that are unable to receive updates will be placed in an accelerated decommissioning process and disconnected from the rest of the network.</w:t>
      </w:r>
    </w:p>
    <w:p w14:paraId="6B8A0DE2">
      <w:pPr>
        <w:pStyle w:val="2"/>
        <w:spacing w:line="360" w:lineRule="auto"/>
        <w:jc w:val="both"/>
        <w:rPr>
          <w:rFonts w:ascii="Arial" w:hAnsi="Arial" w:cs="Arial"/>
          <w:sz w:val="24"/>
          <w:szCs w:val="24"/>
        </w:rPr>
      </w:pPr>
      <w:r>
        <w:rPr>
          <w:rFonts w:ascii="Arial" w:hAnsi="Arial" w:cs="Arial"/>
          <w:sz w:val="24"/>
          <w:szCs w:val="24"/>
        </w:rPr>
        <w:t>Mitigation Measure</w:t>
      </w:r>
    </w:p>
    <w:p w14:paraId="49887395">
      <w:pPr>
        <w:spacing w:line="360" w:lineRule="auto"/>
        <w:jc w:val="both"/>
        <w:rPr>
          <w:rFonts w:ascii="Arial" w:hAnsi="Arial" w:cs="Arial"/>
          <w:b/>
        </w:rPr>
      </w:pPr>
      <w:r>
        <w:rPr>
          <w:rFonts w:ascii="Arial" w:hAnsi="Arial" w:cs="Arial"/>
          <w:b/>
          <w:bCs/>
        </w:rPr>
        <w:t>Zero Trust and Multi-Factor Authentication.</w:t>
      </w:r>
    </w:p>
    <w:p w14:paraId="743530D5">
      <w:pPr>
        <w:spacing w:line="360" w:lineRule="auto"/>
        <w:jc w:val="both"/>
        <w:rPr>
          <w:rFonts w:ascii="Arial" w:hAnsi="Arial" w:cs="Arial"/>
        </w:rPr>
      </w:pPr>
      <w:r>
        <w:rPr>
          <w:rFonts w:ascii="Arial" w:hAnsi="Arial" w:cs="Arial"/>
        </w:rPr>
        <w:t>MFA is the strongest control of HPA. The Change Healthcare hack has exploited a server, which lacked MFA; no sophisticated methods were employed [5]. HPA will mandate MFA on accounts and vendor connections. It will also adopt a Zero Trust Architecture (ZTA), which adheres to the adage of never trust and always verify. ZTA employs ongoing verification, micro segmentation, and least-privileged access to ensure that breaches do not propagate across the network and remain confined in small parts of the network [12].</w:t>
      </w:r>
    </w:p>
    <w:p w14:paraId="379F6207">
      <w:pPr>
        <w:spacing w:line="360" w:lineRule="auto"/>
        <w:jc w:val="both"/>
        <w:rPr>
          <w:rFonts w:ascii="Arial" w:hAnsi="Arial" w:cs="Arial"/>
          <w:b/>
          <w:bCs/>
        </w:rPr>
      </w:pPr>
      <w:r>
        <w:rPr>
          <w:rFonts w:ascii="Arial" w:hAnsi="Arial" w:cs="Arial"/>
          <w:b/>
          <w:bCs/>
        </w:rPr>
        <w:t xml:space="preserve"> Backup and Defense of Ransomware.</w:t>
      </w:r>
    </w:p>
    <w:p w14:paraId="7165E854">
      <w:pPr>
        <w:spacing w:line="360" w:lineRule="auto"/>
        <w:jc w:val="both"/>
        <w:rPr>
          <w:rFonts w:ascii="Arial" w:hAnsi="Arial" w:cs="Arial"/>
        </w:rPr>
      </w:pPr>
      <w:r>
        <w:rPr>
          <w:rFonts w:ascii="Arial" w:hAnsi="Arial" w:cs="Arial"/>
        </w:rPr>
        <w:t>The 3-2-1 backup strategy will be implemented by HPA, meaning the data will be stored on two media of varying types, one copy of which will be stored offline and air-gapped. Each month, the backups will be tested by verification of the restoration drills and checked with cryptography to ensure that they are not corrupted before an attack. Clinical and administrative systems should not be interconnected, and in this way, ransomware will not be spread as much. A Cloud Security Posture Management (CSPM) tool will continuously identify cloud misconfigurations which might endanger patient data.</w:t>
      </w:r>
    </w:p>
    <w:p w14:paraId="19BBB05B">
      <w:pPr>
        <w:spacing w:line="360" w:lineRule="auto"/>
        <w:jc w:val="both"/>
        <w:rPr>
          <w:rFonts w:ascii="Arial" w:hAnsi="Arial" w:cs="Arial"/>
          <w:b/>
          <w:bCs/>
        </w:rPr>
      </w:pPr>
      <w:r>
        <w:rPr>
          <w:rFonts w:ascii="Arial" w:hAnsi="Arial" w:cs="Arial"/>
          <w:b/>
          <w:bCs/>
        </w:rPr>
        <w:t xml:space="preserve"> Third Party and Endpoint Controls.</w:t>
      </w:r>
    </w:p>
    <w:p w14:paraId="0EC01D11">
      <w:pPr>
        <w:spacing w:line="360" w:lineRule="auto"/>
        <w:jc w:val="both"/>
        <w:rPr>
          <w:rFonts w:ascii="Arial" w:hAnsi="Arial" w:cs="Arial"/>
        </w:rPr>
      </w:pPr>
      <w:r>
        <w:rPr>
          <w:rFonts w:ascii="Arial" w:hAnsi="Arial" w:cs="Arial"/>
        </w:rPr>
        <w:t>All third-party suppliers with access to HPA data are required to undergo security assessments annually, which must comply with NHS DSPT standards. The contracts will have security schedules and right-to-audit provisions. This aligns with the directive of the NHS England [13], which stipulates that the suppliers should meet some cybersecurity standards. To monitor behavior in real time and detect fileless malware, which traditional antivirus software fails to detect, an Endpoint Detection and Response (EDR) solution will be deployed on all devices, including BYOD.</w:t>
      </w:r>
    </w:p>
    <w:p w14:paraId="4F9D5877">
      <w:pPr>
        <w:pStyle w:val="2"/>
        <w:spacing w:line="360" w:lineRule="auto"/>
        <w:jc w:val="both"/>
        <w:rPr>
          <w:rFonts w:ascii="Arial" w:hAnsi="Arial" w:cs="Arial"/>
          <w:sz w:val="24"/>
          <w:szCs w:val="24"/>
        </w:rPr>
      </w:pPr>
      <w:r>
        <w:rPr>
          <w:rFonts w:ascii="Arial" w:hAnsi="Arial" w:cs="Arial"/>
          <w:sz w:val="24"/>
          <w:szCs w:val="24"/>
        </w:rPr>
        <w:t>Monitoring and Response</w:t>
      </w:r>
    </w:p>
    <w:p w14:paraId="01915238">
      <w:pPr>
        <w:spacing w:line="360" w:lineRule="auto"/>
        <w:jc w:val="both"/>
        <w:rPr>
          <w:rFonts w:ascii="Arial" w:hAnsi="Arial" w:cs="Arial"/>
        </w:rPr>
      </w:pPr>
      <w:r>
        <w:rPr>
          <w:rFonts w:ascii="Arial" w:hAnsi="Arial" w:cs="Arial"/>
        </w:rPr>
        <w:t>HPA will deploy a Security Information and Event Management (SIEM) system to centralize the logs of all network devices, endpoints and cloud services and issue alerts in real time. Intrusion Detection and Prevention System (IDS/IPS), as well as Security Operations Centre (SOC), will also be provided by a Managed Security Service Provider (MSSP) and is open 24/7. Some of the critical indicators that will be configured as priority alerts include unusual location of login, out-of-hours administrative access and spikes in outbound data transfer [14]. Figure 1 displays the seven stages of the Incident Response Plan (IRP) of HPA. It is based on NIST SP 800-61 Rev. 2 lifecycle and complies with Article 33 of the UK GDPR breach notification requirements.</w:t>
      </w:r>
    </w:p>
    <w:p w14:paraId="5D6A27AF">
      <w:pPr>
        <w:spacing w:before="60" w:after="100" w:line="360" w:lineRule="auto"/>
        <w:jc w:val="both"/>
        <w:rPr>
          <w:rFonts w:ascii="Arial" w:hAnsi="Arial" w:cs="Arial"/>
        </w:rPr>
      </w:pPr>
    </w:p>
    <w:tbl>
      <w:tblPr>
        <w:tblStyle w:val="36"/>
        <w:tblW w:w="9360" w:type="dxa"/>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000"/>
        <w:gridCol w:w="7360"/>
      </w:tblGrid>
      <w:tr w14:paraId="4FE0859A">
        <w:tc>
          <w:tcPr>
            <w:tcW w:w="2000" w:type="dxa"/>
          </w:tcPr>
          <w:p w14:paraId="4C81459B">
            <w:pPr>
              <w:spacing w:after="0" w:line="360" w:lineRule="auto"/>
              <w:jc w:val="both"/>
              <w:rPr>
                <w:rFonts w:ascii="Arial" w:hAnsi="Arial" w:cs="Arial"/>
                <w:b/>
                <w:bCs/>
              </w:rPr>
            </w:pPr>
            <w:r>
              <w:rPr>
                <w:rFonts w:ascii="Arial" w:hAnsi="Arial" w:cs="Arial"/>
                <w:b w:val="0"/>
                <w:bCs w:val="0"/>
              </w:rPr>
              <w:t>1. DETECT</w:t>
            </w:r>
          </w:p>
        </w:tc>
        <w:tc>
          <w:tcPr>
            <w:tcW w:w="7360" w:type="dxa"/>
          </w:tcPr>
          <w:p w14:paraId="16582DC4">
            <w:pPr>
              <w:spacing w:after="0" w:line="360" w:lineRule="auto"/>
              <w:jc w:val="both"/>
              <w:rPr>
                <w:rFonts w:ascii="Arial" w:hAnsi="Arial" w:cs="Arial"/>
                <w:b w:val="0"/>
                <w:bCs w:val="0"/>
              </w:rPr>
            </w:pPr>
            <w:r>
              <w:rPr>
                <w:rFonts w:ascii="Arial" w:hAnsi="Arial" w:cs="Arial"/>
                <w:b w:val="0"/>
                <w:bCs w:val="0"/>
              </w:rPr>
              <w:t>SIEM/IDS alerts were triggered; an EDR or SOC analyst was alerted to suspicious activity</w:t>
            </w:r>
          </w:p>
        </w:tc>
      </w:tr>
      <w:tr w14:paraId="173DAC3C">
        <w:tc>
          <w:tcPr>
            <w:tcW w:w="2000" w:type="dxa"/>
            <w:shd w:val="clear" w:color="auto" w:fill="F1F1F1" w:themeFill="background1" w:themeFillShade="F2"/>
          </w:tcPr>
          <w:p w14:paraId="73725722">
            <w:pPr>
              <w:spacing w:after="0" w:line="360" w:lineRule="auto"/>
              <w:jc w:val="both"/>
              <w:rPr>
                <w:rFonts w:ascii="Arial" w:hAnsi="Arial" w:cs="Arial"/>
                <w:b/>
                <w:bCs/>
              </w:rPr>
            </w:pPr>
            <w:r>
              <w:rPr>
                <w:rFonts w:ascii="Arial" w:hAnsi="Arial" w:cs="Arial"/>
                <w:b w:val="0"/>
                <w:bCs w:val="0"/>
              </w:rPr>
              <w:t>2. TRIAGE</w:t>
            </w:r>
          </w:p>
        </w:tc>
        <w:tc>
          <w:tcPr>
            <w:tcW w:w="7360" w:type="dxa"/>
            <w:shd w:val="clear" w:color="auto" w:fill="F1F1F1" w:themeFill="background1" w:themeFillShade="F2"/>
          </w:tcPr>
          <w:p w14:paraId="0485ACAA">
            <w:pPr>
              <w:spacing w:after="0" w:line="360" w:lineRule="auto"/>
              <w:jc w:val="both"/>
              <w:rPr>
                <w:rFonts w:ascii="Arial" w:hAnsi="Arial" w:cs="Arial"/>
              </w:rPr>
            </w:pPr>
            <w:r>
              <w:rPr>
                <w:rFonts w:ascii="Arial" w:hAnsi="Arial" w:cs="Arial"/>
              </w:rPr>
              <w:t>The Incident Response Team considers the severity (P1-P4) and classifies the incident.</w:t>
            </w:r>
          </w:p>
        </w:tc>
      </w:tr>
      <w:tr w14:paraId="46F8F1E2">
        <w:tc>
          <w:tcPr>
            <w:tcW w:w="2000" w:type="dxa"/>
          </w:tcPr>
          <w:p w14:paraId="34052F4C">
            <w:pPr>
              <w:spacing w:after="0" w:line="360" w:lineRule="auto"/>
              <w:jc w:val="both"/>
              <w:rPr>
                <w:rFonts w:ascii="Arial" w:hAnsi="Arial" w:cs="Arial"/>
                <w:b/>
                <w:bCs/>
              </w:rPr>
            </w:pPr>
            <w:r>
              <w:rPr>
                <w:rFonts w:ascii="Arial" w:hAnsi="Arial" w:cs="Arial"/>
                <w:b w:val="0"/>
                <w:bCs w:val="0"/>
              </w:rPr>
              <w:t>3. CONTAIN</w:t>
            </w:r>
          </w:p>
        </w:tc>
        <w:tc>
          <w:tcPr>
            <w:tcW w:w="7360" w:type="dxa"/>
          </w:tcPr>
          <w:p w14:paraId="45F4449C">
            <w:pPr>
              <w:spacing w:after="0" w:line="360" w:lineRule="auto"/>
              <w:jc w:val="both"/>
              <w:rPr>
                <w:rFonts w:ascii="Arial" w:hAnsi="Arial" w:cs="Arial"/>
              </w:rPr>
            </w:pPr>
            <w:r>
              <w:rPr>
                <w:rFonts w:ascii="Arial" w:hAnsi="Arial" w:cs="Arial"/>
              </w:rPr>
              <w:t>Isolate the affected systems, revoke the compromised credentials and block the known malicious IPs.</w:t>
            </w:r>
          </w:p>
        </w:tc>
      </w:tr>
      <w:tr w14:paraId="01C3554A">
        <w:tc>
          <w:tcPr>
            <w:tcW w:w="2000" w:type="dxa"/>
            <w:shd w:val="clear" w:color="auto" w:fill="F1F1F1" w:themeFill="background1" w:themeFillShade="F2"/>
          </w:tcPr>
          <w:p w14:paraId="57644371">
            <w:pPr>
              <w:spacing w:after="0" w:line="360" w:lineRule="auto"/>
              <w:jc w:val="both"/>
              <w:rPr>
                <w:rFonts w:ascii="Arial" w:hAnsi="Arial" w:cs="Arial"/>
                <w:b/>
                <w:bCs/>
              </w:rPr>
            </w:pPr>
            <w:r>
              <w:rPr>
                <w:rFonts w:ascii="Arial" w:hAnsi="Arial" w:cs="Arial"/>
                <w:b w:val="0"/>
                <w:bCs w:val="0"/>
              </w:rPr>
              <w:t>4. ERADICATE</w:t>
            </w:r>
          </w:p>
        </w:tc>
        <w:tc>
          <w:tcPr>
            <w:tcW w:w="7360" w:type="dxa"/>
            <w:shd w:val="clear" w:color="auto" w:fill="F1F1F1" w:themeFill="background1" w:themeFillShade="F2"/>
          </w:tcPr>
          <w:p w14:paraId="3C7C25CF">
            <w:pPr>
              <w:spacing w:after="0" w:line="360" w:lineRule="auto"/>
              <w:jc w:val="both"/>
              <w:rPr>
                <w:rFonts w:ascii="Arial" w:hAnsi="Arial" w:cs="Arial"/>
              </w:rPr>
            </w:pPr>
            <w:r>
              <w:rPr>
                <w:rFonts w:ascii="Arial" w:hAnsi="Arial" w:cs="Arial"/>
              </w:rPr>
              <w:t>Eradicate viruses, repair vulnerable holes that have been exploited, and replace encryption keys.</w:t>
            </w:r>
          </w:p>
        </w:tc>
      </w:tr>
      <w:tr w14:paraId="4CA1A0FE">
        <w:tc>
          <w:tcPr>
            <w:tcW w:w="2000" w:type="dxa"/>
          </w:tcPr>
          <w:p w14:paraId="3DAB9841">
            <w:pPr>
              <w:spacing w:after="0" w:line="360" w:lineRule="auto"/>
              <w:jc w:val="both"/>
              <w:rPr>
                <w:rFonts w:ascii="Arial" w:hAnsi="Arial" w:cs="Arial"/>
                <w:b/>
                <w:bCs/>
              </w:rPr>
            </w:pPr>
            <w:r>
              <w:rPr>
                <w:rFonts w:ascii="Arial" w:hAnsi="Arial" w:cs="Arial"/>
                <w:b w:val="0"/>
                <w:bCs w:val="0"/>
              </w:rPr>
              <w:t>5. NOTIFY</w:t>
            </w:r>
          </w:p>
        </w:tc>
        <w:tc>
          <w:tcPr>
            <w:tcW w:w="7360" w:type="dxa"/>
          </w:tcPr>
          <w:p w14:paraId="7AFCBB12">
            <w:pPr>
              <w:spacing w:after="0" w:line="360" w:lineRule="auto"/>
              <w:jc w:val="both"/>
              <w:rPr>
                <w:rFonts w:ascii="Arial" w:hAnsi="Arial" w:cs="Arial"/>
              </w:rPr>
            </w:pPr>
            <w:r>
              <w:rPr>
                <w:rFonts w:ascii="Arial" w:hAnsi="Arial" w:cs="Arial"/>
              </w:rPr>
              <w:t>Notice NHS Digital and the leadership, and report to ICO within 72 hours (UK GDPR Art. 33).</w:t>
            </w:r>
          </w:p>
        </w:tc>
      </w:tr>
      <w:tr w14:paraId="20971C2D">
        <w:tc>
          <w:tcPr>
            <w:tcW w:w="2000" w:type="dxa"/>
            <w:shd w:val="clear" w:color="auto" w:fill="F1F1F1" w:themeFill="background1" w:themeFillShade="F2"/>
          </w:tcPr>
          <w:p w14:paraId="6FAA0910">
            <w:pPr>
              <w:spacing w:after="0" w:line="360" w:lineRule="auto"/>
              <w:jc w:val="both"/>
              <w:rPr>
                <w:rFonts w:ascii="Arial" w:hAnsi="Arial" w:cs="Arial"/>
                <w:b/>
                <w:bCs/>
              </w:rPr>
            </w:pPr>
            <w:r>
              <w:rPr>
                <w:rFonts w:ascii="Arial" w:hAnsi="Arial" w:cs="Arial"/>
                <w:b w:val="0"/>
                <w:bCs w:val="0"/>
              </w:rPr>
              <w:t>6. RECOVER</w:t>
            </w:r>
          </w:p>
        </w:tc>
        <w:tc>
          <w:tcPr>
            <w:tcW w:w="7360" w:type="dxa"/>
            <w:shd w:val="clear" w:color="auto" w:fill="F1F1F1" w:themeFill="background1" w:themeFillShade="F2"/>
          </w:tcPr>
          <w:p w14:paraId="692A8E04">
            <w:pPr>
              <w:spacing w:after="0" w:line="360" w:lineRule="auto"/>
              <w:jc w:val="both"/>
              <w:rPr>
                <w:rFonts w:ascii="Arial" w:hAnsi="Arial" w:cs="Arial"/>
              </w:rPr>
            </w:pPr>
            <w:r>
              <w:rPr>
                <w:rFonts w:ascii="Arial" w:hAnsi="Arial" w:cs="Arial"/>
              </w:rPr>
              <w:t>Recover verified, offline backups, and verify the integrity of the system before proceeding.</w:t>
            </w:r>
          </w:p>
        </w:tc>
      </w:tr>
      <w:tr w14:paraId="6452F529">
        <w:tc>
          <w:tcPr>
            <w:tcW w:w="2000" w:type="dxa"/>
          </w:tcPr>
          <w:p w14:paraId="6020B354">
            <w:pPr>
              <w:spacing w:after="0" w:line="360" w:lineRule="auto"/>
              <w:jc w:val="both"/>
              <w:rPr>
                <w:rFonts w:ascii="Arial" w:hAnsi="Arial" w:cs="Arial"/>
                <w:b/>
                <w:bCs/>
              </w:rPr>
            </w:pPr>
            <w:r>
              <w:rPr>
                <w:rFonts w:ascii="Arial" w:hAnsi="Arial" w:cs="Arial"/>
                <w:b w:val="0"/>
                <w:bCs w:val="0"/>
              </w:rPr>
              <w:t>7. REVIEW</w:t>
            </w:r>
          </w:p>
        </w:tc>
        <w:tc>
          <w:tcPr>
            <w:tcW w:w="7360" w:type="dxa"/>
          </w:tcPr>
          <w:p w14:paraId="618C7435">
            <w:pPr>
              <w:spacing w:after="0" w:line="360" w:lineRule="auto"/>
              <w:jc w:val="both"/>
              <w:rPr>
                <w:rFonts w:ascii="Arial" w:hAnsi="Arial" w:cs="Arial"/>
              </w:rPr>
            </w:pPr>
            <w:r>
              <w:rPr>
                <w:rFonts w:ascii="Arial" w:hAnsi="Arial" w:cs="Arial"/>
              </w:rPr>
              <w:t>Following the event, review what occurred, revise policies, document what you have learned, and report to the board.</w:t>
            </w:r>
          </w:p>
        </w:tc>
      </w:tr>
    </w:tbl>
    <w:p w14:paraId="5D9412EA">
      <w:pPr>
        <w:spacing w:before="40" w:after="40" w:line="360" w:lineRule="auto"/>
        <w:jc w:val="both"/>
        <w:rPr>
          <w:rFonts w:ascii="Arial" w:hAnsi="Arial" w:cs="Arial"/>
        </w:rPr>
      </w:pPr>
    </w:p>
    <w:p w14:paraId="52C2E334">
      <w:pPr>
        <w:spacing w:line="360" w:lineRule="auto"/>
        <w:jc w:val="both"/>
        <w:rPr>
          <w:rFonts w:ascii="Arial" w:hAnsi="Arial" w:cs="Arial"/>
        </w:rPr>
      </w:pPr>
      <w:r>
        <w:rPr>
          <w:rFonts w:ascii="Arial" w:hAnsi="Arial" w:cs="Arial"/>
        </w:rPr>
        <w:t xml:space="preserve">Figure 1: HPA  Incident Response Process </w:t>
      </w:r>
    </w:p>
    <w:p w14:paraId="3F0BDE73">
      <w:pPr>
        <w:spacing w:line="360" w:lineRule="auto"/>
        <w:jc w:val="both"/>
        <w:rPr>
          <w:rFonts w:ascii="Arial" w:hAnsi="Arial" w:cs="Arial"/>
        </w:rPr>
      </w:pPr>
      <w:r>
        <w:rPr>
          <w:rFonts w:ascii="Arial" w:hAnsi="Arial" w:cs="Arial"/>
        </w:rPr>
        <w:t>An Incident Response Team (IRT) will consist of the Information Security Officer, Lead of IT Operations, Legal Counsel, and Communications Lead and will oversee the IRP. Article 33 of the UK GDPR provides that breaches that have the potential to harm people have to be reported to the ICO within 72 hours. To ensure this occurs, the IRP of HPA has an internal diversion target of 24 hours [11]. Any post-incident reviews will be documented and relied upon to reform policies and retrain employees.</w:t>
      </w:r>
    </w:p>
    <w:p w14:paraId="4561ACC8">
      <w:pPr>
        <w:spacing w:line="360" w:lineRule="auto"/>
        <w:jc w:val="both"/>
        <w:rPr>
          <w:rFonts w:ascii="Arial" w:hAnsi="Arial" w:cs="Arial"/>
        </w:rPr>
      </w:pPr>
    </w:p>
    <w:p w14:paraId="3F3867CA">
      <w:pPr>
        <w:pStyle w:val="2"/>
        <w:spacing w:line="360" w:lineRule="auto"/>
        <w:jc w:val="both"/>
        <w:rPr>
          <w:rFonts w:ascii="Arial" w:hAnsi="Arial" w:cs="Arial"/>
          <w:sz w:val="24"/>
          <w:szCs w:val="24"/>
        </w:rPr>
      </w:pPr>
      <w:r>
        <w:rPr>
          <w:rFonts w:ascii="Arial" w:hAnsi="Arial" w:cs="Arial"/>
          <w:sz w:val="24"/>
          <w:szCs w:val="24"/>
        </w:rPr>
        <w:t>Training and Knowledge</w:t>
      </w:r>
    </w:p>
    <w:p w14:paraId="08C48DB0">
      <w:pPr>
        <w:spacing w:line="360" w:lineRule="auto"/>
        <w:jc w:val="both"/>
        <w:rPr>
          <w:rFonts w:ascii="Arial" w:hAnsi="Arial" w:cs="Arial"/>
        </w:rPr>
      </w:pPr>
      <w:r>
        <w:rPr>
          <w:rFonts w:ascii="Arial" w:hAnsi="Arial" w:cs="Arial"/>
        </w:rPr>
        <w:t>Research always indicates that the primary cause of stolen healthcare data is human error [7]. All the staff are forced to receive regular training on cybersecurity and data protection as part of the NHS DSPT Version 6. This is in line with the training program offered by HPA. The important parts are quarterly phishing simulation exercises to make people less prone to credential theft attacks, annual e-learning on GDPR and data handling, password and MFA awareness modules, and annual training on how to report incidents. IT and security personnel will continue to receive advanced training in certified programs provided by the SANS Institute and NCSC. Annual tabletop IRP exercise will involve the IRT and senior leadership to understand the degree to which the organization is prepared and how there are loopholes before a real incident occurs [15]. All the records of completion will be stored in a Learning Management System (LMS) to ensure that compliance assessments of NHS DSPT can be verified.</w:t>
      </w:r>
    </w:p>
    <w:p w14:paraId="2D02BFA2">
      <w:pPr>
        <w:pStyle w:val="2"/>
        <w:spacing w:line="360" w:lineRule="auto"/>
        <w:jc w:val="both"/>
        <w:rPr>
          <w:rFonts w:ascii="Arial" w:hAnsi="Arial" w:cs="Arial"/>
          <w:sz w:val="24"/>
          <w:szCs w:val="24"/>
        </w:rPr>
      </w:pPr>
      <w:r>
        <w:rPr>
          <w:rFonts w:ascii="Arial" w:hAnsi="Arial" w:cs="Arial"/>
          <w:sz w:val="24"/>
          <w:szCs w:val="24"/>
        </w:rPr>
        <w:t>Conclusion</w:t>
      </w:r>
    </w:p>
    <w:p w14:paraId="61CBBBB6">
      <w:pPr>
        <w:spacing w:line="360" w:lineRule="auto"/>
        <w:jc w:val="both"/>
        <w:rPr>
          <w:rFonts w:ascii="Arial" w:hAnsi="Arial" w:cs="Arial"/>
        </w:rPr>
      </w:pPr>
      <w:r>
        <w:rPr>
          <w:rFonts w:ascii="Arial" w:hAnsi="Arial" w:cs="Arial"/>
        </w:rPr>
        <w:t>In this report, a research-backed data security and governance system at Health Plus Analytics has been compiled. It includes all the cyber threats that are experienced by healthcare technology companies in the UK. The framework considers ISO 27001:2022 and NIST CSF 2.0 as the primary standards and suits the requirements of the UK GDPR and NHS DSPT. Zero Trust Architecture, MFA, network segmentation, SIEM, and offline backup are all important technical controls that directly respond to the weaknesses that were exploited in the Change Healthcare and Synnovis attacks. The incident response plan has seven steps that provide a legal pathway to take between the identification of the problem and its resolution. Instead, the human aspect of the matter is in the spotlight of the training program, which remains the most widespread method of assaulting healthcare. The key to success in the long term is good commitment by the board, continuous monitoring and a safety awareness culture.</w:t>
      </w:r>
    </w:p>
    <w:p w14:paraId="6E9036E3">
      <w:pPr>
        <w:spacing w:line="360" w:lineRule="auto"/>
        <w:jc w:val="both"/>
        <w:rPr>
          <w:rFonts w:ascii="Arial" w:hAnsi="Arial" w:cs="Arial"/>
        </w:rPr>
      </w:pPr>
    </w:p>
    <w:p w14:paraId="39D24E73">
      <w:pPr>
        <w:pStyle w:val="2"/>
        <w:spacing w:line="360" w:lineRule="auto"/>
        <w:jc w:val="both"/>
        <w:rPr>
          <w:rFonts w:ascii="Arial" w:hAnsi="Arial" w:cs="Arial"/>
          <w:sz w:val="24"/>
          <w:szCs w:val="24"/>
        </w:rPr>
      </w:pPr>
      <w:r>
        <w:rPr>
          <w:rFonts w:ascii="Arial" w:hAnsi="Arial" w:cs="Arial"/>
          <w:sz w:val="24"/>
          <w:szCs w:val="24"/>
        </w:rPr>
        <w:t>References</w:t>
      </w:r>
    </w:p>
    <w:p w14:paraId="39601B5D">
      <w:pPr>
        <w:spacing w:before="80" w:after="80" w:line="360" w:lineRule="auto"/>
        <w:jc w:val="both"/>
        <w:rPr>
          <w:rFonts w:ascii="Arial" w:hAnsi="Arial" w:cs="Arial"/>
        </w:rPr>
      </w:pPr>
      <w:r>
        <w:rPr>
          <w:rFonts w:ascii="Arial" w:hAnsi="Arial" w:cs="Arial"/>
        </w:rPr>
        <w:t>[1] IBM Security, "Cost of a Data Breach Report 2024," IBM Corporation, 2024.</w:t>
      </w:r>
    </w:p>
    <w:p w14:paraId="370681D9">
      <w:pPr>
        <w:spacing w:before="80" w:after="80" w:line="360" w:lineRule="auto"/>
        <w:jc w:val="both"/>
        <w:rPr>
          <w:rFonts w:ascii="Arial" w:hAnsi="Arial" w:cs="Arial"/>
        </w:rPr>
      </w:pPr>
      <w:r>
        <w:rPr>
          <w:rFonts w:ascii="Arial" w:hAnsi="Arial" w:cs="Arial"/>
        </w:rPr>
        <w:t>[2] Periculo, "NHS Cyber Attacks and Incidents in 2024," Periculo Ltd., June 2024. [Online]. Available: https://www.periculo.co.uk/cyber-security-blog/post/nhs-cyber-attacks-and-incidents-in-2024</w:t>
      </w:r>
    </w:p>
    <w:p w14:paraId="0FB02B1D">
      <w:pPr>
        <w:spacing w:before="80" w:after="80" w:line="360" w:lineRule="auto"/>
        <w:jc w:val="both"/>
        <w:rPr>
          <w:rFonts w:ascii="Arial" w:hAnsi="Arial" w:cs="Arial"/>
        </w:rPr>
      </w:pPr>
      <w:r>
        <w:rPr>
          <w:rFonts w:ascii="Arial" w:hAnsi="Arial" w:cs="Arial"/>
        </w:rPr>
        <w:t>[3] NAQ Cyber, "From DSPT to CAF: Navigating NHS Data Security Compliance in 2025," NAQ Cyber Ltd., 2025. [Online]. Available: https://www.naqcyber.com/blog/from-dspt-to-caf-navigating-nhs-data-security-compliance-in-2025</w:t>
      </w:r>
    </w:p>
    <w:p w14:paraId="7472C3BC">
      <w:pPr>
        <w:spacing w:before="80" w:after="80" w:line="360" w:lineRule="auto"/>
        <w:jc w:val="both"/>
        <w:rPr>
          <w:rFonts w:ascii="Arial" w:hAnsi="Arial" w:cs="Arial"/>
        </w:rPr>
      </w:pPr>
      <w:r>
        <w:rPr>
          <w:rFonts w:ascii="Arial" w:hAnsi="Arial" w:cs="Arial"/>
        </w:rPr>
        <w:t>[4] Microsoft Threat Intelligence, "US Healthcare at Risk: Strengthening Resiliency Against Ransomware Attacks," Microsoft Security Insider, 2024.</w:t>
      </w:r>
    </w:p>
    <w:p w14:paraId="71CBF915">
      <w:pPr>
        <w:spacing w:before="80" w:after="80" w:line="360" w:lineRule="auto"/>
        <w:jc w:val="both"/>
        <w:rPr>
          <w:rFonts w:ascii="Arial" w:hAnsi="Arial" w:cs="Arial"/>
        </w:rPr>
      </w:pPr>
      <w:r>
        <w:rPr>
          <w:rFonts w:ascii="Arial" w:hAnsi="Arial" w:cs="Arial"/>
        </w:rPr>
        <w:t>[5] Stellar Cyber, "Top Identity Threat Detection and Response Platforms," Stellar Cyber Inc., Nov. 2025. [Online]. Available: https://stellarcyber.ai/learn/top-identity-threat-detection-and-response-itdr-platforms/</w:t>
      </w:r>
    </w:p>
    <w:p w14:paraId="391F8926">
      <w:pPr>
        <w:spacing w:before="80" w:after="80" w:line="360" w:lineRule="auto"/>
        <w:jc w:val="both"/>
        <w:rPr>
          <w:rFonts w:ascii="Arial" w:hAnsi="Arial" w:cs="Arial"/>
        </w:rPr>
      </w:pPr>
      <w:r>
        <w:rPr>
          <w:rFonts w:ascii="Arial" w:hAnsi="Arial" w:cs="Arial"/>
        </w:rPr>
        <w:t>[6] Med Tech Solutions, "Tackling Top Cybercrime Trends with Healthcare Security Best Practices," Sept. 2025. [Online]. Available: https://medtechsolutions.com/resource-center/blog/tackling-top-cybercrime-trends-with-healthcare-security-best-practices/</w:t>
      </w:r>
    </w:p>
    <w:p w14:paraId="09DD4DA6">
      <w:pPr>
        <w:spacing w:before="80" w:after="80" w:line="360" w:lineRule="auto"/>
        <w:jc w:val="both"/>
        <w:rPr>
          <w:rFonts w:ascii="Arial" w:hAnsi="Arial" w:cs="Arial"/>
        </w:rPr>
      </w:pPr>
      <w:r>
        <w:rPr>
          <w:rFonts w:ascii="Arial" w:hAnsi="Arial" w:cs="Arial"/>
        </w:rPr>
        <w:t>[7] "A Comprehensive Survey of Cybersecurity Threats and Data Privacy Issues in Healthcare Systems," Applied Sciences, vol. 16, no. 3, p. 1511, Feb. 2026. [Online]. Available: https://www.mdpi.com/2076-3417/16/3/1511</w:t>
      </w:r>
    </w:p>
    <w:p w14:paraId="09F8A0CA">
      <w:pPr>
        <w:spacing w:before="80" w:after="80" w:line="360" w:lineRule="auto"/>
        <w:jc w:val="both"/>
        <w:rPr>
          <w:rFonts w:ascii="Arial" w:hAnsi="Arial" w:cs="Arial"/>
        </w:rPr>
      </w:pPr>
      <w:r>
        <w:rPr>
          <w:rFonts w:ascii="Arial" w:hAnsi="Arial" w:cs="Arial"/>
        </w:rPr>
        <w:t>[8] Hornetsecurity, "The Recent NHS Cyber Attack: Why Robust Cybersecurity is Vital for UK Healthcare," Hornet security GmbH, 2024. [Online]. Available: https://www.hornetsecurity.com/en/blog/nhs-cyber-attack/</w:t>
      </w:r>
    </w:p>
    <w:p w14:paraId="223D23CD">
      <w:pPr>
        <w:spacing w:before="80" w:after="80" w:line="360" w:lineRule="auto"/>
        <w:jc w:val="both"/>
        <w:rPr>
          <w:rFonts w:ascii="Arial" w:hAnsi="Arial" w:cs="Arial"/>
        </w:rPr>
      </w:pPr>
      <w:r>
        <w:rPr>
          <w:rFonts w:ascii="Arial" w:hAnsi="Arial" w:cs="Arial"/>
        </w:rPr>
        <w:t>[9] International Organization for Standardization, ISO/IEC 27001:2022 — Information Security Management Systems, ISO, 2022.</w:t>
      </w:r>
    </w:p>
    <w:p w14:paraId="1E932EB7">
      <w:pPr>
        <w:spacing w:before="80" w:after="80" w:line="360" w:lineRule="auto"/>
        <w:jc w:val="both"/>
        <w:rPr>
          <w:rFonts w:ascii="Arial" w:hAnsi="Arial" w:cs="Arial"/>
        </w:rPr>
      </w:pPr>
      <w:r>
        <w:rPr>
          <w:rFonts w:ascii="Arial" w:hAnsi="Arial" w:cs="Arial"/>
        </w:rPr>
        <w:t>[10] National Institute of Standards and Technology, "The NIST Cybersecurity Framework (CSF) 2.0," NIST, 2024. doi: 10.6028/NIST.CSWP.29</w:t>
      </w:r>
    </w:p>
    <w:p w14:paraId="0F73E1A6">
      <w:pPr>
        <w:spacing w:before="80" w:after="80" w:line="360" w:lineRule="auto"/>
        <w:jc w:val="both"/>
        <w:rPr>
          <w:rFonts w:ascii="Arial" w:hAnsi="Arial" w:cs="Arial"/>
        </w:rPr>
      </w:pPr>
      <w:r>
        <w:rPr>
          <w:rFonts w:ascii="Arial" w:hAnsi="Arial" w:cs="Arial"/>
        </w:rPr>
        <w:t>[11] UK Information Commissioner's Office, "UK General Data Protection Regulation (UK GDPR)," ICO, 2018. [Online]. Available: https://ico.org.uk/for-organisations/uk-gdpr-guidance-and-resources/</w:t>
      </w:r>
    </w:p>
    <w:p w14:paraId="6BA45580">
      <w:pPr>
        <w:spacing w:before="80" w:after="80" w:line="360" w:lineRule="auto"/>
        <w:jc w:val="both"/>
        <w:rPr>
          <w:rFonts w:ascii="Arial" w:hAnsi="Arial" w:cs="Arial"/>
        </w:rPr>
      </w:pPr>
      <w:r>
        <w:rPr>
          <w:rFonts w:ascii="Arial" w:hAnsi="Arial" w:cs="Arial"/>
        </w:rPr>
        <w:t>[12] PHIMed, "Securing Healthcare Data in 2024: The Role of Zero Trust Security Models," Jan. 2025. [Online]. Available: https://phimed.com/2025/01/securing-healthcare-data/</w:t>
      </w:r>
    </w:p>
    <w:p w14:paraId="1A70F22F">
      <w:pPr>
        <w:spacing w:before="80" w:after="80" w:line="360" w:lineRule="auto"/>
        <w:jc w:val="both"/>
        <w:rPr>
          <w:rFonts w:ascii="Arial" w:hAnsi="Arial" w:cs="Arial"/>
        </w:rPr>
      </w:pPr>
      <w:r>
        <w:rPr>
          <w:rFonts w:ascii="Arial" w:hAnsi="Arial" w:cs="Arial"/>
        </w:rPr>
        <w:t>[13] Industrial Cyber, "NHS England Urges Suppliers to Fortify Cyber Defenses," May 2025. [Online]. Available: https://industrialcyber.co/medical/nhs-england-urges-suppliers-to-fortify-cyber-defenses-amid-surge-in-ransomware-threats/</w:t>
      </w:r>
    </w:p>
    <w:p w14:paraId="7A07B117">
      <w:pPr>
        <w:spacing w:before="80" w:after="80" w:line="360" w:lineRule="auto"/>
        <w:jc w:val="both"/>
        <w:rPr>
          <w:rFonts w:ascii="Arial" w:hAnsi="Arial" w:cs="Arial"/>
        </w:rPr>
      </w:pPr>
      <w:r>
        <w:rPr>
          <w:rFonts w:ascii="Arial" w:hAnsi="Arial" w:cs="Arial"/>
        </w:rPr>
        <w:t>[14] Software Advice, "Six Critical Elements of a Strong Cybersecurity Incident Response Plan," Oct. 2024. [Online]. Available: https://www.softwareadvice.com/resources/how-to-create-a-medical-cybersecurity-incident-response-plan/</w:t>
      </w:r>
    </w:p>
    <w:p w14:paraId="1421AC28">
      <w:pPr>
        <w:spacing w:before="80" w:after="80" w:line="360" w:lineRule="auto"/>
        <w:jc w:val="both"/>
        <w:rPr>
          <w:rFonts w:ascii="Arial" w:hAnsi="Arial" w:cs="Arial"/>
        </w:rPr>
      </w:pPr>
      <w:r>
        <w:rPr>
          <w:rFonts w:ascii="Arial" w:hAnsi="Arial" w:cs="Arial"/>
        </w:rPr>
        <w:t>[15] CISA, "Healthcare and Public Health Sector: Strengthen your Defenses," 2024. [Online]. Available: https://www.cisa.gov/topics/cybersecurity-best-practices/healthcare/mature-your-cybersecurity-efforts</w:t>
      </w:r>
    </w:p>
    <w:p w14:paraId="3B098F88"/>
    <w:p w14:paraId="2616169D"/>
    <w:p w14:paraId="7D34C94D"/>
    <w:p w14:paraId="567B75A5"/>
    <w:p w14:paraId="62F30E54"/>
    <w:p w14:paraId="4E12E381"/>
    <w:p w14:paraId="5BBB1229"/>
    <w:p w14:paraId="53FC99D0"/>
    <w:p w14:paraId="17803A56"/>
    <w:p w14:paraId="243D2C42"/>
    <w:p w14:paraId="153DCD2A">
      <w:pPr>
        <w:pStyle w:val="2"/>
        <w:rPr>
          <w:rFonts w:ascii="Arial" w:hAnsi="Arial" w:cs="Arial"/>
          <w:sz w:val="24"/>
          <w:szCs w:val="24"/>
        </w:rPr>
      </w:pPr>
      <w:r>
        <w:rPr>
          <w:rFonts w:ascii="Arial" w:hAnsi="Arial" w:cs="Arial"/>
          <w:sz w:val="24"/>
          <w:szCs w:val="24"/>
        </w:rPr>
        <w:t>Appendix</w:t>
      </w:r>
    </w:p>
    <w:p w14:paraId="1D49702B"/>
    <w:p w14:paraId="34524112">
      <w:r>
        <w:drawing>
          <wp:inline distT="0" distB="0" distL="0" distR="0">
            <wp:extent cx="5943600" cy="3343275"/>
            <wp:effectExtent l="0" t="0" r="0" b="9525"/>
            <wp:docPr id="9083574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57495" name="Graphic 1"/>
                    <pic:cNvPicPr>
                      <a:picLocks noChangeAspect="1"/>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05B2A9A6">
      <w:r>
        <w:drawing>
          <wp:inline distT="0" distB="0" distL="0" distR="0">
            <wp:extent cx="5943600" cy="3343275"/>
            <wp:effectExtent l="0" t="0" r="0" b="9525"/>
            <wp:docPr id="10894881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88198" name="Graphic 1"/>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745CFDCC">
      <w:r>
        <w:drawing>
          <wp:inline distT="0" distB="0" distL="0" distR="0">
            <wp:extent cx="5943600" cy="3343275"/>
            <wp:effectExtent l="0" t="0" r="0" b="9525"/>
            <wp:docPr id="874210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10763" name="Graphic 1"/>
                    <pic:cNvPicPr>
                      <a:picLocks noChangeAspect="1"/>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4183DDDC">
      <w:r>
        <w:drawing>
          <wp:inline distT="0" distB="0" distL="0" distR="0">
            <wp:extent cx="5943600" cy="3343275"/>
            <wp:effectExtent l="0" t="0" r="0" b="9525"/>
            <wp:docPr id="1235708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708678" name="Graphic 1"/>
                    <pic:cNvPicPr>
                      <a:picLocks noChangeAspect="1"/>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B49DE7C">
      <w:r>
        <w:drawing>
          <wp:inline distT="0" distB="0" distL="0" distR="0">
            <wp:extent cx="5943600" cy="3343275"/>
            <wp:effectExtent l="0" t="0" r="0" b="9525"/>
            <wp:docPr id="20516074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07402" name="Graphic 1"/>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AEBB516">
      <w:r>
        <w:drawing>
          <wp:inline distT="0" distB="0" distL="0" distR="0">
            <wp:extent cx="5943600" cy="3343275"/>
            <wp:effectExtent l="0" t="0" r="0" b="9525"/>
            <wp:docPr id="7731011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101171" name="Graphic 1"/>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1DA86258">
      <w:r>
        <w:drawing>
          <wp:inline distT="0" distB="0" distL="0" distR="0">
            <wp:extent cx="5943600" cy="3343275"/>
            <wp:effectExtent l="0" t="0" r="0" b="9525"/>
            <wp:docPr id="13671065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106508" name="Graphic 1"/>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1E2326EA">
      <w:r>
        <w:drawing>
          <wp:inline distT="0" distB="0" distL="0" distR="0">
            <wp:extent cx="5943600" cy="3343275"/>
            <wp:effectExtent l="0" t="0" r="0" b="9525"/>
            <wp:docPr id="18742537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53777" name="Graphic 1"/>
                    <pic:cNvPicPr>
                      <a:picLocks noChangeAspect="1"/>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539D1AE1">
      <w:r>
        <w:drawing>
          <wp:inline distT="0" distB="0" distL="0" distR="0">
            <wp:extent cx="5943600" cy="3343275"/>
            <wp:effectExtent l="0" t="0" r="0" b="9525"/>
            <wp:docPr id="8445749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574969" name="Graphic 1"/>
                    <pic:cNvPicPr>
                      <a:picLocks noChangeAspect="1"/>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1AD24B28">
      <w:r>
        <w:drawing>
          <wp:inline distT="0" distB="0" distL="0" distR="0">
            <wp:extent cx="5943600" cy="3343275"/>
            <wp:effectExtent l="0" t="0" r="0" b="9525"/>
            <wp:docPr id="5142313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31377" name="Graphic 1"/>
                    <pic:cNvPicPr>
                      <a:picLocks noChangeAspect="1"/>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Aptos">
    <w:altName w:val="Helvetica Neue"/>
    <w:panose1 w:val="00000000000000000000"/>
    <w:charset w:val="86"/>
    <w:family w:val="swiss"/>
    <w:pitch w:val="default"/>
    <w:sig w:usb0="00000000" w:usb1="00000000" w:usb2="00000000" w:usb3="00000000" w:csb0="0000019F" w:csb1="00000000"/>
  </w:font>
  <w:font w:name="Aptos">
    <w:altName w:val="Helvetica Neue"/>
    <w:panose1 w:val="00000000000000000000"/>
    <w:charset w:val="00"/>
    <w:family w:val="auto"/>
    <w:pitch w:val="default"/>
    <w:sig w:usb0="00000000" w:usb1="00000000" w:usb2="00000000" w:usb3="00000000" w:csb0="00000000" w:csb1="00000000"/>
  </w:font>
  <w:font w:name="Aptos Display">
    <w:altName w:val="Helvetica Neue"/>
    <w:panose1 w:val="00000000000000000000"/>
    <w:charset w:val="00"/>
    <w:family w:val="swiss"/>
    <w:pitch w:val="default"/>
    <w:sig w:usb0="00000000" w:usb1="00000000" w:usb2="00000000" w:usb3="00000000" w:csb0="0000019F" w:csb1="00000000"/>
  </w:font>
  <w:font w:name="游ゴシック Light">
    <w:altName w:val="苹方-简"/>
    <w:panose1 w:val="00000000000000000000"/>
    <w:charset w:val="00"/>
    <w:family w:val="auto"/>
    <w:pitch w:val="default"/>
    <w:sig w:usb0="00000000" w:usb1="00000000" w:usb2="00000000" w:usb3="00000000" w:csb0="00000000" w:csb1="00000000"/>
  </w:font>
  <w:font w:name="游明朝">
    <w:altName w:val="苹方-简"/>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A9E"/>
    <w:rsid w:val="00006CB3"/>
    <w:rsid w:val="00086396"/>
    <w:rsid w:val="000D46FF"/>
    <w:rsid w:val="000F6D31"/>
    <w:rsid w:val="001529D9"/>
    <w:rsid w:val="0019290F"/>
    <w:rsid w:val="001F586E"/>
    <w:rsid w:val="00251200"/>
    <w:rsid w:val="00281A83"/>
    <w:rsid w:val="002A4017"/>
    <w:rsid w:val="003116A4"/>
    <w:rsid w:val="003B2751"/>
    <w:rsid w:val="003C4CD0"/>
    <w:rsid w:val="004A25C2"/>
    <w:rsid w:val="004D258C"/>
    <w:rsid w:val="004F1DFF"/>
    <w:rsid w:val="00516AB3"/>
    <w:rsid w:val="00585F10"/>
    <w:rsid w:val="0061781C"/>
    <w:rsid w:val="006718FF"/>
    <w:rsid w:val="00754D44"/>
    <w:rsid w:val="00774FBB"/>
    <w:rsid w:val="008D2A9E"/>
    <w:rsid w:val="008F5A4F"/>
    <w:rsid w:val="009164F2"/>
    <w:rsid w:val="009C0788"/>
    <w:rsid w:val="00A33136"/>
    <w:rsid w:val="00A41FC6"/>
    <w:rsid w:val="00B060E9"/>
    <w:rsid w:val="00B20BD2"/>
    <w:rsid w:val="00B35F6F"/>
    <w:rsid w:val="00B8369E"/>
    <w:rsid w:val="00B9192C"/>
    <w:rsid w:val="00C11CFB"/>
    <w:rsid w:val="00C266C4"/>
    <w:rsid w:val="00CA1DDC"/>
    <w:rsid w:val="00CB233C"/>
    <w:rsid w:val="00CE3735"/>
    <w:rsid w:val="00D134F6"/>
    <w:rsid w:val="00D40BFB"/>
    <w:rsid w:val="00D52E91"/>
    <w:rsid w:val="00D949E6"/>
    <w:rsid w:val="00D959DD"/>
    <w:rsid w:val="00DB0DA3"/>
    <w:rsid w:val="00DF094E"/>
    <w:rsid w:val="00E0103B"/>
    <w:rsid w:val="00E2726D"/>
    <w:rsid w:val="00E34D73"/>
    <w:rsid w:val="00E73867"/>
    <w:rsid w:val="00EB7070"/>
    <w:rsid w:val="00F37959"/>
    <w:rsid w:val="00F429C7"/>
    <w:rsid w:val="00F5216D"/>
    <w:rsid w:val="00FF7C90"/>
    <w:rsid w:val="49C7C0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standardContextual"/>
    </w:rPr>
  </w:style>
  <w:style w:type="paragraph" w:styleId="2">
    <w:name w:val="heading 1"/>
    <w:basedOn w:val="1"/>
    <w:next w:val="1"/>
    <w:link w:val="15"/>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6"/>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7"/>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18"/>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19"/>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0"/>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1"/>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2"/>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3"/>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Subtitle"/>
    <w:basedOn w:val="1"/>
    <w:next w:val="1"/>
    <w:link w:val="2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4">
    <w:name w:val="Title"/>
    <w:basedOn w:val="1"/>
    <w:next w:val="1"/>
    <w:link w:val="24"/>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5">
    <w:name w:val="Heading 1 Char"/>
    <w:basedOn w:val="11"/>
    <w:link w:val="2"/>
    <w:uiPriority w:val="9"/>
    <w:rPr>
      <w:rFonts w:asciiTheme="majorHAnsi" w:hAnsiTheme="majorHAnsi" w:eastAsiaTheme="majorEastAsia" w:cstheme="majorBidi"/>
      <w:color w:val="104862" w:themeColor="accent1" w:themeShade="BF"/>
      <w:sz w:val="40"/>
      <w:szCs w:val="40"/>
    </w:rPr>
  </w:style>
  <w:style w:type="character" w:customStyle="1" w:styleId="16">
    <w:name w:val="Heading 2 Char"/>
    <w:basedOn w:val="11"/>
    <w:link w:val="3"/>
    <w:semiHidden/>
    <w:uiPriority w:val="9"/>
    <w:rPr>
      <w:rFonts w:asciiTheme="majorHAnsi" w:hAnsiTheme="majorHAnsi" w:eastAsiaTheme="majorEastAsia" w:cstheme="majorBidi"/>
      <w:color w:val="104862" w:themeColor="accent1" w:themeShade="BF"/>
      <w:sz w:val="32"/>
      <w:szCs w:val="32"/>
    </w:rPr>
  </w:style>
  <w:style w:type="character" w:customStyle="1" w:styleId="17">
    <w:name w:val="Heading 3 Char"/>
    <w:basedOn w:val="11"/>
    <w:link w:val="4"/>
    <w:semiHidden/>
    <w:uiPriority w:val="9"/>
    <w:rPr>
      <w:rFonts w:eastAsiaTheme="majorEastAsia" w:cstheme="majorBidi"/>
      <w:color w:val="104862" w:themeColor="accent1" w:themeShade="BF"/>
      <w:sz w:val="28"/>
      <w:szCs w:val="28"/>
    </w:rPr>
  </w:style>
  <w:style w:type="character" w:customStyle="1" w:styleId="18">
    <w:name w:val="Heading 4 Char"/>
    <w:basedOn w:val="11"/>
    <w:link w:val="5"/>
    <w:semiHidden/>
    <w:uiPriority w:val="9"/>
    <w:rPr>
      <w:rFonts w:eastAsiaTheme="majorEastAsia" w:cstheme="majorBidi"/>
      <w:i/>
      <w:iCs/>
      <w:color w:val="104862" w:themeColor="accent1" w:themeShade="BF"/>
    </w:rPr>
  </w:style>
  <w:style w:type="character" w:customStyle="1" w:styleId="19">
    <w:name w:val="Heading 5 Char"/>
    <w:basedOn w:val="11"/>
    <w:link w:val="6"/>
    <w:semiHidden/>
    <w:uiPriority w:val="9"/>
    <w:rPr>
      <w:rFonts w:eastAsiaTheme="majorEastAsia" w:cstheme="majorBidi"/>
      <w:color w:val="104862" w:themeColor="accent1" w:themeShade="BF"/>
    </w:rPr>
  </w:style>
  <w:style w:type="character" w:customStyle="1" w:styleId="20">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1">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2">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3">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4">
    <w:name w:val="Title Char"/>
    <w:basedOn w:val="11"/>
    <w:link w:val="14"/>
    <w:uiPriority w:val="10"/>
    <w:rPr>
      <w:rFonts w:asciiTheme="majorHAnsi" w:hAnsiTheme="majorHAnsi" w:eastAsiaTheme="majorEastAsia" w:cstheme="majorBidi"/>
      <w:spacing w:val="-10"/>
      <w:kern w:val="28"/>
      <w:sz w:val="56"/>
      <w:szCs w:val="56"/>
    </w:rPr>
  </w:style>
  <w:style w:type="character" w:customStyle="1" w:styleId="25">
    <w:name w:val="Subtitle Char"/>
    <w:basedOn w:val="11"/>
    <w:link w:val="13"/>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6">
    <w:name w:val="Quote"/>
    <w:basedOn w:val="1"/>
    <w:next w:val="1"/>
    <w:link w:val="27"/>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7">
    <w:name w:val="Quote Char"/>
    <w:basedOn w:val="11"/>
    <w:link w:val="26"/>
    <w:uiPriority w:val="29"/>
    <w:rPr>
      <w:i/>
      <w:iCs/>
      <w:color w:val="404040" w:themeColor="text1" w:themeTint="BF"/>
      <w14:textFill>
        <w14:solidFill>
          <w14:schemeClr w14:val="tx1">
            <w14:lumMod w14:val="75000"/>
            <w14:lumOff w14:val="25000"/>
          </w14:schemeClr>
        </w14:solidFill>
      </w14:textFill>
    </w:rPr>
  </w:style>
  <w:style w:type="paragraph" w:styleId="28">
    <w:name w:val="List Paragraph"/>
    <w:basedOn w:val="1"/>
    <w:qFormat/>
    <w:uiPriority w:val="34"/>
    <w:pPr>
      <w:ind w:left="720"/>
      <w:contextualSpacing/>
    </w:pPr>
  </w:style>
  <w:style w:type="character" w:customStyle="1" w:styleId="29">
    <w:name w:val="Intense Emphasis"/>
    <w:basedOn w:val="11"/>
    <w:qFormat/>
    <w:uiPriority w:val="21"/>
    <w:rPr>
      <w:i/>
      <w:iCs/>
      <w:color w:val="104862" w:themeColor="accent1" w:themeShade="BF"/>
    </w:rPr>
  </w:style>
  <w:style w:type="paragraph" w:styleId="30">
    <w:name w:val="Intense Quote"/>
    <w:basedOn w:val="1"/>
    <w:next w:val="1"/>
    <w:link w:val="31"/>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1">
    <w:name w:val="Intense Quote Char"/>
    <w:basedOn w:val="11"/>
    <w:link w:val="30"/>
    <w:uiPriority w:val="30"/>
    <w:rPr>
      <w:i/>
      <w:iCs/>
      <w:color w:val="104862" w:themeColor="accent1" w:themeShade="BF"/>
    </w:rPr>
  </w:style>
  <w:style w:type="character" w:customStyle="1" w:styleId="32">
    <w:name w:val="Intense Reference"/>
    <w:basedOn w:val="11"/>
    <w:qFormat/>
    <w:uiPriority w:val="32"/>
    <w:rPr>
      <w:b/>
      <w:bCs/>
      <w:smallCaps/>
      <w:color w:val="104862" w:themeColor="accent1" w:themeShade="BF"/>
      <w:spacing w:val="5"/>
    </w:rPr>
  </w:style>
  <w:style w:type="table" w:customStyle="1" w:styleId="33">
    <w:name w:val="Grid Table 1 Light Accent 1"/>
    <w:basedOn w:val="12"/>
    <w:uiPriority w:val="46"/>
    <w:pPr>
      <w:spacing w:after="0" w:line="240" w:lineRule="auto"/>
    </w:pPr>
    <w:tblPr>
      <w:tblBorders>
        <w:top w:val="single" w:color="83CAEB" w:themeColor="accent1" w:themeTint="66" w:sz="4" w:space="0"/>
        <w:left w:val="single" w:color="83CAEB" w:themeColor="accent1" w:themeTint="66" w:sz="4" w:space="0"/>
        <w:bottom w:val="single" w:color="83CAEB" w:themeColor="accent1" w:themeTint="66" w:sz="4" w:space="0"/>
        <w:right w:val="single" w:color="83CAEB" w:themeColor="accent1" w:themeTint="66" w:sz="4" w:space="0"/>
        <w:insideH w:val="single" w:color="83CAEB" w:themeColor="accent1" w:themeTint="66" w:sz="4" w:space="0"/>
        <w:insideV w:val="single" w:color="83CAEB" w:themeColor="accent1" w:themeTint="66" w:sz="4" w:space="0"/>
      </w:tblBorders>
    </w:tblPr>
    <w:tblStylePr w:type="firstRow">
      <w:rPr>
        <w:b/>
        <w:bCs/>
      </w:rPr>
      <w:tcPr>
        <w:tcBorders>
          <w:bottom w:val="single" w:color="45B0E1" w:themeColor="accent1" w:themeTint="99" w:sz="12" w:space="0"/>
        </w:tcBorders>
      </w:tcPr>
    </w:tblStylePr>
    <w:tblStylePr w:type="lastRow">
      <w:rPr>
        <w:b/>
        <w:bCs/>
      </w:rPr>
      <w:tcPr>
        <w:tcBorders>
          <w:top w:val="double" w:color="45B0E1" w:themeColor="accent1" w:themeTint="99" w:sz="2" w:space="0"/>
        </w:tcBorders>
      </w:tcPr>
    </w:tblStylePr>
    <w:tblStylePr w:type="firstCol">
      <w:rPr>
        <w:b/>
        <w:bCs/>
      </w:rPr>
    </w:tblStylePr>
    <w:tblStylePr w:type="lastCol">
      <w:rPr>
        <w:b/>
        <w:bCs/>
      </w:rPr>
    </w:tblStylePr>
  </w:style>
  <w:style w:type="table" w:customStyle="1" w:styleId="34">
    <w:name w:val="Grid Table 1 Light"/>
    <w:basedOn w:val="12"/>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5">
    <w:name w:val="Grid Table Light"/>
    <w:basedOn w:val="12"/>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36">
    <w:name w:val="Plain Table 1"/>
    <w:basedOn w:val="12"/>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styleId="37">
    <w:name w:val="No Spacing"/>
    <w:link w:val="38"/>
    <w:qFormat/>
    <w:uiPriority w:val="1"/>
    <w:pPr>
      <w:spacing w:after="0" w:line="240" w:lineRule="auto"/>
    </w:pPr>
    <w:rPr>
      <w:rFonts w:asciiTheme="minorHAnsi" w:hAnsiTheme="minorHAnsi" w:eastAsiaTheme="minorEastAsia" w:cstheme="minorBidi"/>
      <w:kern w:val="0"/>
      <w:sz w:val="22"/>
      <w:szCs w:val="22"/>
      <w:lang w:val="en-US" w:eastAsia="en-US" w:bidi="ar-SA"/>
      <w14:ligatures w14:val="none"/>
    </w:rPr>
  </w:style>
  <w:style w:type="character" w:customStyle="1" w:styleId="38">
    <w:name w:val="No Spacing Char"/>
    <w:basedOn w:val="11"/>
    <w:link w:val="37"/>
    <w:uiPriority w:val="1"/>
    <w:rPr>
      <w:rFonts w:eastAsiaTheme="minorEastAsia"/>
      <w:kern w:val="0"/>
      <w:sz w:val="22"/>
      <w:szCs w:val="22"/>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sv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9" Type="http://schemas.openxmlformats.org/officeDocument/2006/relationships/fontTable" Target="fontTable.xml"/><Relationship Id="rId28" Type="http://schemas.openxmlformats.org/officeDocument/2006/relationships/customXml" Target="../customXml/item2.xml"/><Relationship Id="rId27" Type="http://schemas.openxmlformats.org/officeDocument/2006/relationships/customXml" Target="../customXml/item1.xml"/><Relationship Id="rId26" Type="http://schemas.openxmlformats.org/officeDocument/2006/relationships/image" Target="media/image21.svg"/><Relationship Id="rId25" Type="http://schemas.openxmlformats.org/officeDocument/2006/relationships/image" Target="media/image20.png"/><Relationship Id="rId24" Type="http://schemas.openxmlformats.org/officeDocument/2006/relationships/image" Target="media/image19.svg"/><Relationship Id="rId23" Type="http://schemas.openxmlformats.org/officeDocument/2006/relationships/image" Target="media/image18.png"/><Relationship Id="rId22" Type="http://schemas.openxmlformats.org/officeDocument/2006/relationships/image" Target="media/image17.svg"/><Relationship Id="rId21" Type="http://schemas.openxmlformats.org/officeDocument/2006/relationships/image" Target="media/image16.png"/><Relationship Id="rId20" Type="http://schemas.openxmlformats.org/officeDocument/2006/relationships/image" Target="media/image15.sv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svg"/><Relationship Id="rId17" Type="http://schemas.openxmlformats.org/officeDocument/2006/relationships/image" Target="media/image12.png"/><Relationship Id="rId16" Type="http://schemas.openxmlformats.org/officeDocument/2006/relationships/image" Target="media/image11.svg"/><Relationship Id="rId15" Type="http://schemas.openxmlformats.org/officeDocument/2006/relationships/image" Target="media/image10.png"/><Relationship Id="rId14" Type="http://schemas.openxmlformats.org/officeDocument/2006/relationships/image" Target="media/image9.svg"/><Relationship Id="rId13" Type="http://schemas.openxmlformats.org/officeDocument/2006/relationships/image" Target="media/image8.png"/><Relationship Id="rId12" Type="http://schemas.openxmlformats.org/officeDocument/2006/relationships/image" Target="media/image7.svg"/><Relationship Id="rId11" Type="http://schemas.openxmlformats.org/officeDocument/2006/relationships/image" Target="media/image6.png"/><Relationship Id="rId10" Type="http://schemas.openxmlformats.org/officeDocument/2006/relationships/image" Target="media/image5.sv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http://schemas.openxmlformats.org/officeDocument/2006/bibliography" xmlns:b="http://schemas.openxmlformats.org/officeDocument/2006/bibliography" Version="6" SelectedStyle="\APASixthEditionOfficeOnline.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F5E3B17-B3CC-45EF-9D21-B962D90F4507}">
  <ds:schemaRefs/>
</ds:datastoreItem>
</file>

<file path=docProps/app.xml><?xml version="1.0" encoding="utf-8"?>
<Properties xmlns="http://schemas.openxmlformats.org/officeDocument/2006/extended-properties" xmlns:vt="http://schemas.openxmlformats.org/officeDocument/2006/docPropsVTypes">
  <Template>Normal</Template>
  <Pages>14</Pages>
  <Words>2153</Words>
  <Characters>12276</Characters>
  <Lines>102</Lines>
  <Paragraphs>28</Paragraphs>
  <TotalTime>15</TotalTime>
  <ScaleCrop>false</ScaleCrop>
  <LinksUpToDate>false</LinksUpToDate>
  <CharactersWithSpaces>14401</CharactersWithSpaces>
  <Application>WPS Office_12.1.23152.23152_F1E327BC-269C-435d-A152-05C5408002CA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2026-04-26T15:12:00Z</dcterms:created>
  <dc:creator>Mamuto Valentine R - MO9 Met Detention</dc:creator>
  <cp:lastModifiedBy>WPS_1754302176</cp:lastModifiedBy>
  <dcterms:modified xsi:type="dcterms:W3CDTF">2026-04-30T13:16:20Z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8d901dd4-3cab-4b71-98e3-4b09c4d4b4d0</vt:lpwstr>
  </property>
  <property fmtid="{D5CDD505-2E9C-101B-9397-08002B2CF9AE}" pid="3" name="KSOProductBuildVer">
    <vt:lpwstr>1033-12.1.23152.23152</vt:lpwstr>
  </property>
  <property fmtid="{D5CDD505-2E9C-101B-9397-08002B2CF9AE}" pid="4" name="ICV">
    <vt:lpwstr>F7AB5F633C7010DF1448F36963CF72F8_42</vt:lpwstr>
  </property>
</Properties>
</file>