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BDF53">
      <w:pPr>
        <w:spacing w:before="2200"/>
        <w:jc w:val="center"/>
      </w:pPr>
      <w:r>
        <w:rPr>
          <w:b/>
          <w:sz w:val="32"/>
        </w:rPr>
        <w:t>A Critical Evaluation of the Social Model of Disability as a Foundation for Person-Centred Care in Adult Social Care</w:t>
      </w:r>
    </w:p>
    <w:p w14:paraId="1CD34953">
      <w:pPr>
        <w:spacing w:before="1800"/>
        <w:jc w:val="center"/>
      </w:pPr>
      <w:r>
        <w:t>Student Name: LISDALIA INSUMBO ANTÓNIO BIAGUE</w:t>
      </w:r>
    </w:p>
    <w:p w14:paraId="70B0A448">
      <w:pPr>
        <w:jc w:val="center"/>
      </w:pPr>
      <w:r>
        <w:t>Student ID: 2425890</w:t>
      </w:r>
    </w:p>
    <w:p w14:paraId="1538B429">
      <w:pPr>
        <w:jc w:val="center"/>
      </w:pPr>
      <w:r>
        <w:rPr>
          <w:b/>
          <w:bCs/>
        </w:rPr>
        <w:t>Module Code:</w:t>
      </w:r>
      <w:r>
        <w:t xml:space="preserve"> BMHP5016</w:t>
      </w:r>
      <w:r>
        <w:br w:type="textWrapping"/>
      </w:r>
      <w:r>
        <w:rPr>
          <w:b/>
          <w:bCs/>
        </w:rPr>
        <w:t>Module Title:</w:t>
      </w:r>
      <w:r>
        <w:t xml:space="preserve"> Principles of Health and Social Care Practice </w:t>
      </w:r>
    </w:p>
    <w:p w14:paraId="43707975">
      <w:pPr>
        <w:jc w:val="center"/>
      </w:pPr>
    </w:p>
    <w:p w14:paraId="3632D2A0">
      <w:pPr>
        <w:spacing w:after="200" w:line="276" w:lineRule="auto"/>
        <w:jc w:val="left"/>
      </w:pPr>
      <w:r>
        <w:br w:type="page"/>
      </w:r>
    </w:p>
    <w:sdt>
      <w:sdtPr>
        <w:rPr>
          <w:rFonts w:ascii="Times New Roman" w:hAnsi="Times New Roman" w:eastAsia="Times New Roman" w:cstheme="minorBidi"/>
          <w:b w:val="0"/>
          <w:bCs w:val="0"/>
          <w:color w:val="auto"/>
          <w:sz w:val="24"/>
          <w:szCs w:val="22"/>
        </w:rPr>
        <w:id w:val="178331325"/>
        <w:docPartObj>
          <w:docPartGallery w:val="Table of Contents"/>
          <w:docPartUnique/>
        </w:docPartObj>
      </w:sdtPr>
      <w:sdtEndPr>
        <w:rPr>
          <w:rFonts w:ascii="Times New Roman" w:hAnsi="Times New Roman" w:eastAsia="Times New Roman" w:cstheme="minorBidi"/>
          <w:b w:val="0"/>
          <w:bCs w:val="0"/>
          <w:color w:val="auto"/>
          <w:sz w:val="24"/>
          <w:szCs w:val="22"/>
        </w:rPr>
      </w:sdtEndPr>
      <w:sdtContent>
        <w:p w14:paraId="02C40D9A">
          <w:pPr>
            <w:pStyle w:val="165"/>
          </w:pPr>
          <w:r>
            <w:t>Table of Contents</w:t>
          </w:r>
        </w:p>
        <w:p w14:paraId="76EFF116">
          <w:pPr>
            <w:pStyle w:val="38"/>
            <w:tabs>
              <w:tab w:val="right" w:leader="dot" w:pos="9350"/>
            </w:tabs>
          </w:pPr>
          <w:r>
            <w:fldChar w:fldCharType="begin"/>
          </w:r>
          <w:r>
            <w:instrText xml:space="preserve"> TOC \o "1-3" \h \z \u </w:instrText>
          </w:r>
          <w:r>
            <w:fldChar w:fldCharType="separate"/>
          </w:r>
          <w:r>
            <w:fldChar w:fldCharType="begin"/>
          </w:r>
          <w:r>
            <w:instrText xml:space="preserve"> HYPERLINK \l "_Toc235800467" </w:instrText>
          </w:r>
          <w:r>
            <w:fldChar w:fldCharType="separate"/>
          </w:r>
          <w:r>
            <w:rPr>
              <w:rStyle w:val="20"/>
            </w:rPr>
            <w:t>1. Introduction</w:t>
          </w:r>
          <w:r>
            <w:tab/>
          </w:r>
          <w:r>
            <w:fldChar w:fldCharType="begin"/>
          </w:r>
          <w:r>
            <w:instrText xml:space="preserve"> PAGEREF _Toc235800467 \h </w:instrText>
          </w:r>
          <w:r>
            <w:fldChar w:fldCharType="separate"/>
          </w:r>
          <w:r>
            <w:t>3</w:t>
          </w:r>
          <w:r>
            <w:fldChar w:fldCharType="end"/>
          </w:r>
          <w:r>
            <w:fldChar w:fldCharType="end"/>
          </w:r>
        </w:p>
        <w:p w14:paraId="6E00BE98">
          <w:pPr>
            <w:pStyle w:val="38"/>
            <w:tabs>
              <w:tab w:val="right" w:leader="dot" w:pos="9350"/>
            </w:tabs>
          </w:pPr>
          <w:r>
            <w:fldChar w:fldCharType="begin"/>
          </w:r>
          <w:r>
            <w:instrText xml:space="preserve"> HYPERLINK \l "_Toc235800468" </w:instrText>
          </w:r>
          <w:r>
            <w:fldChar w:fldCharType="separate"/>
          </w:r>
          <w:r>
            <w:rPr>
              <w:rStyle w:val="20"/>
            </w:rPr>
            <w:t>2. Emergence and Development of the Model</w:t>
          </w:r>
          <w:r>
            <w:tab/>
          </w:r>
          <w:r>
            <w:fldChar w:fldCharType="begin"/>
          </w:r>
          <w:r>
            <w:instrText xml:space="preserve"> PAGEREF _Toc235800468 \h </w:instrText>
          </w:r>
          <w:r>
            <w:fldChar w:fldCharType="separate"/>
          </w:r>
          <w:r>
            <w:t>3</w:t>
          </w:r>
          <w:r>
            <w:fldChar w:fldCharType="end"/>
          </w:r>
          <w:r>
            <w:fldChar w:fldCharType="end"/>
          </w:r>
        </w:p>
        <w:p w14:paraId="2D9CB2BF">
          <w:pPr>
            <w:pStyle w:val="38"/>
            <w:tabs>
              <w:tab w:val="right" w:leader="dot" w:pos="9350"/>
            </w:tabs>
          </w:pPr>
          <w:r>
            <w:fldChar w:fldCharType="begin"/>
          </w:r>
          <w:r>
            <w:instrText xml:space="preserve"> HYPERLINK \l "_Toc235800469" </w:instrText>
          </w:r>
          <w:r>
            <w:fldChar w:fldCharType="separate"/>
          </w:r>
          <w:r>
            <w:rPr>
              <w:rStyle w:val="20"/>
            </w:rPr>
            <w:t>3. Relationship with Person-Centred Care</w:t>
          </w:r>
          <w:r>
            <w:tab/>
          </w:r>
          <w:r>
            <w:fldChar w:fldCharType="begin"/>
          </w:r>
          <w:r>
            <w:instrText xml:space="preserve"> PAGEREF _Toc235800469 \h </w:instrText>
          </w:r>
          <w:r>
            <w:fldChar w:fldCharType="separate"/>
          </w:r>
          <w:r>
            <w:t>4</w:t>
          </w:r>
          <w:r>
            <w:fldChar w:fldCharType="end"/>
          </w:r>
          <w:r>
            <w:fldChar w:fldCharType="end"/>
          </w:r>
        </w:p>
        <w:p w14:paraId="6F822805">
          <w:pPr>
            <w:pStyle w:val="38"/>
            <w:tabs>
              <w:tab w:val="right" w:leader="dot" w:pos="9350"/>
            </w:tabs>
          </w:pPr>
          <w:r>
            <w:fldChar w:fldCharType="begin"/>
          </w:r>
          <w:r>
            <w:instrText xml:space="preserve"> HYPERLINK \l "_Toc235800470" </w:instrText>
          </w:r>
          <w:r>
            <w:fldChar w:fldCharType="separate"/>
          </w:r>
          <w:r>
            <w:rPr>
              <w:rStyle w:val="20"/>
            </w:rPr>
            <w:t>4. Critical Debates, Criticisms and Responses</w:t>
          </w:r>
          <w:r>
            <w:tab/>
          </w:r>
          <w:r>
            <w:fldChar w:fldCharType="begin"/>
          </w:r>
          <w:r>
            <w:instrText xml:space="preserve"> PAGEREF _Toc235800470 \h </w:instrText>
          </w:r>
          <w:r>
            <w:fldChar w:fldCharType="separate"/>
          </w:r>
          <w:r>
            <w:t>5</w:t>
          </w:r>
          <w:r>
            <w:fldChar w:fldCharType="end"/>
          </w:r>
          <w:r>
            <w:fldChar w:fldCharType="end"/>
          </w:r>
        </w:p>
        <w:p w14:paraId="6F463176">
          <w:pPr>
            <w:pStyle w:val="38"/>
            <w:tabs>
              <w:tab w:val="right" w:leader="dot" w:pos="9350"/>
            </w:tabs>
          </w:pPr>
          <w:r>
            <w:fldChar w:fldCharType="begin"/>
          </w:r>
          <w:r>
            <w:instrText xml:space="preserve"> HYPERLINK \l "_Toc235800471" </w:instrText>
          </w:r>
          <w:r>
            <w:fldChar w:fldCharType="separate"/>
          </w:r>
          <w:r>
            <w:rPr>
              <w:rStyle w:val="20"/>
            </w:rPr>
            <w:t>5. Application to Policy and Practice</w:t>
          </w:r>
          <w:r>
            <w:tab/>
          </w:r>
          <w:r>
            <w:fldChar w:fldCharType="begin"/>
          </w:r>
          <w:r>
            <w:instrText xml:space="preserve"> PAGEREF _Toc235800471 \h </w:instrText>
          </w:r>
          <w:r>
            <w:fldChar w:fldCharType="separate"/>
          </w:r>
          <w:r>
            <w:t>6</w:t>
          </w:r>
          <w:r>
            <w:fldChar w:fldCharType="end"/>
          </w:r>
          <w:r>
            <w:fldChar w:fldCharType="end"/>
          </w:r>
        </w:p>
        <w:p w14:paraId="72E48090">
          <w:pPr>
            <w:pStyle w:val="38"/>
            <w:tabs>
              <w:tab w:val="right" w:leader="dot" w:pos="9350"/>
            </w:tabs>
          </w:pPr>
          <w:r>
            <w:fldChar w:fldCharType="begin"/>
          </w:r>
          <w:r>
            <w:instrText xml:space="preserve"> HYPERLINK \l "_Toc235800472" </w:instrText>
          </w:r>
          <w:r>
            <w:fldChar w:fldCharType="separate"/>
          </w:r>
          <w:r>
            <w:rPr>
              <w:rStyle w:val="20"/>
            </w:rPr>
            <w:t>6. Benefits and Limitations</w:t>
          </w:r>
          <w:r>
            <w:tab/>
          </w:r>
          <w:r>
            <w:fldChar w:fldCharType="begin"/>
          </w:r>
          <w:r>
            <w:instrText xml:space="preserve"> PAGEREF _Toc235800472 \h </w:instrText>
          </w:r>
          <w:r>
            <w:fldChar w:fldCharType="separate"/>
          </w:r>
          <w:r>
            <w:t>7</w:t>
          </w:r>
          <w:r>
            <w:fldChar w:fldCharType="end"/>
          </w:r>
          <w:r>
            <w:fldChar w:fldCharType="end"/>
          </w:r>
        </w:p>
        <w:p w14:paraId="43250887">
          <w:pPr>
            <w:pStyle w:val="38"/>
            <w:tabs>
              <w:tab w:val="right" w:leader="dot" w:pos="9350"/>
            </w:tabs>
          </w:pPr>
          <w:r>
            <w:fldChar w:fldCharType="begin"/>
          </w:r>
          <w:r>
            <w:instrText xml:space="preserve"> HYPERLINK \l "_Toc235800473" </w:instrText>
          </w:r>
          <w:r>
            <w:fldChar w:fldCharType="separate"/>
          </w:r>
          <w:r>
            <w:rPr>
              <w:rStyle w:val="20"/>
            </w:rPr>
            <w:t>7. Recommendations</w:t>
          </w:r>
          <w:r>
            <w:tab/>
          </w:r>
          <w:r>
            <w:fldChar w:fldCharType="begin"/>
          </w:r>
          <w:r>
            <w:instrText xml:space="preserve"> PAGEREF _Toc235800473 \h </w:instrText>
          </w:r>
          <w:r>
            <w:fldChar w:fldCharType="separate"/>
          </w:r>
          <w:r>
            <w:t>8</w:t>
          </w:r>
          <w:r>
            <w:fldChar w:fldCharType="end"/>
          </w:r>
          <w:r>
            <w:fldChar w:fldCharType="end"/>
          </w:r>
        </w:p>
        <w:p w14:paraId="7EC4F263">
          <w:pPr>
            <w:pStyle w:val="38"/>
            <w:tabs>
              <w:tab w:val="right" w:leader="dot" w:pos="9350"/>
            </w:tabs>
          </w:pPr>
          <w:r>
            <w:fldChar w:fldCharType="begin"/>
          </w:r>
          <w:r>
            <w:instrText xml:space="preserve"> HYPERLINK \l "_Toc235800474" </w:instrText>
          </w:r>
          <w:r>
            <w:fldChar w:fldCharType="separate"/>
          </w:r>
          <w:r>
            <w:rPr>
              <w:rStyle w:val="20"/>
            </w:rPr>
            <w:t>8. Conclusion</w:t>
          </w:r>
          <w:r>
            <w:tab/>
          </w:r>
          <w:r>
            <w:fldChar w:fldCharType="begin"/>
          </w:r>
          <w:r>
            <w:instrText xml:space="preserve"> PAGEREF _Toc235800474 \h </w:instrText>
          </w:r>
          <w:r>
            <w:fldChar w:fldCharType="separate"/>
          </w:r>
          <w:r>
            <w:t>9</w:t>
          </w:r>
          <w:r>
            <w:fldChar w:fldCharType="end"/>
          </w:r>
          <w:r>
            <w:fldChar w:fldCharType="end"/>
          </w:r>
        </w:p>
        <w:p w14:paraId="6493CDE1">
          <w:pPr>
            <w:pStyle w:val="38"/>
            <w:tabs>
              <w:tab w:val="right" w:leader="dot" w:pos="9350"/>
            </w:tabs>
          </w:pPr>
          <w:r>
            <w:fldChar w:fldCharType="begin"/>
          </w:r>
          <w:r>
            <w:instrText xml:space="preserve"> HYPERLINK \l "_Toc235800475" </w:instrText>
          </w:r>
          <w:r>
            <w:fldChar w:fldCharType="separate"/>
          </w:r>
          <w:r>
            <w:rPr>
              <w:rStyle w:val="20"/>
            </w:rPr>
            <w:t>Reference List</w:t>
          </w:r>
          <w:r>
            <w:tab/>
          </w:r>
          <w:r>
            <w:fldChar w:fldCharType="begin"/>
          </w:r>
          <w:r>
            <w:instrText xml:space="preserve"> PAGEREF _Toc235800475 \h </w:instrText>
          </w:r>
          <w:r>
            <w:fldChar w:fldCharType="separate"/>
          </w:r>
          <w:r>
            <w:t>9</w:t>
          </w:r>
          <w:r>
            <w:fldChar w:fldCharType="end"/>
          </w:r>
          <w:r>
            <w:fldChar w:fldCharType="end"/>
          </w:r>
        </w:p>
        <w:p w14:paraId="364A733C">
          <w:r>
            <w:rPr>
              <w:b/>
              <w:bCs/>
            </w:rPr>
            <w:fldChar w:fldCharType="end"/>
          </w:r>
        </w:p>
      </w:sdtContent>
    </w:sdt>
    <w:p w14:paraId="294A0B74">
      <w:pPr>
        <w:spacing w:after="200" w:line="276" w:lineRule="auto"/>
        <w:jc w:val="left"/>
        <w:rPr>
          <w:rFonts w:asciiTheme="majorHAnsi" w:hAnsiTheme="majorHAnsi" w:eastAsiaTheme="majorEastAsia" w:cstheme="majorBidi"/>
          <w:b/>
          <w:bCs/>
          <w:color w:val="376092" w:themeColor="accent1" w:themeShade="BF"/>
          <w:sz w:val="28"/>
          <w:szCs w:val="28"/>
        </w:rPr>
      </w:pPr>
      <w:bookmarkStart w:id="0" w:name="_Toc235800467"/>
      <w:r>
        <w:br w:type="page"/>
      </w:r>
    </w:p>
    <w:p w14:paraId="56C722FC">
      <w:pPr>
        <w:pStyle w:val="2"/>
      </w:pPr>
      <w:bookmarkStart w:id="9" w:name="_GoBack"/>
      <w:bookmarkEnd w:id="9"/>
      <w:r>
        <w:t>Introduction</w:t>
      </w:r>
      <w:bookmarkEnd w:id="0"/>
    </w:p>
    <w:p w14:paraId="3095F5BD">
      <w:pPr>
        <w:spacing w:after="120"/>
        <w:ind w:firstLine="432"/>
      </w:pPr>
      <w:r>
        <w:t>Person-centred care requires practitioners to recognise each adult as a rights-holder with a unique history, identity, preferences, relationships and ambitions, rather than as a passive recipient of services. It therefore emphasises autonomy, dignity, participation, shared decision-making and support that is organised around outcomes that matter to the person (McCormack and McCance, 2017). The Social Model of Disability provides an important foundation for this approach because it relocates the main “problem” of disability from an individual’s body or mind to the social, environmental and institutional barriers that restrict participation (Oliver, 1990; Barnes and Mercer, 2010). In adult social care, this change in perspective is significant: instead of asking only what a person cannot do, practitioners are encouraged to identify inaccessible environments, discriminatory attitudes, inflexible services and unequal power relations.</w:t>
      </w:r>
    </w:p>
    <w:p w14:paraId="0401257C">
      <w:pPr>
        <w:spacing w:after="120"/>
        <w:ind w:firstLine="432"/>
      </w:pPr>
      <w:r>
        <w:t>This essay argues that the Social Model is a powerful ethical and political foundation for person-centred adult social care because it supports choice, inclusion and control. However, it is insufficient when applied rigidly, as it can understate impairment effects, pain, fluctuating conditions and intersecting inequalities. The discussion traces the model’s development, examines its relationship with person-centred care, evaluates major criticisms and responses, applies the model to policy and practice in England and Wales, and concludes with recommendations for more inclusive implementation.</w:t>
      </w:r>
    </w:p>
    <w:p w14:paraId="3B07C703">
      <w:pPr>
        <w:pStyle w:val="2"/>
      </w:pPr>
      <w:bookmarkStart w:id="1" w:name="_Toc235800468"/>
      <w:r>
        <w:t>2. Emergence and Development of the Model</w:t>
      </w:r>
      <w:bookmarkEnd w:id="1"/>
    </w:p>
    <w:p w14:paraId="346A8413">
      <w:pPr>
        <w:spacing w:after="120"/>
        <w:ind w:firstLine="432"/>
      </w:pPr>
      <w:r>
        <w:t>The Social Model emerged from the British disabled people’s movement during the 1970s. The Union of the Physically Impaired Against Segregation (UPIAS) distinguished impairment, understood as bodily or functional difference, from disability, understood as the disadvantage imposed through social organisation and exclusion (UPIAS and Disability Alliance, 1976). Mike Oliver later used the term “social model” to translate this political insight into a practical framework for social work and disability policy (Oliver, 1990; 2013). Its central claim was not that impairment is unreal, but that many restrictions attributed to an individual are produced or intensified by inaccessible buildings, segregated services, poverty, prejudice and professional control.</w:t>
      </w:r>
    </w:p>
    <w:p w14:paraId="75599967">
      <w:pPr>
        <w:spacing w:after="120"/>
        <w:ind w:firstLine="432"/>
      </w:pPr>
      <w:r>
        <w:t>This directly challenged the Medical Model, which tends to locate disability within pathology and prioritise diagnosis, treatment, rehabilitation or cure. Medical knowledge can be valuable, particularly for pain relief and clinical support, but when it dominates care it may reduce the person to deficits and position professionals as the primary decision-makers. By contrast, the Social Model asks what society and services must change. A wheelchair user, for example, is not excluded from a community centre solely by reduced mobility; exclusion is created when the building lacks step-free access, suitable transport or accessible information.</w:t>
      </w:r>
    </w:p>
    <w:p w14:paraId="095EEFB8">
      <w:pPr>
        <w:spacing w:after="120"/>
        <w:ind w:firstLine="432"/>
      </w:pPr>
      <w:r>
        <w:t>Over time, the model influenced disability rights, anti-discrimination law, independent-living movements and international human-rights thinking. The United Nations Convention on the Rights of Persons with Disabilities reflects an interactional understanding in which impairment and barriers combine to hinder equal participation (United Nations, 2006). Later scholarship has also expanded the model through feminist, cultural, relational and intersectional perspectives. Thus, its development has shifted from a relatively clear impairment/disability distinction towards broader analyses of power, identity, human rights and participation, although debate continues over how far this remains the original Social Model.</w:t>
      </w:r>
    </w:p>
    <w:p w14:paraId="1A1F1D85">
      <w:pPr>
        <w:pStyle w:val="2"/>
      </w:pPr>
      <w:bookmarkStart w:id="2" w:name="_Toc235800469"/>
      <w:r>
        <w:t>3. Relationship with Person-Centred Care</w:t>
      </w:r>
      <w:bookmarkEnd w:id="2"/>
    </w:p>
    <w:p w14:paraId="36BC2938">
      <w:pPr>
        <w:spacing w:after="120"/>
        <w:ind w:firstLine="432"/>
      </w:pPr>
      <w:r>
        <w:t>The Social Model and person-centred care share a commitment to redistributing power. Person-centred practice requires adults to be listened to, involved and supported to make decisions about daily life, relationships, risks and long-term goals. Similarly, the Social Model rejects the assumption that professionals should define a “normal” life for disabled people. It therefore supports autonomy by focusing assessments on enabling choice rather than correcting the person; dignity by challenging degrading stereotypes; participation by removing barriers; and empowerment by treating lived experience as legitimate expertise.</w:t>
      </w:r>
    </w:p>
    <w:p w14:paraId="6B862222">
      <w:pPr>
        <w:spacing w:after="120"/>
        <w:ind w:firstLine="432"/>
      </w:pPr>
      <w:r>
        <w:t>This relationship is especially clear in strengths-based assessment and personalised care planning. A deficit-led assessment may record that an adult “cannot cook independently”. A socially informed, person-centred assessment asks whether the kitchen is accessible, whether equipment or assistance would help, whether information is understandable, and what cooking means to the person’s identity and routine. Such questioning turns care planning from service allocation into collaborative problem-solving. Co-production extends this principle beyond individual plans by involving people who use services as equal partners in service design, commissioning and evaluation (Social Care Institute for Excellence, n.d.).</w:t>
      </w:r>
    </w:p>
    <w:p w14:paraId="13D8558F">
      <w:pPr>
        <w:spacing w:after="120"/>
        <w:ind w:firstLine="432"/>
      </w:pPr>
      <w:r>
        <w:t>Nevertheless, person-centred care is broader than barrier removal. It also involves emotional wellbeing, trusted relationships, bodily comfort and responses to changing health. The Social Model is therefore best understood as a foundational lens that guards against paternalism and structural exclusion, while person-centred practice translates that lens into relational, individualised support. Used together, they promote care “with” rather than care “for” the person.</w:t>
      </w:r>
    </w:p>
    <w:p w14:paraId="6D57154E">
      <w:pPr>
        <w:pStyle w:val="2"/>
      </w:pPr>
      <w:bookmarkStart w:id="3" w:name="_Toc235800470"/>
      <w:r>
        <w:t>4. Critical Debates, Criticisms and Responses</w:t>
      </w:r>
      <w:bookmarkEnd w:id="3"/>
    </w:p>
    <w:p w14:paraId="40D940AE">
      <w:pPr>
        <w:spacing w:after="120"/>
        <w:ind w:firstLine="432"/>
      </w:pPr>
      <w:r>
        <w:t>A major criticism is that the Social Model can minimise the direct effects of impairment. Pain, fatigue, seizures, sensory overload or progressive illness may restrict activity even in a fully accessible environment. Shakespeare (2014) argues that a strict division between impairment and disability oversimplifies embodied experience and may discourage engagement with beneficial treatment or rehabilitation. This matters in adult social care because a practitioner who interprets every difficulty as socially produced could overlook symptom management, clinical referral or the person’s wish for medical support. Morris (1991), writing from a disabled feminist perspective, similarly showed that acknowledging dependence, bodily needs and care relationships does not require returning to a tragic or paternalistic model.</w:t>
      </w:r>
    </w:p>
    <w:p w14:paraId="69932A0D">
      <w:pPr>
        <w:spacing w:after="120"/>
        <w:ind w:firstLine="432"/>
      </w:pPr>
      <w:r>
        <w:t xml:space="preserve">A second criticism concerns diversity. Early British formulations were strongly shaped by the experiences of physically impaired activists and did not always represent people with learning disabilities, dementia, mental distress, communication differences or fluctuating conditions. The model may also treat disabled people as a single group, obscuring how disability intersects with gender, ethnicity, migration status, sexuality, age, culture and class. </w:t>
      </w:r>
    </w:p>
    <w:p w14:paraId="4DC12291">
      <w:pPr>
        <w:spacing w:after="120"/>
        <w:ind w:firstLine="432"/>
      </w:pPr>
      <w:r>
        <w:t>Berghs et al. (2019) consequently propose strengthening rather than abandoning it through a social model of human rights, linking barrier removal to dignity, equality and state responsibility. More recent work also re-examines the impairment/disability distinction without surrendering the model’s emancipatory purpose (Thorneycroft, 2024).</w:t>
      </w:r>
    </w:p>
    <w:p w14:paraId="0557F975">
      <w:pPr>
        <w:spacing w:after="120"/>
        <w:ind w:firstLine="432"/>
      </w:pPr>
      <w:r>
        <w:t>An integrated response is the biopsychosocial approach represented by the World Health Organization’s International Classification of Functioning, Disability and Health, which views functioning as an interaction between health conditions, activities, participation, environmental factors and personal factors (World Health Organization, 2001). Its strength is comprehensiveness; its risk is that professional assessment can again dominate and depoliticise structural inequality. Therefore, integration should not mean treating social and medical explanations as equally neutral. A critical person-centred approach should acknowledge pain and impairment while retaining the Social Model’s focus on rights, barriers and power.</w:t>
      </w:r>
    </w:p>
    <w:p w14:paraId="1B09BCBF">
      <w:pPr>
        <w:pStyle w:val="2"/>
      </w:pPr>
      <w:bookmarkStart w:id="4" w:name="_Toc235800471"/>
      <w:r>
        <w:t>5. Application to Policy and Practice</w:t>
      </w:r>
      <w:bookmarkEnd w:id="4"/>
    </w:p>
    <w:p w14:paraId="5F9AAA8D">
      <w:pPr>
        <w:spacing w:after="120"/>
        <w:ind w:firstLine="432"/>
      </w:pPr>
      <w:r>
        <w:t>In adult social care, the Social Model changes assessment from identifying personal deficits to understanding how needs arise through the interaction between the person and their environment. The Care Act 2014 requires English local authorities to promote individual wellbeing and conduct needs assessments regardless of financial circumstances (Great Britain, 2014). Its emphasis on personal dignity, control, participation and suitability of living accommodation is compatible with socially informed care. In Wales, the Social Services and Well-being (Wales) Act 2014 places wellbeing, voice and control, prevention, co-production and multi-agency working at the centre of practice (National Assembly for Wales, 2014). These duties encourage practitioners to ask what outcomes the adult wants and what barriers prevent them.</w:t>
      </w:r>
    </w:p>
    <w:p w14:paraId="4B8DC1C8">
      <w:pPr>
        <w:spacing w:after="120"/>
        <w:ind w:firstLine="432"/>
      </w:pPr>
      <w:r>
        <w:t xml:space="preserve">Care planning should therefore include accessible housing, transport, communication, assistive technology, community participation and support networks, not only personal-care tasks. For example, an adult with visual impairment who misses appointments may not need to be labelled “non-compliant”; the service may need to provide information in an accessible format, confirm transport arrangements and adjust digital systems. The Equality Act 2010 strengthens this approach by prohibiting disability discrimination and requiring reasonable adjustments in services and public functions (Great Britain, 2010). </w:t>
      </w:r>
    </w:p>
    <w:p w14:paraId="184FF857">
      <w:pPr>
        <w:spacing w:after="120"/>
        <w:ind w:firstLine="432"/>
      </w:pPr>
      <w:r>
        <w:t>The model also contributes to safeguarding. Person-centred safeguarding should protect an adult without automatically removing choice or imposing institutional control. A practitioner responding to financial abuse, for instance, should explore the adult’s desired outcomes, communication needs, relationships and level of acceptable risk. However, autonomy is not absolute: care services retain duties to investigate abuse and prevent serious harm. The Social Model helps by directing attention to organisational risks such as closed cultures, inaccessible complaints processes, dependence on a single provider and disbelief of disabled people, rather than locating vulnerability solely within the individual.</w:t>
      </w:r>
    </w:p>
    <w:p w14:paraId="4EF6DD8C">
      <w:pPr>
        <w:spacing w:after="120"/>
        <w:ind w:firstLine="432"/>
      </w:pPr>
      <w:r>
        <w:t>Service-user participation and co-production are equally important. People with lived experience can review information, train staff, shape commissioning criteria and evaluate whether services are genuinely accessible. Welsh evaluation evidence indicates that voice and control are central ambitions of reform, but implementation is uneven and influenced by organisational context and resource pressures (Welsh Government, 2023). This exposes the gap between legal principles and everyday practice.</w:t>
      </w:r>
    </w:p>
    <w:p w14:paraId="6F9E29AF">
      <w:pPr>
        <w:spacing w:after="120"/>
        <w:ind w:firstLine="432"/>
      </w:pPr>
      <w:r>
        <w:t>Funding constraints, workforce shortages, time-limited assessments and institutional risk-aversion can reduce person-centred planning to standardised forms. The Care Quality Commission (2025) also reported continuing pressures affecting access, capacity and continuity. High caseloads may limit relationship-building, while fragmented health, housing and social-care responsibilities make barrier removal difficult. Therefore, the model’s implementation depends not only on staff attitudes but on commissioning, workforce stability, accessible infrastructure and political willingness to fund independent living.</w:t>
      </w:r>
    </w:p>
    <w:p w14:paraId="21B21902">
      <w:pPr>
        <w:pStyle w:val="2"/>
      </w:pPr>
      <w:bookmarkStart w:id="5" w:name="_Toc235800472"/>
      <w:r>
        <w:t>6. Benefits and Limitations</w:t>
      </w:r>
      <w:bookmarkEnd w:id="5"/>
    </w:p>
    <w:p w14:paraId="48763413">
      <w:pPr>
        <w:spacing w:after="120"/>
        <w:ind w:firstLine="432"/>
      </w:pPr>
      <w:r>
        <w:t>The Social Model’s principal benefit is its capacity to transform expectations. It replaces narratives of personal tragedy with a rights-based analysis and encourages services to remove barriers that restrict independence, inclusion and citizenship. This supports shared decision-making because professional expertise is balanced with the person’s knowledge of their own life. It also provides a basis for challenging inaccessible environments, discriminatory eligibility practices and institutional routines (Barnes and Mercer, 2010; Goodley, 2017).</w:t>
      </w:r>
    </w:p>
    <w:p w14:paraId="79B88847">
      <w:pPr>
        <w:spacing w:after="120"/>
        <w:ind w:firstLine="432"/>
      </w:pPr>
      <w:r>
        <w:t>However, its theoretical clarity can become practical rigidity. Shakespeare (2014) is persuasive that disability cannot always be explained without reference to embodiment, while Oliver (2013) correctly warns that criticism should not erase the political causes of exclusion. The strongest position lies between these perspectives: impairment should be acknowledged without allowing diagnosis to determine identity, opportunity or entitlement. In practice, the model also cannot by itself resolve scarce resources, conflicting rights, safeguarding dilemmas or differences between individuals who share a diagnosis. Consequently, it is most useful as a critical foundation and accountability tool, rather than a complete assessment framework. Its success depends on integration with relational person-centred practice, human-rights standards, clinical knowledge where requested, and attention to intersectional inequality.</w:t>
      </w:r>
    </w:p>
    <w:p w14:paraId="375101A8">
      <w:pPr>
        <w:pStyle w:val="2"/>
      </w:pPr>
      <w:bookmarkStart w:id="6" w:name="_Toc235800473"/>
      <w:r>
        <w:t>7. Recommendations</w:t>
      </w:r>
      <w:bookmarkEnd w:id="6"/>
    </w:p>
    <w:p w14:paraId="39B9593B">
      <w:pPr>
        <w:spacing w:after="120"/>
        <w:ind w:firstLine="432"/>
      </w:pPr>
      <w:r>
        <w:t>First, adult social care organisations should provide mandatory, disability-led training on the Social Model, communication, legal duties and unconscious paternalism. Training should use lived-experience scenarios and reflective supervision rather than one-off online modules. This can improve staff confidence and challenge deficit-based language, although training will have limited effect if workloads and organisational cultures reward speed over relationships.</w:t>
      </w:r>
    </w:p>
    <w:p w14:paraId="16A1060D">
      <w:pPr>
        <w:spacing w:after="120"/>
        <w:ind w:firstLine="432"/>
      </w:pPr>
      <w:r>
        <w:t xml:space="preserve">Second, co-production should be embedded throughout assessment tools, service specifications, staff recruitment and quality review. Disabled people should be paid fairly for their expertise and involvement should include people with communication differences and groups that are often under-represented. </w:t>
      </w:r>
    </w:p>
    <w:p w14:paraId="3A71DD7D">
      <w:pPr>
        <w:spacing w:after="120"/>
        <w:ind w:firstLine="432"/>
      </w:pPr>
      <w:r>
        <w:t>Third, providers should strengthen accessible communication and personalised planning. Information should be available in formats such as Easy Read, large print, audio, British Sign Language and preferred community languages. Plans should record the person’s outcomes, strengths, identity, relationships, reasonable adjustments and agreed approaches to risk. Accessible systems may require investment and specialist input, but they can reduce misunderstanding, missed appointments and avoidable safeguarding concerns.</w:t>
      </w:r>
    </w:p>
    <w:p w14:paraId="3D4AEA2A">
      <w:pPr>
        <w:spacing w:after="120"/>
        <w:ind w:firstLine="432"/>
      </w:pPr>
      <w:r>
        <w:t>Fourth, governments and commissioners should provide sustainable funding, improve pay and retention, and support multidisciplinary work across social care, health, housing and advocacy. Stable teams create the continuity needed for trust and genuinely personalised decisions. Finally, services should evaluate outcomes with disabled people, measuring participation, control and quality of life rather than only task completion. Evaluation can create additional administrative demands; therefore, measures must be concise, accessible and used to improve practice rather than merely demonstrate compliance.</w:t>
      </w:r>
    </w:p>
    <w:p w14:paraId="7E061A5B">
      <w:pPr>
        <w:pStyle w:val="2"/>
      </w:pPr>
      <w:bookmarkStart w:id="7" w:name="_Toc235800474"/>
      <w:r>
        <w:t>8. Conclusion</w:t>
      </w:r>
      <w:bookmarkEnd w:id="7"/>
    </w:p>
    <w:p w14:paraId="4B2E11BD">
      <w:pPr>
        <w:spacing w:after="120"/>
        <w:ind w:firstLine="432"/>
      </w:pPr>
      <w:r>
        <w:t>The Social Model of Disability remains a highly valuable foundation for person-centred adult social care because it exposes how social arrangements, inaccessible environments and unequal professional power restrict choice and participation. It has influenced rights-based legislation, wellbeing-focused assessment, reasonable adjustments, co-production and independent-living principles. Its central achievement is to shift attention from “fixing” the individual towards changing the conditions that disable them.</w:t>
      </w:r>
    </w:p>
    <w:p w14:paraId="416B6317">
      <w:pPr>
        <w:spacing w:after="120"/>
        <w:ind w:firstLine="432"/>
      </w:pPr>
      <w:r>
        <w:t>Nevertheless, the model should not be treated as a complete account of disability. Criticisms concerning pain, impairment, fluctuating conditions and intersecting inequalities are substantial, particularly when care planning must respond to both structural barriers and immediate bodily needs. A balanced judgement is therefore that the Social Model is indispensable but not sufficient. Its emancipatory focus should be retained within an integrated, relational and human-rights-based approach that values lived experience, responds to impairment when the person wishes, and addresses unequal resources. With adequate funding, accessible communication, co-production and workforce development, it can remain a powerful guide for ethical and genuinely person-centred adult social care.</w:t>
      </w:r>
    </w:p>
    <w:p w14:paraId="4FC5449E">
      <w:pPr>
        <w:pStyle w:val="2"/>
      </w:pPr>
      <w:bookmarkStart w:id="8" w:name="_Toc235800475"/>
      <w:r>
        <w:t>Reference List</w:t>
      </w:r>
      <w:bookmarkEnd w:id="8"/>
    </w:p>
    <w:p w14:paraId="5DE64461">
      <w:pPr>
        <w:spacing w:after="120"/>
        <w:ind w:left="432" w:hanging="432"/>
        <w:jc w:val="left"/>
      </w:pPr>
      <w:r>
        <w:t>Barnes, C. and Mercer, G. (2010) Exploring disability. 2nd edn. Cambridge: Polity Press.</w:t>
      </w:r>
    </w:p>
    <w:p w14:paraId="65DA150D">
      <w:pPr>
        <w:spacing w:after="120"/>
        <w:ind w:left="432" w:hanging="432"/>
        <w:jc w:val="left"/>
      </w:pPr>
      <w:r>
        <w:t>Berghs, M., Atkin, K., Hatton, C. and Thomas, C. (2019) ‘Do disabled people need a stronger social model: a social model of human rights?’, Disability &amp; Society, 34(7–8), pp. 1034–1039. doi: 10.1080/09687599.2019.1619239.</w:t>
      </w:r>
    </w:p>
    <w:p w14:paraId="49ABE56F">
      <w:pPr>
        <w:spacing w:after="120"/>
        <w:ind w:left="432" w:hanging="432"/>
        <w:jc w:val="left"/>
      </w:pPr>
      <w:r>
        <w:t>Great Britain (2014) Care Act 2014. London: The Stationery Office. Available at: https://www.legislation.gov.uk/ukpga/2014/23/contents (Accessed: 24 July 2026).</w:t>
      </w:r>
    </w:p>
    <w:p w14:paraId="70A07145">
      <w:pPr>
        <w:spacing w:after="120"/>
        <w:ind w:left="432" w:hanging="432"/>
        <w:jc w:val="left"/>
      </w:pPr>
      <w:r>
        <w:t>Morris, J. (1991) Pride against prejudice: transforming attitudes to disability. London: The Women’s Press.</w:t>
      </w:r>
    </w:p>
    <w:p w14:paraId="562668EA">
      <w:pPr>
        <w:spacing w:after="120"/>
        <w:ind w:left="432" w:hanging="432"/>
        <w:jc w:val="left"/>
      </w:pPr>
      <w:r>
        <w:t>National Assembly for Wales (2014) Social Services and Well-being (Wales) Act 2014. Cardiff: National Assembly for Wales. Available at: https://www.legislation.gov.uk/anaw/2014/4/contents (Accessed: 24 July 2026).</w:t>
      </w:r>
    </w:p>
    <w:p w14:paraId="1A93B4CC">
      <w:pPr>
        <w:spacing w:after="120"/>
        <w:ind w:left="432" w:hanging="432"/>
        <w:jc w:val="left"/>
      </w:pPr>
      <w:r>
        <w:t>Oliver, M. (1990) The politics of disablement. Basingstoke: Macmillan.</w:t>
      </w:r>
    </w:p>
    <w:p w14:paraId="2F8BBD25">
      <w:pPr>
        <w:spacing w:after="120"/>
        <w:ind w:left="432" w:hanging="432"/>
        <w:jc w:val="left"/>
      </w:pPr>
      <w:r>
        <w:t>Oliver, M. (2013) ‘The social model of disability: thirty years on’, Disability &amp; Society, 28(7), pp. 1024–1026. doi: 10.1080/09687599.2013.818773.</w:t>
      </w:r>
    </w:p>
    <w:p w14:paraId="1EE3EF6A">
      <w:pPr>
        <w:spacing w:after="120"/>
        <w:ind w:left="432" w:hanging="432"/>
        <w:jc w:val="left"/>
      </w:pPr>
      <w:r>
        <w:t>Shakespeare, T. (2014) Disability rights and wrongs revisited. 2nd edn. Abingdon: Routledge. doi: 10.4324/9781315887456.</w:t>
      </w:r>
    </w:p>
    <w:p w14:paraId="2964671D">
      <w:pPr>
        <w:spacing w:after="120"/>
        <w:ind w:left="432" w:hanging="432"/>
        <w:jc w:val="left"/>
      </w:pPr>
      <w:r>
        <w:t>Skills for Care (2025) The state of the adult social care sector and workforce in England 2025. Leeds: Skills for Care. Available at: https://www.skillsforcare.org.uk/Adult-Social-Care-Workforce-Data/workforceintelligence/Reports-and-visualisations/National-information/The-State-of-report.aspx (Accessed: 24 July 2026).</w:t>
      </w:r>
    </w:p>
    <w:p w14:paraId="0BD48075">
      <w:pPr>
        <w:spacing w:after="120"/>
        <w:ind w:left="432" w:hanging="432"/>
        <w:jc w:val="left"/>
      </w:pPr>
      <w:r>
        <w:t>Social Care Institute for Excellence (n.d.) Co-production: what it is and how to do it. Available at: https://www.scie.org.uk/co-production/what-how/ (Accessed: 24 July 2026).</w:t>
      </w:r>
    </w:p>
    <w:p w14:paraId="7250AF77">
      <w:pPr>
        <w:spacing w:after="120"/>
        <w:ind w:left="432" w:hanging="432"/>
        <w:jc w:val="left"/>
      </w:pPr>
      <w:r>
        <w:t>Thorneycroft, R. (2024) ‘Screwing the social model of disability’, Scandinavian Journal of Disability Research, 26(1), pp. 286–299. doi: 10.16993/sjdr.1130.</w:t>
      </w:r>
    </w:p>
    <w:p w14:paraId="1C685375">
      <w:pPr>
        <w:spacing w:after="120"/>
        <w:ind w:left="432" w:hanging="432"/>
        <w:jc w:val="left"/>
      </w:pPr>
      <w:r>
        <w:t>Union of the Physically Impaired Against Segregation and Disability Alliance (1976) Fundamental principles of disability. London: UPIAS.</w:t>
      </w:r>
    </w:p>
    <w:p w14:paraId="31B88D83">
      <w:pPr>
        <w:spacing w:after="120"/>
        <w:ind w:left="432" w:hanging="432"/>
        <w:jc w:val="left"/>
      </w:pPr>
      <w:r>
        <w:t>Welsh Government (2023) From Act to Impact? Final report of the evaluation of the Social Services and Well-being (Wales) Act 2014. Cardiff: Welsh Government. Available at: https://www.gov.wales/sites/default/files/statistics-and-research/2023-03/from-act-to-impact-final-report-of-the-evaluation-of-the-social-services-and-well-being-wales-act-2014-summary-report.pdf (Accessed: 24 July 2026).</w:t>
      </w:r>
    </w:p>
    <w:p w14:paraId="1019AEE3">
      <w:pPr>
        <w:spacing w:after="120"/>
        <w:ind w:left="432" w:hanging="432"/>
        <w:jc w:val="left"/>
      </w:pPr>
      <w:r>
        <w:t>Wickenden, M. (2023) ‘Disability and other identities? How do they intersect?’, Frontiers in Rehabilitation Sciences, 4, 1200386. doi: 10.3389/fresc.2023.1200386.</w:t>
      </w:r>
    </w:p>
    <w:p w14:paraId="4456FB34">
      <w:pPr>
        <w:spacing w:after="120"/>
        <w:ind w:left="432" w:hanging="432"/>
        <w:jc w:val="left"/>
      </w:pPr>
      <w:r>
        <w:t>World Health Organization (2001) International classification of functioning, disability and health: ICF. Geneva: World Health Organization. Available at: https://www.who.int/standards/classifications/international-classification-of-functioning-disability-and-health (Accessed: 24 July 2026).</w:t>
      </w:r>
    </w:p>
    <w:sectPr>
      <w:pgSz w:w="12240" w:h="15840"/>
      <w:pgMar w:top="1440" w:right="1440" w:bottom="1440" w:left="1440"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Courier">
    <w:altName w:val="Courier New"/>
    <w:panose1 w:val="02070409020205020404"/>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2"/>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1"/>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6"/>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5"/>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30"/>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4"/>
      <w:lvlText w:val=""/>
      <w:lvlJc w:val="left"/>
      <w:pPr>
        <w:tabs>
          <w:tab w:val="left" w:pos="360"/>
        </w:tabs>
        <w:ind w:left="360" w:hanging="360"/>
      </w:pPr>
      <w:rPr>
        <w:rFonts w:hint="default" w:ascii="Symbol" w:hAnsi="Symbol"/>
      </w:r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4449A"/>
    <w:rsid w:val="0015074B"/>
    <w:rsid w:val="0029639D"/>
    <w:rsid w:val="002A2C83"/>
    <w:rsid w:val="00326F90"/>
    <w:rsid w:val="00543E45"/>
    <w:rsid w:val="005C73ED"/>
    <w:rsid w:val="007B51E9"/>
    <w:rsid w:val="00866304"/>
    <w:rsid w:val="00AA1D8D"/>
    <w:rsid w:val="00B47730"/>
    <w:rsid w:val="00B65F2B"/>
    <w:rsid w:val="00BC30A4"/>
    <w:rsid w:val="00CB0664"/>
    <w:rsid w:val="00E1282B"/>
    <w:rsid w:val="00FA1AD0"/>
    <w:rsid w:val="00FC693F"/>
    <w:rsid w:val="445521B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jc w:val="both"/>
    </w:pPr>
    <w:rPr>
      <w:rFonts w:ascii="Times New Roman" w:hAnsi="Times New Roman" w:eastAsia="Times New Roman" w:cstheme="minorBidi"/>
      <w:sz w:val="24"/>
      <w:szCs w:val="22"/>
      <w:lang w:val="en-US" w:eastAsia="en-US" w:bidi="ar-SA"/>
    </w:rPr>
  </w:style>
  <w:style w:type="paragraph" w:styleId="2">
    <w:name w:val="heading 1"/>
    <w:basedOn w:val="1"/>
    <w:next w:val="1"/>
    <w:link w:val="140"/>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41"/>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2"/>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2"/>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3"/>
    <w:semiHidden/>
    <w:unhideWhenUsed/>
    <w:qFormat/>
    <w:uiPriority w:val="9"/>
    <w:pPr>
      <w:keepNext/>
      <w:keepLines/>
      <w:spacing w:before="20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4"/>
    <w:semiHidden/>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5"/>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6"/>
    <w:semiHidden/>
    <w:unhideWhenUsed/>
    <w:qFormat/>
    <w:uiPriority w:val="9"/>
    <w:pPr>
      <w:keepNext/>
      <w:keepLines/>
      <w:spacing w:before="20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7"/>
    <w:semiHidden/>
    <w:unhideWhenUsed/>
    <w:qFormat/>
    <w:uiPriority w:val="9"/>
    <w:pPr>
      <w:keepNext/>
      <w:keepLines/>
      <w:spacing w:before="20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146"/>
    <w:unhideWhenUsed/>
    <w:uiPriority w:val="99"/>
    <w:pPr>
      <w:spacing w:after="120"/>
    </w:pPr>
  </w:style>
  <w:style w:type="paragraph" w:styleId="14">
    <w:name w:val="Body Text 2"/>
    <w:basedOn w:val="1"/>
    <w:link w:val="147"/>
    <w:unhideWhenUsed/>
    <w:uiPriority w:val="99"/>
    <w:pPr>
      <w:spacing w:after="120" w:line="480" w:lineRule="auto"/>
    </w:pPr>
  </w:style>
  <w:style w:type="paragraph" w:styleId="15">
    <w:name w:val="Body Text 3"/>
    <w:basedOn w:val="1"/>
    <w:link w:val="148"/>
    <w:unhideWhenUsed/>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8"/>
    <w:unhideWhenUsed/>
    <w:uiPriority w:val="99"/>
    <w:pPr>
      <w:tabs>
        <w:tab w:val="center" w:pos="4680"/>
        <w:tab w:val="right" w:pos="9360"/>
      </w:tabs>
      <w:spacing w:line="240" w:lineRule="auto"/>
    </w:pPr>
  </w:style>
  <w:style w:type="paragraph" w:styleId="19">
    <w:name w:val="header"/>
    <w:basedOn w:val="1"/>
    <w:link w:val="137"/>
    <w:unhideWhenUsed/>
    <w:uiPriority w:val="99"/>
    <w:pPr>
      <w:tabs>
        <w:tab w:val="center" w:pos="4680"/>
        <w:tab w:val="right" w:pos="9360"/>
      </w:tabs>
      <w:spacing w:line="240" w:lineRule="auto"/>
    </w:pPr>
  </w:style>
  <w:style w:type="character" w:styleId="20">
    <w:name w:val="Hyperlink"/>
    <w:basedOn w:val="11"/>
    <w:unhideWhenUsed/>
    <w:uiPriority w:val="99"/>
    <w:rPr>
      <w:color w:val="0000FF" w:themeColor="hyperlink"/>
      <w:u w:val="single"/>
      <w14:textFill>
        <w14:solidFill>
          <w14:schemeClr w14:val="hlink"/>
        </w14:solidFill>
      </w14:textFill>
    </w:rPr>
  </w:style>
  <w:style w:type="paragraph" w:styleId="21">
    <w:name w:val="List"/>
    <w:basedOn w:val="1"/>
    <w:unhideWhenUsed/>
    <w:uiPriority w:val="99"/>
    <w:pPr>
      <w:ind w:left="360" w:hanging="360"/>
      <w:contextualSpacing/>
    </w:pPr>
  </w:style>
  <w:style w:type="paragraph" w:styleId="22">
    <w:name w:val="List 2"/>
    <w:basedOn w:val="1"/>
    <w:unhideWhenUsed/>
    <w:qFormat/>
    <w:uiPriority w:val="99"/>
    <w:pPr>
      <w:ind w:left="720" w:hanging="360"/>
      <w:contextualSpacing/>
    </w:pPr>
  </w:style>
  <w:style w:type="paragraph" w:styleId="23">
    <w:name w:val="List 3"/>
    <w:basedOn w:val="1"/>
    <w:unhideWhenUsed/>
    <w:qFormat/>
    <w:uiPriority w:val="99"/>
    <w:pPr>
      <w:ind w:left="1080" w:hanging="360"/>
      <w:contextualSpacing/>
    </w:pPr>
  </w:style>
  <w:style w:type="paragraph" w:styleId="24">
    <w:name w:val="List Bullet"/>
    <w:basedOn w:val="1"/>
    <w:unhideWhenUsed/>
    <w:qFormat/>
    <w:uiPriority w:val="99"/>
    <w:pPr>
      <w:numPr>
        <w:ilvl w:val="0"/>
        <w:numId w:val="1"/>
      </w:numPr>
      <w:contextualSpacing/>
    </w:pPr>
  </w:style>
  <w:style w:type="paragraph" w:styleId="25">
    <w:name w:val="List Bullet 2"/>
    <w:basedOn w:val="1"/>
    <w:unhideWhenUsed/>
    <w:qFormat/>
    <w:uiPriority w:val="99"/>
    <w:pPr>
      <w:numPr>
        <w:ilvl w:val="0"/>
        <w:numId w:val="2"/>
      </w:numPr>
      <w:contextualSpacing/>
    </w:pPr>
  </w:style>
  <w:style w:type="paragraph" w:styleId="26">
    <w:name w:val="List Bullet 3"/>
    <w:basedOn w:val="1"/>
    <w:unhideWhenUsed/>
    <w:qFormat/>
    <w:uiPriority w:val="99"/>
    <w:pPr>
      <w:numPr>
        <w:ilvl w:val="0"/>
        <w:numId w:val="3"/>
      </w:numPr>
      <w:contextualSpacing/>
    </w:pPr>
  </w:style>
  <w:style w:type="paragraph" w:styleId="27">
    <w:name w:val="List Continue"/>
    <w:basedOn w:val="1"/>
    <w:unhideWhenUsed/>
    <w:qFormat/>
    <w:uiPriority w:val="99"/>
    <w:pPr>
      <w:spacing w:after="120"/>
      <w:ind w:left="360"/>
      <w:contextualSpacing/>
    </w:pPr>
  </w:style>
  <w:style w:type="paragraph" w:styleId="28">
    <w:name w:val="List Continue 2"/>
    <w:basedOn w:val="1"/>
    <w:unhideWhenUsed/>
    <w:qFormat/>
    <w:uiPriority w:val="99"/>
    <w:pPr>
      <w:spacing w:after="120"/>
      <w:ind w:left="720"/>
      <w:contextualSpacing/>
    </w:pPr>
  </w:style>
  <w:style w:type="paragraph" w:styleId="29">
    <w:name w:val="List Continue 3"/>
    <w:basedOn w:val="1"/>
    <w:unhideWhenUsed/>
    <w:qFormat/>
    <w:uiPriority w:val="99"/>
    <w:pPr>
      <w:spacing w:after="120"/>
      <w:ind w:left="1080"/>
      <w:contextualSpacing/>
    </w:pPr>
  </w:style>
  <w:style w:type="paragraph" w:styleId="30">
    <w:name w:val="List Number"/>
    <w:basedOn w:val="1"/>
    <w:unhideWhenUsed/>
    <w:qFormat/>
    <w:uiPriority w:val="99"/>
    <w:pPr>
      <w:numPr>
        <w:ilvl w:val="0"/>
        <w:numId w:val="4"/>
      </w:numPr>
      <w:contextualSpacing/>
    </w:pPr>
  </w:style>
  <w:style w:type="paragraph" w:styleId="31">
    <w:name w:val="List Number 2"/>
    <w:basedOn w:val="1"/>
    <w:unhideWhenUsed/>
    <w:qFormat/>
    <w:uiPriority w:val="99"/>
    <w:pPr>
      <w:numPr>
        <w:ilvl w:val="0"/>
        <w:numId w:val="5"/>
      </w:numPr>
      <w:contextualSpacing/>
    </w:pPr>
  </w:style>
  <w:style w:type="paragraph" w:styleId="32">
    <w:name w:val="List Number 3"/>
    <w:basedOn w:val="1"/>
    <w:unhideWhenUsed/>
    <w:qFormat/>
    <w:uiPriority w:val="99"/>
    <w:pPr>
      <w:numPr>
        <w:ilvl w:val="0"/>
        <w:numId w:val="6"/>
      </w:numPr>
      <w:contextualSpacing/>
    </w:pPr>
  </w:style>
  <w:style w:type="paragraph" w:styleId="33">
    <w:name w:val="macro"/>
    <w:link w:val="149"/>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character" w:styleId="34">
    <w:name w:val="Strong"/>
    <w:basedOn w:val="11"/>
    <w:qFormat/>
    <w:uiPriority w:val="22"/>
    <w:rPr>
      <w:b/>
      <w:bCs/>
    </w:rPr>
  </w:style>
  <w:style w:type="paragraph" w:styleId="35">
    <w:name w:val="Subtitle"/>
    <w:basedOn w:val="1"/>
    <w:next w:val="1"/>
    <w:link w:val="144"/>
    <w:qFormat/>
    <w:uiPriority w:val="11"/>
    <w:rPr>
      <w:rFonts w:asciiTheme="majorHAnsi" w:hAnsiTheme="majorHAnsi" w:eastAsiaTheme="majorEastAsia" w:cstheme="majorBidi"/>
      <w:i/>
      <w:iCs/>
      <w:color w:val="4F81BD" w:themeColor="accent1"/>
      <w:spacing w:val="15"/>
      <w:szCs w:val="24"/>
      <w14:textFill>
        <w14:solidFill>
          <w14:schemeClr w14:val="accent1"/>
        </w14:solidFill>
      </w14:textFill>
    </w:rPr>
  </w:style>
  <w:style w:type="table" w:styleId="36">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7">
    <w:name w:val="Title"/>
    <w:basedOn w:val="1"/>
    <w:next w:val="1"/>
    <w:link w:val="1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38">
    <w:name w:val="toc 1"/>
    <w:basedOn w:val="1"/>
    <w:next w:val="1"/>
    <w:autoRedefine/>
    <w:unhideWhenUsed/>
    <w:uiPriority w:val="39"/>
    <w:pPr>
      <w:spacing w:after="100"/>
    </w:pPr>
  </w:style>
  <w:style w:type="table" w:styleId="39">
    <w:name w:val="Light Shading"/>
    <w:basedOn w:val="1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40">
    <w:name w:val="Light Shading Accent 1"/>
    <w:basedOn w:val="1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1">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2">
    <w:name w:val="Light Shading Accent 3"/>
    <w:basedOn w:val="1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3">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4">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5">
    <w:name w:val="Light Shading Accent 6"/>
    <w:basedOn w:val="1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6">
    <w:name w:val="Light List"/>
    <w:basedOn w:val="1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7">
    <w:name w:val="Light List Accent 1"/>
    <w:basedOn w:val="1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8">
    <w:name w:val="Light List Accent 2"/>
    <w:basedOn w:val="1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9">
    <w:name w:val="Light List Accent 3"/>
    <w:basedOn w:val="1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50">
    <w:name w:val="Light List Accent 4"/>
    <w:basedOn w:val="1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1">
    <w:name w:val="Light List Accent 5"/>
    <w:basedOn w:val="1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2">
    <w:name w:val="Light List Accent 6"/>
    <w:basedOn w:val="1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3">
    <w:name w:val="Light Grid"/>
    <w:basedOn w:val="1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4">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5">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6">
    <w:name w:val="Light Grid Accent 3"/>
    <w:basedOn w:val="1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7">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8">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9">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60">
    <w:name w:val="Medium Shading 1"/>
    <w:basedOn w:val="1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1">
    <w:name w:val="Medium Shading 1 Accent 1"/>
    <w:basedOn w:val="1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2">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3">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4">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5">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6">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7">
    <w:name w:val="Medium Shading 2"/>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1"/>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2"/>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3"/>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4"/>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5"/>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Shading 2 Accent 6"/>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4">
    <w:name w:val="Medium List 1"/>
    <w:basedOn w:val="1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5">
    <w:name w:val="Medium List 1 Accent 1"/>
    <w:basedOn w:val="1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6">
    <w:name w:val="Medium List 1 Accent 2"/>
    <w:basedOn w:val="1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7">
    <w:name w:val="Medium List 1 Accent 3"/>
    <w:basedOn w:val="1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8">
    <w:name w:val="Medium List 1 Accent 4"/>
    <w:basedOn w:val="1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9">
    <w:name w:val="Medium List 1 Accent 5"/>
    <w:basedOn w:val="1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80">
    <w:name w:val="Medium List 1 Accent 6"/>
    <w:basedOn w:val="1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1">
    <w:name w:val="Medium Lis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1"/>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3"/>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4"/>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5"/>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8">
    <w:name w:val="Medium Grid 1"/>
    <w:basedOn w:val="1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9">
    <w:name w:val="Medium Grid 1 Accent 1"/>
    <w:basedOn w:val="1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90">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1">
    <w:name w:val="Medium Grid 1 Accent 3"/>
    <w:basedOn w:val="1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2">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3">
    <w:name w:val="Medium Grid 1 Accent 5"/>
    <w:basedOn w:val="1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4">
    <w:name w:val="Medium Grid 1 Accent 6"/>
    <w:basedOn w:val="1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5">
    <w:name w:val="Medium Grid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6">
    <w:name w:val="Medium Grid 2 Accent 1"/>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7">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8">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9">
    <w:name w:val="Medium Grid 2 Accent 4"/>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100">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1">
    <w:name w:val="Medium Grid 2 Accent 6"/>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2">
    <w:name w:val="Medium Grid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3">
    <w:name w:val="Medium Grid 3 Accent 1"/>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4">
    <w:name w:val="Medium Grid 3 Accent 2"/>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5">
    <w:name w:val="Medium Grid 3 Accent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6">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7">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8">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9">
    <w:name w:val="Dark List"/>
    <w:basedOn w:val="12"/>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0">
    <w:name w:val="Dark List Accent 1"/>
    <w:basedOn w:val="12"/>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1">
    <w:name w:val="Dark List Accent 2"/>
    <w:basedOn w:val="12"/>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2">
    <w:name w:val="Dark List Accent 3"/>
    <w:basedOn w:val="12"/>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3">
    <w:name w:val="Dark List Accent 4"/>
    <w:basedOn w:val="12"/>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4">
    <w:name w:val="Dark List Accent 5"/>
    <w:basedOn w:val="12"/>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5">
    <w:name w:val="Dark List Accent 6"/>
    <w:basedOn w:val="12"/>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6">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0">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3">
    <w:name w:val="Colorful List"/>
    <w:basedOn w:val="12"/>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4">
    <w:name w:val="Colorful List Accent 1"/>
    <w:basedOn w:val="12"/>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5">
    <w:name w:val="Colorful List Accent 2"/>
    <w:basedOn w:val="12"/>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6">
    <w:name w:val="Colorful List Accent 3"/>
    <w:basedOn w:val="12"/>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7">
    <w:name w:val="Colorful List Accent 4"/>
    <w:basedOn w:val="12"/>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8">
    <w:name w:val="Colorful List Accent 5"/>
    <w:basedOn w:val="12"/>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9">
    <w:name w:val="Colorful List Accent 6"/>
    <w:basedOn w:val="12"/>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30">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1">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2">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3">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4">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5">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6">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7">
    <w:name w:val="Header Char"/>
    <w:basedOn w:val="11"/>
    <w:link w:val="19"/>
    <w:uiPriority w:val="99"/>
  </w:style>
  <w:style w:type="character" w:customStyle="1" w:styleId="138">
    <w:name w:val="Footer Char"/>
    <w:basedOn w:val="11"/>
    <w:link w:val="18"/>
    <w:uiPriority w:val="99"/>
  </w:style>
  <w:style w:type="paragraph" w:styleId="1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0">
    <w:name w:val="Heading 1 Ch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141">
    <w:name w:val="Heading 2 Ch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2">
    <w:name w:val="Heading 3 Char"/>
    <w:basedOn w:val="11"/>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3">
    <w:name w:val="Title Char"/>
    <w:basedOn w:val="11"/>
    <w:link w:val="37"/>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4">
    <w:name w:val="Subtitle Char"/>
    <w:basedOn w:val="11"/>
    <w:link w:val="35"/>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5">
    <w:name w:val="List Paragraph"/>
    <w:basedOn w:val="1"/>
    <w:qFormat/>
    <w:uiPriority w:val="34"/>
    <w:pPr>
      <w:ind w:left="720"/>
      <w:contextualSpacing/>
    </w:pPr>
  </w:style>
  <w:style w:type="character" w:customStyle="1" w:styleId="146">
    <w:name w:val="Body Text Char"/>
    <w:basedOn w:val="11"/>
    <w:link w:val="13"/>
    <w:uiPriority w:val="99"/>
  </w:style>
  <w:style w:type="character" w:customStyle="1" w:styleId="147">
    <w:name w:val="Body Text 2 Char"/>
    <w:basedOn w:val="11"/>
    <w:link w:val="14"/>
    <w:uiPriority w:val="99"/>
  </w:style>
  <w:style w:type="character" w:customStyle="1" w:styleId="148">
    <w:name w:val="Body Text 3 Char"/>
    <w:basedOn w:val="11"/>
    <w:link w:val="15"/>
    <w:uiPriority w:val="99"/>
    <w:rPr>
      <w:sz w:val="16"/>
      <w:szCs w:val="16"/>
    </w:rPr>
  </w:style>
  <w:style w:type="character" w:customStyle="1" w:styleId="149">
    <w:name w:val="Macro Text Char"/>
    <w:basedOn w:val="11"/>
    <w:link w:val="33"/>
    <w:qFormat/>
    <w:uiPriority w:val="99"/>
    <w:rPr>
      <w:rFonts w:ascii="Courier" w:hAnsi="Courier"/>
      <w:sz w:val="20"/>
      <w:szCs w:val="20"/>
    </w:rPr>
  </w:style>
  <w:style w:type="paragraph" w:styleId="150">
    <w:name w:val="Quote"/>
    <w:basedOn w:val="1"/>
    <w:next w:val="1"/>
    <w:link w:val="151"/>
    <w:qFormat/>
    <w:uiPriority w:val="29"/>
    <w:rPr>
      <w:i/>
      <w:iCs/>
      <w:color w:val="000000" w:themeColor="text1"/>
      <w14:textFill>
        <w14:solidFill>
          <w14:schemeClr w14:val="tx1"/>
        </w14:solidFill>
      </w14:textFill>
    </w:rPr>
  </w:style>
  <w:style w:type="character" w:customStyle="1" w:styleId="151">
    <w:name w:val="Quote Char"/>
    <w:basedOn w:val="11"/>
    <w:link w:val="150"/>
    <w:qFormat/>
    <w:uiPriority w:val="29"/>
    <w:rPr>
      <w:i/>
      <w:iCs/>
      <w:color w:val="000000" w:themeColor="text1"/>
      <w14:textFill>
        <w14:solidFill>
          <w14:schemeClr w14:val="tx1"/>
        </w14:solidFill>
      </w14:textFill>
    </w:rPr>
  </w:style>
  <w:style w:type="character" w:customStyle="1" w:styleId="152">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3">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154">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55">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6">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7">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8">
    <w:name w:val="Intense Quote"/>
    <w:basedOn w:val="1"/>
    <w:next w:val="1"/>
    <w:link w:val="1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9">
    <w:name w:val="Intense Quote Char"/>
    <w:basedOn w:val="11"/>
    <w:link w:val="158"/>
    <w:uiPriority w:val="30"/>
    <w:rPr>
      <w:b/>
      <w:bCs/>
      <w:i/>
      <w:iCs/>
      <w:color w:val="4F81BD" w:themeColor="accent1"/>
      <w14:textFill>
        <w14:solidFill>
          <w14:schemeClr w14:val="accent1"/>
        </w14:solidFill>
      </w14:textFill>
    </w:rPr>
  </w:style>
  <w:style w:type="character" w:customStyle="1" w:styleId="1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61">
    <w:name w:val="Intense Emphasis"/>
    <w:basedOn w:val="11"/>
    <w:qFormat/>
    <w:uiPriority w:val="21"/>
    <w:rPr>
      <w:b/>
      <w:bCs/>
      <w:i/>
      <w:iCs/>
      <w:color w:val="4F81BD" w:themeColor="accent1"/>
      <w14:textFill>
        <w14:solidFill>
          <w14:schemeClr w14:val="accent1"/>
        </w14:solidFill>
      </w14:textFill>
    </w:rPr>
  </w:style>
  <w:style w:type="character" w:customStyle="1" w:styleId="162">
    <w:name w:val="Subtle Reference"/>
    <w:basedOn w:val="11"/>
    <w:qFormat/>
    <w:uiPriority w:val="31"/>
    <w:rPr>
      <w:smallCaps/>
      <w:color w:val="C0504D" w:themeColor="accent2"/>
      <w:u w:val="single"/>
      <w14:textFill>
        <w14:solidFill>
          <w14:schemeClr w14:val="accent2"/>
        </w14:solidFill>
      </w14:textFill>
    </w:rPr>
  </w:style>
  <w:style w:type="character" w:customStyle="1" w:styleId="1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4">
    <w:name w:val="Book Title"/>
    <w:basedOn w:val="11"/>
    <w:qFormat/>
    <w:uiPriority w:val="33"/>
    <w:rPr>
      <w:b/>
      <w:bCs/>
      <w:smallCaps/>
      <w:spacing w:val="5"/>
    </w:rPr>
  </w:style>
  <w:style w:type="paragraph" w:customStyle="1" w:styleId="165">
    <w:name w:val="TOC Heading"/>
    <w:basedOn w:val="2"/>
    <w:next w:val="1"/>
    <w:unhideWhenUsed/>
    <w:qFormat/>
    <w:uiPriority w:val="39"/>
    <w:pPr>
      <w:outlineLvl w:val="9"/>
    </w:pPr>
  </w:style>
  <w:style w:type="paragraph" w:customStyle="1" w:styleId="166">
    <w:name w:val="Assignment Heading"/>
    <w:uiPriority w:val="0"/>
    <w:pPr>
      <w:keepNext/>
      <w:spacing w:before="240" w:after="120" w:line="276" w:lineRule="auto"/>
    </w:pPr>
    <w:rPr>
      <w:rFonts w:ascii="Times New Roman" w:hAnsi="Times New Roman" w:eastAsia="Times New Roman" w:cstheme="minorBidi"/>
      <w:b/>
      <w:sz w:val="28"/>
      <w:szCs w:val="22"/>
      <w:lang w:val="en-US" w:eastAsia="en-US" w:bidi="ar-SA"/>
    </w:rPr>
  </w:style>
  <w:style w:type="paragraph" w:customStyle="1" w:styleId="167">
    <w:name w:val="Reference Heading"/>
    <w:uiPriority w:val="0"/>
    <w:pPr>
      <w:keepNext/>
      <w:spacing w:before="240" w:after="120" w:line="276" w:lineRule="auto"/>
    </w:pPr>
    <w:rPr>
      <w:rFonts w:ascii="Times New Roman" w:hAnsi="Times New Roman" w:eastAsia="Times New Roman" w:cstheme="minorBidi"/>
      <w:b/>
      <w:sz w:val="28"/>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Template>
  <Pages>10</Pages>
  <Words>2171</Words>
  <Characters>14386</Characters>
  <Lines>141</Lines>
  <Paragraphs>39</Paragraphs>
  <TotalTime>0</TotalTime>
  <ScaleCrop>false</ScaleCrop>
  <LinksUpToDate>false</LinksUpToDate>
  <CharactersWithSpaces>16531</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2026-07-28T12:14:00Z</dcterms:created>
  <dc:creator>LISDALIA INSUMBO ANTÓNIO BIAGUE</dc:creator>
  <dc:description>generated by python-docx</dc:description>
  <cp:keywords>Social Model of Disability, Person-Centred Care, Adult Social Care</cp:keywords>
  <cp:lastModifiedBy>WPS_1694198151</cp:lastModifiedBy>
  <dcterms:modified xsi:type="dcterms:W3CDTF">2026-07-28T14:56:31Z</dcterms:modified>
  <dc:subject>Adult Social Care Assignment</dc:subject>
  <dc:title>A Critical Evaluation of the Social Model of Disability as a Foundation for Person-Centred Care in Adult Social Care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eyJoZGlkIjoiZTQ4ODQwNThiYTg4YTBlNDhkZDRmNGNiNWM5NWE1YzAiLCJ1c2VySWQiOiIzODY1OTQxMTI3Njk3In0=</vt:lpwstr>
  </property>
  <property fmtid="{D5CDD505-2E9C-101B-9397-08002B2CF9AE}" pid="3" name="KSOProductBuildVer">
    <vt:lpwstr>1033-12.1.0.27458</vt:lpwstr>
  </property>
  <property fmtid="{D5CDD505-2E9C-101B-9397-08002B2CF9AE}" pid="4" name="ICV">
    <vt:lpwstr>07309DC7B5D24B3EBF005205A48E202F_12</vt:lpwstr>
  </property>
</Properties>
</file>