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27C9" w:rsidRDefault="009227C9" w:rsidP="009227C9">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9227C9" w:rsidRDefault="009227C9" w:rsidP="009227C9">
      <w:pPr>
        <w:pStyle w:val="Heading1"/>
        <w:jc w:val="center"/>
        <w:rPr>
          <w:lang w:val="cy-GB"/>
        </w:rPr>
      </w:pPr>
      <w:proofErr w:type="spellStart"/>
      <w:r>
        <w:rPr>
          <w:lang w:val="cy-GB"/>
        </w:rPr>
        <w:t>Undergraduate</w:t>
      </w:r>
      <w:proofErr w:type="spellEnd"/>
      <w:r>
        <w:rPr>
          <w:lang w:val="cy-GB"/>
        </w:rPr>
        <w:t xml:space="preserve"> </w:t>
      </w:r>
      <w:proofErr w:type="spellStart"/>
      <w:r>
        <w:rPr>
          <w:lang w:val="cy-GB"/>
        </w:rPr>
        <w:t>a</w:t>
      </w:r>
      <w:r w:rsidRPr="0065654E">
        <w:rPr>
          <w:lang w:val="cy-GB"/>
        </w:rPr>
        <w:t>ssignment</w:t>
      </w:r>
      <w:proofErr w:type="spellEnd"/>
      <w:r>
        <w:rPr>
          <w:lang w:val="cy-GB"/>
        </w:rPr>
        <w:t xml:space="preserve"> </w:t>
      </w:r>
      <w:proofErr w:type="spellStart"/>
      <w:r w:rsidRPr="0065654E">
        <w:rPr>
          <w:lang w:val="cy-GB"/>
        </w:rPr>
        <w:t>feedback</w:t>
      </w:r>
      <w:proofErr w:type="spellEnd"/>
      <w:r w:rsidRPr="0065654E">
        <w:rPr>
          <w:lang w:val="cy-GB"/>
        </w:rPr>
        <w:t xml:space="preserve"> </w:t>
      </w:r>
      <w:proofErr w:type="spellStart"/>
      <w:r w:rsidRPr="0065654E">
        <w:rPr>
          <w:lang w:val="cy-GB"/>
        </w:rPr>
        <w:t>form</w:t>
      </w:r>
      <w:proofErr w:type="spellEnd"/>
    </w:p>
    <w:p w:rsidR="009227C9" w:rsidRPr="001E50BB" w:rsidRDefault="009227C9" w:rsidP="009227C9">
      <w:pPr>
        <w:jc w:val="center"/>
        <w:rPr>
          <w:rFonts w:ascii="Arial" w:hAnsi="Arial" w:cs="Arial"/>
          <w:b/>
          <w:lang w:val="cy-GB"/>
        </w:rPr>
      </w:pPr>
      <w:r w:rsidRPr="001E50BB">
        <w:rPr>
          <w:rFonts w:ascii="Arial" w:hAnsi="Arial" w:cs="Arial"/>
          <w:b/>
          <w:lang w:val="cy-GB"/>
        </w:rPr>
        <w:t xml:space="preserve">(to be </w:t>
      </w:r>
      <w:proofErr w:type="spellStart"/>
      <w:r w:rsidRPr="001E50BB">
        <w:rPr>
          <w:rFonts w:ascii="Arial" w:hAnsi="Arial" w:cs="Arial"/>
          <w:b/>
          <w:lang w:val="cy-GB"/>
        </w:rPr>
        <w:t>completed</w:t>
      </w:r>
      <w:proofErr w:type="spellEnd"/>
      <w:r w:rsidRPr="001E50BB">
        <w:rPr>
          <w:rFonts w:ascii="Arial" w:hAnsi="Arial" w:cs="Arial"/>
          <w:b/>
          <w:lang w:val="cy-GB"/>
        </w:rPr>
        <w:t xml:space="preserve"> by </w:t>
      </w:r>
      <w:proofErr w:type="spellStart"/>
      <w:r w:rsidRPr="001E50BB">
        <w:rPr>
          <w:rFonts w:ascii="Arial" w:hAnsi="Arial" w:cs="Arial"/>
          <w:b/>
          <w:lang w:val="cy-GB"/>
        </w:rPr>
        <w:t>marker</w:t>
      </w:r>
      <w:proofErr w:type="spellEnd"/>
      <w:r w:rsidRPr="001E50BB">
        <w:rPr>
          <w:rFonts w:ascii="Arial" w:hAnsi="Arial" w:cs="Arial"/>
          <w:b/>
          <w:lang w:val="cy-GB"/>
        </w:rPr>
        <w:t>)</w:t>
      </w:r>
    </w:p>
    <w:p w:rsidR="009227C9" w:rsidRPr="001E50BB" w:rsidRDefault="009227C9" w:rsidP="009227C9">
      <w:pPr>
        <w:jc w:val="center"/>
        <w:rPr>
          <w:rFonts w:ascii="Arial" w:hAnsi="Arial" w:cs="Arial"/>
          <w:b/>
          <w:lang w:val="cy-GB"/>
        </w:rPr>
      </w:pPr>
    </w:p>
    <w:p w:rsidR="009227C9" w:rsidRDefault="009227C9" w:rsidP="009227C9">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9227C9" w:rsidRPr="0065654E" w:rsidTr="00C3581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9227C9" w:rsidRDefault="009227C9" w:rsidP="00C3581C">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rsidR="009227C9" w:rsidRPr="0065654E" w:rsidRDefault="00A57C89" w:rsidP="00C3581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Liam Barton</w:t>
            </w:r>
          </w:p>
        </w:tc>
      </w:tr>
      <w:tr w:rsidR="009227C9" w:rsidRPr="0065654E" w:rsidTr="00C3581C">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9227C9" w:rsidRDefault="009227C9" w:rsidP="00C3581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9227C9" w:rsidRDefault="00A57C89" w:rsidP="00C3581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CLCS6014</w:t>
            </w:r>
          </w:p>
          <w:p w:rsidR="009227C9" w:rsidRDefault="009227C9" w:rsidP="00C3581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rsidR="009227C9" w:rsidRPr="0065654E" w:rsidRDefault="00A57C89" w:rsidP="00C3581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Court and Society</w:t>
            </w:r>
          </w:p>
        </w:tc>
        <w:tc>
          <w:tcPr>
            <w:tcW w:w="3967" w:type="dxa"/>
            <w:gridSpan w:val="2"/>
            <w:tcBorders>
              <w:top w:val="single" w:sz="4" w:space="0" w:color="auto"/>
              <w:left w:val="single" w:sz="4" w:space="0" w:color="auto"/>
              <w:bottom w:val="single" w:sz="4" w:space="0" w:color="auto"/>
              <w:right w:val="single" w:sz="4" w:space="0" w:color="auto"/>
            </w:tcBorders>
          </w:tcPr>
          <w:p w:rsidR="009227C9" w:rsidRPr="0065654E" w:rsidRDefault="009227C9" w:rsidP="00C3581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A57C89">
              <w:rPr>
                <w:rFonts w:ascii="Calibri" w:hAnsi="Calibri" w:cs="Tahoma"/>
                <w:i/>
                <w:sz w:val="24"/>
                <w:szCs w:val="24"/>
              </w:rPr>
              <w:t>1501193</w:t>
            </w:r>
          </w:p>
        </w:tc>
      </w:tr>
      <w:tr w:rsidR="009227C9" w:rsidRPr="0065654E" w:rsidTr="00C3581C">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9227C9" w:rsidRPr="0065654E" w:rsidRDefault="009227C9" w:rsidP="00C3581C">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9227C9" w:rsidRDefault="009227C9" w:rsidP="00C3581C">
            <w:pPr>
              <w:pStyle w:val="NormalWeb"/>
              <w:rPr>
                <w:rFonts w:ascii="Calibri" w:hAnsi="Calibri" w:cs="Tahoma"/>
                <w:i/>
                <w:sz w:val="24"/>
                <w:szCs w:val="24"/>
              </w:rPr>
            </w:pPr>
            <w:r w:rsidRPr="0065654E">
              <w:rPr>
                <w:rFonts w:ascii="Calibri" w:hAnsi="Calibri" w:cs="Tahoma"/>
                <w:i/>
                <w:sz w:val="24"/>
                <w:szCs w:val="24"/>
              </w:rPr>
              <w:t>Comments:</w:t>
            </w: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Default="009227C9" w:rsidP="00C3581C">
            <w:pPr>
              <w:pStyle w:val="NormalWeb"/>
              <w:rPr>
                <w:rFonts w:ascii="Calibri" w:hAnsi="Calibri" w:cs="Tahoma"/>
                <w:i/>
                <w:sz w:val="24"/>
                <w:szCs w:val="24"/>
              </w:rPr>
            </w:pPr>
          </w:p>
          <w:p w:rsidR="009227C9" w:rsidRPr="0065654E" w:rsidRDefault="009227C9" w:rsidP="00C3581C">
            <w:pPr>
              <w:pStyle w:val="NormalWeb"/>
              <w:rPr>
                <w:rFonts w:ascii="Calibri" w:hAnsi="Calibri" w:cs="Tahoma"/>
                <w:i/>
                <w:sz w:val="24"/>
                <w:szCs w:val="24"/>
              </w:rPr>
            </w:pPr>
          </w:p>
        </w:tc>
      </w:tr>
      <w:tr w:rsidR="009227C9" w:rsidRPr="0065654E" w:rsidTr="00C3581C">
        <w:trPr>
          <w:trHeight w:val="492"/>
        </w:trPr>
        <w:tc>
          <w:tcPr>
            <w:tcW w:w="6768" w:type="dxa"/>
            <w:gridSpan w:val="2"/>
            <w:tcBorders>
              <w:top w:val="single" w:sz="4" w:space="0" w:color="auto"/>
            </w:tcBorders>
            <w:vAlign w:val="center"/>
          </w:tcPr>
          <w:p w:rsidR="009227C9" w:rsidRPr="0065654E" w:rsidRDefault="009227C9" w:rsidP="00C3581C">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9227C9" w:rsidRPr="0065654E" w:rsidRDefault="009227C9" w:rsidP="00C3581C">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9227C9" w:rsidRPr="0065654E" w:rsidTr="00C3581C">
        <w:tc>
          <w:tcPr>
            <w:tcW w:w="8755" w:type="dxa"/>
            <w:gridSpan w:val="3"/>
            <w:vAlign w:val="center"/>
          </w:tcPr>
          <w:p w:rsidR="009227C9" w:rsidRDefault="009227C9" w:rsidP="00C3581C">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9227C9" w:rsidRPr="0065654E" w:rsidRDefault="009227C9" w:rsidP="00C3581C">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9227C9" w:rsidRPr="0065654E" w:rsidRDefault="009227C9" w:rsidP="009227C9">
      <w:pPr>
        <w:pStyle w:val="NormalWeb"/>
        <w:spacing w:before="0" w:beforeAutospacing="0" w:after="0" w:afterAutospacing="0"/>
        <w:ind w:right="-334"/>
        <w:rPr>
          <w:rFonts w:ascii="Trebuchet MS" w:hAnsi="Trebuchet MS" w:cs="Tahoma"/>
          <w:b/>
          <w:bCs/>
          <w:sz w:val="24"/>
          <w:szCs w:val="24"/>
        </w:rPr>
      </w:pPr>
    </w:p>
    <w:p w:rsidR="009227C9" w:rsidRDefault="009227C9">
      <w:pPr>
        <w:rPr>
          <w:u w:val="single"/>
        </w:rPr>
      </w:pPr>
    </w:p>
    <w:p w:rsidR="009227C9" w:rsidRPr="009227C9" w:rsidRDefault="007323B3">
      <w:pPr>
        <w:rPr>
          <w:u w:val="single"/>
        </w:rPr>
      </w:pPr>
      <w:r>
        <w:rPr>
          <w:u w:val="single"/>
        </w:rPr>
        <w:t>Court and Society Journal</w:t>
      </w:r>
      <w:r w:rsidR="00FF64AF">
        <w:rPr>
          <w:u w:val="single"/>
        </w:rPr>
        <w:t xml:space="preserve"> (Liam Barton) Alcaeus Dion</w:t>
      </w:r>
    </w:p>
    <w:p w:rsidR="007323B3" w:rsidRDefault="007323B3"/>
    <w:p w:rsidR="007639F2" w:rsidRDefault="007323B3" w:rsidP="007323B3">
      <w:pPr>
        <w:spacing w:line="480" w:lineRule="auto"/>
      </w:pPr>
      <w:r>
        <w:t xml:space="preserve">My character was named </w:t>
      </w:r>
      <w:r>
        <w:rPr>
          <w:i/>
        </w:rPr>
        <w:t xml:space="preserve">Alcaeus Dion, </w:t>
      </w:r>
      <w:r w:rsidR="003B215B">
        <w:t>and</w:t>
      </w:r>
      <w:bookmarkStart w:id="0" w:name="_GoBack"/>
      <w:bookmarkEnd w:id="0"/>
      <w:r>
        <w:t xml:space="preserve"> played the role of advisor for the Satrap of Alexandria, at the same time he played an important role as both head of the Alexandrian Mob, and also head of the city guard; which was extremely influential throughout our sessions in class. My character’s importance grew as the sessions advanced, with various responsibilities and opportunities arising for </w:t>
      </w:r>
      <w:r>
        <w:rPr>
          <w:i/>
        </w:rPr>
        <w:t>Alcaeus.</w:t>
      </w:r>
      <w:r>
        <w:t xml:space="preserve"> This includes most of the actions taken within my group throughout the lectures, examples of this include being present in the various festivals of which took place within Alexandria, the riots</w:t>
      </w:r>
      <w:r w:rsidR="0067082F">
        <w:t xml:space="preserve"> held against both Ptolemy IV  and after hi</w:t>
      </w:r>
      <w:r w:rsidR="007639F2">
        <w:t xml:space="preserve">s death during the co-regency of Mikey and Pip’s characters, and also to the point of which my character was able to rise to the position of Satrap of Alexandria, and finally the key role in which </w:t>
      </w:r>
      <w:r w:rsidR="007639F2">
        <w:rPr>
          <w:i/>
        </w:rPr>
        <w:t xml:space="preserve">Alcaeus </w:t>
      </w:r>
      <w:r w:rsidR="007639F2">
        <w:t xml:space="preserve">played in the uniting of upper and lower Egypt as one aligned nation for the greater good with the co-regency of Troy and Pip. Although, my character supported by the remaining members of my group (Jessica and Kayleigh) was able to continue to control Alexandria as the Capital of Egypt and main economic powerhouse of the world, through arrangements with the regents, showing that the people of Alexandria had played a huge role in the formation of their city as it grew. </w:t>
      </w:r>
    </w:p>
    <w:p w:rsidR="007323B3" w:rsidRPr="00625657" w:rsidRDefault="007639F2" w:rsidP="007323B3">
      <w:pPr>
        <w:spacing w:line="480" w:lineRule="auto"/>
      </w:pPr>
      <w:r>
        <w:t>The following information has been taken from extensive notes from the lectures as well as based upon historical references which have been used as guidelines for the actions taken by my character. These historical accounts have allowed my group to rule Alexandria and have a substantial impact upon the ancient Egyptian world. This journal has been edited and adapted for the purposes of writing, and will be formatted in a chronological order for the obvious reason of accessibility and that this is the way in which the events took place, some of which more important that others, which is shown in the varying amounts of detail within each topic throughout the journal.</w:t>
      </w:r>
      <w:r w:rsidR="00625657">
        <w:t xml:space="preserve"> There is also a sense of first-person speech and a lack of formality at times, I believe this fits in with the type </w:t>
      </w:r>
      <w:r w:rsidR="00625657">
        <w:lastRenderedPageBreak/>
        <w:t xml:space="preserve">of writing that a journal would consist of, as this work was written for the purposes of record keeping for </w:t>
      </w:r>
      <w:r w:rsidR="00625657">
        <w:rPr>
          <w:i/>
        </w:rPr>
        <w:t xml:space="preserve">Alcaeus’ </w:t>
      </w:r>
      <w:r w:rsidR="00625657">
        <w:t>future children.</w:t>
      </w:r>
    </w:p>
    <w:p w:rsidR="004B6057" w:rsidRPr="004B6057" w:rsidRDefault="004B6057" w:rsidP="007323B3">
      <w:pPr>
        <w:spacing w:line="480" w:lineRule="auto"/>
        <w:rPr>
          <w:u w:val="single"/>
        </w:rPr>
      </w:pPr>
      <w:r>
        <w:rPr>
          <w:u w:val="single"/>
        </w:rPr>
        <w:t xml:space="preserve">Sessions </w:t>
      </w:r>
      <w:r w:rsidR="00E97D7F">
        <w:rPr>
          <w:u w:val="single"/>
        </w:rPr>
        <w:t>1-3</w:t>
      </w:r>
    </w:p>
    <w:p w:rsidR="00C278F9" w:rsidRDefault="005E2B2B" w:rsidP="007323B3">
      <w:pPr>
        <w:spacing w:line="480" w:lineRule="auto"/>
      </w:pPr>
      <w:r>
        <w:t>Our first point of discussion is the rise of Ptolemy IV to the throne of Egypt (Carter).</w:t>
      </w:r>
      <w:r w:rsidR="00400F4A">
        <w:rPr>
          <w:rStyle w:val="FootnoteReference"/>
        </w:rPr>
        <w:footnoteReference w:id="1"/>
      </w:r>
      <w:r w:rsidR="005F28C1">
        <w:t xml:space="preserve"> For myself and my group this was a point of considerable conflict that we were entering, this is true in the case in our classes and also in history. This gave our group many opportunities, but also obstacles to overcome. </w:t>
      </w:r>
      <w:r w:rsidR="001B0800">
        <w:t>We attempted to use the distant leadership in effect by Ptolemy IV (Carter) to our advantage as was shown in history, to force respect from those in power and also regain the strength of the Alexandrian economy.</w:t>
      </w:r>
      <w:r w:rsidR="001B0800">
        <w:rPr>
          <w:rStyle w:val="FootnoteReference"/>
        </w:rPr>
        <w:footnoteReference w:id="2"/>
      </w:r>
    </w:p>
    <w:p w:rsidR="00C278F9" w:rsidRDefault="005F28C1" w:rsidP="007323B3">
      <w:pPr>
        <w:spacing w:line="480" w:lineRule="auto"/>
      </w:pPr>
      <w:r>
        <w:t>The death of Ptolemy III in 221 BCE sparked the lengthy slow decline of the overall Ptolemaic dynasty, from the outset of our classes, this was evident from the high taxation that was in effect within Alexandria</w:t>
      </w:r>
      <w:r w:rsidR="00FE64BC">
        <w:t>.</w:t>
      </w:r>
      <w:r w:rsidR="00FE64BC">
        <w:rPr>
          <w:rStyle w:val="FootnoteReference"/>
        </w:rPr>
        <w:footnoteReference w:id="3"/>
      </w:r>
      <w:r w:rsidR="00A4161D">
        <w:t xml:space="preserve"> Another issue that was outlined within the first session by myself, was the lack of appropriate administration, a rather oppressive and private regime led to the people of Alexandria to become unhappy.</w:t>
      </w:r>
      <w:r w:rsidR="00597EC4">
        <w:rPr>
          <w:rStyle w:val="FootnoteReference"/>
        </w:rPr>
        <w:footnoteReference w:id="4"/>
      </w:r>
      <w:r w:rsidR="00A4161D">
        <w:t xml:space="preserve"> This was the case in actual history as many historian</w:t>
      </w:r>
      <w:r w:rsidR="00D80AF1">
        <w:t xml:space="preserve">s have focused their work upon. Our group made its priority on advancing our own position and attempting to regain Alexandria some of its wealth, while also making use of the many religious festivals at our disposal. The means in which we attempted to achieve this goal were through the main trading routes at the city, this being the two major Alexandrian ports. These two ports were to be once more utilised as Alexander himself had intended, for both commercial and military shipping. </w:t>
      </w:r>
    </w:p>
    <w:p w:rsidR="005E2B2B" w:rsidRDefault="00D80AF1" w:rsidP="007323B3">
      <w:pPr>
        <w:spacing w:line="480" w:lineRule="auto"/>
      </w:pPr>
      <w:r>
        <w:t>Primarily, the northeast harbour was t</w:t>
      </w:r>
      <w:r w:rsidR="00B67C83">
        <w:t xml:space="preserve">o be used for the main military needs of which Carter as Ptolemy IV would require; which was relevant rather quickly within our time in class as there were wars raging on from the early stages, most of which Alexandria criticised due to the lack of focus and </w:t>
      </w:r>
      <w:r w:rsidR="00B67C83">
        <w:lastRenderedPageBreak/>
        <w:t>stability from the regent, and a focus on rather pointless bloodlust at times, alas Alexandria played its part in supplying soldiers and maintaining a strong presence on the map.</w:t>
      </w:r>
      <w:r w:rsidR="00E2669F">
        <w:t xml:space="preserve"> The lack of communication with our King, proved to be the reason for a number of riots caused by myself and the Alexandrian mob, as this form of terrible leadership falls into line with the actions of Ptolemy III resulting in tension for the first number of years within our class.</w:t>
      </w:r>
      <w:r w:rsidR="00E2669F">
        <w:rPr>
          <w:rStyle w:val="FootnoteReference"/>
        </w:rPr>
        <w:footnoteReference w:id="5"/>
      </w:r>
    </w:p>
    <w:p w:rsidR="00E2669F" w:rsidRDefault="00E2669F" w:rsidP="007323B3">
      <w:pPr>
        <w:spacing w:line="480" w:lineRule="auto"/>
      </w:pPr>
      <w:r>
        <w:t>This was however a time of opportunity, the nobles within our group were able to gain control over the city, during a time where strong internal control would have been vital for Ptolemy IV. I took advantage of the lack of control and allowed Alexandria to enforce its will, often through what I would class as ‘necessary violence’. The Greek courtiers, and the Alexandrian mob including myself allowed us to gain privileges and even rival the King himself in many regards, as history shows, the power of the Mob was strong and was required to be respected by the various monarchs.</w:t>
      </w:r>
      <w:r>
        <w:rPr>
          <w:rStyle w:val="FootnoteReference"/>
        </w:rPr>
        <w:footnoteReference w:id="6"/>
      </w:r>
      <w:r w:rsidR="00F52A61">
        <w:t xml:space="preserve"> I intended from the outset to become a powerful force within </w:t>
      </w:r>
      <w:r w:rsidR="004B6057">
        <w:t>Alexandria</w:t>
      </w:r>
      <w:r w:rsidR="00F52A61">
        <w:t xml:space="preserve"> and force whoever was in control to understand that the people will be the King makers in Alexandria.</w:t>
      </w:r>
      <w:r w:rsidR="00F52A61">
        <w:rPr>
          <w:rStyle w:val="FootnoteReference"/>
        </w:rPr>
        <w:footnoteReference w:id="7"/>
      </w:r>
    </w:p>
    <w:p w:rsidR="00E97D7F" w:rsidRDefault="004B6057" w:rsidP="007323B3">
      <w:pPr>
        <w:spacing w:line="480" w:lineRule="auto"/>
      </w:pPr>
      <w:r>
        <w:t>When I understood how I had to play the political game within Alexandria, this allowed me to communicate with the oth</w:t>
      </w:r>
      <w:r w:rsidR="00E97D7F">
        <w:t>er members of my group and play for several riots to take place, including ones in the later sessions, but also in these early sessions to establish a foothold of power for the people of Alexandria as soon as possible.</w:t>
      </w:r>
    </w:p>
    <w:p w:rsidR="004B6057" w:rsidRDefault="00E97D7F" w:rsidP="007323B3">
      <w:pPr>
        <w:spacing w:line="480" w:lineRule="auto"/>
      </w:pPr>
      <w:r>
        <w:t xml:space="preserve">The religious aspect of Egypt is also incredibly important to maintaining the support of the common people. For this reason, I worked together with the High Priestess of our group (Kayleigh) to stage festivals within Alexandria, both large and small; including the </w:t>
      </w:r>
      <w:proofErr w:type="spellStart"/>
      <w:r>
        <w:t>Ptolemaia</w:t>
      </w:r>
      <w:proofErr w:type="spellEnd"/>
      <w:r>
        <w:t>.</w:t>
      </w:r>
      <w:r w:rsidR="001B0800">
        <w:rPr>
          <w:rStyle w:val="FootnoteReference"/>
        </w:rPr>
        <w:footnoteReference w:id="8"/>
      </w:r>
      <w:r>
        <w:t xml:space="preserve"> This took up a large amount of time within the early stages and was a primary goal of mine to ensure that we made the most of our time.   </w:t>
      </w:r>
    </w:p>
    <w:p w:rsidR="00E652B7" w:rsidRDefault="001B0800" w:rsidP="007323B3">
      <w:pPr>
        <w:spacing w:line="480" w:lineRule="auto"/>
      </w:pPr>
      <w:r>
        <w:lastRenderedPageBreak/>
        <w:t>Another aspect within the early stages was the focus upon international trade. Trade with Rome was of importance to Alexandria due to its heavy supply of Grain across the Mediterranean. Sources such as Strabo and Polybius support this trade objective.</w:t>
      </w:r>
      <w:r>
        <w:rPr>
          <w:rStyle w:val="FootnoteReference"/>
        </w:rPr>
        <w:footnoteReference w:id="9"/>
      </w:r>
      <w:r>
        <w:t xml:space="preserve"> </w:t>
      </w:r>
      <w:r w:rsidR="00E652B7">
        <w:t>I worked with our group’s minister of trade (Jessica) to put priority on gaining trade deals with nations around us, especially Rome and India.</w:t>
      </w:r>
      <w:r w:rsidR="00E652B7">
        <w:rPr>
          <w:rStyle w:val="FootnoteReference"/>
        </w:rPr>
        <w:footnoteReference w:id="10"/>
      </w:r>
      <w:r w:rsidR="00E652B7">
        <w:t xml:space="preserve"> We also through our combined strength as a group, pressured Ptolemy IV and the satrap of Alexandria to pay for the building off one hundred trade ships. </w:t>
      </w:r>
    </w:p>
    <w:p w:rsidR="001B0800" w:rsidRDefault="00E652B7" w:rsidP="007323B3">
      <w:pPr>
        <w:spacing w:line="480" w:lineRule="auto"/>
      </w:pPr>
      <w:r>
        <w:t xml:space="preserve">One of our final goals during the early stages of our time period was to push for the funeral of Ptolemy III to be held in Alexandria. As a group we decided that Alexandria was the most appropriate place for this funeral to be held. There was friction during this period as it was historically stated that the funerals would be held in Memphis, however, we as Alexandria believed that the honour should be ours. This is where one of my key roles came into play, the use of the Alexandrian mob to pressure the king was vital in gaining the success of our goals. </w:t>
      </w:r>
    </w:p>
    <w:p w:rsidR="00C42081" w:rsidRDefault="00C42081" w:rsidP="007323B3">
      <w:pPr>
        <w:spacing w:line="480" w:lineRule="auto"/>
      </w:pPr>
      <w:r>
        <w:t>These first few sessions were mostly set out as a period of planning for various festivals and overall bigger plans that we would attempt to carry out in the remaining sessions.</w:t>
      </w:r>
    </w:p>
    <w:p w:rsidR="00C42081" w:rsidRDefault="00C42081" w:rsidP="007323B3">
      <w:pPr>
        <w:spacing w:line="480" w:lineRule="auto"/>
        <w:rPr>
          <w:u w:val="single"/>
        </w:rPr>
      </w:pPr>
      <w:r>
        <w:rPr>
          <w:u w:val="single"/>
        </w:rPr>
        <w:t>Sessions 4-6</w:t>
      </w:r>
    </w:p>
    <w:p w:rsidR="00C42081" w:rsidRDefault="00C42081" w:rsidP="007323B3">
      <w:pPr>
        <w:spacing w:line="480" w:lineRule="auto"/>
      </w:pPr>
      <w:r>
        <w:t>Throughout these sessions our group was caught up within the war between factions, forcing our own internal regime through the use of riots, and also the changing of monarchy, all while attempting to keep control of Alexandria and hopefully prosper overall in the long term.</w:t>
      </w:r>
    </w:p>
    <w:p w:rsidR="00C42081" w:rsidRDefault="00C42081" w:rsidP="007323B3">
      <w:pPr>
        <w:spacing w:line="480" w:lineRule="auto"/>
      </w:pPr>
      <w:r>
        <w:t xml:space="preserve">The festivals were to continue constantly throughout these sessions, as a group we both planned and carried out various festivals whenever the time would pass for us to move to another form of celebration. There was no way in which our requests would be denied, even calling them requests would be a rather loose term. By this point in time, Ptolemy IV was in no position to actively attempt to control Alexandria or even afford to not give in to the demands of which we often made. This </w:t>
      </w:r>
      <w:r>
        <w:lastRenderedPageBreak/>
        <w:t>included the funding for trade, festivals, and also the direct involvement of the Monarch in our city, Alexandria by Egypt needed it’s king to be inside its city whenever possible to show its importance, however we would often not gain the attention of which we so desired.</w:t>
      </w:r>
      <w:r>
        <w:rPr>
          <w:rStyle w:val="FootnoteReference"/>
        </w:rPr>
        <w:footnoteReference w:id="11"/>
      </w:r>
    </w:p>
    <w:p w:rsidR="00D95A74" w:rsidRDefault="00D95A74" w:rsidP="007323B3">
      <w:pPr>
        <w:spacing w:line="480" w:lineRule="auto"/>
      </w:pPr>
      <w:r>
        <w:t xml:space="preserve">This resulted in the outbreak of many revolts of which we as a group set up. Our main concern was the lack of focus upon Alexandria from the King, and also the lack of economic stability. A further concern of which we brought up was the removing up of many of our soldiers to fight in battles of which should have both been prepared better and researched better by those attempted to create them. To show our concern, I instigated many riots in Alexandria forcing the attention of the Monarch, and forcing that our demands be met. This led to a reduction in taxes and also the </w:t>
      </w:r>
      <w:r w:rsidR="008016E7">
        <w:t>pleasure of the company of our King within our great city. I feared that this positive time would perhaps not last.</w:t>
      </w:r>
    </w:p>
    <w:p w:rsidR="008016E7" w:rsidRDefault="008016E7" w:rsidP="007323B3">
      <w:pPr>
        <w:spacing w:line="480" w:lineRule="auto"/>
      </w:pPr>
      <w:r>
        <w:t>Historical evidence I’m afraid is rather lacking during these sessions, as a group we were forced to react to what was occurring around our great city, rather than forcing our own plans. Most of our original content came in the form of riots, which have already been well documented on in this journal.</w:t>
      </w:r>
      <w:r>
        <w:rPr>
          <w:rStyle w:val="FootnoteReference"/>
        </w:rPr>
        <w:footnoteReference w:id="12"/>
      </w:r>
    </w:p>
    <w:p w:rsidR="008016E7" w:rsidRDefault="008016E7" w:rsidP="007323B3">
      <w:pPr>
        <w:spacing w:line="480" w:lineRule="auto"/>
      </w:pPr>
      <w:r>
        <w:t xml:space="preserve">A major point of conflict of which happened during this </w:t>
      </w:r>
      <w:r w:rsidR="009227C9">
        <w:t xml:space="preserve">time period is the battle of </w:t>
      </w:r>
      <w:proofErr w:type="spellStart"/>
      <w:r w:rsidR="009227C9">
        <w:t>Raph</w:t>
      </w:r>
      <w:r>
        <w:t>ia</w:t>
      </w:r>
      <w:proofErr w:type="spellEnd"/>
      <w:r>
        <w:t xml:space="preserve">, </w:t>
      </w:r>
      <w:r w:rsidR="00333396">
        <w:t>although</w:t>
      </w:r>
      <w:r>
        <w:t xml:space="preserve"> it was a victory for our Egyptian </w:t>
      </w:r>
      <w:r w:rsidR="00333396">
        <w:t>Ruler, the cost was heavy, both in terms of troop casualties but also on an economic scale, which affected Alexandria heavily.</w:t>
      </w:r>
      <w:r w:rsidR="00333396">
        <w:rPr>
          <w:rStyle w:val="FootnoteReference"/>
        </w:rPr>
        <w:footnoteReference w:id="13"/>
      </w:r>
      <w:r w:rsidR="00333396">
        <w:t xml:space="preserve"> As a group we agreed that we were considerably unhappy with the current financial state, which although was necessary, caused potential unrest within our group, as the Satrap (Mikey) was also to blame for not establishing priority for Alexandria. The mercenary cost was also rather high to take into consideration, regardless of how important they w</w:t>
      </w:r>
      <w:r w:rsidR="009227C9">
        <w:t xml:space="preserve">ere in winning the battle of </w:t>
      </w:r>
      <w:proofErr w:type="spellStart"/>
      <w:r w:rsidR="009227C9">
        <w:t>Raph</w:t>
      </w:r>
      <w:r w:rsidR="00333396">
        <w:t>ia</w:t>
      </w:r>
      <w:proofErr w:type="spellEnd"/>
      <w:r w:rsidR="00333396">
        <w:t>. This includes: 4,000</w:t>
      </w:r>
      <w:r w:rsidR="00764E92">
        <w:t xml:space="preserve"> Gallic </w:t>
      </w:r>
      <w:r w:rsidR="00764E92">
        <w:lastRenderedPageBreak/>
        <w:t xml:space="preserve">mercenaries according to </w:t>
      </w:r>
      <w:proofErr w:type="spellStart"/>
      <w:r w:rsidR="00764E92">
        <w:t>Pausanius</w:t>
      </w:r>
      <w:proofErr w:type="spellEnd"/>
      <w:r w:rsidR="00764E92">
        <w:t>, 4,000 hoplites under Xenias the Arcadian, and a great number more of hoplite deserters from the foreign lands.</w:t>
      </w:r>
      <w:r w:rsidR="00764E92">
        <w:rPr>
          <w:rStyle w:val="FootnoteReference"/>
        </w:rPr>
        <w:footnoteReference w:id="14"/>
      </w:r>
    </w:p>
    <w:p w:rsidR="00764E92" w:rsidRDefault="00764E92" w:rsidP="007323B3">
      <w:pPr>
        <w:spacing w:line="480" w:lineRule="auto"/>
      </w:pPr>
      <w:r>
        <w:t>A final major point of discussion for this period of time is the death of Ptolemy IV, whose death was under mysteries circumstances, an argument can be made that the fire in the palace of which he died in, was set up deliberately, I would like to say I have a part in the murder of the King, as I believe him to have failed Alexandria, however the King had gained many enemies, any of whom would have taken any opportunity to kill him, in my opinion.</w:t>
      </w:r>
      <w:r>
        <w:rPr>
          <w:rStyle w:val="FootnoteReference"/>
        </w:rPr>
        <w:footnoteReference w:id="15"/>
      </w:r>
      <w:r>
        <w:t xml:space="preserve"> Although the death of a monarch is never great on a general view, from my characters point of view, this was a great opportunity for Alexandria to appoint a new Monarch of which we would be able to regain our former glory of the previous Ptolemaic dynasty. The decline was clear</w:t>
      </w:r>
      <w:r w:rsidR="009227C9">
        <w:t xml:space="preserve">ly there after the battle of </w:t>
      </w:r>
      <w:proofErr w:type="spellStart"/>
      <w:r w:rsidR="009227C9">
        <w:t>Raph</w:t>
      </w:r>
      <w:r>
        <w:t>ia</w:t>
      </w:r>
      <w:proofErr w:type="spellEnd"/>
      <w:r>
        <w:t>. Ptolemy IV chose to stay private and refuse to communicate with Alexandria; I myself blame the King personally for his lack of involvement, causing much of Egypt to be removed from Ptolemaic control, I find this unacceptable given our potential strength, most of my group agreed with this.</w:t>
      </w:r>
      <w:r w:rsidR="00625657">
        <w:rPr>
          <w:rStyle w:val="FootnoteReference"/>
        </w:rPr>
        <w:footnoteReference w:id="16"/>
      </w:r>
      <w:r>
        <w:t xml:space="preserve"> </w:t>
      </w:r>
    </w:p>
    <w:p w:rsidR="00625657" w:rsidRDefault="00625657" w:rsidP="007323B3">
      <w:pPr>
        <w:spacing w:line="480" w:lineRule="auto"/>
        <w:rPr>
          <w:u w:val="single"/>
        </w:rPr>
      </w:pPr>
      <w:r>
        <w:rPr>
          <w:u w:val="single"/>
        </w:rPr>
        <w:t>Sessions 7-8</w:t>
      </w:r>
    </w:p>
    <w:p w:rsidR="00625657" w:rsidRDefault="00625657" w:rsidP="007323B3">
      <w:pPr>
        <w:spacing w:line="480" w:lineRule="auto"/>
      </w:pPr>
      <w:r>
        <w:t>These final two sessions of which would put up to date with the time zone of this submission include the improvement of position for myself, and for Egypt as a whole, this decision was made by myself and my group as we believed this to be the correct decision both historically and r</w:t>
      </w:r>
      <w:r w:rsidR="00400F4A">
        <w:t>ealistically for our great City to regain the position of wealth in which we historically deserve.</w:t>
      </w:r>
      <w:r w:rsidR="00400F4A">
        <w:rPr>
          <w:rStyle w:val="FootnoteReference"/>
        </w:rPr>
        <w:footnoteReference w:id="17"/>
      </w:r>
    </w:p>
    <w:p w:rsidR="00625657" w:rsidRDefault="00625657" w:rsidP="007323B3">
      <w:pPr>
        <w:spacing w:line="480" w:lineRule="auto"/>
      </w:pPr>
      <w:r>
        <w:t xml:space="preserve">Our previous Satrap (Mikey) has abandoned our cause, he has fled our city and joined forces with the Seleucid Empire. He had hoped to gain the support of our ships and our men of whom he was in command of. The remaining members of my group were worried about our survival as a state. This is where my character was able to fully utilize his strengths, due to his connect with the people of </w:t>
      </w:r>
      <w:r>
        <w:lastRenderedPageBreak/>
        <w:t>Alexandria of whom are the families of the soldiers, and also with a rather strong political position within Egypt, I believed in ourselves as a nation and that our soldiers would rally to our side, and we would finally be able to achieve our goals of prosperity.</w:t>
      </w:r>
      <w:r w:rsidR="003B5A50">
        <w:rPr>
          <w:rStyle w:val="FootnoteReference"/>
        </w:rPr>
        <w:footnoteReference w:id="18"/>
      </w:r>
      <w:r>
        <w:t xml:space="preserve">  </w:t>
      </w:r>
      <w:r w:rsidR="00556BD4">
        <w:t>While the historical support is rather lacklustre and jumbled, this was a swift and just period of change. As I had hoped, the vast majority of our soldiers and ships have remained to our cause; and I would reach out and take the position as Satrap of Alexandria, I believe this to be the best way of allowing ourselves to move forward as a strong and formidable unit.</w:t>
      </w:r>
      <w:r w:rsidR="003B5A50">
        <w:rPr>
          <w:rStyle w:val="FootnoteReference"/>
        </w:rPr>
        <w:footnoteReference w:id="19"/>
      </w:r>
    </w:p>
    <w:p w:rsidR="003B5A50" w:rsidRDefault="003B5A50" w:rsidP="007323B3">
      <w:pPr>
        <w:spacing w:line="480" w:lineRule="auto"/>
      </w:pPr>
      <w:r>
        <w:t>This however did not come without a price. Lower Egypt and Alexandria still had a female regent with a child King unable to currently claim the throne. Upper Egypt had fallen into native control due to the lack of leadership and incorrect decisions made by previous Kings and Satraps alike.</w:t>
      </w:r>
      <w:r>
        <w:rPr>
          <w:rStyle w:val="FootnoteReference"/>
        </w:rPr>
        <w:footnoteReference w:id="20"/>
      </w:r>
      <w:r>
        <w:t xml:space="preserve"> The decision was made to arrange talks with those in control of </w:t>
      </w:r>
      <w:r w:rsidR="009E2B39">
        <w:t>Upper</w:t>
      </w:r>
      <w:r>
        <w:t xml:space="preserve"> Egypt (Troy).  While we would not be the solo leaders of our nation of which we so desired, we managed to come to an agreement of which I believe will benefit our city in the years to come, the details are as follows:</w:t>
      </w:r>
    </w:p>
    <w:p w:rsidR="003B5A50" w:rsidRDefault="003B5A50" w:rsidP="003B5A50">
      <w:pPr>
        <w:pStyle w:val="ListParagraph"/>
        <w:numPr>
          <w:ilvl w:val="0"/>
          <w:numId w:val="1"/>
        </w:numPr>
        <w:spacing w:line="480" w:lineRule="auto"/>
      </w:pPr>
      <w:r>
        <w:t>The Boy-King will grow up and live in the palace in Alexandria under my control until he comes of age to rule all of Egypt from Alexandria.</w:t>
      </w:r>
    </w:p>
    <w:p w:rsidR="003B5A50" w:rsidRDefault="003B5A50" w:rsidP="003B5A50">
      <w:pPr>
        <w:pStyle w:val="ListParagraph"/>
        <w:numPr>
          <w:ilvl w:val="0"/>
          <w:numId w:val="1"/>
        </w:numPr>
        <w:spacing w:line="480" w:lineRule="auto"/>
      </w:pPr>
      <w:r>
        <w:t>Upper Egypt only has control over its original territories. Lower Egypt is under the control of its regent, the mother of the Boy-King (Pip) and myself.</w:t>
      </w:r>
    </w:p>
    <w:p w:rsidR="003B5A50" w:rsidRDefault="009E2B39" w:rsidP="003B5A50">
      <w:pPr>
        <w:pStyle w:val="ListParagraph"/>
        <w:numPr>
          <w:ilvl w:val="0"/>
          <w:numId w:val="1"/>
        </w:numPr>
        <w:spacing w:line="480" w:lineRule="auto"/>
      </w:pPr>
      <w:r>
        <w:t>Alexandria will be the solo capital of our empire. Our group will continue to rule from our own council with myself as the Satrap, (Jess) as master of Trade, and chief advisor, and (Kayleigh) High-Priestess of ALL of Egypt.</w:t>
      </w:r>
    </w:p>
    <w:p w:rsidR="009E2B39" w:rsidRDefault="009E2B39" w:rsidP="003B5A50">
      <w:pPr>
        <w:pStyle w:val="ListParagraph"/>
        <w:numPr>
          <w:ilvl w:val="0"/>
          <w:numId w:val="1"/>
        </w:numPr>
        <w:spacing w:line="480" w:lineRule="auto"/>
      </w:pPr>
      <w:r>
        <w:t xml:space="preserve">The Alexandrian council along with the ruler of </w:t>
      </w:r>
      <w:r w:rsidR="00672DF6">
        <w:t>Upper</w:t>
      </w:r>
      <w:r>
        <w:t xml:space="preserve"> Egypt has an equal importance in the decisions of which will impact Egypt as a whole.</w:t>
      </w:r>
    </w:p>
    <w:p w:rsidR="009E2B39" w:rsidRDefault="009E2B39" w:rsidP="003B5A50">
      <w:pPr>
        <w:pStyle w:val="ListParagraph"/>
        <w:numPr>
          <w:ilvl w:val="0"/>
          <w:numId w:val="1"/>
        </w:numPr>
        <w:spacing w:line="480" w:lineRule="auto"/>
      </w:pPr>
      <w:r>
        <w:lastRenderedPageBreak/>
        <w:t>Alexandria will always remain a free city, in control of our soldiers, treasury, and own law making abilities.</w:t>
      </w:r>
    </w:p>
    <w:p w:rsidR="009E2B39" w:rsidRDefault="009E2B39" w:rsidP="009E2B39">
      <w:pPr>
        <w:spacing w:line="480" w:lineRule="auto"/>
        <w:ind w:left="360"/>
      </w:pPr>
      <w:r>
        <w:t>Together with Upper Egypt I believe this will be prosperous for our great nation. I, with the help of the other council members have worked hard to gain the position that we have found ourselves in, and we firmly believe our actions have been justified both historically where possible, and also appropriately given the amount of adaption we have had to endure.</w:t>
      </w:r>
      <w:r>
        <w:rPr>
          <w:rStyle w:val="FootnoteReference"/>
        </w:rPr>
        <w:footnoteReference w:id="21"/>
      </w:r>
    </w:p>
    <w:p w:rsidR="009E2B39" w:rsidRPr="00625657" w:rsidRDefault="009E2B39" w:rsidP="009E2B39">
      <w:pPr>
        <w:spacing w:line="480" w:lineRule="auto"/>
        <w:ind w:left="360"/>
      </w:pPr>
      <w:r>
        <w:t xml:space="preserve">This is the journal of </w:t>
      </w:r>
      <w:r>
        <w:rPr>
          <w:i/>
        </w:rPr>
        <w:t xml:space="preserve">Alcaeus Dion, </w:t>
      </w:r>
      <w:r>
        <w:t xml:space="preserve">I will continue to write my journal in the following years, keeping detailed records of all important aspects within Alexandria, and hopefully our great city will be able to come to terms with the rising Romans, and we are able to prosper together. </w:t>
      </w:r>
    </w:p>
    <w:p w:rsidR="00625657" w:rsidRPr="00625657" w:rsidRDefault="00625657" w:rsidP="007323B3">
      <w:pPr>
        <w:spacing w:line="480" w:lineRule="auto"/>
        <w:rPr>
          <w:u w:val="single"/>
        </w:rPr>
      </w:pPr>
    </w:p>
    <w:p w:rsidR="00F52A61" w:rsidRDefault="00F52A61" w:rsidP="007323B3">
      <w:pPr>
        <w:spacing w:line="480" w:lineRule="auto"/>
      </w:pPr>
    </w:p>
    <w:p w:rsidR="00F52A61" w:rsidRDefault="00F52A61" w:rsidP="007323B3">
      <w:pPr>
        <w:spacing w:line="480" w:lineRule="auto"/>
      </w:pPr>
    </w:p>
    <w:p w:rsidR="00625657" w:rsidRDefault="00625657" w:rsidP="007323B3">
      <w:pPr>
        <w:spacing w:line="480" w:lineRule="auto"/>
        <w:rPr>
          <w:u w:val="single"/>
        </w:rPr>
      </w:pPr>
    </w:p>
    <w:p w:rsidR="00625657" w:rsidRDefault="00625657" w:rsidP="007323B3">
      <w:pPr>
        <w:spacing w:line="480" w:lineRule="auto"/>
        <w:rPr>
          <w:u w:val="single"/>
        </w:rPr>
      </w:pPr>
    </w:p>
    <w:p w:rsidR="00625657" w:rsidRDefault="00625657" w:rsidP="007323B3">
      <w:pPr>
        <w:spacing w:line="480" w:lineRule="auto"/>
        <w:rPr>
          <w:u w:val="single"/>
        </w:rPr>
      </w:pPr>
    </w:p>
    <w:p w:rsidR="00625657" w:rsidRDefault="00625657" w:rsidP="007323B3">
      <w:pPr>
        <w:spacing w:line="480" w:lineRule="auto"/>
        <w:rPr>
          <w:u w:val="single"/>
        </w:rPr>
      </w:pPr>
    </w:p>
    <w:p w:rsidR="00625657" w:rsidRDefault="00625657" w:rsidP="007323B3">
      <w:pPr>
        <w:spacing w:line="480" w:lineRule="auto"/>
        <w:rPr>
          <w:u w:val="single"/>
        </w:rPr>
      </w:pPr>
    </w:p>
    <w:p w:rsidR="00625657" w:rsidRDefault="00625657" w:rsidP="007323B3">
      <w:pPr>
        <w:spacing w:line="480" w:lineRule="auto"/>
        <w:rPr>
          <w:u w:val="single"/>
        </w:rPr>
      </w:pPr>
    </w:p>
    <w:p w:rsidR="009E2B39" w:rsidRDefault="009E2B39" w:rsidP="007323B3">
      <w:pPr>
        <w:spacing w:line="480" w:lineRule="auto"/>
        <w:rPr>
          <w:u w:val="single"/>
        </w:rPr>
      </w:pPr>
    </w:p>
    <w:p w:rsidR="009E2B39" w:rsidRDefault="009E2B39" w:rsidP="007323B3">
      <w:pPr>
        <w:spacing w:line="480" w:lineRule="auto"/>
        <w:rPr>
          <w:u w:val="single"/>
        </w:rPr>
      </w:pPr>
    </w:p>
    <w:p w:rsidR="00F52A61" w:rsidRDefault="00F52A61" w:rsidP="007323B3">
      <w:pPr>
        <w:spacing w:line="480" w:lineRule="auto"/>
        <w:rPr>
          <w:u w:val="single"/>
        </w:rPr>
      </w:pPr>
      <w:r>
        <w:rPr>
          <w:u w:val="single"/>
        </w:rPr>
        <w:lastRenderedPageBreak/>
        <w:t>Bibliography</w:t>
      </w:r>
    </w:p>
    <w:p w:rsidR="00F52A61" w:rsidRDefault="00F52A61" w:rsidP="007323B3">
      <w:pPr>
        <w:spacing w:line="480" w:lineRule="auto"/>
        <w:rPr>
          <w:u w:val="single"/>
        </w:rPr>
      </w:pPr>
      <w:r>
        <w:rPr>
          <w:u w:val="single"/>
        </w:rPr>
        <w:t>Ancient</w:t>
      </w:r>
    </w:p>
    <w:p w:rsidR="00597EC4" w:rsidRPr="00D31B6F" w:rsidRDefault="00597EC4" w:rsidP="007323B3">
      <w:pPr>
        <w:spacing w:line="480" w:lineRule="auto"/>
      </w:pPr>
      <w:r>
        <w:t xml:space="preserve">Polybius. </w:t>
      </w:r>
      <w:r w:rsidR="00D31B6F">
        <w:rPr>
          <w:i/>
        </w:rPr>
        <w:t xml:space="preserve">Histories. </w:t>
      </w:r>
      <w:r w:rsidR="00D31B6F">
        <w:t xml:space="preserve">(Trans.) </w:t>
      </w:r>
      <w:proofErr w:type="spellStart"/>
      <w:r w:rsidR="00D31B6F">
        <w:t>Shuckburgh</w:t>
      </w:r>
      <w:proofErr w:type="spellEnd"/>
      <w:r w:rsidR="00D31B6F">
        <w:t xml:space="preserve">, E.S. London, New York. </w:t>
      </w:r>
      <w:proofErr w:type="spellStart"/>
      <w:r w:rsidR="00D31B6F">
        <w:t>MacMillian</w:t>
      </w:r>
      <w:proofErr w:type="spellEnd"/>
      <w:r w:rsidR="00D31B6F">
        <w:t>. 1889. Reprint Bloomington 1962.</w:t>
      </w:r>
    </w:p>
    <w:p w:rsidR="001B0800" w:rsidRPr="001B0800" w:rsidRDefault="001B0800" w:rsidP="007323B3">
      <w:pPr>
        <w:spacing w:line="480" w:lineRule="auto"/>
      </w:pPr>
      <w:r>
        <w:t xml:space="preserve">Strabo. </w:t>
      </w:r>
      <w:r>
        <w:rPr>
          <w:i/>
        </w:rPr>
        <w:t>The Geography of Strabo.</w:t>
      </w:r>
      <w:r>
        <w:t xml:space="preserve"> (Trans.) Hamilton, H.C. London. George Bell and Sons. 1903.</w:t>
      </w:r>
    </w:p>
    <w:p w:rsidR="001B0800" w:rsidRPr="001B0800" w:rsidRDefault="001B0800" w:rsidP="007323B3">
      <w:pPr>
        <w:spacing w:line="480" w:lineRule="auto"/>
      </w:pPr>
    </w:p>
    <w:p w:rsidR="00F52A61" w:rsidRDefault="00F52A61" w:rsidP="007323B3">
      <w:pPr>
        <w:spacing w:line="480" w:lineRule="auto"/>
        <w:rPr>
          <w:u w:val="single"/>
        </w:rPr>
      </w:pPr>
      <w:r>
        <w:rPr>
          <w:u w:val="single"/>
        </w:rPr>
        <w:t>Modern</w:t>
      </w:r>
    </w:p>
    <w:p w:rsidR="00400F4A" w:rsidRPr="00400F4A" w:rsidRDefault="00400F4A" w:rsidP="007323B3">
      <w:pPr>
        <w:spacing w:line="480" w:lineRule="auto"/>
      </w:pPr>
      <w:r>
        <w:t xml:space="preserve">Austin, M.M. 1981. </w:t>
      </w:r>
      <w:r>
        <w:rPr>
          <w:i/>
        </w:rPr>
        <w:t xml:space="preserve">The Hellenistic World from Alexander to the Roman conquest. </w:t>
      </w:r>
      <w:r>
        <w:t>Cambridge: Cambridge University Press.</w:t>
      </w:r>
    </w:p>
    <w:p w:rsidR="00F52A61" w:rsidRPr="00F52A61" w:rsidRDefault="00400F4A" w:rsidP="007323B3">
      <w:pPr>
        <w:spacing w:line="480" w:lineRule="auto"/>
      </w:pPr>
      <w:proofErr w:type="spellStart"/>
      <w:r>
        <w:t>B</w:t>
      </w:r>
      <w:r w:rsidR="00F52A61">
        <w:t>adian</w:t>
      </w:r>
      <w:proofErr w:type="spellEnd"/>
      <w:r w:rsidR="00F52A61">
        <w:t xml:space="preserve">, E. 1960. </w:t>
      </w:r>
      <w:r w:rsidR="00F52A61">
        <w:rPr>
          <w:i/>
        </w:rPr>
        <w:t xml:space="preserve">Ancient Alexandria. </w:t>
      </w:r>
      <w:r w:rsidR="004B6057">
        <w:t>History Today. Vol. 10 p779-788.</w:t>
      </w:r>
    </w:p>
    <w:p w:rsidR="00F52A61" w:rsidRDefault="00F52A61" w:rsidP="007323B3">
      <w:pPr>
        <w:spacing w:line="480" w:lineRule="auto"/>
      </w:pPr>
      <w:r>
        <w:t xml:space="preserve">Griffiths, S. 2017. </w:t>
      </w:r>
      <w:r>
        <w:rPr>
          <w:i/>
        </w:rPr>
        <w:t xml:space="preserve">The </w:t>
      </w:r>
      <w:proofErr w:type="spellStart"/>
      <w:r>
        <w:rPr>
          <w:i/>
        </w:rPr>
        <w:t>Ptolemies</w:t>
      </w:r>
      <w:proofErr w:type="spellEnd"/>
      <w:r>
        <w:rPr>
          <w:i/>
        </w:rPr>
        <w:t xml:space="preserve">: </w:t>
      </w:r>
      <w:proofErr w:type="spellStart"/>
      <w:r>
        <w:rPr>
          <w:i/>
        </w:rPr>
        <w:t>Rafia</w:t>
      </w:r>
      <w:proofErr w:type="spellEnd"/>
      <w:r>
        <w:rPr>
          <w:i/>
        </w:rPr>
        <w:t xml:space="preserve"> and Civil War. </w:t>
      </w:r>
      <w:r>
        <w:t>Ancient Egypt Magazine. Vol. 17 (5) p. 12-18</w:t>
      </w:r>
    </w:p>
    <w:p w:rsidR="004F5155" w:rsidRDefault="004F5155" w:rsidP="007323B3">
      <w:pPr>
        <w:spacing w:line="480" w:lineRule="auto"/>
      </w:pPr>
      <w:proofErr w:type="spellStart"/>
      <w:r>
        <w:t>Gruen</w:t>
      </w:r>
      <w:proofErr w:type="spellEnd"/>
      <w:r>
        <w:t xml:space="preserve">, E.S. 1986. </w:t>
      </w:r>
      <w:r>
        <w:rPr>
          <w:i/>
        </w:rPr>
        <w:t xml:space="preserve">The Hellenistic World and </w:t>
      </w:r>
      <w:r w:rsidR="009227C9">
        <w:rPr>
          <w:i/>
        </w:rPr>
        <w:t>the</w:t>
      </w:r>
      <w:r>
        <w:rPr>
          <w:i/>
        </w:rPr>
        <w:t xml:space="preserve"> Coming </w:t>
      </w:r>
      <w:proofErr w:type="gramStart"/>
      <w:r>
        <w:rPr>
          <w:i/>
        </w:rPr>
        <w:t>Of</w:t>
      </w:r>
      <w:proofErr w:type="gramEnd"/>
      <w:r>
        <w:rPr>
          <w:i/>
        </w:rPr>
        <w:t xml:space="preserve"> Rome. </w:t>
      </w:r>
      <w:r>
        <w:t>1</w:t>
      </w:r>
      <w:r w:rsidRPr="004F5155">
        <w:rPr>
          <w:vertAlign w:val="superscript"/>
        </w:rPr>
        <w:t>st</w:t>
      </w:r>
      <w:r>
        <w:t xml:space="preserve"> </w:t>
      </w:r>
      <w:proofErr w:type="spellStart"/>
      <w:r>
        <w:t>pbk</w:t>
      </w:r>
      <w:proofErr w:type="spellEnd"/>
      <w:r>
        <w:t xml:space="preserve">. Ed. </w:t>
      </w:r>
      <w:r w:rsidR="009227C9">
        <w:t>Berkeley;</w:t>
      </w:r>
      <w:r>
        <w:t xml:space="preserve"> </w:t>
      </w:r>
      <w:proofErr w:type="gramStart"/>
      <w:r>
        <w:t>London :</w:t>
      </w:r>
      <w:proofErr w:type="gramEnd"/>
      <w:r>
        <w:t xml:space="preserve"> University of California Press.</w:t>
      </w:r>
    </w:p>
    <w:p w:rsidR="00400F4A" w:rsidRPr="00400F4A" w:rsidRDefault="00400F4A" w:rsidP="007323B3">
      <w:pPr>
        <w:spacing w:line="480" w:lineRule="auto"/>
      </w:pPr>
      <w:proofErr w:type="spellStart"/>
      <w:r>
        <w:t>Mahaffy</w:t>
      </w:r>
      <w:proofErr w:type="spellEnd"/>
      <w:r>
        <w:t xml:space="preserve">. J.P. 1895. </w:t>
      </w:r>
      <w:r>
        <w:rPr>
          <w:i/>
        </w:rPr>
        <w:t xml:space="preserve">The Empire of </w:t>
      </w:r>
      <w:r w:rsidR="009227C9">
        <w:rPr>
          <w:i/>
        </w:rPr>
        <w:t>the</w:t>
      </w:r>
      <w:r>
        <w:rPr>
          <w:i/>
        </w:rPr>
        <w:t xml:space="preserve"> </w:t>
      </w:r>
      <w:proofErr w:type="spellStart"/>
      <w:r>
        <w:rPr>
          <w:i/>
        </w:rPr>
        <w:t>Ptolemies</w:t>
      </w:r>
      <w:proofErr w:type="spellEnd"/>
      <w:r>
        <w:rPr>
          <w:i/>
        </w:rPr>
        <w:t xml:space="preserve">. </w:t>
      </w:r>
      <w:proofErr w:type="spellStart"/>
      <w:r>
        <w:t>Macmillian</w:t>
      </w:r>
      <w:proofErr w:type="spellEnd"/>
      <w:r>
        <w:t xml:space="preserve"> Publishing.</w:t>
      </w:r>
    </w:p>
    <w:sectPr w:rsidR="00400F4A" w:rsidRPr="00400F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64BC" w:rsidRDefault="00FE64BC" w:rsidP="00FE64BC">
      <w:pPr>
        <w:spacing w:after="0" w:line="240" w:lineRule="auto"/>
      </w:pPr>
      <w:r>
        <w:separator/>
      </w:r>
    </w:p>
  </w:endnote>
  <w:endnote w:type="continuationSeparator" w:id="0">
    <w:p w:rsidR="00FE64BC" w:rsidRDefault="00FE64BC" w:rsidP="00FE6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64BC" w:rsidRDefault="00FE64BC" w:rsidP="00FE64BC">
      <w:pPr>
        <w:spacing w:after="0" w:line="240" w:lineRule="auto"/>
      </w:pPr>
      <w:r>
        <w:separator/>
      </w:r>
    </w:p>
  </w:footnote>
  <w:footnote w:type="continuationSeparator" w:id="0">
    <w:p w:rsidR="00FE64BC" w:rsidRDefault="00FE64BC" w:rsidP="00FE64BC">
      <w:pPr>
        <w:spacing w:after="0" w:line="240" w:lineRule="auto"/>
      </w:pPr>
      <w:r>
        <w:continuationSeparator/>
      </w:r>
    </w:p>
  </w:footnote>
  <w:footnote w:id="1">
    <w:p w:rsidR="00400F4A" w:rsidRDefault="00400F4A">
      <w:pPr>
        <w:pStyle w:val="FootnoteText"/>
      </w:pPr>
      <w:r>
        <w:rPr>
          <w:rStyle w:val="FootnoteReference"/>
        </w:rPr>
        <w:footnoteRef/>
      </w:r>
      <w:r>
        <w:t xml:space="preserve"> </w:t>
      </w:r>
      <w:proofErr w:type="spellStart"/>
      <w:r>
        <w:t>Mahaffy</w:t>
      </w:r>
      <w:proofErr w:type="spellEnd"/>
      <w:r>
        <w:t>. 1895. 244-245</w:t>
      </w:r>
    </w:p>
  </w:footnote>
  <w:footnote w:id="2">
    <w:p w:rsidR="001B0800" w:rsidRDefault="001B0800">
      <w:pPr>
        <w:pStyle w:val="FootnoteText"/>
      </w:pPr>
      <w:r>
        <w:rPr>
          <w:rStyle w:val="FootnoteReference"/>
        </w:rPr>
        <w:footnoteRef/>
      </w:r>
      <w:r>
        <w:t xml:space="preserve"> Strabo. 17.</w:t>
      </w:r>
    </w:p>
  </w:footnote>
  <w:footnote w:id="3">
    <w:p w:rsidR="00FE64BC" w:rsidRDefault="00FE64BC">
      <w:pPr>
        <w:pStyle w:val="FootnoteText"/>
      </w:pPr>
      <w:r>
        <w:rPr>
          <w:rStyle w:val="FootnoteReference"/>
        </w:rPr>
        <w:footnoteRef/>
      </w:r>
      <w:r>
        <w:t xml:space="preserve"> Griffiths. 2017. </w:t>
      </w:r>
      <w:r w:rsidR="00A4161D">
        <w:t>12</w:t>
      </w:r>
    </w:p>
  </w:footnote>
  <w:footnote w:id="4">
    <w:p w:rsidR="00597EC4" w:rsidRDefault="00597EC4">
      <w:pPr>
        <w:pStyle w:val="FootnoteText"/>
      </w:pPr>
      <w:r>
        <w:rPr>
          <w:rStyle w:val="FootnoteReference"/>
        </w:rPr>
        <w:footnoteRef/>
      </w:r>
      <w:r>
        <w:t xml:space="preserve"> Polybius. </w:t>
      </w:r>
      <w:r>
        <w:rPr>
          <w:rFonts w:ascii="Arial" w:hAnsi="Arial" w:cs="Arial"/>
          <w:color w:val="222222"/>
          <w:sz w:val="19"/>
          <w:szCs w:val="19"/>
          <w:shd w:val="clear" w:color="auto" w:fill="FFFFFF"/>
        </w:rPr>
        <w:t>XV 25.</w:t>
      </w:r>
      <w:r>
        <w:rPr>
          <w:rFonts w:ascii="Arial" w:hAnsi="Arial" w:cs="Arial"/>
          <w:color w:val="222222"/>
          <w:sz w:val="19"/>
          <w:szCs w:val="19"/>
          <w:shd w:val="clear" w:color="auto" w:fill="FFFFFF"/>
        </w:rPr>
        <w:t>2.</w:t>
      </w:r>
    </w:p>
  </w:footnote>
  <w:footnote w:id="5">
    <w:p w:rsidR="00E2669F" w:rsidRDefault="00E2669F">
      <w:pPr>
        <w:pStyle w:val="FootnoteText"/>
      </w:pPr>
      <w:r>
        <w:rPr>
          <w:rStyle w:val="FootnoteReference"/>
        </w:rPr>
        <w:footnoteRef/>
      </w:r>
      <w:r>
        <w:t xml:space="preserve"> Griffiths. 2017. 12</w:t>
      </w:r>
    </w:p>
  </w:footnote>
  <w:footnote w:id="6">
    <w:p w:rsidR="00E2669F" w:rsidRDefault="00E2669F">
      <w:pPr>
        <w:pStyle w:val="FootnoteText"/>
      </w:pPr>
      <w:r>
        <w:rPr>
          <w:rStyle w:val="FootnoteReference"/>
        </w:rPr>
        <w:footnoteRef/>
      </w:r>
      <w:r>
        <w:t xml:space="preserve"> Griffiths. 2017. 12-13</w:t>
      </w:r>
    </w:p>
  </w:footnote>
  <w:footnote w:id="7">
    <w:p w:rsidR="00F52A61" w:rsidRDefault="00F52A61">
      <w:pPr>
        <w:pStyle w:val="FootnoteText"/>
      </w:pPr>
      <w:r>
        <w:rPr>
          <w:rStyle w:val="FootnoteReference"/>
        </w:rPr>
        <w:footnoteRef/>
      </w:r>
      <w:r>
        <w:t xml:space="preserve"> </w:t>
      </w:r>
      <w:proofErr w:type="spellStart"/>
      <w:r>
        <w:t>Badian</w:t>
      </w:r>
      <w:proofErr w:type="spellEnd"/>
      <w:r>
        <w:t>. 1960. 784</w:t>
      </w:r>
    </w:p>
  </w:footnote>
  <w:footnote w:id="8">
    <w:p w:rsidR="001B0800" w:rsidRDefault="001B0800">
      <w:pPr>
        <w:pStyle w:val="FootnoteText"/>
      </w:pPr>
      <w:r>
        <w:rPr>
          <w:rStyle w:val="FootnoteReference"/>
        </w:rPr>
        <w:footnoteRef/>
      </w:r>
      <w:r>
        <w:t xml:space="preserve"> Strabo. 17</w:t>
      </w:r>
    </w:p>
  </w:footnote>
  <w:footnote w:id="9">
    <w:p w:rsidR="001B0800" w:rsidRDefault="001B0800">
      <w:pPr>
        <w:pStyle w:val="FootnoteText"/>
      </w:pPr>
      <w:r>
        <w:rPr>
          <w:rStyle w:val="FootnoteReference"/>
        </w:rPr>
        <w:footnoteRef/>
      </w:r>
      <w:r>
        <w:t xml:space="preserve"> </w:t>
      </w:r>
      <w:proofErr w:type="spellStart"/>
      <w:r>
        <w:t>Gruen</w:t>
      </w:r>
      <w:proofErr w:type="spellEnd"/>
      <w:r>
        <w:t>. 1986. 672.</w:t>
      </w:r>
    </w:p>
  </w:footnote>
  <w:footnote w:id="10">
    <w:p w:rsidR="00E652B7" w:rsidRDefault="00E652B7">
      <w:pPr>
        <w:pStyle w:val="FootnoteText"/>
      </w:pPr>
      <w:r>
        <w:rPr>
          <w:rStyle w:val="FootnoteReference"/>
        </w:rPr>
        <w:footnoteRef/>
      </w:r>
      <w:r>
        <w:t xml:space="preserve"> </w:t>
      </w:r>
      <w:proofErr w:type="spellStart"/>
      <w:r>
        <w:t>Gruen</w:t>
      </w:r>
      <w:proofErr w:type="spellEnd"/>
      <w:r>
        <w:t>. 1986. 672-673</w:t>
      </w:r>
    </w:p>
  </w:footnote>
  <w:footnote w:id="11">
    <w:p w:rsidR="00C42081" w:rsidRDefault="00C42081">
      <w:pPr>
        <w:pStyle w:val="FootnoteText"/>
      </w:pPr>
      <w:r>
        <w:rPr>
          <w:rStyle w:val="FootnoteReference"/>
        </w:rPr>
        <w:footnoteRef/>
      </w:r>
      <w:r>
        <w:t xml:space="preserve"> </w:t>
      </w:r>
      <w:r w:rsidR="008016E7">
        <w:t>Griffiths. 2017. 12-14</w:t>
      </w:r>
    </w:p>
  </w:footnote>
  <w:footnote w:id="12">
    <w:p w:rsidR="008016E7" w:rsidRDefault="008016E7">
      <w:pPr>
        <w:pStyle w:val="FootnoteText"/>
      </w:pPr>
      <w:r>
        <w:rPr>
          <w:rStyle w:val="FootnoteReference"/>
        </w:rPr>
        <w:footnoteRef/>
      </w:r>
      <w:r>
        <w:t xml:space="preserve"> </w:t>
      </w:r>
      <w:proofErr w:type="spellStart"/>
      <w:r>
        <w:t>Gruen</w:t>
      </w:r>
      <w:proofErr w:type="spellEnd"/>
      <w:r>
        <w:t>. 1986. 173-175</w:t>
      </w:r>
    </w:p>
  </w:footnote>
  <w:footnote w:id="13">
    <w:p w:rsidR="00333396" w:rsidRDefault="00333396">
      <w:pPr>
        <w:pStyle w:val="FootnoteText"/>
      </w:pPr>
      <w:r>
        <w:rPr>
          <w:rStyle w:val="FootnoteReference"/>
        </w:rPr>
        <w:footnoteRef/>
      </w:r>
      <w:r>
        <w:t xml:space="preserve"> Griffiths. 2017. 12-14</w:t>
      </w:r>
    </w:p>
  </w:footnote>
  <w:footnote w:id="14">
    <w:p w:rsidR="00764E92" w:rsidRDefault="00764E92">
      <w:pPr>
        <w:pStyle w:val="FootnoteText"/>
      </w:pPr>
    </w:p>
  </w:footnote>
  <w:footnote w:id="15">
    <w:p w:rsidR="00764E92" w:rsidRDefault="00764E92">
      <w:pPr>
        <w:pStyle w:val="FootnoteText"/>
      </w:pPr>
      <w:r>
        <w:rPr>
          <w:rStyle w:val="FootnoteReference"/>
        </w:rPr>
        <w:footnoteRef/>
      </w:r>
      <w:r>
        <w:t xml:space="preserve"> Griffiths. 1017. 13-15</w:t>
      </w:r>
    </w:p>
  </w:footnote>
  <w:footnote w:id="16">
    <w:p w:rsidR="00625657" w:rsidRDefault="00625657">
      <w:pPr>
        <w:pStyle w:val="FootnoteText"/>
      </w:pPr>
      <w:r>
        <w:rPr>
          <w:rStyle w:val="FootnoteReference"/>
        </w:rPr>
        <w:footnoteRef/>
      </w:r>
      <w:r>
        <w:t xml:space="preserve"> </w:t>
      </w:r>
      <w:proofErr w:type="spellStart"/>
      <w:r>
        <w:t>Badian</w:t>
      </w:r>
      <w:proofErr w:type="spellEnd"/>
      <w:r>
        <w:t>. 1960. 784-786</w:t>
      </w:r>
    </w:p>
  </w:footnote>
  <w:footnote w:id="17">
    <w:p w:rsidR="00400F4A" w:rsidRDefault="00400F4A">
      <w:pPr>
        <w:pStyle w:val="FootnoteText"/>
      </w:pPr>
      <w:r>
        <w:rPr>
          <w:rStyle w:val="FootnoteReference"/>
        </w:rPr>
        <w:footnoteRef/>
      </w:r>
      <w:r>
        <w:t xml:space="preserve"> Austin. 1981. 478-479</w:t>
      </w:r>
    </w:p>
  </w:footnote>
  <w:footnote w:id="18">
    <w:p w:rsidR="003B5A50" w:rsidRDefault="003B5A50">
      <w:pPr>
        <w:pStyle w:val="FootnoteText"/>
      </w:pPr>
      <w:r>
        <w:rPr>
          <w:rStyle w:val="FootnoteReference"/>
        </w:rPr>
        <w:footnoteRef/>
      </w:r>
      <w:r>
        <w:t xml:space="preserve"> Strabo. 17.</w:t>
      </w:r>
    </w:p>
  </w:footnote>
  <w:footnote w:id="19">
    <w:p w:rsidR="003B5A50" w:rsidRDefault="003B5A50">
      <w:pPr>
        <w:pStyle w:val="FootnoteText"/>
      </w:pPr>
      <w:r>
        <w:rPr>
          <w:rStyle w:val="FootnoteReference"/>
        </w:rPr>
        <w:footnoteRef/>
      </w:r>
      <w:r>
        <w:t xml:space="preserve"> </w:t>
      </w:r>
      <w:proofErr w:type="spellStart"/>
      <w:r>
        <w:t>Badian</w:t>
      </w:r>
      <w:proofErr w:type="spellEnd"/>
      <w:r>
        <w:t>. 1960. 780-784</w:t>
      </w:r>
    </w:p>
  </w:footnote>
  <w:footnote w:id="20">
    <w:p w:rsidR="003B5A50" w:rsidRDefault="003B5A50">
      <w:pPr>
        <w:pStyle w:val="FootnoteText"/>
      </w:pPr>
      <w:r>
        <w:rPr>
          <w:rStyle w:val="FootnoteReference"/>
        </w:rPr>
        <w:footnoteRef/>
      </w:r>
      <w:r>
        <w:t xml:space="preserve"> Griffiths. 2017. 13-16</w:t>
      </w:r>
      <w:r w:rsidR="00400F4A">
        <w:t xml:space="preserve">, </w:t>
      </w:r>
      <w:proofErr w:type="spellStart"/>
      <w:r w:rsidR="00400F4A">
        <w:t>Mahaffy</w:t>
      </w:r>
      <w:proofErr w:type="spellEnd"/>
      <w:r w:rsidR="00400F4A">
        <w:t>. 1895. 243-246</w:t>
      </w:r>
    </w:p>
  </w:footnote>
  <w:footnote w:id="21">
    <w:p w:rsidR="009E2B39" w:rsidRDefault="009E2B39">
      <w:pPr>
        <w:pStyle w:val="FootnoteText"/>
      </w:pPr>
      <w:r>
        <w:rPr>
          <w:rStyle w:val="FootnoteReference"/>
        </w:rPr>
        <w:footnoteRef/>
      </w:r>
      <w:r>
        <w:t xml:space="preserve"> Griffiths. 2017. 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DE4124"/>
    <w:multiLevelType w:val="hybridMultilevel"/>
    <w:tmpl w:val="7CEE3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3B3"/>
    <w:rsid w:val="001B0800"/>
    <w:rsid w:val="002D49E9"/>
    <w:rsid w:val="00333396"/>
    <w:rsid w:val="003415D8"/>
    <w:rsid w:val="003A0CEC"/>
    <w:rsid w:val="003B215B"/>
    <w:rsid w:val="003B5A50"/>
    <w:rsid w:val="003E2DE3"/>
    <w:rsid w:val="00400F4A"/>
    <w:rsid w:val="0040405B"/>
    <w:rsid w:val="00453F1C"/>
    <w:rsid w:val="00485071"/>
    <w:rsid w:val="004B6057"/>
    <w:rsid w:val="004F5155"/>
    <w:rsid w:val="00556BD4"/>
    <w:rsid w:val="00564B83"/>
    <w:rsid w:val="00597EC4"/>
    <w:rsid w:val="005E2B2B"/>
    <w:rsid w:val="005F28C1"/>
    <w:rsid w:val="00625657"/>
    <w:rsid w:val="0067082F"/>
    <w:rsid w:val="00672DF6"/>
    <w:rsid w:val="007323B3"/>
    <w:rsid w:val="007639F2"/>
    <w:rsid w:val="00764E92"/>
    <w:rsid w:val="008016E7"/>
    <w:rsid w:val="009227C9"/>
    <w:rsid w:val="009E2B39"/>
    <w:rsid w:val="00A11ADB"/>
    <w:rsid w:val="00A4161D"/>
    <w:rsid w:val="00A57C89"/>
    <w:rsid w:val="00B67C83"/>
    <w:rsid w:val="00C278F9"/>
    <w:rsid w:val="00C42081"/>
    <w:rsid w:val="00D31B6F"/>
    <w:rsid w:val="00D7013E"/>
    <w:rsid w:val="00D80AF1"/>
    <w:rsid w:val="00D95A74"/>
    <w:rsid w:val="00E2669F"/>
    <w:rsid w:val="00E652B7"/>
    <w:rsid w:val="00E97D7F"/>
    <w:rsid w:val="00F52009"/>
    <w:rsid w:val="00F52A61"/>
    <w:rsid w:val="00FE64BC"/>
    <w:rsid w:val="00FF6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607A3B5"/>
  <w15:chartTrackingRefBased/>
  <w15:docId w15:val="{7298AC67-78AE-401B-B361-E4500DD48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9227C9"/>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9227C9"/>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E64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64BC"/>
    <w:rPr>
      <w:sz w:val="20"/>
      <w:szCs w:val="20"/>
    </w:rPr>
  </w:style>
  <w:style w:type="character" w:styleId="FootnoteReference">
    <w:name w:val="footnote reference"/>
    <w:basedOn w:val="DefaultParagraphFont"/>
    <w:uiPriority w:val="99"/>
    <w:semiHidden/>
    <w:unhideWhenUsed/>
    <w:rsid w:val="00FE64BC"/>
    <w:rPr>
      <w:vertAlign w:val="superscript"/>
    </w:rPr>
  </w:style>
  <w:style w:type="paragraph" w:styleId="ListParagraph">
    <w:name w:val="List Paragraph"/>
    <w:basedOn w:val="Normal"/>
    <w:uiPriority w:val="34"/>
    <w:qFormat/>
    <w:rsid w:val="003B5A50"/>
    <w:pPr>
      <w:ind w:left="720"/>
      <w:contextualSpacing/>
    </w:pPr>
  </w:style>
  <w:style w:type="character" w:customStyle="1" w:styleId="Heading1Char">
    <w:name w:val="Heading 1 Char"/>
    <w:basedOn w:val="DefaultParagraphFont"/>
    <w:link w:val="Heading1"/>
    <w:rsid w:val="009227C9"/>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9227C9"/>
    <w:rPr>
      <w:rFonts w:ascii="Tahoma" w:eastAsia="SimSun" w:hAnsi="Tahoma" w:cs="Tahoma"/>
      <w:b/>
      <w:bCs/>
      <w:sz w:val="20"/>
      <w:szCs w:val="20"/>
      <w:lang w:eastAsia="zh-CN"/>
    </w:rPr>
  </w:style>
  <w:style w:type="paragraph" w:styleId="NormalWeb">
    <w:name w:val="Normal (Web)"/>
    <w:basedOn w:val="Normal"/>
    <w:rsid w:val="009227C9"/>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D617F7-D8A3-4B15-AC0C-677AB052C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10</Pages>
  <Words>2357</Words>
  <Characters>13438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Barton (1501193)</dc:creator>
  <cp:keywords/>
  <dc:description/>
  <cp:lastModifiedBy>Liam Barton (1501193)</cp:lastModifiedBy>
  <cp:revision>13</cp:revision>
  <dcterms:created xsi:type="dcterms:W3CDTF">2018-05-01T14:27:00Z</dcterms:created>
  <dcterms:modified xsi:type="dcterms:W3CDTF">2018-05-01T21:51:00Z</dcterms:modified>
</cp:coreProperties>
</file>