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78ACA379" w14:textId="77777777" w:rsidR="007D1947" w:rsidRPr="002D229E" w:rsidRDefault="007D1947">
          <w:pPr>
            <w:pStyle w:val="NoSpacing"/>
            <w:spacing w:before="1540" w:after="240"/>
            <w:jc w:val="center"/>
            <w:rPr>
              <w:rFonts w:ascii="Arial" w:hAnsi="Arial" w:cs="Arial"/>
              <w:color w:val="5B9BD5" w:themeColor="accent1"/>
            </w:rPr>
          </w:pPr>
          <w:r w:rsidRPr="002D229E">
            <w:rPr>
              <w:rFonts w:ascii="Arial" w:hAnsi="Arial" w:cs="Arial"/>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7328EE43" w:rsidR="007D1947" w:rsidRPr="002D229E" w:rsidRDefault="00AF1C6C">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sidRPr="002D229E">
                <w:rPr>
                  <w:rFonts w:ascii="Arial" w:eastAsiaTheme="majorEastAsia" w:hAnsi="Arial" w:cs="Arial"/>
                  <w:caps/>
                  <w:color w:val="5B9BD5" w:themeColor="accent1"/>
                  <w:sz w:val="72"/>
                  <w:szCs w:val="72"/>
                </w:rPr>
                <w:t>Marriot international</w:t>
              </w:r>
            </w:p>
          </w:sdtContent>
        </w:sdt>
        <w:sdt>
          <w:sdtPr>
            <w:rPr>
              <w:rFonts w:ascii="Arial" w:hAnsi="Arial" w:cs="Arial"/>
              <w:color w:val="5B9BD5" w:themeColor="accent1"/>
              <w:sz w:val="28"/>
              <w:szCs w:val="28"/>
            </w:rPr>
            <w:alias w:val="Subtitle"/>
            <w:tag w:val=""/>
            <w:id w:val="328029620"/>
            <w:placeholder>
              <w:docPart w:val="C4A5D55B572C4D5AB04E83508D2D7040"/>
            </w:placeholder>
            <w:dataBinding w:prefixMappings="xmlns:ns0='http://purl.org/dc/elements/1.1/' xmlns:ns1='http://schemas.openxmlformats.org/package/2006/metadata/core-properties' " w:xpath="/ns1:coreProperties[1]/ns0:subject[1]" w:storeItemID="{6C3C8BC8-F283-45AE-878A-BAB7291924A1}"/>
            <w:text/>
          </w:sdtPr>
          <w:sdtEndPr/>
          <w:sdtContent>
            <w:p w14:paraId="6BBED6DD" w14:textId="557CD6B1" w:rsidR="00995CD8" w:rsidRPr="002D229E" w:rsidRDefault="00995CD8" w:rsidP="00995CD8">
              <w:pPr>
                <w:pStyle w:val="NoSpacing"/>
                <w:jc w:val="center"/>
                <w:rPr>
                  <w:rFonts w:ascii="Arial" w:hAnsi="Arial" w:cs="Arial"/>
                  <w:color w:val="5B9BD5" w:themeColor="accent1"/>
                  <w:sz w:val="28"/>
                  <w:szCs w:val="28"/>
                </w:rPr>
              </w:pPr>
              <w:r w:rsidRPr="002D229E">
                <w:rPr>
                  <w:rFonts w:ascii="Arial" w:hAnsi="Arial" w:cs="Arial"/>
                  <w:color w:val="5B9BD5" w:themeColor="accent1"/>
                  <w:sz w:val="28"/>
                  <w:szCs w:val="28"/>
                </w:rPr>
                <w:t>Kajal Miah: 1709531</w:t>
              </w:r>
            </w:p>
          </w:sdtContent>
        </w:sdt>
        <w:p w14:paraId="0E730CFC" w14:textId="3DC44DEB" w:rsidR="007D1947" w:rsidRPr="002D229E" w:rsidRDefault="007D1947">
          <w:pPr>
            <w:pStyle w:val="NoSpacing"/>
            <w:spacing w:before="480"/>
            <w:jc w:val="center"/>
            <w:rPr>
              <w:rFonts w:ascii="Arial" w:hAnsi="Arial" w:cs="Arial"/>
              <w:color w:val="5B9BD5" w:themeColor="accent1"/>
            </w:rPr>
          </w:pPr>
          <w:r w:rsidRPr="002D229E">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27T00:00:00Z">
                                    <w:dateFormat w:val="MMMM d, yyyy"/>
                                    <w:lid w:val="en-US"/>
                                    <w:storeMappedDataAs w:val="dateTime"/>
                                    <w:calendar w:val="gregorian"/>
                                  </w:date>
                                </w:sdtPr>
                                <w:sdtEndPr/>
                                <w:sdtContent>
                                  <w:p w14:paraId="58731C0A" w14:textId="1DFDFCF5" w:rsidR="007D1947" w:rsidRDefault="00D528B2">
                                    <w:pPr>
                                      <w:pStyle w:val="NoSpacing"/>
                                      <w:spacing w:after="40"/>
                                      <w:jc w:val="center"/>
                                      <w:rPr>
                                        <w:caps/>
                                        <w:color w:val="5B9BD5" w:themeColor="accent1"/>
                                        <w:sz w:val="28"/>
                                        <w:szCs w:val="28"/>
                                      </w:rPr>
                                    </w:pPr>
                                    <w:r>
                                      <w:rPr>
                                        <w:caps/>
                                        <w:color w:val="5B9BD5" w:themeColor="accent1"/>
                                        <w:sz w:val="28"/>
                                        <w:szCs w:val="28"/>
                                      </w:rPr>
                                      <w:t>November 27, 2022</w:t>
                                    </w:r>
                                  </w:p>
                                </w:sdtContent>
                              </w:sdt>
                              <w:p w14:paraId="53078492" w14:textId="77777777" w:rsidR="007D1947" w:rsidRDefault="00F2487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F2487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27T00:00:00Z">
                              <w:dateFormat w:val="MMMM d, yyyy"/>
                              <w:lid w:val="en-US"/>
                              <w:storeMappedDataAs w:val="dateTime"/>
                              <w:calendar w:val="gregorian"/>
                            </w:date>
                          </w:sdtPr>
                          <w:sdtEndPr/>
                          <w:sdtContent>
                            <w:p w14:paraId="58731C0A" w14:textId="1DFDFCF5" w:rsidR="007D1947" w:rsidRDefault="00D528B2">
                              <w:pPr>
                                <w:pStyle w:val="NoSpacing"/>
                                <w:spacing w:after="40"/>
                                <w:jc w:val="center"/>
                                <w:rPr>
                                  <w:caps/>
                                  <w:color w:val="5B9BD5" w:themeColor="accent1"/>
                                  <w:sz w:val="28"/>
                                  <w:szCs w:val="28"/>
                                </w:rPr>
                              </w:pPr>
                              <w:r>
                                <w:rPr>
                                  <w:caps/>
                                  <w:color w:val="5B9BD5" w:themeColor="accent1"/>
                                  <w:sz w:val="28"/>
                                  <w:szCs w:val="28"/>
                                </w:rPr>
                                <w:t>November 27, 2022</w:t>
                              </w:r>
                            </w:p>
                          </w:sdtContent>
                        </w:sdt>
                        <w:p w14:paraId="53078492" w14:textId="77777777" w:rsidR="007D1947" w:rsidRDefault="00F2487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F2487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995CD8" w:rsidRPr="002D229E">
            <w:rPr>
              <w:rFonts w:ascii="Arial" w:hAnsi="Arial" w:cs="Arial"/>
              <w:color w:val="5B9BD5" w:themeColor="accent1"/>
            </w:rPr>
            <w:t>Module: BMIH5002</w:t>
          </w:r>
        </w:p>
        <w:p w14:paraId="5F504FFB" w14:textId="151E3F54" w:rsidR="00995CD8" w:rsidRPr="002D229E" w:rsidRDefault="00995CD8">
          <w:pPr>
            <w:pStyle w:val="NoSpacing"/>
            <w:spacing w:before="480"/>
            <w:jc w:val="center"/>
            <w:rPr>
              <w:rFonts w:ascii="Arial" w:hAnsi="Arial" w:cs="Arial"/>
              <w:color w:val="5B9BD5" w:themeColor="accent1"/>
            </w:rPr>
          </w:pPr>
          <w:r w:rsidRPr="002D229E">
            <w:rPr>
              <w:rFonts w:ascii="Arial" w:hAnsi="Arial" w:cs="Arial"/>
              <w:color w:val="5B9BD5" w:themeColor="accent1"/>
            </w:rPr>
            <w:t>Lecturer: Christopher Wilkin</w:t>
          </w:r>
        </w:p>
        <w:p w14:paraId="6F36AB13" w14:textId="1F4DF569" w:rsidR="00995CD8" w:rsidRPr="002D229E" w:rsidRDefault="00995CD8">
          <w:pPr>
            <w:pStyle w:val="NoSpacing"/>
            <w:spacing w:before="480"/>
            <w:jc w:val="center"/>
            <w:rPr>
              <w:rFonts w:ascii="Arial" w:hAnsi="Arial" w:cs="Arial"/>
              <w:color w:val="5B9BD5" w:themeColor="accent1"/>
            </w:rPr>
          </w:pPr>
        </w:p>
        <w:p w14:paraId="0CCC7A37" w14:textId="1338ECBE" w:rsidR="00995CD8" w:rsidRPr="002D229E" w:rsidRDefault="00995CD8">
          <w:pPr>
            <w:pStyle w:val="NoSpacing"/>
            <w:spacing w:before="480"/>
            <w:jc w:val="center"/>
            <w:rPr>
              <w:rFonts w:ascii="Arial" w:hAnsi="Arial" w:cs="Arial"/>
              <w:color w:val="5B9BD5" w:themeColor="accent1"/>
            </w:rPr>
          </w:pPr>
          <w:r w:rsidRPr="002D229E">
            <w:rPr>
              <w:rFonts w:ascii="Arial" w:hAnsi="Arial" w:cs="Arial"/>
              <w:noProof/>
              <w:color w:val="5B9BD5" w:themeColor="accent1"/>
              <w:lang w:val="en-GB" w:eastAsia="en-GB"/>
            </w:rPr>
            <w:drawing>
              <wp:inline distT="0" distB="0" distL="0" distR="0" wp14:anchorId="09DEEEB9" wp14:editId="4878DD70">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544EB9" w14:textId="77777777" w:rsidR="00995CD8" w:rsidRPr="002D229E" w:rsidRDefault="00995CD8">
          <w:pPr>
            <w:pStyle w:val="NoSpacing"/>
            <w:spacing w:before="480"/>
            <w:jc w:val="center"/>
            <w:rPr>
              <w:rFonts w:ascii="Arial" w:hAnsi="Arial" w:cs="Arial"/>
              <w:color w:val="5B9BD5" w:themeColor="accent1"/>
            </w:rPr>
          </w:pPr>
        </w:p>
        <w:p w14:paraId="6EC5CC47" w14:textId="24EC7285" w:rsidR="007D1947" w:rsidRDefault="007D1947" w:rsidP="007D1947">
          <w:pPr>
            <w:pStyle w:val="Heading1"/>
            <w:rPr>
              <w:rFonts w:ascii="Arial" w:hAnsi="Arial" w:cs="Arial"/>
            </w:rPr>
          </w:pPr>
          <w:r w:rsidRPr="002D229E">
            <w:rPr>
              <w:rFonts w:ascii="Arial" w:hAnsi="Arial" w:cs="Arial"/>
            </w:rPr>
            <w:br w:type="page"/>
          </w:r>
          <w:bookmarkStart w:id="0" w:name="_Toc463944599"/>
          <w:r w:rsidRPr="002D229E">
            <w:rPr>
              <w:rFonts w:ascii="Arial" w:hAnsi="Arial" w:cs="Arial"/>
            </w:rPr>
            <w:lastRenderedPageBreak/>
            <w:t>Executive Summary</w:t>
          </w:r>
          <w:bookmarkEnd w:id="0"/>
        </w:p>
        <w:p w14:paraId="1DF22D23" w14:textId="77777777" w:rsidR="00EB5D56" w:rsidRPr="00EB5D56" w:rsidRDefault="00EB5D56" w:rsidP="00EB5D56"/>
        <w:p w14:paraId="319933FB" w14:textId="1C65F509" w:rsidR="007D1947" w:rsidRPr="002D229E" w:rsidRDefault="00EB5D56">
          <w:pPr>
            <w:rPr>
              <w:rFonts w:ascii="Arial" w:hAnsi="Arial" w:cs="Arial"/>
            </w:rPr>
          </w:pPr>
          <w:r w:rsidRPr="00EB5D56">
            <w:rPr>
              <w:rFonts w:ascii="Arial" w:hAnsi="Arial" w:cs="Arial"/>
            </w:rPr>
            <w:t xml:space="preserve">Marriott International Inc is a multinational corporation that operates in the charitable and lodging industries. Sound judgement would suggest that financial backers use the abundance of information provided in an organization's monetary rundowns to assist them in examining the association as a theory. We can observe that the liquidity proportions have steadily increased over the last </w:t>
          </w:r>
          <w:r>
            <w:rPr>
              <w:rFonts w:ascii="Arial" w:hAnsi="Arial" w:cs="Arial"/>
            </w:rPr>
            <w:t>2</w:t>
          </w:r>
          <w:r w:rsidRPr="00EB5D56">
            <w:rPr>
              <w:rFonts w:ascii="Arial" w:hAnsi="Arial" w:cs="Arial"/>
            </w:rPr>
            <w:t xml:space="preserve"> years as time has progressed. This implies that Marriott International has more funds available to invest in new ventures and meet obligations if they are required.</w:t>
          </w:r>
        </w:p>
        <w:p w14:paraId="5D6BF5EE" w14:textId="77777777" w:rsidR="007D1947" w:rsidRPr="002D229E" w:rsidRDefault="007D1947">
          <w:pPr>
            <w:rPr>
              <w:rFonts w:ascii="Arial" w:hAnsi="Arial" w:cs="Arial"/>
            </w:rPr>
          </w:pPr>
        </w:p>
        <w:p w14:paraId="11C68BD2" w14:textId="77777777" w:rsidR="007D1947" w:rsidRPr="002D229E" w:rsidRDefault="007D1947">
          <w:pPr>
            <w:rPr>
              <w:rFonts w:ascii="Arial" w:hAnsi="Arial" w:cs="Arial"/>
            </w:rPr>
          </w:pPr>
        </w:p>
        <w:p w14:paraId="08EEC166" w14:textId="77777777" w:rsidR="007D1947" w:rsidRPr="002D229E" w:rsidRDefault="007D1947">
          <w:pPr>
            <w:rPr>
              <w:rFonts w:ascii="Arial" w:hAnsi="Arial" w:cs="Arial"/>
            </w:rPr>
          </w:pPr>
        </w:p>
        <w:p w14:paraId="4A7E0BD1" w14:textId="77777777" w:rsidR="007D1947" w:rsidRPr="002D229E" w:rsidRDefault="007D1947">
          <w:pPr>
            <w:rPr>
              <w:rFonts w:ascii="Arial" w:hAnsi="Arial" w:cs="Arial"/>
            </w:rPr>
          </w:pPr>
        </w:p>
        <w:p w14:paraId="60983FBE" w14:textId="77777777" w:rsidR="007D1947" w:rsidRPr="002D229E" w:rsidRDefault="007D1947">
          <w:pPr>
            <w:rPr>
              <w:rFonts w:ascii="Arial" w:hAnsi="Arial" w:cs="Arial"/>
            </w:rPr>
          </w:pPr>
        </w:p>
        <w:p w14:paraId="4BD24EAA" w14:textId="77777777" w:rsidR="007D1947" w:rsidRPr="002D229E" w:rsidRDefault="007D1947">
          <w:pPr>
            <w:rPr>
              <w:rFonts w:ascii="Arial" w:hAnsi="Arial" w:cs="Arial"/>
            </w:rPr>
          </w:pPr>
        </w:p>
        <w:p w14:paraId="5E20A626" w14:textId="77777777" w:rsidR="007D1947" w:rsidRPr="002D229E" w:rsidRDefault="007D1947">
          <w:pPr>
            <w:rPr>
              <w:rFonts w:ascii="Arial" w:hAnsi="Arial" w:cs="Arial"/>
            </w:rPr>
          </w:pPr>
        </w:p>
        <w:p w14:paraId="2592EA34" w14:textId="77777777" w:rsidR="007D1947" w:rsidRPr="002D229E" w:rsidRDefault="007D1947">
          <w:pPr>
            <w:rPr>
              <w:rFonts w:ascii="Arial" w:hAnsi="Arial" w:cs="Arial"/>
            </w:rPr>
          </w:pPr>
        </w:p>
        <w:p w14:paraId="102FA409" w14:textId="77777777" w:rsidR="007D1947" w:rsidRPr="002D229E" w:rsidRDefault="007D1947">
          <w:pPr>
            <w:rPr>
              <w:rFonts w:ascii="Arial" w:hAnsi="Arial" w:cs="Arial"/>
            </w:rPr>
          </w:pPr>
        </w:p>
        <w:p w14:paraId="0EB4AA44" w14:textId="77777777" w:rsidR="007D1947" w:rsidRPr="002D229E" w:rsidRDefault="007D1947">
          <w:pPr>
            <w:rPr>
              <w:rFonts w:ascii="Arial" w:hAnsi="Arial" w:cs="Arial"/>
            </w:rPr>
          </w:pPr>
        </w:p>
        <w:p w14:paraId="43F4A0A2" w14:textId="77777777" w:rsidR="007D1947" w:rsidRPr="002D229E" w:rsidRDefault="007D1947">
          <w:pPr>
            <w:rPr>
              <w:rFonts w:ascii="Arial" w:hAnsi="Arial" w:cs="Arial"/>
            </w:rPr>
          </w:pPr>
        </w:p>
        <w:p w14:paraId="1AC34DF5" w14:textId="77777777" w:rsidR="007D1947" w:rsidRPr="002D229E" w:rsidRDefault="007D1947">
          <w:pPr>
            <w:rPr>
              <w:rFonts w:ascii="Arial" w:hAnsi="Arial" w:cs="Arial"/>
            </w:rPr>
          </w:pPr>
        </w:p>
        <w:p w14:paraId="51926115" w14:textId="77777777" w:rsidR="007D1947" w:rsidRPr="002D229E" w:rsidRDefault="007D1947">
          <w:pPr>
            <w:rPr>
              <w:rFonts w:ascii="Arial" w:hAnsi="Arial" w:cs="Arial"/>
            </w:rPr>
          </w:pPr>
        </w:p>
        <w:p w14:paraId="77A33B7E" w14:textId="77777777" w:rsidR="007D1947" w:rsidRPr="002D229E" w:rsidRDefault="007D1947">
          <w:pPr>
            <w:rPr>
              <w:rFonts w:ascii="Arial" w:hAnsi="Arial" w:cs="Arial"/>
            </w:rPr>
          </w:pPr>
        </w:p>
        <w:p w14:paraId="4C2E3AF2" w14:textId="77777777" w:rsidR="007D1947" w:rsidRPr="002D229E" w:rsidRDefault="007D1947">
          <w:pPr>
            <w:rPr>
              <w:rFonts w:ascii="Arial" w:hAnsi="Arial" w:cs="Arial"/>
            </w:rPr>
          </w:pPr>
        </w:p>
        <w:p w14:paraId="24983E97" w14:textId="77777777" w:rsidR="007D1947" w:rsidRPr="002D229E" w:rsidRDefault="007D1947">
          <w:pPr>
            <w:rPr>
              <w:rFonts w:ascii="Arial" w:hAnsi="Arial" w:cs="Arial"/>
            </w:rPr>
          </w:pPr>
        </w:p>
        <w:p w14:paraId="7FA5F72D" w14:textId="77777777" w:rsidR="007D1947" w:rsidRPr="002D229E" w:rsidRDefault="007D1947">
          <w:pPr>
            <w:rPr>
              <w:rFonts w:ascii="Arial" w:hAnsi="Arial" w:cs="Arial"/>
            </w:rPr>
          </w:pPr>
        </w:p>
        <w:p w14:paraId="1D086EC3" w14:textId="77777777" w:rsidR="007D1947" w:rsidRPr="002D229E" w:rsidRDefault="007D1947">
          <w:pPr>
            <w:rPr>
              <w:rFonts w:ascii="Arial" w:hAnsi="Arial" w:cs="Arial"/>
            </w:rPr>
          </w:pPr>
        </w:p>
        <w:p w14:paraId="678DFA97" w14:textId="77777777" w:rsidR="007D1947" w:rsidRPr="002D229E" w:rsidRDefault="007D1947">
          <w:pPr>
            <w:rPr>
              <w:rFonts w:ascii="Arial" w:hAnsi="Arial" w:cs="Arial"/>
            </w:rPr>
          </w:pPr>
        </w:p>
        <w:p w14:paraId="4CD36532" w14:textId="77777777" w:rsidR="007D1947" w:rsidRPr="002D229E" w:rsidRDefault="007D1947">
          <w:pPr>
            <w:rPr>
              <w:rFonts w:ascii="Arial" w:hAnsi="Arial" w:cs="Arial"/>
            </w:rPr>
          </w:pPr>
        </w:p>
        <w:p w14:paraId="64DE100B" w14:textId="77777777" w:rsidR="007D1947" w:rsidRPr="002D229E" w:rsidRDefault="007D1947">
          <w:pPr>
            <w:rPr>
              <w:rFonts w:ascii="Arial" w:hAnsi="Arial" w:cs="Arial"/>
            </w:rPr>
          </w:pPr>
        </w:p>
        <w:p w14:paraId="361A70E1" w14:textId="77777777" w:rsidR="007D1947" w:rsidRPr="002D229E" w:rsidRDefault="007D1947">
          <w:pPr>
            <w:rPr>
              <w:rFonts w:ascii="Arial" w:hAnsi="Arial" w:cs="Arial"/>
            </w:rPr>
          </w:pPr>
        </w:p>
        <w:p w14:paraId="2F693D62" w14:textId="77777777" w:rsidR="007D1947" w:rsidRPr="002D229E" w:rsidRDefault="007D1947">
          <w:pPr>
            <w:rPr>
              <w:rFonts w:ascii="Arial" w:hAnsi="Arial" w:cs="Arial"/>
            </w:rPr>
          </w:pPr>
        </w:p>
        <w:p w14:paraId="7364A3AD" w14:textId="77777777" w:rsidR="007D1947" w:rsidRPr="002D229E" w:rsidRDefault="007D1947">
          <w:pPr>
            <w:rPr>
              <w:rFonts w:ascii="Arial" w:hAnsi="Arial" w:cs="Arial"/>
            </w:rPr>
          </w:pPr>
        </w:p>
        <w:p w14:paraId="76E82432" w14:textId="77777777" w:rsidR="007D1947" w:rsidRPr="002D229E" w:rsidRDefault="007D1947">
          <w:pPr>
            <w:rPr>
              <w:rFonts w:ascii="Arial" w:hAnsi="Arial" w:cs="Arial"/>
            </w:rPr>
          </w:pPr>
        </w:p>
        <w:p w14:paraId="42C19836" w14:textId="77777777" w:rsidR="007D1947" w:rsidRPr="002D229E"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Pr="002D229E" w:rsidRDefault="007D1947">
              <w:pPr>
                <w:pStyle w:val="TOCHeading"/>
                <w:rPr>
                  <w:rFonts w:ascii="Arial" w:hAnsi="Arial" w:cs="Arial"/>
                </w:rPr>
              </w:pPr>
              <w:r w:rsidRPr="002D229E">
                <w:rPr>
                  <w:rFonts w:ascii="Arial" w:hAnsi="Arial" w:cs="Arial"/>
                </w:rPr>
                <w:t>Table of Contents</w:t>
              </w:r>
            </w:p>
            <w:p w14:paraId="4C790205" w14:textId="77777777" w:rsidR="00115B96" w:rsidRPr="002D229E" w:rsidRDefault="007D1947">
              <w:pPr>
                <w:pStyle w:val="TOC1"/>
                <w:tabs>
                  <w:tab w:val="right" w:leader="dot" w:pos="9016"/>
                </w:tabs>
                <w:rPr>
                  <w:rFonts w:ascii="Arial" w:eastAsiaTheme="minorEastAsia" w:hAnsi="Arial" w:cs="Arial"/>
                  <w:noProof/>
                  <w:lang w:eastAsia="en-GB"/>
                </w:rPr>
              </w:pPr>
              <w:r w:rsidRPr="002D229E">
                <w:rPr>
                  <w:rFonts w:ascii="Arial" w:hAnsi="Arial" w:cs="Arial"/>
                </w:rPr>
                <w:fldChar w:fldCharType="begin"/>
              </w:r>
              <w:r w:rsidRPr="002D229E">
                <w:rPr>
                  <w:rFonts w:ascii="Arial" w:hAnsi="Arial" w:cs="Arial"/>
                </w:rPr>
                <w:instrText xml:space="preserve"> TOC \o "1-3" \h \z \u </w:instrText>
              </w:r>
              <w:r w:rsidRPr="002D229E">
                <w:rPr>
                  <w:rFonts w:ascii="Arial" w:hAnsi="Arial" w:cs="Arial"/>
                </w:rPr>
                <w:fldChar w:fldCharType="separate"/>
              </w:r>
              <w:hyperlink w:anchor="_Toc463944599" w:history="1">
                <w:r w:rsidR="00115B96" w:rsidRPr="002D229E">
                  <w:rPr>
                    <w:rStyle w:val="Hyperlink"/>
                    <w:rFonts w:ascii="Arial" w:hAnsi="Arial" w:cs="Arial"/>
                    <w:noProof/>
                  </w:rPr>
                  <w:t>Executive Summary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_Toc463944599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1</w:t>
                </w:r>
                <w:r w:rsidR="00115B96" w:rsidRPr="002D229E">
                  <w:rPr>
                    <w:rFonts w:ascii="Arial" w:hAnsi="Arial" w:cs="Arial"/>
                    <w:noProof/>
                    <w:webHidden/>
                  </w:rPr>
                  <w:fldChar w:fldCharType="end"/>
                </w:r>
              </w:hyperlink>
            </w:p>
            <w:p w14:paraId="594F6124" w14:textId="77777777" w:rsidR="00115B96" w:rsidRPr="002D229E" w:rsidRDefault="00F2487C">
              <w:pPr>
                <w:pStyle w:val="TOC1"/>
                <w:tabs>
                  <w:tab w:val="right" w:leader="dot" w:pos="9016"/>
                </w:tabs>
                <w:rPr>
                  <w:rFonts w:ascii="Arial" w:eastAsiaTheme="minorEastAsia" w:hAnsi="Arial" w:cs="Arial"/>
                  <w:noProof/>
                  <w:lang w:eastAsia="en-GB"/>
                </w:rPr>
              </w:pPr>
              <w:hyperlink w:anchor="_Toc463944600" w:history="1">
                <w:r w:rsidR="00115B96" w:rsidRPr="002D229E">
                  <w:rPr>
                    <w:rStyle w:val="Hyperlink"/>
                    <w:rFonts w:ascii="Arial" w:hAnsi="Arial" w:cs="Arial"/>
                    <w:noProof/>
                  </w:rPr>
                  <w:t>Introduction</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_Toc463944600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3</w:t>
                </w:r>
                <w:r w:rsidR="00115B96" w:rsidRPr="002D229E">
                  <w:rPr>
                    <w:rFonts w:ascii="Arial" w:hAnsi="Arial" w:cs="Arial"/>
                    <w:noProof/>
                    <w:webHidden/>
                  </w:rPr>
                  <w:fldChar w:fldCharType="end"/>
                </w:r>
              </w:hyperlink>
            </w:p>
            <w:p w14:paraId="554E8E6C" w14:textId="77777777" w:rsidR="00115B96" w:rsidRPr="002D229E" w:rsidRDefault="00F2487C">
              <w:pPr>
                <w:pStyle w:val="TOC1"/>
                <w:tabs>
                  <w:tab w:val="right" w:leader="dot" w:pos="9016"/>
                </w:tabs>
                <w:rPr>
                  <w:rFonts w:ascii="Arial" w:eastAsiaTheme="minorEastAsia" w:hAnsi="Arial" w:cs="Arial"/>
                  <w:noProof/>
                  <w:lang w:eastAsia="en-GB"/>
                </w:rPr>
              </w:pPr>
              <w:hyperlink w:anchor="_Toc463944602" w:history="1">
                <w:r w:rsidR="00115B96" w:rsidRPr="002D229E">
                  <w:rPr>
                    <w:rStyle w:val="Hyperlink"/>
                    <w:rFonts w:ascii="Arial" w:hAnsi="Arial" w:cs="Arial"/>
                    <w:noProof/>
                  </w:rPr>
                  <w:t>Financial Analysis Trends</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_Toc463944602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41BAB81A" w14:textId="77777777" w:rsidR="00115B96" w:rsidRPr="002D229E" w:rsidRDefault="00F2487C">
              <w:pPr>
                <w:pStyle w:val="TOC2"/>
                <w:tabs>
                  <w:tab w:val="right" w:leader="dot" w:pos="9016"/>
                </w:tabs>
                <w:rPr>
                  <w:rFonts w:ascii="Arial" w:hAnsi="Arial" w:cs="Arial"/>
                  <w:noProof/>
                </w:rPr>
              </w:pPr>
              <w:hyperlink w:anchor="_Toc463944603" w:history="1">
                <w:r w:rsidR="00115B96" w:rsidRPr="002D229E">
                  <w:rPr>
                    <w:rStyle w:val="Hyperlink"/>
                    <w:rFonts w:ascii="Arial" w:hAnsi="Arial" w:cs="Arial"/>
                    <w:noProof/>
                  </w:rPr>
                  <w:t>Profitability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_Toc463944603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33358261" w14:textId="77777777" w:rsidR="00115B96" w:rsidRPr="002D229E" w:rsidRDefault="00F2487C">
              <w:pPr>
                <w:pStyle w:val="TOC2"/>
                <w:tabs>
                  <w:tab w:val="right" w:leader="dot" w:pos="9016"/>
                </w:tabs>
                <w:rPr>
                  <w:rFonts w:ascii="Arial" w:hAnsi="Arial" w:cs="Arial"/>
                  <w:noProof/>
                </w:rPr>
              </w:pPr>
              <w:hyperlink w:anchor="_Toc463944604" w:history="1">
                <w:r w:rsidR="00115B96" w:rsidRPr="002D229E">
                  <w:rPr>
                    <w:rStyle w:val="Hyperlink"/>
                    <w:rFonts w:ascii="Arial" w:hAnsi="Arial" w:cs="Arial"/>
                    <w:noProof/>
                  </w:rPr>
                  <w:t>Liquidity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_Toc463944604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26D7A146" w14:textId="77777777" w:rsidR="00115B96" w:rsidRPr="002D229E" w:rsidRDefault="00F2487C">
              <w:pPr>
                <w:pStyle w:val="TOC2"/>
                <w:tabs>
                  <w:tab w:val="right" w:leader="dot" w:pos="9016"/>
                </w:tabs>
                <w:rPr>
                  <w:rFonts w:ascii="Arial" w:hAnsi="Arial" w:cs="Arial"/>
                  <w:noProof/>
                </w:rPr>
              </w:pPr>
              <w:hyperlink w:anchor="_Toc463944605" w:history="1">
                <w:r w:rsidR="00115B96" w:rsidRPr="002D229E">
                  <w:rPr>
                    <w:rStyle w:val="Hyperlink"/>
                    <w:rFonts w:ascii="Arial" w:hAnsi="Arial" w:cs="Arial"/>
                    <w:noProof/>
                  </w:rPr>
                  <w:t>Gearing</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_Toc463944605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3952D2B2" w14:textId="77777777" w:rsidR="00115B96" w:rsidRPr="002D229E" w:rsidRDefault="00F2487C">
              <w:pPr>
                <w:pStyle w:val="TOC1"/>
                <w:tabs>
                  <w:tab w:val="right" w:leader="dot" w:pos="9016"/>
                </w:tabs>
                <w:rPr>
                  <w:rFonts w:ascii="Arial" w:eastAsiaTheme="minorEastAsia" w:hAnsi="Arial" w:cs="Arial"/>
                  <w:noProof/>
                  <w:lang w:eastAsia="en-GB"/>
                </w:rPr>
              </w:pPr>
              <w:hyperlink w:anchor="_Toc463944606" w:history="1">
                <w:r w:rsidR="00115B96" w:rsidRPr="002D229E">
                  <w:rPr>
                    <w:rStyle w:val="Hyperlink"/>
                    <w:rFonts w:ascii="Arial" w:hAnsi="Arial" w:cs="Arial"/>
                    <w:noProof/>
                  </w:rPr>
                  <w:t>Knowledge from Ratio Analysis</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_Toc463944606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3969CF74" w14:textId="77777777" w:rsidR="00115B96" w:rsidRPr="002D229E" w:rsidRDefault="00F2487C">
              <w:pPr>
                <w:pStyle w:val="TOC1"/>
                <w:tabs>
                  <w:tab w:val="right" w:leader="dot" w:pos="9016"/>
                </w:tabs>
                <w:rPr>
                  <w:rFonts w:ascii="Arial" w:eastAsiaTheme="minorEastAsia" w:hAnsi="Arial" w:cs="Arial"/>
                  <w:noProof/>
                  <w:lang w:eastAsia="en-GB"/>
                </w:rPr>
              </w:pPr>
              <w:hyperlink w:anchor="_Toc463944607" w:history="1">
                <w:r w:rsidR="00115B96" w:rsidRPr="002D229E">
                  <w:rPr>
                    <w:rStyle w:val="Hyperlink"/>
                    <w:rFonts w:ascii="Arial" w:hAnsi="Arial" w:cs="Arial"/>
                    <w:noProof/>
                  </w:rPr>
                  <w:t>Benefits and Limitations of Ratio Analysis</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_Toc463944607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2B487859" w14:textId="77777777" w:rsidR="00115B96" w:rsidRPr="002D229E" w:rsidRDefault="00F2487C">
              <w:pPr>
                <w:pStyle w:val="TOC1"/>
                <w:tabs>
                  <w:tab w:val="right" w:leader="dot" w:pos="9016"/>
                </w:tabs>
                <w:rPr>
                  <w:rFonts w:ascii="Arial" w:eastAsiaTheme="minorEastAsia" w:hAnsi="Arial" w:cs="Arial"/>
                  <w:noProof/>
                  <w:lang w:eastAsia="en-GB"/>
                </w:rPr>
              </w:pPr>
              <w:hyperlink w:anchor="_Toc463944608" w:history="1">
                <w:r w:rsidR="00115B96" w:rsidRPr="002D229E">
                  <w:rPr>
                    <w:rStyle w:val="Hyperlink"/>
                    <w:rFonts w:ascii="Arial" w:hAnsi="Arial" w:cs="Arial"/>
                    <w:noProof/>
                  </w:rPr>
                  <w:t>Conclusion (average of 10% of word count)</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_Toc463944608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5</w:t>
                </w:r>
                <w:r w:rsidR="00115B96" w:rsidRPr="002D229E">
                  <w:rPr>
                    <w:rFonts w:ascii="Arial" w:hAnsi="Arial" w:cs="Arial"/>
                    <w:noProof/>
                    <w:webHidden/>
                  </w:rPr>
                  <w:fldChar w:fldCharType="end"/>
                </w:r>
              </w:hyperlink>
            </w:p>
            <w:p w14:paraId="163DB4B1" w14:textId="77777777" w:rsidR="00115B96" w:rsidRPr="002D229E" w:rsidRDefault="00F2487C">
              <w:pPr>
                <w:pStyle w:val="TOC1"/>
                <w:tabs>
                  <w:tab w:val="right" w:leader="dot" w:pos="9016"/>
                </w:tabs>
                <w:rPr>
                  <w:rFonts w:ascii="Arial" w:eastAsiaTheme="minorEastAsia" w:hAnsi="Arial" w:cs="Arial"/>
                  <w:noProof/>
                  <w:lang w:eastAsia="en-GB"/>
                </w:rPr>
              </w:pPr>
              <w:hyperlink w:anchor="_Toc463944609" w:history="1">
                <w:r w:rsidR="00115B96" w:rsidRPr="002D229E">
                  <w:rPr>
                    <w:rStyle w:val="Hyperlink"/>
                    <w:rFonts w:ascii="Arial" w:hAnsi="Arial" w:cs="Arial"/>
                    <w:noProof/>
                  </w:rPr>
                  <w:t>Bibliography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_Toc463944609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6</w:t>
                </w:r>
                <w:r w:rsidR="00115B96" w:rsidRPr="002D229E">
                  <w:rPr>
                    <w:rFonts w:ascii="Arial" w:hAnsi="Arial" w:cs="Arial"/>
                    <w:noProof/>
                    <w:webHidden/>
                  </w:rPr>
                  <w:fldChar w:fldCharType="end"/>
                </w:r>
              </w:hyperlink>
            </w:p>
            <w:p w14:paraId="5849B348" w14:textId="77777777" w:rsidR="007D1947" w:rsidRPr="002D229E" w:rsidRDefault="007D1947">
              <w:pPr>
                <w:rPr>
                  <w:rFonts w:ascii="Arial" w:hAnsi="Arial" w:cs="Arial"/>
                </w:rPr>
              </w:pPr>
              <w:r w:rsidRPr="002D229E">
                <w:rPr>
                  <w:rFonts w:ascii="Arial" w:hAnsi="Arial" w:cs="Arial"/>
                  <w:b/>
                  <w:bCs/>
                  <w:noProof/>
                </w:rPr>
                <w:fldChar w:fldCharType="end"/>
              </w:r>
              <w:r w:rsidR="00115B96" w:rsidRPr="002D229E">
                <w:rPr>
                  <w:rFonts w:ascii="Arial" w:hAnsi="Arial" w:cs="Arial"/>
                  <w:b/>
                  <w:bCs/>
                  <w:noProof/>
                </w:rPr>
                <w:t>UPDATE TABLE FREQUENTLY – CHECK IT HAS BEEN UPDATED PRIOR TO SUBMISSION</w:t>
              </w:r>
            </w:p>
          </w:sdtContent>
        </w:sdt>
        <w:p w14:paraId="1E6FA7DA" w14:textId="77777777" w:rsidR="007D1947" w:rsidRPr="002D229E" w:rsidRDefault="007D1947">
          <w:pPr>
            <w:rPr>
              <w:rFonts w:ascii="Arial" w:hAnsi="Arial" w:cs="Arial"/>
            </w:rPr>
          </w:pPr>
        </w:p>
        <w:p w14:paraId="3C870FBE" w14:textId="77777777" w:rsidR="007D1947" w:rsidRPr="002D229E" w:rsidRDefault="007D1947">
          <w:pPr>
            <w:rPr>
              <w:rFonts w:ascii="Arial" w:hAnsi="Arial" w:cs="Arial"/>
            </w:rPr>
          </w:pPr>
        </w:p>
        <w:p w14:paraId="2473B2AF" w14:textId="77777777" w:rsidR="007D1947" w:rsidRPr="002D229E" w:rsidRDefault="007D1947">
          <w:pPr>
            <w:rPr>
              <w:rFonts w:ascii="Arial" w:hAnsi="Arial" w:cs="Arial"/>
            </w:rPr>
          </w:pPr>
        </w:p>
        <w:p w14:paraId="059AA211" w14:textId="77777777" w:rsidR="007D1947" w:rsidRPr="002D229E" w:rsidRDefault="007D1947">
          <w:pPr>
            <w:rPr>
              <w:rFonts w:ascii="Arial" w:hAnsi="Arial" w:cs="Arial"/>
            </w:rPr>
          </w:pPr>
        </w:p>
        <w:p w14:paraId="18482C63" w14:textId="77777777" w:rsidR="007D1947" w:rsidRPr="002D229E" w:rsidRDefault="007D1947">
          <w:pPr>
            <w:rPr>
              <w:rFonts w:ascii="Arial" w:hAnsi="Arial" w:cs="Arial"/>
            </w:rPr>
          </w:pPr>
        </w:p>
        <w:p w14:paraId="23DB8D03" w14:textId="77777777" w:rsidR="007D1947" w:rsidRPr="002D229E" w:rsidRDefault="007D1947">
          <w:pPr>
            <w:rPr>
              <w:rFonts w:ascii="Arial" w:hAnsi="Arial" w:cs="Arial"/>
            </w:rPr>
          </w:pPr>
        </w:p>
        <w:p w14:paraId="38BD64A9" w14:textId="77777777" w:rsidR="007D1947" w:rsidRPr="002D229E" w:rsidRDefault="007D1947">
          <w:pPr>
            <w:rPr>
              <w:rFonts w:ascii="Arial" w:hAnsi="Arial" w:cs="Arial"/>
            </w:rPr>
          </w:pPr>
        </w:p>
        <w:p w14:paraId="54CB868D" w14:textId="77777777" w:rsidR="007D1947" w:rsidRPr="002D229E" w:rsidRDefault="007D1947">
          <w:pPr>
            <w:rPr>
              <w:rFonts w:ascii="Arial" w:hAnsi="Arial" w:cs="Arial"/>
            </w:rPr>
          </w:pPr>
        </w:p>
        <w:p w14:paraId="1EF5C34A" w14:textId="77777777" w:rsidR="007D1947" w:rsidRPr="002D229E" w:rsidRDefault="007D1947">
          <w:pPr>
            <w:rPr>
              <w:rFonts w:ascii="Arial" w:hAnsi="Arial" w:cs="Arial"/>
            </w:rPr>
          </w:pPr>
        </w:p>
        <w:p w14:paraId="5551AF38" w14:textId="77777777" w:rsidR="007D1947" w:rsidRPr="002D229E" w:rsidRDefault="007D1947">
          <w:pPr>
            <w:rPr>
              <w:rFonts w:ascii="Arial" w:hAnsi="Arial" w:cs="Arial"/>
            </w:rPr>
          </w:pPr>
        </w:p>
        <w:p w14:paraId="39BBE02B" w14:textId="77777777" w:rsidR="007D1947" w:rsidRPr="002D229E" w:rsidRDefault="007D1947">
          <w:pPr>
            <w:rPr>
              <w:rFonts w:ascii="Arial" w:hAnsi="Arial" w:cs="Arial"/>
            </w:rPr>
          </w:pPr>
        </w:p>
        <w:p w14:paraId="7793AFE1" w14:textId="77777777" w:rsidR="007D1947" w:rsidRPr="002D229E" w:rsidRDefault="007D1947">
          <w:pPr>
            <w:rPr>
              <w:rFonts w:ascii="Arial" w:hAnsi="Arial" w:cs="Arial"/>
            </w:rPr>
          </w:pPr>
        </w:p>
        <w:p w14:paraId="77CF37E8" w14:textId="77777777" w:rsidR="007D1947" w:rsidRPr="002D229E" w:rsidRDefault="007D1947">
          <w:pPr>
            <w:rPr>
              <w:rFonts w:ascii="Arial" w:hAnsi="Arial" w:cs="Arial"/>
            </w:rPr>
          </w:pPr>
        </w:p>
        <w:p w14:paraId="63A0B225" w14:textId="77777777" w:rsidR="007D1947" w:rsidRPr="002D229E" w:rsidRDefault="007D1947">
          <w:pPr>
            <w:rPr>
              <w:rFonts w:ascii="Arial" w:hAnsi="Arial" w:cs="Arial"/>
            </w:rPr>
          </w:pPr>
        </w:p>
        <w:p w14:paraId="26DF20D1" w14:textId="77777777" w:rsidR="007D1947" w:rsidRPr="002D229E" w:rsidRDefault="007D1947">
          <w:pPr>
            <w:rPr>
              <w:rFonts w:ascii="Arial" w:hAnsi="Arial" w:cs="Arial"/>
            </w:rPr>
          </w:pPr>
        </w:p>
        <w:p w14:paraId="58FAB091" w14:textId="77777777" w:rsidR="007D1947" w:rsidRPr="002D229E" w:rsidRDefault="007D1947">
          <w:pPr>
            <w:rPr>
              <w:rFonts w:ascii="Arial" w:hAnsi="Arial" w:cs="Arial"/>
            </w:rPr>
          </w:pPr>
        </w:p>
        <w:p w14:paraId="24547ED3" w14:textId="77777777" w:rsidR="007D1947" w:rsidRPr="002D229E" w:rsidRDefault="007D1947">
          <w:pPr>
            <w:rPr>
              <w:rFonts w:ascii="Arial" w:hAnsi="Arial" w:cs="Arial"/>
            </w:rPr>
          </w:pPr>
        </w:p>
        <w:p w14:paraId="58921774" w14:textId="144F7F09" w:rsidR="007D1947" w:rsidRDefault="007D1947">
          <w:pPr>
            <w:rPr>
              <w:rFonts w:ascii="Arial" w:hAnsi="Arial" w:cs="Arial"/>
            </w:rPr>
          </w:pPr>
        </w:p>
        <w:p w14:paraId="48C93CC8" w14:textId="77777777" w:rsidR="002D229E" w:rsidRPr="002D229E" w:rsidRDefault="002D229E">
          <w:pPr>
            <w:rPr>
              <w:rFonts w:ascii="Arial" w:hAnsi="Arial" w:cs="Arial"/>
            </w:rPr>
          </w:pPr>
        </w:p>
        <w:p w14:paraId="2926D74B" w14:textId="77777777" w:rsidR="007D1947" w:rsidRPr="002D229E" w:rsidRDefault="007D1947">
          <w:pPr>
            <w:rPr>
              <w:rFonts w:ascii="Arial" w:hAnsi="Arial" w:cs="Arial"/>
            </w:rPr>
          </w:pPr>
        </w:p>
        <w:p w14:paraId="521E26EC" w14:textId="77777777" w:rsidR="007D1947" w:rsidRPr="002D229E" w:rsidRDefault="007D1947" w:rsidP="007D1947">
          <w:pPr>
            <w:pStyle w:val="Heading1"/>
            <w:rPr>
              <w:rFonts w:ascii="Arial" w:hAnsi="Arial" w:cs="Arial"/>
            </w:rPr>
          </w:pPr>
          <w:bookmarkStart w:id="1" w:name="_Toc463944600"/>
          <w:r w:rsidRPr="002D229E">
            <w:rPr>
              <w:rFonts w:ascii="Arial" w:hAnsi="Arial" w:cs="Arial"/>
            </w:rPr>
            <w:lastRenderedPageBreak/>
            <w:t>Introduction</w:t>
          </w:r>
          <w:bookmarkEnd w:id="1"/>
        </w:p>
        <w:p w14:paraId="69C7FAEE" w14:textId="77777777" w:rsidR="007D1947" w:rsidRPr="002D229E" w:rsidRDefault="007D1947" w:rsidP="007D1947">
          <w:pPr>
            <w:rPr>
              <w:rFonts w:ascii="Arial" w:hAnsi="Arial" w:cs="Arial"/>
            </w:rPr>
          </w:pPr>
        </w:p>
        <w:p w14:paraId="0D878A77" w14:textId="6573D1C6" w:rsidR="004A11F6" w:rsidRPr="002D229E" w:rsidRDefault="0092292B" w:rsidP="007D1947">
          <w:pPr>
            <w:rPr>
              <w:rFonts w:ascii="Arial" w:hAnsi="Arial" w:cs="Arial"/>
            </w:rPr>
          </w:pPr>
          <w:r w:rsidRPr="002D229E">
            <w:rPr>
              <w:rFonts w:ascii="Arial" w:hAnsi="Arial" w:cs="Arial"/>
            </w:rPr>
            <w:t xml:space="preserve">Marriott International Inc is a multinational corporation that operates in the hospitality and home management industries. It organises its activities "into five commercial branches: North American Limited-Service Lodging, North American Full-Service Lodging, International Lodging, Luxury Lodging, and Timeshares." J.W. Marriott founded the company in 1927, and his son, J.W. Marriott Jr., is the current CEO. The Marriott family owns around 21% of all business branches. </w:t>
          </w:r>
        </w:p>
        <w:p w14:paraId="274386C7" w14:textId="48A68946" w:rsidR="0092292B" w:rsidRPr="002D229E" w:rsidRDefault="0092292B" w:rsidP="007D1947">
          <w:pPr>
            <w:rPr>
              <w:rFonts w:ascii="Arial" w:hAnsi="Arial" w:cs="Arial"/>
            </w:rPr>
          </w:pPr>
          <w:r w:rsidRPr="002D229E">
            <w:rPr>
              <w:rFonts w:ascii="Arial" w:hAnsi="Arial" w:cs="Arial"/>
            </w:rPr>
            <w:t>According to current Marriott International Inc news, they are commencing a side venture on the Timeshares Business section of the corporation after changing the leadership team of the Townhouses branch. It is expected that the Timeshares sector will be distinct, sold on an open market organisation by the end of 2021. (</w:t>
          </w:r>
          <w:proofErr w:type="spellStart"/>
          <w:r w:rsidRPr="002D229E">
            <w:rPr>
              <w:rFonts w:ascii="Arial" w:hAnsi="Arial" w:cs="Arial"/>
            </w:rPr>
            <w:t>Alneyadi</w:t>
          </w:r>
          <w:proofErr w:type="spellEnd"/>
          <w:r w:rsidRPr="002D229E">
            <w:rPr>
              <w:rFonts w:ascii="Arial" w:hAnsi="Arial" w:cs="Arial"/>
            </w:rPr>
            <w:t xml:space="preserve"> et al., 2021). While this indicator indicates a minor failure in one area of the organisation, it also indicates that the problem has been identified and is being addressed. This is a volatile indicator in the short run, but I believe it is a good one for Marriott in the long run, as it shows a strong commitment to resolving the organization's current presentation difficulties and making strides toward increasing investor value.</w:t>
          </w:r>
        </w:p>
        <w:p w14:paraId="23D7B520" w14:textId="77777777" w:rsidR="004A11F6" w:rsidRPr="002D229E" w:rsidRDefault="004A11F6" w:rsidP="007D1947">
          <w:pPr>
            <w:rPr>
              <w:rFonts w:ascii="Arial" w:hAnsi="Arial" w:cs="Arial"/>
            </w:rPr>
          </w:pPr>
        </w:p>
        <w:p w14:paraId="254C4174" w14:textId="77777777" w:rsidR="004A11F6" w:rsidRPr="002D229E" w:rsidRDefault="004A11F6" w:rsidP="007D1947">
          <w:pPr>
            <w:rPr>
              <w:rFonts w:ascii="Arial" w:hAnsi="Arial" w:cs="Arial"/>
            </w:rPr>
          </w:pPr>
        </w:p>
        <w:p w14:paraId="7977B4C9" w14:textId="77777777" w:rsidR="004A11F6" w:rsidRPr="002D229E" w:rsidRDefault="004A11F6" w:rsidP="007D1947">
          <w:pPr>
            <w:rPr>
              <w:rFonts w:ascii="Arial" w:hAnsi="Arial" w:cs="Arial"/>
            </w:rPr>
          </w:pPr>
        </w:p>
        <w:p w14:paraId="005F8553" w14:textId="77777777" w:rsidR="004A11F6" w:rsidRPr="002D229E" w:rsidRDefault="004A11F6" w:rsidP="007D1947">
          <w:pPr>
            <w:rPr>
              <w:rFonts w:ascii="Arial" w:hAnsi="Arial" w:cs="Arial"/>
            </w:rPr>
          </w:pPr>
        </w:p>
        <w:p w14:paraId="6B8A6FD5" w14:textId="77777777" w:rsidR="004A11F6" w:rsidRPr="002D229E" w:rsidRDefault="004A11F6" w:rsidP="007D1947">
          <w:pPr>
            <w:rPr>
              <w:rFonts w:ascii="Arial" w:hAnsi="Arial" w:cs="Arial"/>
            </w:rPr>
          </w:pPr>
        </w:p>
        <w:p w14:paraId="38F11E70" w14:textId="77777777" w:rsidR="004A11F6" w:rsidRPr="002D229E" w:rsidRDefault="004A11F6" w:rsidP="007D1947">
          <w:pPr>
            <w:rPr>
              <w:rFonts w:ascii="Arial" w:hAnsi="Arial" w:cs="Arial"/>
            </w:rPr>
          </w:pPr>
        </w:p>
        <w:p w14:paraId="152991AC" w14:textId="77777777" w:rsidR="004A11F6" w:rsidRPr="002D229E" w:rsidRDefault="004A11F6" w:rsidP="007D1947">
          <w:pPr>
            <w:rPr>
              <w:rFonts w:ascii="Arial" w:hAnsi="Arial" w:cs="Arial"/>
            </w:rPr>
          </w:pPr>
        </w:p>
        <w:p w14:paraId="76C624EF" w14:textId="77777777" w:rsidR="004A11F6" w:rsidRPr="002D229E" w:rsidRDefault="004A11F6" w:rsidP="007D1947">
          <w:pPr>
            <w:rPr>
              <w:rFonts w:ascii="Arial" w:hAnsi="Arial" w:cs="Arial"/>
            </w:rPr>
          </w:pPr>
        </w:p>
        <w:p w14:paraId="2A83E088" w14:textId="77777777" w:rsidR="004A11F6" w:rsidRPr="002D229E" w:rsidRDefault="004A11F6" w:rsidP="007D1947">
          <w:pPr>
            <w:rPr>
              <w:rFonts w:ascii="Arial" w:hAnsi="Arial" w:cs="Arial"/>
            </w:rPr>
          </w:pPr>
        </w:p>
        <w:p w14:paraId="2049970D" w14:textId="77777777" w:rsidR="004A11F6" w:rsidRPr="002D229E" w:rsidRDefault="004A11F6" w:rsidP="007D1947">
          <w:pPr>
            <w:rPr>
              <w:rFonts w:ascii="Arial" w:hAnsi="Arial" w:cs="Arial"/>
            </w:rPr>
          </w:pPr>
        </w:p>
        <w:p w14:paraId="423498CD" w14:textId="77777777" w:rsidR="004A11F6" w:rsidRPr="002D229E" w:rsidRDefault="004A11F6" w:rsidP="007D1947">
          <w:pPr>
            <w:rPr>
              <w:rFonts w:ascii="Arial" w:hAnsi="Arial" w:cs="Arial"/>
            </w:rPr>
          </w:pPr>
        </w:p>
        <w:p w14:paraId="76D6CA75" w14:textId="77777777" w:rsidR="004A11F6" w:rsidRPr="002D229E" w:rsidRDefault="004A11F6" w:rsidP="007D1947">
          <w:pPr>
            <w:rPr>
              <w:rFonts w:ascii="Arial" w:hAnsi="Arial" w:cs="Arial"/>
            </w:rPr>
          </w:pPr>
        </w:p>
        <w:p w14:paraId="2921F07A" w14:textId="77777777" w:rsidR="004A11F6" w:rsidRPr="002D229E" w:rsidRDefault="004A11F6" w:rsidP="007D1947">
          <w:pPr>
            <w:rPr>
              <w:rFonts w:ascii="Arial" w:hAnsi="Arial" w:cs="Arial"/>
            </w:rPr>
          </w:pPr>
        </w:p>
        <w:p w14:paraId="16134978" w14:textId="77777777" w:rsidR="004A11F6" w:rsidRPr="002D229E" w:rsidRDefault="004A11F6" w:rsidP="007D1947">
          <w:pPr>
            <w:rPr>
              <w:rFonts w:ascii="Arial" w:hAnsi="Arial" w:cs="Arial"/>
            </w:rPr>
          </w:pPr>
        </w:p>
        <w:p w14:paraId="7CF64F91" w14:textId="77777777" w:rsidR="004A11F6" w:rsidRPr="002D229E" w:rsidRDefault="004A11F6" w:rsidP="007D1947">
          <w:pPr>
            <w:rPr>
              <w:rFonts w:ascii="Arial" w:hAnsi="Arial" w:cs="Arial"/>
            </w:rPr>
          </w:pPr>
        </w:p>
        <w:p w14:paraId="105758C0" w14:textId="77777777" w:rsidR="004A11F6" w:rsidRPr="002D229E" w:rsidRDefault="004A11F6" w:rsidP="007D1947">
          <w:pPr>
            <w:rPr>
              <w:rFonts w:ascii="Arial" w:hAnsi="Arial" w:cs="Arial"/>
            </w:rPr>
          </w:pPr>
        </w:p>
        <w:p w14:paraId="01F486F6" w14:textId="77777777" w:rsidR="004A11F6" w:rsidRPr="002D229E" w:rsidRDefault="004A11F6" w:rsidP="007D1947">
          <w:pPr>
            <w:rPr>
              <w:rFonts w:ascii="Arial" w:hAnsi="Arial" w:cs="Arial"/>
            </w:rPr>
          </w:pPr>
        </w:p>
        <w:p w14:paraId="1CEA2A3D" w14:textId="77777777" w:rsidR="004A11F6" w:rsidRPr="002D229E" w:rsidRDefault="004A11F6" w:rsidP="007D1947">
          <w:pPr>
            <w:rPr>
              <w:rFonts w:ascii="Arial" w:hAnsi="Arial" w:cs="Arial"/>
            </w:rPr>
          </w:pPr>
        </w:p>
        <w:p w14:paraId="5E6339B5" w14:textId="77777777" w:rsidR="004A11F6" w:rsidRPr="002D229E" w:rsidRDefault="004A11F6" w:rsidP="007D1947">
          <w:pPr>
            <w:rPr>
              <w:rFonts w:ascii="Arial" w:hAnsi="Arial" w:cs="Arial"/>
            </w:rPr>
          </w:pPr>
        </w:p>
        <w:p w14:paraId="21842701" w14:textId="77777777" w:rsidR="004A11F6" w:rsidRPr="002D229E" w:rsidRDefault="004A11F6" w:rsidP="007D1947">
          <w:pPr>
            <w:rPr>
              <w:rFonts w:ascii="Arial" w:hAnsi="Arial" w:cs="Arial"/>
            </w:rPr>
          </w:pPr>
        </w:p>
        <w:p w14:paraId="65D911F3" w14:textId="77777777" w:rsidR="004A11F6" w:rsidRPr="002D229E" w:rsidRDefault="004D519C" w:rsidP="004D519C">
          <w:pPr>
            <w:pStyle w:val="Heading1"/>
            <w:rPr>
              <w:rFonts w:ascii="Arial" w:hAnsi="Arial" w:cs="Arial"/>
            </w:rPr>
          </w:pPr>
          <w:bookmarkStart w:id="2" w:name="_Toc463944602"/>
          <w:r w:rsidRPr="002D229E">
            <w:rPr>
              <w:rFonts w:ascii="Arial" w:hAnsi="Arial" w:cs="Arial"/>
            </w:rPr>
            <w:lastRenderedPageBreak/>
            <w:t>Financial Analysis Trends</w:t>
          </w:r>
          <w:bookmarkEnd w:id="2"/>
        </w:p>
        <w:p w14:paraId="31921F49" w14:textId="77777777" w:rsidR="00284F1F" w:rsidRPr="002D229E" w:rsidRDefault="00284F1F" w:rsidP="00284F1F">
          <w:pPr>
            <w:rPr>
              <w:rFonts w:ascii="Arial" w:hAnsi="Arial" w:cs="Arial"/>
            </w:rPr>
          </w:pPr>
        </w:p>
        <w:p w14:paraId="4DC6FCCD" w14:textId="77777777" w:rsidR="004D519C" w:rsidRPr="002D229E" w:rsidRDefault="004D519C" w:rsidP="004D519C">
          <w:pPr>
            <w:pStyle w:val="Heading2"/>
            <w:rPr>
              <w:rFonts w:ascii="Arial" w:hAnsi="Arial" w:cs="Arial"/>
            </w:rPr>
          </w:pPr>
          <w:bookmarkStart w:id="3" w:name="_Toc463944603"/>
          <w:r w:rsidRPr="002D229E">
            <w:rPr>
              <w:rFonts w:ascii="Arial" w:hAnsi="Arial" w:cs="Arial"/>
            </w:rPr>
            <w:t>Profitability</w:t>
          </w:r>
          <w:bookmarkEnd w:id="3"/>
        </w:p>
        <w:p w14:paraId="1EDEF6E3" w14:textId="0CE8DFD1" w:rsidR="00D626B5" w:rsidRPr="002D229E" w:rsidRDefault="00A232BF" w:rsidP="004D519C">
          <w:pPr>
            <w:rPr>
              <w:rFonts w:ascii="Arial" w:hAnsi="Arial" w:cs="Arial"/>
            </w:rPr>
          </w:pPr>
          <w:r w:rsidRPr="002D229E">
            <w:rPr>
              <w:rFonts w:ascii="Arial" w:hAnsi="Arial" w:cs="Arial"/>
            </w:rPr>
            <w:t xml:space="preserve">Profit </w:t>
          </w:r>
          <w:proofErr w:type="gramStart"/>
          <w:r w:rsidR="00D626B5" w:rsidRPr="002D229E">
            <w:rPr>
              <w:rFonts w:ascii="Arial" w:hAnsi="Arial" w:cs="Arial"/>
            </w:rPr>
            <w:t>pay</w:t>
          </w:r>
          <w:proofErr w:type="gramEnd"/>
          <w:r w:rsidR="00D626B5" w:rsidRPr="002D229E">
            <w:rPr>
              <w:rFonts w:ascii="Arial" w:hAnsi="Arial" w:cs="Arial"/>
            </w:rPr>
            <w:t xml:space="preserve"> out</w:t>
          </w:r>
          <w:r w:rsidRPr="002D229E">
            <w:rPr>
              <w:rFonts w:ascii="Arial" w:hAnsi="Arial" w:cs="Arial"/>
            </w:rPr>
            <w:t xml:space="preserve"> proportion is additional helpful indicator for demonstrating how a firm develops, financial security, and comparable returns provided to its investors and shareholders. The linked dividend payment proportion "calculates the amount of organisation income paid out to valued financial backers in the form of profits." The greater the percentage esteem, the more stable a firm's earnings can maintain profit distributions, and the more stable an organisation is perceived to be. "Held income, or the amount of revenues not distributed to investors as profits, demonstrates which portion of profits a firm is reinvesting in developing its business" (Chu, 2014)</w:t>
          </w:r>
          <w:r w:rsidR="002E7381">
            <w:rPr>
              <w:rFonts w:ascii="Arial" w:hAnsi="Arial" w:cs="Arial"/>
            </w:rPr>
            <w:t xml:space="preserve"> </w:t>
          </w:r>
          <w:r w:rsidR="002E7381" w:rsidRPr="002E7381">
            <w:rPr>
              <w:rFonts w:ascii="Arial" w:hAnsi="Arial" w:cs="Arial"/>
            </w:rPr>
            <w:t>The hospitality business is a significant branch of the service sector that comprises smaller branches such as hotels and accommodation, event organising, theme parks, transportation, cruise lines, and other tourism-related areas. Because the hotel business is so broad, it is critical to develop a set of financial statistics that can be used to examine organisations across the board, regardless of activities. Because the hotel business is heavy on fixed and physical assets, a highly particular set of financial measures is required to effectively examine the industry and the performance of individual enterprises. The following are essential financial ratios for analysing organisations in the hospitality sector.</w:t>
          </w:r>
          <w:r w:rsidR="00941CA9">
            <w:rPr>
              <w:rFonts w:ascii="Arial" w:hAnsi="Arial" w:cs="Arial"/>
            </w:rPr>
            <w:t xml:space="preserve"> </w:t>
          </w:r>
          <w:r w:rsidR="00E83D32">
            <w:rPr>
              <w:rFonts w:ascii="Arial" w:hAnsi="Arial" w:cs="Arial"/>
            </w:rPr>
            <w:t>Revfine, (n.d.) Discusses, t</w:t>
          </w:r>
          <w:r w:rsidR="00941CA9" w:rsidRPr="00941CA9">
            <w:rPr>
              <w:rFonts w:ascii="Arial" w:hAnsi="Arial" w:cs="Arial"/>
            </w:rPr>
            <w:t>he ROS ratio is significant because it reflects the average profit margin a company earns from its profits - before taxes and finance expenditures - and gives valuable information into how its core business operations are conducted. For example, if the average profit margin for rivals in the same industry is 10% and the firm under consideration has a ROS ratio of 4%, this indicates that there might be major difficulties ranging from product price to sales channels to production expenses.</w:t>
          </w:r>
        </w:p>
        <w:p w14:paraId="6CD58C45" w14:textId="69F8FFA4" w:rsidR="004D519C" w:rsidRPr="002D229E" w:rsidRDefault="004D519C" w:rsidP="004D519C">
          <w:pPr>
            <w:pStyle w:val="Heading2"/>
            <w:rPr>
              <w:rFonts w:ascii="Arial" w:hAnsi="Arial" w:cs="Arial"/>
            </w:rPr>
          </w:pPr>
          <w:bookmarkStart w:id="4" w:name="_Toc463944604"/>
          <w:r w:rsidRPr="002D229E">
            <w:rPr>
              <w:rFonts w:ascii="Arial" w:hAnsi="Arial" w:cs="Arial"/>
            </w:rPr>
            <w:lastRenderedPageBreak/>
            <w:t>Liquidity</w:t>
          </w:r>
          <w:bookmarkEnd w:id="4"/>
        </w:p>
        <w:p w14:paraId="7215CB06" w14:textId="2B7DFE01" w:rsidR="002D46F2" w:rsidRPr="002D229E" w:rsidRDefault="002D46F2" w:rsidP="004D519C">
          <w:pPr>
            <w:pStyle w:val="Heading2"/>
            <w:rPr>
              <w:rFonts w:ascii="Arial" w:hAnsi="Arial" w:cs="Arial"/>
            </w:rPr>
          </w:pPr>
          <w:bookmarkStart w:id="5" w:name="_Toc463944605"/>
          <w:r w:rsidRPr="002D229E">
            <w:rPr>
              <w:rFonts w:ascii="Arial" w:eastAsiaTheme="minorHAnsi" w:hAnsi="Arial" w:cs="Arial"/>
              <w:color w:val="auto"/>
              <w:sz w:val="22"/>
              <w:szCs w:val="22"/>
            </w:rPr>
            <w:t>As time has passed over the last two years, we can observe that the liquidity measure and ratios have consistently expanded. This demonstrates that Marriott International has more capital available to invest on new ventures and to pay its duties if they are called upon. Improvement measures and ratios are particularly useful when used to compare two connecting with relationships within a similar industry to see how a certain organisation ranks among its partners. Regardless, advancement measures and ratios may be used to track an organization's financial progress through several recording periods to see how it evolves over time. These figures should provide a forward-looking view of a connection's progress toward display. The internal and external resource turnover metric and ratio assesses how well a substance utilises its supplies for sensitive an arrangement (</w:t>
          </w:r>
          <w:proofErr w:type="spellStart"/>
          <w:r w:rsidRPr="002D229E">
            <w:rPr>
              <w:rFonts w:ascii="Arial" w:eastAsiaTheme="minorHAnsi" w:hAnsi="Arial" w:cs="Arial"/>
              <w:color w:val="auto"/>
              <w:sz w:val="22"/>
              <w:szCs w:val="22"/>
            </w:rPr>
            <w:t>Alneyadi</w:t>
          </w:r>
          <w:proofErr w:type="spellEnd"/>
          <w:r w:rsidRPr="002D229E">
            <w:rPr>
              <w:rFonts w:ascii="Arial" w:eastAsiaTheme="minorHAnsi" w:hAnsi="Arial" w:cs="Arial"/>
              <w:color w:val="auto"/>
              <w:sz w:val="22"/>
              <w:szCs w:val="22"/>
            </w:rPr>
            <w:t xml:space="preserve"> et al., 2021). Inside and outside plans are constrained by strict resources to determine how well a corporation uses its resources. More honest measures and ratios may reveal that an organisation is interacting with in order to transfer its items.</w:t>
          </w:r>
          <w:r w:rsidR="004474AA" w:rsidRPr="004474AA">
            <w:t xml:space="preserve"> </w:t>
          </w:r>
          <w:r w:rsidR="004474AA" w:rsidRPr="004474AA">
            <w:rPr>
              <w:rFonts w:ascii="Arial" w:eastAsiaTheme="minorHAnsi" w:hAnsi="Arial" w:cs="Arial"/>
              <w:color w:val="auto"/>
              <w:sz w:val="22"/>
              <w:szCs w:val="22"/>
            </w:rPr>
            <w:t xml:space="preserve">Liquidity ratios tell stakeholders about a company's capacity to satisfy its short-term financial commitments. Because the hotel business requires a large quantity of cash flow and has many short-term financial commitments to meet, liquidity ratios are an important aspect of the industry's research. </w:t>
          </w:r>
          <w:r w:rsidR="008D5068">
            <w:rPr>
              <w:rFonts w:ascii="Arial" w:eastAsiaTheme="minorHAnsi" w:hAnsi="Arial" w:cs="Arial"/>
              <w:color w:val="auto"/>
              <w:sz w:val="22"/>
              <w:szCs w:val="22"/>
            </w:rPr>
            <w:t xml:space="preserve">Tarver, E, (2021), </w:t>
          </w:r>
          <w:r w:rsidR="00941CA9">
            <w:rPr>
              <w:rFonts w:ascii="Arial" w:eastAsiaTheme="minorHAnsi" w:hAnsi="Arial" w:cs="Arial"/>
              <w:color w:val="auto"/>
              <w:sz w:val="22"/>
              <w:szCs w:val="22"/>
            </w:rPr>
            <w:t xml:space="preserve">Discusses, </w:t>
          </w:r>
          <w:proofErr w:type="gramStart"/>
          <w:r w:rsidR="004474AA" w:rsidRPr="004474AA">
            <w:rPr>
              <w:rFonts w:ascii="Arial" w:eastAsiaTheme="minorHAnsi" w:hAnsi="Arial" w:cs="Arial"/>
              <w:color w:val="auto"/>
              <w:sz w:val="22"/>
              <w:szCs w:val="22"/>
            </w:rPr>
            <w:t>The</w:t>
          </w:r>
          <w:proofErr w:type="gramEnd"/>
          <w:r w:rsidR="004474AA" w:rsidRPr="004474AA">
            <w:rPr>
              <w:rFonts w:ascii="Arial" w:eastAsiaTheme="minorHAnsi" w:hAnsi="Arial" w:cs="Arial"/>
              <w:color w:val="auto"/>
              <w:sz w:val="22"/>
              <w:szCs w:val="22"/>
            </w:rPr>
            <w:t xml:space="preserve"> current ratio is a liquidity metric that demonstrates how well a firm can fulfil all of its short-term commitments with its short-term assets on hand. Short-term assets include inventories but do not include long-term resources such as land, plant, and equipment.</w:t>
          </w:r>
          <w:r w:rsidR="004474AA" w:rsidRPr="004474AA">
            <w:t xml:space="preserve"> </w:t>
          </w:r>
          <w:r w:rsidR="004474AA" w:rsidRPr="004474AA">
            <w:rPr>
              <w:rFonts w:ascii="Arial" w:eastAsiaTheme="minorHAnsi" w:hAnsi="Arial" w:cs="Arial"/>
              <w:color w:val="auto"/>
              <w:sz w:val="22"/>
              <w:szCs w:val="22"/>
            </w:rPr>
            <w:t>Companies in the hospitality business have a lot of current obligations, such as salary and wages, brief equipment leasing, and other short-term obligations. Furthermore, because it is a cyclical business, organisations must have adequate current assets to meet current liabilities even during an economic downturn. Stakeholders want to see a high current ratio above one to judge how solid a hospitality firm is.</w:t>
          </w:r>
        </w:p>
        <w:p w14:paraId="1AAF9BBC" w14:textId="77777777" w:rsidR="002D46F2" w:rsidRPr="002D229E" w:rsidRDefault="002D46F2" w:rsidP="004D519C">
          <w:pPr>
            <w:pStyle w:val="Heading2"/>
            <w:rPr>
              <w:rFonts w:ascii="Arial" w:hAnsi="Arial" w:cs="Arial"/>
            </w:rPr>
          </w:pPr>
        </w:p>
        <w:p w14:paraId="76DC4E55" w14:textId="491A8D68" w:rsidR="004D519C" w:rsidRPr="002D229E" w:rsidRDefault="004D519C" w:rsidP="004D519C">
          <w:pPr>
            <w:pStyle w:val="Heading2"/>
            <w:rPr>
              <w:rFonts w:ascii="Arial" w:hAnsi="Arial" w:cs="Arial"/>
            </w:rPr>
          </w:pPr>
          <w:r w:rsidRPr="002D229E">
            <w:rPr>
              <w:rFonts w:ascii="Arial" w:hAnsi="Arial" w:cs="Arial"/>
            </w:rPr>
            <w:t>Gearing</w:t>
          </w:r>
          <w:bookmarkEnd w:id="5"/>
        </w:p>
        <w:p w14:paraId="577CA451" w14:textId="54BA2641" w:rsidR="002F79FF" w:rsidRPr="002D229E" w:rsidRDefault="002F79FF" w:rsidP="00AA2A91">
          <w:pPr>
            <w:pStyle w:val="Heading1"/>
            <w:rPr>
              <w:rFonts w:ascii="Arial" w:eastAsiaTheme="minorHAnsi" w:hAnsi="Arial" w:cs="Arial"/>
              <w:color w:val="auto"/>
              <w:sz w:val="22"/>
              <w:szCs w:val="22"/>
            </w:rPr>
          </w:pPr>
          <w:bookmarkStart w:id="6" w:name="_Toc463944606"/>
          <w:r w:rsidRPr="002D229E">
            <w:rPr>
              <w:rFonts w:ascii="Arial" w:eastAsiaTheme="minorHAnsi" w:hAnsi="Arial" w:cs="Arial"/>
              <w:color w:val="auto"/>
              <w:sz w:val="22"/>
              <w:szCs w:val="22"/>
            </w:rPr>
            <w:t xml:space="preserve">The tolerance for debt levels varies by industry. Some industries have acceptable gearing ratios. They have very consistent cash streams, thus their capacity to service debts is likewise strong. Take the electricity corporations, for example. Despite having high gearing, </w:t>
          </w:r>
          <w:proofErr w:type="spellStart"/>
          <w:r w:rsidR="001D376B" w:rsidRPr="002D229E">
            <w:rPr>
              <w:rFonts w:ascii="Arial" w:eastAsiaTheme="minorHAnsi" w:hAnsi="Arial" w:cs="Arial"/>
              <w:color w:val="auto"/>
              <w:sz w:val="22"/>
              <w:szCs w:val="22"/>
            </w:rPr>
            <w:t>Nasrudin</w:t>
          </w:r>
          <w:proofErr w:type="spellEnd"/>
          <w:r w:rsidR="001D376B" w:rsidRPr="002D229E">
            <w:rPr>
              <w:rFonts w:ascii="Arial" w:eastAsiaTheme="minorHAnsi" w:hAnsi="Arial" w:cs="Arial"/>
              <w:color w:val="auto"/>
              <w:sz w:val="22"/>
              <w:szCs w:val="22"/>
            </w:rPr>
            <w:t xml:space="preserve">, A, (2022), </w:t>
          </w:r>
          <w:r w:rsidRPr="002D229E">
            <w:rPr>
              <w:rFonts w:ascii="Arial" w:eastAsiaTheme="minorHAnsi" w:hAnsi="Arial" w:cs="Arial"/>
              <w:color w:val="auto"/>
              <w:sz w:val="22"/>
              <w:szCs w:val="22"/>
            </w:rPr>
            <w:t>businesses may nevertheless obtain cash inflows. They often operate in a monopolistic market and hence have significant market power. Their income sources are also reasonably reliable since they are immune to business cycle swings. Consumers will pay their power bills whether there is a crisis or not.</w:t>
          </w:r>
          <w:r w:rsidRPr="002D229E">
            <w:rPr>
              <w:rFonts w:ascii="Arial" w:hAnsi="Arial" w:cs="Arial"/>
            </w:rPr>
            <w:t xml:space="preserve"> </w:t>
          </w:r>
          <w:r w:rsidRPr="002D229E">
            <w:rPr>
              <w:rFonts w:ascii="Arial" w:eastAsiaTheme="minorHAnsi" w:hAnsi="Arial" w:cs="Arial"/>
              <w:color w:val="auto"/>
              <w:sz w:val="22"/>
              <w:szCs w:val="22"/>
            </w:rPr>
            <w:t>Furthermore, if businesses can arrange debt for productive investment, they will be able to generate greater income in the future. They can use money to buy capital goods, construct manufacturing facilities, acquire other businesses, and add new products and services. This allows them to make and sell more things. They can utilise the extra money to pay off debts and pay off interest.</w:t>
          </w:r>
          <w:r w:rsidR="00EF60BA" w:rsidRPr="002D229E">
            <w:rPr>
              <w:rFonts w:ascii="Arial" w:hAnsi="Arial" w:cs="Arial"/>
            </w:rPr>
            <w:t xml:space="preserve"> </w:t>
          </w:r>
          <w:r w:rsidR="00EF60BA" w:rsidRPr="002D229E">
            <w:rPr>
              <w:rFonts w:ascii="Arial" w:eastAsiaTheme="minorHAnsi" w:hAnsi="Arial" w:cs="Arial"/>
              <w:color w:val="auto"/>
              <w:sz w:val="22"/>
              <w:szCs w:val="22"/>
            </w:rPr>
            <w:t>When the majority of a company's capital comes from equity, it has low gearing. They are thought to be financially secure. They face less financial risk. Companies are less exposed to default and bankruptcy risk during periods of low profit and high interest rates. This might signify prudent money management. Companies may be unable to capitalise on growth prospects by incurring debt. Shareholders, on the other hand, may expect the corporation to pay out dividends on a regular basis.</w:t>
          </w:r>
        </w:p>
        <w:p w14:paraId="045A67EE" w14:textId="1B51C08C" w:rsidR="00E0563E" w:rsidRPr="002D229E" w:rsidRDefault="00E0563E" w:rsidP="00E0563E">
          <w:pPr>
            <w:rPr>
              <w:rFonts w:ascii="Arial" w:hAnsi="Arial" w:cs="Arial"/>
            </w:rPr>
          </w:pPr>
        </w:p>
        <w:p w14:paraId="2A547F58" w14:textId="06A62D90" w:rsidR="00E0563E" w:rsidRPr="002D229E" w:rsidRDefault="00E0563E" w:rsidP="00E0563E">
          <w:pPr>
            <w:rPr>
              <w:rFonts w:ascii="Arial" w:hAnsi="Arial" w:cs="Arial"/>
            </w:rPr>
          </w:pPr>
        </w:p>
        <w:p w14:paraId="302E9194" w14:textId="410B1168" w:rsidR="00E0563E" w:rsidRPr="002D229E" w:rsidRDefault="00E0563E" w:rsidP="00E0563E">
          <w:pPr>
            <w:rPr>
              <w:rFonts w:ascii="Arial" w:hAnsi="Arial" w:cs="Arial"/>
            </w:rPr>
          </w:pPr>
          <w:r w:rsidRPr="002D229E">
            <w:rPr>
              <w:rFonts w:ascii="Arial" w:hAnsi="Arial" w:cs="Arial"/>
              <w:noProof/>
            </w:rPr>
            <w:lastRenderedPageBreak/>
            <w:drawing>
              <wp:inline distT="0" distB="0" distL="0" distR="0" wp14:anchorId="1D981A82" wp14:editId="681AA157">
                <wp:extent cx="4572000" cy="2743200"/>
                <wp:effectExtent l="0" t="0" r="0" b="0"/>
                <wp:docPr id="1" name="Chart 1">
                  <a:extLst xmlns:a="http://schemas.openxmlformats.org/drawingml/2006/main">
                    <a:ext uri="{FF2B5EF4-FFF2-40B4-BE49-F238E27FC236}">
                      <a16:creationId xmlns:a16="http://schemas.microsoft.com/office/drawing/2014/main" id="{67506C54-DE52-5171-4425-EAC4B1679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A79427" w14:textId="16DFFD45" w:rsidR="00161F0C" w:rsidRPr="002D229E" w:rsidRDefault="00161F0C" w:rsidP="00E0563E">
          <w:pPr>
            <w:rPr>
              <w:rFonts w:ascii="Arial" w:hAnsi="Arial" w:cs="Arial"/>
            </w:rPr>
          </w:pPr>
          <w:r w:rsidRPr="002D229E">
            <w:rPr>
              <w:rFonts w:ascii="Arial" w:hAnsi="Arial" w:cs="Arial"/>
              <w:noProof/>
            </w:rPr>
            <w:drawing>
              <wp:inline distT="0" distB="0" distL="0" distR="0" wp14:anchorId="2A03F498" wp14:editId="74CB2B5B">
                <wp:extent cx="4572000" cy="2743200"/>
                <wp:effectExtent l="0" t="0" r="0" b="0"/>
                <wp:docPr id="2" name="Chart 2">
                  <a:extLst xmlns:a="http://schemas.openxmlformats.org/drawingml/2006/main">
                    <a:ext uri="{FF2B5EF4-FFF2-40B4-BE49-F238E27FC236}">
                      <a16:creationId xmlns:a16="http://schemas.microsoft.com/office/drawing/2014/main" id="{ABFD7AF9-45A8-A997-95CE-D1213419F5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D469E22" w14:textId="060A62CA" w:rsidR="00AA2A91" w:rsidRPr="002D229E" w:rsidRDefault="00AA2A91" w:rsidP="00AA2A91">
          <w:pPr>
            <w:pStyle w:val="Heading1"/>
            <w:rPr>
              <w:rFonts w:ascii="Arial" w:hAnsi="Arial" w:cs="Arial"/>
            </w:rPr>
          </w:pPr>
          <w:r w:rsidRPr="002D229E">
            <w:rPr>
              <w:rFonts w:ascii="Arial" w:hAnsi="Arial" w:cs="Arial"/>
            </w:rPr>
            <w:t>Knowledge from Ratio Analysis</w:t>
          </w:r>
          <w:bookmarkEnd w:id="6"/>
        </w:p>
        <w:p w14:paraId="6F79F50F" w14:textId="738FBDD0" w:rsidR="00AA2A91" w:rsidRPr="002D229E" w:rsidRDefault="00FF60B5" w:rsidP="00AA2A91">
          <w:pPr>
            <w:rPr>
              <w:rFonts w:ascii="Arial" w:hAnsi="Arial" w:cs="Arial"/>
            </w:rPr>
          </w:pPr>
          <w:r w:rsidRPr="002D229E">
            <w:rPr>
              <w:rFonts w:ascii="Arial" w:hAnsi="Arial" w:cs="Arial"/>
            </w:rPr>
            <w:t xml:space="preserve">The data utilised in the research is based on actual prior results published by the firm. As a result, ratio analysis indicators may not always accurately predict future firm success. Financial statements are provided on a regular basis, thus there are time gaps between each publication. If there has been inflation between periods, actual prices are not represented in the financial accounts. As a result, </w:t>
          </w:r>
          <w:r w:rsidR="00342553" w:rsidRPr="002D229E">
            <w:rPr>
              <w:rFonts w:ascii="Arial" w:hAnsi="Arial" w:cs="Arial"/>
            </w:rPr>
            <w:t xml:space="preserve">CFI Team, (2022), </w:t>
          </w:r>
          <w:r w:rsidRPr="002D229E">
            <w:rPr>
              <w:rFonts w:ascii="Arial" w:hAnsi="Arial" w:cs="Arial"/>
            </w:rPr>
            <w:t xml:space="preserve">figures from various time periods are incomparable unless they are corrected for inflation. If the company's accounting standards and practises have changed, this may have a substantial impact on financial reporting. The major financial measures used in ratio analysis are changed in this situation, and the financial outcomes reported after the adjustment are not equivalent to the outcomes produced before the change. It is the analyst's responsibility to stay current on changes in accounting policies. Changes are usually noted in the notes to the accounting statements. A company's operational structure can alter dramatically, from its supply chain strategy to the product it sells. When large operational changes occur, comparing financial indicators before and after the change may lead to inaccurate inferences about the company's performance and future prospects. An analysis should be mindful of seasonal influences that may result in ratio analysis limits. The failure to modify the ratio analysis for </w:t>
          </w:r>
          <w:r w:rsidRPr="002D229E">
            <w:rPr>
              <w:rFonts w:ascii="Arial" w:hAnsi="Arial" w:cs="Arial"/>
            </w:rPr>
            <w:lastRenderedPageBreak/>
            <w:t>seasonality effects may result in incorrect interpretation of the study results. The ratio analysis is predicated on information from the company's financial statements. The company's management may modify this data to reflect a better outcome than its true performance. As a result, ratio analysis might not adequately reflect the underlying character of the firm, because information deception is not discovered by basic analysis. It is critical for an analyst to be aware of these potential manipulations and to do sufficient due diligence before making any conclusions.</w:t>
          </w:r>
        </w:p>
        <w:p w14:paraId="34BB229B" w14:textId="77777777" w:rsidR="00AA2A91" w:rsidRPr="002D229E" w:rsidRDefault="00AA2A91" w:rsidP="00AA2A91">
          <w:pPr>
            <w:pStyle w:val="Heading1"/>
            <w:rPr>
              <w:rFonts w:ascii="Arial" w:hAnsi="Arial" w:cs="Arial"/>
            </w:rPr>
          </w:pPr>
          <w:bookmarkStart w:id="7" w:name="_Toc463944607"/>
          <w:r w:rsidRPr="002D229E">
            <w:rPr>
              <w:rFonts w:ascii="Arial" w:hAnsi="Arial" w:cs="Arial"/>
            </w:rPr>
            <w:t>Benefits and Limitations of Ratio Analysis</w:t>
          </w:r>
          <w:bookmarkEnd w:id="7"/>
        </w:p>
        <w:p w14:paraId="0A2B6C5A" w14:textId="5593687B" w:rsidR="00284F1F" w:rsidRPr="002D229E" w:rsidRDefault="000C6819" w:rsidP="000C6819">
          <w:pPr>
            <w:rPr>
              <w:rFonts w:ascii="Arial" w:hAnsi="Arial" w:cs="Arial"/>
            </w:rPr>
          </w:pPr>
          <w:r w:rsidRPr="002D229E">
            <w:rPr>
              <w:rFonts w:ascii="Arial" w:hAnsi="Arial" w:cs="Arial"/>
            </w:rPr>
            <w:t xml:space="preserve">A ratio analysis is a statistical examination of data contained in a company's financial statements. It is used to evaluate several aspects of an enterprise's operational and financial performance, such as liquidity, turnover, solvency, and profitability. In other words, ratio analysis is a way of analysing and comparing financial data that involves determining significant financial statement valuation percentages rather than evaluating line items from each financial statement. Ratio analysis offers advantages and disadvantages. The following points emphasise those points. The advantages are that it </w:t>
          </w:r>
          <w:proofErr w:type="gramStart"/>
          <w:r w:rsidRPr="002D229E">
            <w:rPr>
              <w:rFonts w:ascii="Arial" w:hAnsi="Arial" w:cs="Arial"/>
            </w:rPr>
            <w:t>By</w:t>
          </w:r>
          <w:proofErr w:type="gramEnd"/>
          <w:r w:rsidRPr="002D229E">
            <w:rPr>
              <w:rFonts w:ascii="Arial" w:hAnsi="Arial" w:cs="Arial"/>
            </w:rPr>
            <w:t xml:space="preserve"> doing trend analysis, it aids in predicting and planning. By analysing prior trends, it is possible to estimate the firm's budget. It aids in assessing how effectively a company or organisation operates. It gives users of accounting information important information about the business's performance. It is useful for comparing two or more companies. It aids in determining the firm's liquidity as well as its long-term solvency. Financial statements appear to be difficult, which is one of the restrictions. Several organisations work in diverse companies, each with a particular environmental position such as market structure, regulation, and so on. These characteristics are so crucial that comparing two organisations from different sectors may be unclear. Views and hypotheses impact financial accounting data. Accounting criteria use diverse accounting techniques, which limits comparability and makes ratio analysis less useful in certain situations. Ratio analysis depicts the relationships between historical data, but consumers are more interested with present and future data.</w:t>
          </w:r>
        </w:p>
        <w:p w14:paraId="3EE87C95" w14:textId="77777777" w:rsidR="004D519C" w:rsidRPr="002D229E" w:rsidRDefault="004D519C" w:rsidP="004D519C">
          <w:pPr>
            <w:rPr>
              <w:rFonts w:ascii="Arial" w:hAnsi="Arial" w:cs="Arial"/>
            </w:rPr>
          </w:pPr>
        </w:p>
        <w:p w14:paraId="78002955" w14:textId="77777777" w:rsidR="00AA2A91" w:rsidRPr="002D229E" w:rsidRDefault="00AA2A91" w:rsidP="004D519C">
          <w:pPr>
            <w:rPr>
              <w:rFonts w:ascii="Arial" w:hAnsi="Arial" w:cs="Arial"/>
            </w:rPr>
          </w:pPr>
        </w:p>
        <w:p w14:paraId="393E8D7A" w14:textId="77777777" w:rsidR="00AA2A91" w:rsidRPr="002D229E" w:rsidRDefault="00AA2A91" w:rsidP="004D519C">
          <w:pPr>
            <w:rPr>
              <w:rFonts w:ascii="Arial" w:hAnsi="Arial" w:cs="Arial"/>
            </w:rPr>
          </w:pPr>
        </w:p>
        <w:p w14:paraId="2FC654DE" w14:textId="77777777" w:rsidR="00AA2A91" w:rsidRPr="002D229E" w:rsidRDefault="00AA2A91" w:rsidP="004D519C">
          <w:pPr>
            <w:rPr>
              <w:rFonts w:ascii="Arial" w:hAnsi="Arial" w:cs="Arial"/>
            </w:rPr>
          </w:pPr>
        </w:p>
        <w:p w14:paraId="66B2906D" w14:textId="77777777" w:rsidR="00AA2A91" w:rsidRPr="002D229E" w:rsidRDefault="00AA2A91" w:rsidP="004D519C">
          <w:pPr>
            <w:rPr>
              <w:rFonts w:ascii="Arial" w:hAnsi="Arial" w:cs="Arial"/>
            </w:rPr>
          </w:pPr>
        </w:p>
        <w:p w14:paraId="6B5BA63F" w14:textId="77777777" w:rsidR="00AA2A91" w:rsidRPr="002D229E" w:rsidRDefault="00AA2A91" w:rsidP="004D519C">
          <w:pPr>
            <w:rPr>
              <w:rFonts w:ascii="Arial" w:hAnsi="Arial" w:cs="Arial"/>
            </w:rPr>
          </w:pPr>
        </w:p>
        <w:p w14:paraId="3605BA5F" w14:textId="77777777" w:rsidR="00AA2A91" w:rsidRPr="002D229E" w:rsidRDefault="00AA2A91" w:rsidP="004D519C">
          <w:pPr>
            <w:rPr>
              <w:rFonts w:ascii="Arial" w:hAnsi="Arial" w:cs="Arial"/>
            </w:rPr>
          </w:pPr>
        </w:p>
        <w:p w14:paraId="14CB8F2E" w14:textId="77777777" w:rsidR="00AA2A91" w:rsidRPr="002D229E" w:rsidRDefault="00AA2A91" w:rsidP="004D519C">
          <w:pPr>
            <w:rPr>
              <w:rFonts w:ascii="Arial" w:hAnsi="Arial" w:cs="Arial"/>
            </w:rPr>
          </w:pPr>
        </w:p>
        <w:p w14:paraId="604081D2" w14:textId="77777777" w:rsidR="00AA2A91" w:rsidRPr="002D229E" w:rsidRDefault="00AA2A91" w:rsidP="004D519C">
          <w:pPr>
            <w:rPr>
              <w:rFonts w:ascii="Arial" w:hAnsi="Arial" w:cs="Arial"/>
            </w:rPr>
          </w:pPr>
        </w:p>
        <w:p w14:paraId="25C13247" w14:textId="6B390823" w:rsidR="00AA2A91" w:rsidRDefault="00AA2A91" w:rsidP="004D519C">
          <w:pPr>
            <w:rPr>
              <w:rFonts w:ascii="Arial" w:hAnsi="Arial" w:cs="Arial"/>
            </w:rPr>
          </w:pPr>
        </w:p>
        <w:p w14:paraId="05FA079A" w14:textId="77777777" w:rsidR="00C2154D" w:rsidRPr="002D229E" w:rsidRDefault="00C2154D" w:rsidP="004D519C">
          <w:pPr>
            <w:rPr>
              <w:rFonts w:ascii="Arial" w:hAnsi="Arial" w:cs="Arial"/>
            </w:rPr>
          </w:pPr>
        </w:p>
        <w:p w14:paraId="1763236B" w14:textId="77777777" w:rsidR="00AA2A91" w:rsidRPr="002D229E" w:rsidRDefault="00AA2A91" w:rsidP="004D519C">
          <w:pPr>
            <w:rPr>
              <w:rFonts w:ascii="Arial" w:hAnsi="Arial" w:cs="Arial"/>
            </w:rPr>
          </w:pPr>
        </w:p>
        <w:p w14:paraId="515275D2" w14:textId="77777777" w:rsidR="00AA2A91" w:rsidRPr="002D229E" w:rsidRDefault="00AA2A91" w:rsidP="004D519C">
          <w:pPr>
            <w:rPr>
              <w:rFonts w:ascii="Arial" w:hAnsi="Arial" w:cs="Arial"/>
            </w:rPr>
          </w:pPr>
        </w:p>
        <w:p w14:paraId="637ECABC" w14:textId="77777777" w:rsidR="00AA2A91" w:rsidRPr="002D229E" w:rsidRDefault="00AA2A91" w:rsidP="00AA2A91">
          <w:pPr>
            <w:pStyle w:val="Heading1"/>
            <w:rPr>
              <w:rFonts w:ascii="Arial" w:hAnsi="Arial" w:cs="Arial"/>
            </w:rPr>
          </w:pPr>
          <w:bookmarkStart w:id="8" w:name="_Toc463944608"/>
          <w:r w:rsidRPr="002D229E">
            <w:rPr>
              <w:rFonts w:ascii="Arial" w:hAnsi="Arial" w:cs="Arial"/>
            </w:rPr>
            <w:lastRenderedPageBreak/>
            <w:t>Conclusion</w:t>
          </w:r>
          <w:r w:rsidR="00D854A5" w:rsidRPr="002D229E">
            <w:rPr>
              <w:rFonts w:ascii="Arial" w:hAnsi="Arial" w:cs="Arial"/>
            </w:rPr>
            <w:t xml:space="preserve"> (average of 10% of word count)</w:t>
          </w:r>
          <w:bookmarkEnd w:id="8"/>
        </w:p>
        <w:p w14:paraId="12347926" w14:textId="77777777" w:rsidR="00AA2A91" w:rsidRPr="002D229E" w:rsidRDefault="00AA2A91" w:rsidP="00AA2A91">
          <w:pPr>
            <w:rPr>
              <w:rFonts w:ascii="Arial" w:hAnsi="Arial" w:cs="Arial"/>
            </w:rPr>
          </w:pPr>
        </w:p>
        <w:p w14:paraId="02185B09" w14:textId="6D0114C2" w:rsidR="00AA2A91" w:rsidRPr="002D229E" w:rsidRDefault="002F4796" w:rsidP="00AA2A91">
          <w:pPr>
            <w:rPr>
              <w:rFonts w:ascii="Arial" w:hAnsi="Arial" w:cs="Arial"/>
            </w:rPr>
          </w:pPr>
          <w:r w:rsidRPr="002D229E">
            <w:rPr>
              <w:rFonts w:ascii="Arial" w:hAnsi="Arial" w:cs="Arial"/>
            </w:rPr>
            <w:t>Marriott International Inc is a multinational corporation that operates in the hospitality and home management industries. Investors should, according to common sense, "use the quantity of data provided in an organization's fiscal summary to aid them in analysing the firm as a speculation." Over the previous 2 years, we can observe that all of the liquidity ratios have consistently grown (</w:t>
          </w:r>
          <w:proofErr w:type="spellStart"/>
          <w:r w:rsidRPr="002D229E">
            <w:rPr>
              <w:rFonts w:ascii="Arial" w:hAnsi="Arial" w:cs="Arial"/>
            </w:rPr>
            <w:t>Asdullah</w:t>
          </w:r>
          <w:proofErr w:type="spellEnd"/>
          <w:r w:rsidRPr="002D229E">
            <w:rPr>
              <w:rFonts w:ascii="Arial" w:hAnsi="Arial" w:cs="Arial"/>
            </w:rPr>
            <w:t xml:space="preserve">, 2015). </w:t>
          </w:r>
          <w:r w:rsidR="003442D7" w:rsidRPr="002D229E">
            <w:rPr>
              <w:rFonts w:ascii="Arial" w:hAnsi="Arial" w:cs="Arial"/>
            </w:rPr>
            <w:t>This means that Marriott International has more funds available to invest in new ventures and settle debts if necessary. Marriott's net profit margin exceeds the industry average of 1.4%. Its Return on Equity is also much greater than the industry average of 2.7%. Because of these factors, as well as Marriott's ability to pull off such feats in difficult financial times, I would recommend putting money into Marriott right now, as I expect things will continue to work in the coming years.</w:t>
          </w:r>
        </w:p>
        <w:p w14:paraId="7B690C88" w14:textId="77777777" w:rsidR="00AA2A91" w:rsidRPr="002D229E" w:rsidRDefault="00AA2A91" w:rsidP="00AA2A91">
          <w:pPr>
            <w:rPr>
              <w:rFonts w:ascii="Arial" w:hAnsi="Arial" w:cs="Arial"/>
            </w:rPr>
          </w:pPr>
        </w:p>
        <w:p w14:paraId="0812BA51" w14:textId="77777777" w:rsidR="00AA2A91" w:rsidRPr="002D229E" w:rsidRDefault="00AA2A91" w:rsidP="00AA2A91">
          <w:pPr>
            <w:rPr>
              <w:rFonts w:ascii="Arial" w:hAnsi="Arial" w:cs="Arial"/>
            </w:rPr>
          </w:pPr>
        </w:p>
        <w:p w14:paraId="51827809" w14:textId="77777777" w:rsidR="00AA2A91" w:rsidRPr="002D229E" w:rsidRDefault="00AA2A91" w:rsidP="00AA2A91">
          <w:pPr>
            <w:rPr>
              <w:rFonts w:ascii="Arial" w:hAnsi="Arial" w:cs="Arial"/>
            </w:rPr>
          </w:pPr>
        </w:p>
        <w:p w14:paraId="1543DD78" w14:textId="77777777" w:rsidR="00AA2A91" w:rsidRPr="002D229E" w:rsidRDefault="00AA2A91" w:rsidP="00AA2A91">
          <w:pPr>
            <w:rPr>
              <w:rFonts w:ascii="Arial" w:hAnsi="Arial" w:cs="Arial"/>
            </w:rPr>
          </w:pPr>
        </w:p>
        <w:p w14:paraId="67940328" w14:textId="77777777" w:rsidR="00AA2A91" w:rsidRPr="002D229E" w:rsidRDefault="00AA2A91" w:rsidP="00AA2A91">
          <w:pPr>
            <w:rPr>
              <w:rFonts w:ascii="Arial" w:hAnsi="Arial" w:cs="Arial"/>
            </w:rPr>
          </w:pPr>
        </w:p>
        <w:p w14:paraId="344A0912" w14:textId="77777777" w:rsidR="00AA2A91" w:rsidRPr="002D229E" w:rsidRDefault="00AA2A91" w:rsidP="00AA2A91">
          <w:pPr>
            <w:rPr>
              <w:rFonts w:ascii="Arial" w:hAnsi="Arial" w:cs="Arial"/>
            </w:rPr>
          </w:pPr>
        </w:p>
        <w:p w14:paraId="174AD4D4" w14:textId="77777777" w:rsidR="00AA2A91" w:rsidRPr="002D229E" w:rsidRDefault="00AA2A91" w:rsidP="00AA2A91">
          <w:pPr>
            <w:rPr>
              <w:rFonts w:ascii="Arial" w:hAnsi="Arial" w:cs="Arial"/>
            </w:rPr>
          </w:pPr>
        </w:p>
        <w:p w14:paraId="2CD381F6" w14:textId="77777777" w:rsidR="00AA2A91" w:rsidRPr="002D229E" w:rsidRDefault="00AA2A91" w:rsidP="00AA2A91">
          <w:pPr>
            <w:rPr>
              <w:rFonts w:ascii="Arial" w:hAnsi="Arial" w:cs="Arial"/>
            </w:rPr>
          </w:pPr>
        </w:p>
        <w:p w14:paraId="492D9601" w14:textId="77777777" w:rsidR="00AA2A91" w:rsidRPr="002D229E" w:rsidRDefault="00AA2A91" w:rsidP="00AA2A91">
          <w:pPr>
            <w:rPr>
              <w:rFonts w:ascii="Arial" w:hAnsi="Arial" w:cs="Arial"/>
            </w:rPr>
          </w:pPr>
        </w:p>
        <w:p w14:paraId="74E083D2" w14:textId="77777777" w:rsidR="00AA2A91" w:rsidRPr="002D229E" w:rsidRDefault="00AA2A91" w:rsidP="00AA2A91">
          <w:pPr>
            <w:rPr>
              <w:rFonts w:ascii="Arial" w:hAnsi="Arial" w:cs="Arial"/>
            </w:rPr>
          </w:pPr>
        </w:p>
        <w:p w14:paraId="642DF8DC" w14:textId="77777777" w:rsidR="00AA2A91" w:rsidRPr="002D229E" w:rsidRDefault="00AA2A91" w:rsidP="00AA2A91">
          <w:pPr>
            <w:rPr>
              <w:rFonts w:ascii="Arial" w:hAnsi="Arial" w:cs="Arial"/>
            </w:rPr>
          </w:pPr>
        </w:p>
        <w:p w14:paraId="52B10D93" w14:textId="77777777" w:rsidR="00AA2A91" w:rsidRPr="002D229E" w:rsidRDefault="00AA2A91" w:rsidP="00AA2A91">
          <w:pPr>
            <w:rPr>
              <w:rFonts w:ascii="Arial" w:hAnsi="Arial" w:cs="Arial"/>
            </w:rPr>
          </w:pPr>
        </w:p>
        <w:p w14:paraId="6D62B1B1" w14:textId="77777777" w:rsidR="00AA2A91" w:rsidRPr="002D229E" w:rsidRDefault="00AA2A91" w:rsidP="00AA2A91">
          <w:pPr>
            <w:rPr>
              <w:rFonts w:ascii="Arial" w:hAnsi="Arial" w:cs="Arial"/>
            </w:rPr>
          </w:pPr>
        </w:p>
        <w:p w14:paraId="7E47C5B6" w14:textId="77777777" w:rsidR="00AA2A91" w:rsidRPr="002D229E" w:rsidRDefault="00AA2A91" w:rsidP="00AA2A91">
          <w:pPr>
            <w:rPr>
              <w:rFonts w:ascii="Arial" w:hAnsi="Arial" w:cs="Arial"/>
            </w:rPr>
          </w:pPr>
        </w:p>
        <w:p w14:paraId="2278E568" w14:textId="77777777" w:rsidR="00AA2A91" w:rsidRPr="002D229E" w:rsidRDefault="00AA2A91" w:rsidP="00AA2A91">
          <w:pPr>
            <w:rPr>
              <w:rFonts w:ascii="Arial" w:hAnsi="Arial" w:cs="Arial"/>
            </w:rPr>
          </w:pPr>
        </w:p>
        <w:p w14:paraId="13059E3A" w14:textId="77777777" w:rsidR="00AA2A91" w:rsidRPr="002D229E" w:rsidRDefault="00AA2A91" w:rsidP="00AA2A91">
          <w:pPr>
            <w:rPr>
              <w:rFonts w:ascii="Arial" w:hAnsi="Arial" w:cs="Arial"/>
            </w:rPr>
          </w:pPr>
        </w:p>
        <w:p w14:paraId="5993C992" w14:textId="77777777" w:rsidR="00AA2A91" w:rsidRPr="002D229E" w:rsidRDefault="00AA2A91" w:rsidP="00AA2A91">
          <w:pPr>
            <w:rPr>
              <w:rFonts w:ascii="Arial" w:hAnsi="Arial" w:cs="Arial"/>
            </w:rPr>
          </w:pPr>
        </w:p>
        <w:p w14:paraId="15A8D037" w14:textId="77777777" w:rsidR="00AA2A91" w:rsidRPr="002D229E" w:rsidRDefault="00AA2A91" w:rsidP="00AA2A91">
          <w:pPr>
            <w:rPr>
              <w:rFonts w:ascii="Arial" w:hAnsi="Arial" w:cs="Arial"/>
            </w:rPr>
          </w:pPr>
        </w:p>
        <w:p w14:paraId="08489039" w14:textId="77777777" w:rsidR="00AA2A91" w:rsidRPr="002D229E" w:rsidRDefault="00AA2A91" w:rsidP="00AA2A91">
          <w:pPr>
            <w:rPr>
              <w:rFonts w:ascii="Arial" w:hAnsi="Arial" w:cs="Arial"/>
            </w:rPr>
          </w:pPr>
        </w:p>
        <w:p w14:paraId="62D17DB2" w14:textId="77777777" w:rsidR="00AA2A91" w:rsidRPr="002D229E" w:rsidRDefault="00AA2A91" w:rsidP="00AA2A91">
          <w:pPr>
            <w:rPr>
              <w:rFonts w:ascii="Arial" w:hAnsi="Arial" w:cs="Arial"/>
            </w:rPr>
          </w:pPr>
        </w:p>
        <w:p w14:paraId="19D00F33" w14:textId="77777777" w:rsidR="00AA2A91" w:rsidRPr="002D229E" w:rsidRDefault="00AA2A91" w:rsidP="00AA2A91">
          <w:pPr>
            <w:rPr>
              <w:rFonts w:ascii="Arial" w:hAnsi="Arial" w:cs="Arial"/>
            </w:rPr>
          </w:pPr>
        </w:p>
        <w:p w14:paraId="134E5C77" w14:textId="77777777" w:rsidR="00AA2A91" w:rsidRPr="002D229E" w:rsidRDefault="00AA2A91" w:rsidP="00AA2A91">
          <w:pPr>
            <w:rPr>
              <w:rFonts w:ascii="Arial" w:hAnsi="Arial" w:cs="Arial"/>
            </w:rPr>
          </w:pPr>
        </w:p>
        <w:p w14:paraId="403DF109" w14:textId="77777777" w:rsidR="00AA2A91" w:rsidRPr="002D229E" w:rsidRDefault="00AA2A91" w:rsidP="00AA2A91">
          <w:pPr>
            <w:pStyle w:val="Heading1"/>
            <w:rPr>
              <w:rFonts w:ascii="Arial" w:hAnsi="Arial" w:cs="Arial"/>
            </w:rPr>
          </w:pPr>
          <w:bookmarkStart w:id="9" w:name="_Toc463944609"/>
          <w:r w:rsidRPr="002D229E">
            <w:rPr>
              <w:rFonts w:ascii="Arial" w:hAnsi="Arial" w:cs="Arial"/>
            </w:rPr>
            <w:lastRenderedPageBreak/>
            <w:t>Bibliography</w:t>
          </w:r>
          <w:bookmarkEnd w:id="9"/>
        </w:p>
        <w:p w14:paraId="57340462" w14:textId="56C423F2" w:rsidR="00F2487C" w:rsidRDefault="00F2487C" w:rsidP="00F2487C">
          <w:pPr>
            <w:shd w:val="clear" w:color="auto" w:fill="FFFFFF"/>
            <w:rPr>
              <w:rFonts w:ascii="Arial" w:hAnsi="Arial" w:cs="Arial"/>
            </w:rPr>
          </w:pPr>
        </w:p>
      </w:sdtContent>
    </w:sdt>
    <w:p w14:paraId="695E9A42" w14:textId="62FCE038" w:rsidR="00F2487C" w:rsidRDefault="00F2487C" w:rsidP="00ED1592">
      <w:pPr>
        <w:shd w:val="clear" w:color="auto" w:fill="FFFFFF"/>
        <w:rPr>
          <w:rFonts w:ascii="Arial" w:eastAsia="Times New Roman" w:hAnsi="Arial" w:cs="Arial"/>
          <w:color w:val="0563C1"/>
          <w:lang w:eastAsia="en-GB"/>
        </w:rPr>
      </w:pPr>
      <w:proofErr w:type="spellStart"/>
      <w:r w:rsidRPr="002D229E">
        <w:rPr>
          <w:rFonts w:ascii="Arial" w:eastAsia="Times New Roman" w:hAnsi="Arial" w:cs="Arial"/>
          <w:color w:val="000000"/>
          <w:lang w:eastAsia="en-GB"/>
        </w:rPr>
        <w:t>Alneyadi</w:t>
      </w:r>
      <w:proofErr w:type="spellEnd"/>
      <w:r w:rsidRPr="002D229E">
        <w:rPr>
          <w:rFonts w:ascii="Arial" w:eastAsia="Times New Roman" w:hAnsi="Arial" w:cs="Arial"/>
          <w:color w:val="000000"/>
          <w:lang w:eastAsia="en-GB"/>
        </w:rPr>
        <w:t xml:space="preserve">, Abdulla and </w:t>
      </w:r>
      <w:proofErr w:type="spellStart"/>
      <w:r w:rsidRPr="002D229E">
        <w:rPr>
          <w:rFonts w:ascii="Arial" w:eastAsia="Times New Roman" w:hAnsi="Arial" w:cs="Arial"/>
          <w:color w:val="000000"/>
          <w:lang w:eastAsia="en-GB"/>
        </w:rPr>
        <w:t>Almansoori</w:t>
      </w:r>
      <w:proofErr w:type="spellEnd"/>
      <w:r w:rsidRPr="002D229E">
        <w:rPr>
          <w:rFonts w:ascii="Arial" w:eastAsia="Times New Roman" w:hAnsi="Arial" w:cs="Arial"/>
          <w:color w:val="000000"/>
          <w:lang w:eastAsia="en-GB"/>
        </w:rPr>
        <w:t xml:space="preserve">, </w:t>
      </w:r>
      <w:proofErr w:type="spellStart"/>
      <w:r w:rsidRPr="002D229E">
        <w:rPr>
          <w:rFonts w:ascii="Arial" w:eastAsia="Times New Roman" w:hAnsi="Arial" w:cs="Arial"/>
          <w:color w:val="000000"/>
          <w:lang w:eastAsia="en-GB"/>
        </w:rPr>
        <w:t>Alyazi</w:t>
      </w:r>
      <w:proofErr w:type="spellEnd"/>
      <w:r w:rsidRPr="002D229E">
        <w:rPr>
          <w:rFonts w:ascii="Arial" w:eastAsia="Times New Roman" w:hAnsi="Arial" w:cs="Arial"/>
          <w:color w:val="000000"/>
          <w:lang w:eastAsia="en-GB"/>
        </w:rPr>
        <w:t xml:space="preserve"> and </w:t>
      </w:r>
      <w:proofErr w:type="spellStart"/>
      <w:r w:rsidRPr="002D229E">
        <w:rPr>
          <w:rFonts w:ascii="Arial" w:eastAsia="Times New Roman" w:hAnsi="Arial" w:cs="Arial"/>
          <w:color w:val="000000"/>
          <w:lang w:eastAsia="en-GB"/>
        </w:rPr>
        <w:t>Almansoori</w:t>
      </w:r>
      <w:proofErr w:type="spellEnd"/>
      <w:r w:rsidRPr="002D229E">
        <w:rPr>
          <w:rFonts w:ascii="Arial" w:eastAsia="Times New Roman" w:hAnsi="Arial" w:cs="Arial"/>
          <w:color w:val="000000"/>
          <w:lang w:eastAsia="en-GB"/>
        </w:rPr>
        <w:t xml:space="preserve">, </w:t>
      </w:r>
      <w:proofErr w:type="spellStart"/>
      <w:r w:rsidRPr="002D229E">
        <w:rPr>
          <w:rFonts w:ascii="Arial" w:eastAsia="Times New Roman" w:hAnsi="Arial" w:cs="Arial"/>
          <w:color w:val="000000"/>
          <w:lang w:eastAsia="en-GB"/>
        </w:rPr>
        <w:t>Bakheet</w:t>
      </w:r>
      <w:proofErr w:type="spellEnd"/>
      <w:r w:rsidRPr="002D229E">
        <w:rPr>
          <w:rFonts w:ascii="Arial" w:eastAsia="Times New Roman" w:hAnsi="Arial" w:cs="Arial"/>
          <w:color w:val="000000"/>
          <w:lang w:eastAsia="en-GB"/>
        </w:rPr>
        <w:t xml:space="preserve"> and </w:t>
      </w:r>
      <w:proofErr w:type="spellStart"/>
      <w:r w:rsidRPr="002D229E">
        <w:rPr>
          <w:rFonts w:ascii="Arial" w:eastAsia="Times New Roman" w:hAnsi="Arial" w:cs="Arial"/>
          <w:color w:val="000000"/>
          <w:lang w:eastAsia="en-GB"/>
        </w:rPr>
        <w:t>Alhefeiti</w:t>
      </w:r>
      <w:proofErr w:type="spellEnd"/>
      <w:r w:rsidRPr="002D229E">
        <w:rPr>
          <w:rFonts w:ascii="Arial" w:eastAsia="Times New Roman" w:hAnsi="Arial" w:cs="Arial"/>
          <w:color w:val="000000"/>
          <w:lang w:eastAsia="en-GB"/>
        </w:rPr>
        <w:t xml:space="preserve">, Maryam and </w:t>
      </w:r>
      <w:proofErr w:type="spellStart"/>
      <w:r w:rsidRPr="002D229E">
        <w:rPr>
          <w:rFonts w:ascii="Arial" w:eastAsia="Times New Roman" w:hAnsi="Arial" w:cs="Arial"/>
          <w:color w:val="000000"/>
          <w:lang w:eastAsia="en-GB"/>
        </w:rPr>
        <w:t>Alseiari</w:t>
      </w:r>
      <w:proofErr w:type="spellEnd"/>
      <w:r w:rsidRPr="002D229E">
        <w:rPr>
          <w:rFonts w:ascii="Arial" w:eastAsia="Times New Roman" w:hAnsi="Arial" w:cs="Arial"/>
          <w:color w:val="000000"/>
          <w:lang w:eastAsia="en-GB"/>
        </w:rPr>
        <w:t xml:space="preserve">, </w:t>
      </w:r>
      <w:proofErr w:type="spellStart"/>
      <w:r w:rsidRPr="002D229E">
        <w:rPr>
          <w:rFonts w:ascii="Arial" w:eastAsia="Times New Roman" w:hAnsi="Arial" w:cs="Arial"/>
          <w:color w:val="000000"/>
          <w:lang w:eastAsia="en-GB"/>
        </w:rPr>
        <w:t>Khuzama</w:t>
      </w:r>
      <w:proofErr w:type="spellEnd"/>
      <w:r w:rsidRPr="007E4DAB">
        <w:rPr>
          <w:rFonts w:ascii="Arial" w:eastAsia="Times New Roman" w:hAnsi="Arial" w:cs="Arial"/>
          <w:color w:val="000000"/>
          <w:lang w:eastAsia="en-GB"/>
        </w:rPr>
        <w:t xml:space="preserve"> </w:t>
      </w:r>
      <w:proofErr w:type="gramStart"/>
      <w:r w:rsidRPr="007E4DAB">
        <w:rPr>
          <w:rFonts w:ascii="Arial" w:eastAsia="Times New Roman" w:hAnsi="Arial" w:cs="Arial"/>
          <w:color w:val="000000"/>
          <w:lang w:eastAsia="en-GB"/>
        </w:rPr>
        <w:t xml:space="preserve">and  </w:t>
      </w:r>
      <w:proofErr w:type="spellStart"/>
      <w:r w:rsidRPr="007E4DAB">
        <w:rPr>
          <w:rFonts w:ascii="Arial" w:eastAsia="Times New Roman" w:hAnsi="Arial" w:cs="Arial"/>
          <w:color w:val="000000"/>
          <w:lang w:eastAsia="en-GB"/>
        </w:rPr>
        <w:t>Almazrouie</w:t>
      </w:r>
      <w:proofErr w:type="spellEnd"/>
      <w:proofErr w:type="gramEnd"/>
      <w:r w:rsidRPr="007E4DAB">
        <w:rPr>
          <w:rFonts w:ascii="Arial" w:eastAsia="Times New Roman" w:hAnsi="Arial" w:cs="Arial"/>
          <w:color w:val="000000"/>
          <w:lang w:eastAsia="en-GB"/>
        </w:rPr>
        <w:t xml:space="preserve">, </w:t>
      </w:r>
      <w:proofErr w:type="spellStart"/>
      <w:r w:rsidRPr="007E4DAB">
        <w:rPr>
          <w:rFonts w:ascii="Arial" w:eastAsia="Times New Roman" w:hAnsi="Arial" w:cs="Arial"/>
          <w:color w:val="000000"/>
          <w:lang w:eastAsia="en-GB"/>
        </w:rPr>
        <w:t>Shamma</w:t>
      </w:r>
      <w:proofErr w:type="spellEnd"/>
      <w:r w:rsidRPr="007E4DAB">
        <w:rPr>
          <w:rFonts w:ascii="Arial" w:eastAsia="Times New Roman" w:hAnsi="Arial" w:cs="Arial"/>
          <w:color w:val="000000"/>
          <w:lang w:eastAsia="en-GB"/>
        </w:rPr>
        <w:t xml:space="preserve">  and  </w:t>
      </w:r>
      <w:proofErr w:type="spellStart"/>
      <w:r w:rsidRPr="007E4DAB">
        <w:rPr>
          <w:rFonts w:ascii="Arial" w:eastAsia="Times New Roman" w:hAnsi="Arial" w:cs="Arial"/>
          <w:color w:val="000000"/>
          <w:lang w:eastAsia="en-GB"/>
        </w:rPr>
        <w:t>Almansoori</w:t>
      </w:r>
      <w:proofErr w:type="spellEnd"/>
      <w:r w:rsidRPr="007E4DAB">
        <w:rPr>
          <w:rFonts w:ascii="Arial" w:eastAsia="Times New Roman" w:hAnsi="Arial" w:cs="Arial"/>
          <w:color w:val="000000"/>
          <w:lang w:eastAsia="en-GB"/>
        </w:rPr>
        <w:t xml:space="preserve">,  Sultana  and </w:t>
      </w:r>
      <w:proofErr w:type="spellStart"/>
      <w:r w:rsidRPr="007E4DAB">
        <w:rPr>
          <w:rFonts w:ascii="Arial" w:eastAsia="Times New Roman" w:hAnsi="Arial" w:cs="Arial"/>
          <w:color w:val="000000"/>
          <w:lang w:eastAsia="en-GB"/>
        </w:rPr>
        <w:t>Nobanee</w:t>
      </w:r>
      <w:proofErr w:type="spellEnd"/>
      <w:r w:rsidRPr="007E4DAB">
        <w:rPr>
          <w:rFonts w:ascii="Arial" w:eastAsia="Times New Roman" w:hAnsi="Arial" w:cs="Arial"/>
          <w:color w:val="000000"/>
          <w:lang w:eastAsia="en-GB"/>
        </w:rPr>
        <w:t xml:space="preserve">, Haitham, Financial </w:t>
      </w:r>
      <w:r w:rsidRPr="002D229E">
        <w:rPr>
          <w:rFonts w:ascii="Arial" w:eastAsia="Times New Roman" w:hAnsi="Arial" w:cs="Arial"/>
          <w:color w:val="000000"/>
          <w:lang w:eastAsia="en-GB"/>
        </w:rPr>
        <w:t>Analysis of</w:t>
      </w:r>
      <w:r w:rsidRPr="007E4DAB">
        <w:rPr>
          <w:rFonts w:ascii="Arial" w:eastAsia="Times New Roman" w:hAnsi="Arial" w:cs="Arial"/>
          <w:color w:val="000000"/>
          <w:lang w:eastAsia="en-GB"/>
        </w:rPr>
        <w:t xml:space="preserve"> Emaar Properties (July 29,  2021). Available at SSRN:</w:t>
      </w:r>
      <w:r w:rsidRPr="002D229E">
        <w:rPr>
          <w:rFonts w:ascii="Arial" w:eastAsia="Times New Roman" w:hAnsi="Arial" w:cs="Arial"/>
          <w:color w:val="000000"/>
          <w:lang w:eastAsia="en-GB"/>
        </w:rPr>
        <w:t xml:space="preserve"> </w:t>
      </w:r>
      <w:r w:rsidRPr="007E4DAB">
        <w:rPr>
          <w:rFonts w:ascii="Arial" w:eastAsia="Times New Roman" w:hAnsi="Arial" w:cs="Arial"/>
          <w:color w:val="000000"/>
          <w:lang w:eastAsia="en-GB"/>
        </w:rPr>
        <w:t xml:space="preserve">https://ssrn.com/abstract=3895784 or </w:t>
      </w:r>
      <w:hyperlink r:id="rId13" w:history="1">
        <w:r w:rsidRPr="001840E2">
          <w:rPr>
            <w:rStyle w:val="Hyperlink"/>
            <w:rFonts w:ascii="Arial" w:eastAsia="Times New Roman" w:hAnsi="Arial" w:cs="Arial"/>
            <w:lang w:eastAsia="en-GB"/>
          </w:rPr>
          <w:t>http://dx.doi.org/10.2139/ssrn.3895784</w:t>
        </w:r>
      </w:hyperlink>
    </w:p>
    <w:p w14:paraId="1C961E65" w14:textId="77777777" w:rsidR="00F2487C" w:rsidRPr="007E4DAB" w:rsidRDefault="00F2487C" w:rsidP="00ED1592">
      <w:pPr>
        <w:shd w:val="clear" w:color="auto" w:fill="FFFFFF"/>
        <w:rPr>
          <w:rFonts w:ascii="Arial" w:eastAsia="Times New Roman" w:hAnsi="Arial" w:cs="Arial"/>
          <w:color w:val="000000"/>
          <w:lang w:eastAsia="en-GB"/>
        </w:rPr>
      </w:pPr>
    </w:p>
    <w:p w14:paraId="6D50C578" w14:textId="0B524536" w:rsidR="00F2487C" w:rsidRDefault="00F2487C" w:rsidP="00BB6CBC">
      <w:pPr>
        <w:shd w:val="clear" w:color="auto" w:fill="FFFFFF"/>
        <w:spacing w:after="0" w:line="240" w:lineRule="auto"/>
        <w:rPr>
          <w:rFonts w:ascii="Arial" w:eastAsia="Times New Roman" w:hAnsi="Arial" w:cs="Arial"/>
          <w:color w:val="000000"/>
          <w:szCs w:val="2"/>
          <w:lang w:eastAsia="en-GB"/>
        </w:rPr>
      </w:pPr>
      <w:proofErr w:type="spellStart"/>
      <w:r w:rsidRPr="00BB6CBC">
        <w:rPr>
          <w:rFonts w:ascii="Arial" w:eastAsia="Times New Roman" w:hAnsi="Arial" w:cs="Arial"/>
          <w:color w:val="000000"/>
          <w:szCs w:val="2"/>
          <w:lang w:eastAsia="en-GB"/>
        </w:rPr>
        <w:t>Asdullah</w:t>
      </w:r>
      <w:proofErr w:type="spellEnd"/>
      <w:r w:rsidRPr="00BB6CBC">
        <w:rPr>
          <w:rFonts w:ascii="Arial" w:eastAsia="Times New Roman" w:hAnsi="Arial" w:cs="Arial"/>
          <w:color w:val="000000"/>
          <w:szCs w:val="2"/>
          <w:lang w:eastAsia="en-GB"/>
        </w:rPr>
        <w:t>, M. A., &amp; Rehman, Z.-</w:t>
      </w:r>
      <w:proofErr w:type="spellStart"/>
      <w:r w:rsidRPr="00BB6CBC">
        <w:rPr>
          <w:rFonts w:ascii="Arial" w:eastAsia="Times New Roman" w:hAnsi="Arial" w:cs="Arial"/>
          <w:color w:val="000000"/>
          <w:szCs w:val="2"/>
          <w:lang w:eastAsia="en-GB"/>
        </w:rPr>
        <w:t>ur</w:t>
      </w:r>
      <w:proofErr w:type="spellEnd"/>
      <w:r w:rsidRPr="00BB6CBC">
        <w:rPr>
          <w:rFonts w:ascii="Arial" w:eastAsia="Times New Roman" w:hAnsi="Arial" w:cs="Arial"/>
          <w:color w:val="000000"/>
          <w:szCs w:val="2"/>
          <w:lang w:eastAsia="en-GB"/>
        </w:rPr>
        <w:t xml:space="preserve">. (2015). A comparative study on financial performance of hotel industry in Pakistan (Sarena Hotel &amp; </w:t>
      </w:r>
      <w:proofErr w:type="spellStart"/>
      <w:r w:rsidRPr="00BB6CBC">
        <w:rPr>
          <w:rFonts w:ascii="Arial" w:eastAsia="Times New Roman" w:hAnsi="Arial" w:cs="Arial"/>
          <w:color w:val="000000"/>
          <w:szCs w:val="2"/>
          <w:lang w:eastAsia="en-GB"/>
        </w:rPr>
        <w:t>marriott</w:t>
      </w:r>
      <w:proofErr w:type="spellEnd"/>
      <w:r w:rsidRPr="00BB6CBC">
        <w:rPr>
          <w:rFonts w:ascii="Arial" w:eastAsia="Times New Roman" w:hAnsi="Arial" w:cs="Arial"/>
          <w:color w:val="000000"/>
          <w:szCs w:val="2"/>
          <w:lang w:eastAsia="en-GB"/>
        </w:rPr>
        <w:t xml:space="preserve"> Hotel). Journal of Tourism, Hospitality and Sports.  </w:t>
      </w:r>
      <w:proofErr w:type="gramStart"/>
      <w:r w:rsidRPr="00BB6CBC">
        <w:rPr>
          <w:rFonts w:ascii="Arial" w:eastAsia="Times New Roman" w:hAnsi="Arial" w:cs="Arial"/>
          <w:color w:val="000000"/>
          <w:szCs w:val="2"/>
          <w:lang w:eastAsia="en-GB"/>
        </w:rPr>
        <w:t>Retrieved  September</w:t>
      </w:r>
      <w:proofErr w:type="gramEnd"/>
      <w:r w:rsidRPr="00BB6CBC">
        <w:rPr>
          <w:rFonts w:ascii="Arial" w:eastAsia="Times New Roman" w:hAnsi="Arial" w:cs="Arial"/>
          <w:color w:val="000000"/>
          <w:szCs w:val="2"/>
          <w:lang w:eastAsia="en-GB"/>
        </w:rPr>
        <w:t xml:space="preserve">  21,  2021,  from</w:t>
      </w:r>
      <w:r>
        <w:rPr>
          <w:rFonts w:ascii="Arial" w:eastAsia="Times New Roman" w:hAnsi="Arial" w:cs="Arial"/>
          <w:color w:val="000000"/>
          <w:szCs w:val="2"/>
          <w:lang w:eastAsia="en-GB"/>
        </w:rPr>
        <w:t xml:space="preserve"> </w:t>
      </w:r>
      <w:hyperlink r:id="rId14" w:history="1">
        <w:r w:rsidRPr="001840E2">
          <w:rPr>
            <w:rStyle w:val="Hyperlink"/>
            <w:rFonts w:ascii="Arial" w:eastAsia="Times New Roman" w:hAnsi="Arial" w:cs="Arial"/>
            <w:szCs w:val="2"/>
            <w:lang w:eastAsia="en-GB"/>
          </w:rPr>
          <w:t>https://iiste.org/Journals/index.php/JTHS/article/view/22820</w:t>
        </w:r>
      </w:hyperlink>
      <w:r w:rsidRPr="00BB6CBC">
        <w:rPr>
          <w:rFonts w:ascii="Arial" w:eastAsia="Times New Roman" w:hAnsi="Arial" w:cs="Arial"/>
          <w:color w:val="000000"/>
          <w:szCs w:val="2"/>
          <w:lang w:eastAsia="en-GB"/>
        </w:rPr>
        <w:t xml:space="preserve">. </w:t>
      </w:r>
    </w:p>
    <w:p w14:paraId="005AAF56" w14:textId="77777777" w:rsidR="00F2487C" w:rsidRDefault="00F2487C" w:rsidP="00BB6CBC">
      <w:pPr>
        <w:shd w:val="clear" w:color="auto" w:fill="FFFFFF"/>
        <w:spacing w:after="0" w:line="240" w:lineRule="auto"/>
        <w:rPr>
          <w:rFonts w:ascii="Arial" w:eastAsia="Times New Roman" w:hAnsi="Arial" w:cs="Arial"/>
          <w:color w:val="000000"/>
          <w:szCs w:val="2"/>
          <w:lang w:eastAsia="en-GB"/>
        </w:rPr>
      </w:pPr>
    </w:p>
    <w:p w14:paraId="6D3E86F6" w14:textId="77777777" w:rsidR="00F2487C" w:rsidRPr="00BB6CBC" w:rsidRDefault="00F2487C" w:rsidP="00BB6CBC">
      <w:pPr>
        <w:shd w:val="clear" w:color="auto" w:fill="FFFFFF"/>
        <w:spacing w:after="0" w:line="240" w:lineRule="auto"/>
        <w:rPr>
          <w:rFonts w:ascii="Arial" w:eastAsia="Times New Roman" w:hAnsi="Arial" w:cs="Arial"/>
          <w:color w:val="000000"/>
          <w:szCs w:val="2"/>
          <w:lang w:eastAsia="en-GB"/>
        </w:rPr>
      </w:pPr>
    </w:p>
    <w:p w14:paraId="4EB47CB0" w14:textId="77777777" w:rsidR="00F2487C" w:rsidRPr="002D229E" w:rsidRDefault="00F2487C">
      <w:pPr>
        <w:rPr>
          <w:rFonts w:ascii="Arial" w:hAnsi="Arial" w:cs="Arial"/>
        </w:rPr>
      </w:pPr>
      <w:r w:rsidRPr="002D229E">
        <w:rPr>
          <w:rFonts w:ascii="Arial" w:hAnsi="Arial" w:cs="Arial"/>
        </w:rPr>
        <w:t xml:space="preserve">CFI Team (01 November 2022) Limitations of Ratio Analysis </w:t>
      </w:r>
      <w:hyperlink r:id="rId15" w:history="1">
        <w:r w:rsidRPr="002D229E">
          <w:rPr>
            <w:rStyle w:val="Hyperlink"/>
            <w:rFonts w:ascii="Arial" w:hAnsi="Arial" w:cs="Arial"/>
          </w:rPr>
          <w:t>https://corporatefinanceinstitute.com/resources/accounting/limitations-ratio-analysis/</w:t>
        </w:r>
      </w:hyperlink>
      <w:r w:rsidRPr="002D229E">
        <w:rPr>
          <w:rFonts w:ascii="Arial" w:hAnsi="Arial" w:cs="Arial"/>
        </w:rPr>
        <w:t xml:space="preserve"> Accessed [27 November 2022]</w:t>
      </w:r>
    </w:p>
    <w:p w14:paraId="7D203B95" w14:textId="77777777" w:rsidR="00F2487C" w:rsidRPr="00A232BF" w:rsidRDefault="00F2487C" w:rsidP="00A232BF">
      <w:pPr>
        <w:shd w:val="clear" w:color="auto" w:fill="FFFFFF"/>
        <w:spacing w:after="0" w:line="240" w:lineRule="auto"/>
        <w:rPr>
          <w:rFonts w:ascii="Arial" w:eastAsia="Times New Roman" w:hAnsi="Arial" w:cs="Arial"/>
          <w:color w:val="000000"/>
          <w:szCs w:val="2"/>
          <w:lang w:eastAsia="en-GB"/>
        </w:rPr>
      </w:pPr>
      <w:r w:rsidRPr="00A232BF">
        <w:rPr>
          <w:rFonts w:ascii="Arial" w:eastAsia="Times New Roman" w:hAnsi="Arial" w:cs="Arial"/>
          <w:color w:val="000000"/>
          <w:szCs w:val="2"/>
          <w:lang w:eastAsia="en-GB"/>
        </w:rPr>
        <w:t xml:space="preserve">Chu, Y.  (2014). </w:t>
      </w:r>
      <w:proofErr w:type="gramStart"/>
      <w:r w:rsidRPr="00A232BF">
        <w:rPr>
          <w:rFonts w:ascii="Arial" w:eastAsia="Times New Roman" w:hAnsi="Arial" w:cs="Arial"/>
          <w:color w:val="000000"/>
          <w:szCs w:val="2"/>
          <w:lang w:eastAsia="en-GB"/>
        </w:rPr>
        <w:t>A  review</w:t>
      </w:r>
      <w:proofErr w:type="gramEnd"/>
      <w:r w:rsidRPr="00A232BF">
        <w:rPr>
          <w:rFonts w:ascii="Arial" w:eastAsia="Times New Roman" w:hAnsi="Arial" w:cs="Arial"/>
          <w:color w:val="000000"/>
          <w:szCs w:val="2"/>
          <w:lang w:eastAsia="en-GB"/>
        </w:rPr>
        <w:t xml:space="preserve"> of studies on  luxury hotels  over the past two  decades.  Iowa State </w:t>
      </w:r>
      <w:proofErr w:type="gramStart"/>
      <w:r w:rsidRPr="00A232BF">
        <w:rPr>
          <w:rFonts w:ascii="Arial" w:eastAsia="Times New Roman" w:hAnsi="Arial" w:cs="Arial"/>
          <w:color w:val="000000"/>
          <w:szCs w:val="2"/>
          <w:lang w:eastAsia="en-GB"/>
        </w:rPr>
        <w:t>University  Digital</w:t>
      </w:r>
      <w:proofErr w:type="gramEnd"/>
      <w:r w:rsidRPr="00A232BF">
        <w:rPr>
          <w:rFonts w:ascii="Arial" w:eastAsia="Times New Roman" w:hAnsi="Arial" w:cs="Arial"/>
          <w:color w:val="000000"/>
          <w:szCs w:val="2"/>
          <w:lang w:eastAsia="en-GB"/>
        </w:rPr>
        <w:t xml:space="preserve">  Repository.  </w:t>
      </w:r>
      <w:r w:rsidRPr="002D229E">
        <w:rPr>
          <w:rFonts w:ascii="Arial" w:eastAsia="Times New Roman" w:hAnsi="Arial" w:cs="Arial"/>
          <w:color w:val="000000"/>
          <w:szCs w:val="2"/>
          <w:lang w:eastAsia="en-GB"/>
        </w:rPr>
        <w:t xml:space="preserve">Retrieved </w:t>
      </w:r>
      <w:proofErr w:type="gramStart"/>
      <w:r w:rsidRPr="002D229E">
        <w:rPr>
          <w:rFonts w:ascii="Arial" w:eastAsia="Times New Roman" w:hAnsi="Arial" w:cs="Arial"/>
          <w:color w:val="000000"/>
          <w:szCs w:val="2"/>
          <w:lang w:eastAsia="en-GB"/>
        </w:rPr>
        <w:t>September</w:t>
      </w:r>
      <w:r w:rsidRPr="00A232BF">
        <w:rPr>
          <w:rFonts w:ascii="Arial" w:eastAsia="Times New Roman" w:hAnsi="Arial" w:cs="Arial"/>
          <w:color w:val="000000"/>
          <w:szCs w:val="2"/>
          <w:lang w:eastAsia="en-GB"/>
        </w:rPr>
        <w:t xml:space="preserve">  21</w:t>
      </w:r>
      <w:proofErr w:type="gramEnd"/>
      <w:r w:rsidRPr="00A232BF">
        <w:rPr>
          <w:rFonts w:ascii="Arial" w:eastAsia="Times New Roman" w:hAnsi="Arial" w:cs="Arial"/>
          <w:color w:val="000000"/>
          <w:szCs w:val="2"/>
          <w:lang w:eastAsia="en-GB"/>
        </w:rPr>
        <w:t xml:space="preserve">,  2021,  from </w:t>
      </w:r>
    </w:p>
    <w:p w14:paraId="589AC68D" w14:textId="4DF21F98" w:rsidR="00F2487C" w:rsidRDefault="00F2487C" w:rsidP="00A232BF">
      <w:pPr>
        <w:shd w:val="clear" w:color="auto" w:fill="FFFFFF"/>
        <w:spacing w:after="0" w:line="240" w:lineRule="auto"/>
        <w:rPr>
          <w:rFonts w:ascii="Arial" w:eastAsia="Times New Roman" w:hAnsi="Arial" w:cs="Arial"/>
          <w:color w:val="000000"/>
          <w:szCs w:val="2"/>
          <w:lang w:eastAsia="en-GB"/>
        </w:rPr>
      </w:pPr>
      <w:hyperlink r:id="rId16" w:history="1">
        <w:r w:rsidRPr="001840E2">
          <w:rPr>
            <w:rStyle w:val="Hyperlink"/>
            <w:rFonts w:ascii="Arial" w:eastAsia="Times New Roman" w:hAnsi="Arial" w:cs="Arial"/>
            <w:szCs w:val="2"/>
            <w:lang w:eastAsia="en-GB"/>
          </w:rPr>
          <w:t>https://lib.dr.iastate.edu/etd/13913/</w:t>
        </w:r>
      </w:hyperlink>
      <w:r w:rsidRPr="00A232BF">
        <w:rPr>
          <w:rFonts w:ascii="Arial" w:eastAsia="Times New Roman" w:hAnsi="Arial" w:cs="Arial"/>
          <w:color w:val="000000"/>
          <w:szCs w:val="2"/>
          <w:lang w:eastAsia="en-GB"/>
        </w:rPr>
        <w:t xml:space="preserve">. </w:t>
      </w:r>
    </w:p>
    <w:p w14:paraId="49FC9561" w14:textId="77777777" w:rsidR="00F2487C" w:rsidRDefault="00F2487C" w:rsidP="00A232BF">
      <w:pPr>
        <w:shd w:val="clear" w:color="auto" w:fill="FFFFFF"/>
        <w:spacing w:after="0" w:line="240" w:lineRule="auto"/>
        <w:rPr>
          <w:rFonts w:ascii="Arial" w:eastAsia="Times New Roman" w:hAnsi="Arial" w:cs="Arial"/>
          <w:color w:val="000000"/>
          <w:szCs w:val="2"/>
          <w:lang w:eastAsia="en-GB"/>
        </w:rPr>
      </w:pPr>
    </w:p>
    <w:p w14:paraId="37F0A316" w14:textId="77777777" w:rsidR="00F2487C" w:rsidRPr="002D229E" w:rsidRDefault="00F2487C" w:rsidP="00A232BF">
      <w:pPr>
        <w:shd w:val="clear" w:color="auto" w:fill="FFFFFF"/>
        <w:spacing w:after="0" w:line="240" w:lineRule="auto"/>
        <w:rPr>
          <w:rFonts w:ascii="Arial" w:eastAsia="Times New Roman" w:hAnsi="Arial" w:cs="Arial"/>
          <w:color w:val="000000"/>
          <w:szCs w:val="2"/>
          <w:lang w:eastAsia="en-GB"/>
        </w:rPr>
      </w:pPr>
    </w:p>
    <w:p w14:paraId="44C00024" w14:textId="77777777" w:rsidR="00F2487C" w:rsidRPr="00A232BF" w:rsidRDefault="00F2487C" w:rsidP="00A232BF">
      <w:pPr>
        <w:shd w:val="clear" w:color="auto" w:fill="FFFFFF"/>
        <w:spacing w:after="0" w:line="240" w:lineRule="auto"/>
        <w:rPr>
          <w:rFonts w:ascii="Arial" w:eastAsia="Times New Roman" w:hAnsi="Arial" w:cs="Arial"/>
          <w:color w:val="000000"/>
          <w:szCs w:val="2"/>
          <w:lang w:eastAsia="en-GB"/>
        </w:rPr>
      </w:pPr>
      <w:proofErr w:type="spellStart"/>
      <w:r w:rsidRPr="002D229E">
        <w:rPr>
          <w:rFonts w:ascii="Arial" w:eastAsia="Times New Roman" w:hAnsi="Arial" w:cs="Arial"/>
          <w:color w:val="000000"/>
          <w:szCs w:val="2"/>
          <w:lang w:eastAsia="en-GB"/>
        </w:rPr>
        <w:t>Nasrudin</w:t>
      </w:r>
      <w:proofErr w:type="spellEnd"/>
      <w:r w:rsidRPr="002D229E">
        <w:rPr>
          <w:rFonts w:ascii="Arial" w:eastAsia="Times New Roman" w:hAnsi="Arial" w:cs="Arial"/>
          <w:color w:val="000000"/>
          <w:szCs w:val="2"/>
          <w:lang w:eastAsia="en-GB"/>
        </w:rPr>
        <w:t xml:space="preserve">, A, (17 April 2022) Gearing: Meaning, How to Calculate, Pros and Cons </w:t>
      </w:r>
      <w:hyperlink r:id="rId17" w:history="1">
        <w:r w:rsidRPr="002D229E">
          <w:rPr>
            <w:rStyle w:val="Hyperlink"/>
            <w:rFonts w:ascii="Arial" w:eastAsia="Times New Roman" w:hAnsi="Arial" w:cs="Arial"/>
            <w:szCs w:val="2"/>
            <w:lang w:eastAsia="en-GB"/>
          </w:rPr>
          <w:t>https://penpoin.com/gearing/</w:t>
        </w:r>
      </w:hyperlink>
      <w:r w:rsidRPr="002D229E">
        <w:rPr>
          <w:rFonts w:ascii="Arial" w:eastAsia="Times New Roman" w:hAnsi="Arial" w:cs="Arial"/>
          <w:color w:val="000000"/>
          <w:szCs w:val="2"/>
          <w:lang w:eastAsia="en-GB"/>
        </w:rPr>
        <w:t xml:space="preserve"> Accessed [27 November 2022]</w:t>
      </w:r>
    </w:p>
    <w:p w14:paraId="14D234A8" w14:textId="77777777" w:rsidR="00F2487C" w:rsidRPr="002D229E" w:rsidRDefault="00F2487C">
      <w:pPr>
        <w:rPr>
          <w:rFonts w:ascii="Arial" w:hAnsi="Arial" w:cs="Arial"/>
        </w:rPr>
      </w:pPr>
      <w:r>
        <w:rPr>
          <w:rFonts w:ascii="Arial" w:hAnsi="Arial" w:cs="Arial"/>
        </w:rPr>
        <w:t xml:space="preserve">Revfine (n.d.) How to Measure Your Hotel’s Profitability </w:t>
      </w:r>
      <w:hyperlink r:id="rId18" w:history="1">
        <w:r w:rsidRPr="00515546">
          <w:rPr>
            <w:rStyle w:val="Hyperlink"/>
            <w:rFonts w:ascii="Arial" w:hAnsi="Arial" w:cs="Arial"/>
          </w:rPr>
          <w:t>https://www.revfine.com/measure-profitability-hotel/</w:t>
        </w:r>
      </w:hyperlink>
      <w:r>
        <w:rPr>
          <w:rFonts w:ascii="Arial" w:hAnsi="Arial" w:cs="Arial"/>
        </w:rPr>
        <w:t xml:space="preserve"> Accessed [ 27 November 2022]</w:t>
      </w:r>
    </w:p>
    <w:p w14:paraId="5F3AC0C2" w14:textId="77777777" w:rsidR="00F2487C" w:rsidRDefault="00F2487C">
      <w:pPr>
        <w:rPr>
          <w:rFonts w:ascii="Arial" w:hAnsi="Arial" w:cs="Arial"/>
        </w:rPr>
      </w:pPr>
      <w:r>
        <w:rPr>
          <w:rFonts w:ascii="Arial" w:hAnsi="Arial" w:cs="Arial"/>
        </w:rPr>
        <w:t xml:space="preserve">Tarver, E, (27 May 2021) Key Financial Ratios To </w:t>
      </w:r>
      <w:proofErr w:type="spellStart"/>
      <w:r>
        <w:rPr>
          <w:rFonts w:ascii="Arial" w:hAnsi="Arial" w:cs="Arial"/>
        </w:rPr>
        <w:t>Analyze</w:t>
      </w:r>
      <w:proofErr w:type="spellEnd"/>
      <w:r>
        <w:rPr>
          <w:rFonts w:ascii="Arial" w:hAnsi="Arial" w:cs="Arial"/>
        </w:rPr>
        <w:t xml:space="preserve"> The Hospitality Industry </w:t>
      </w:r>
      <w:hyperlink r:id="rId19" w:history="1">
        <w:r w:rsidRPr="00515546">
          <w:rPr>
            <w:rStyle w:val="Hyperlink"/>
            <w:rFonts w:ascii="Arial" w:hAnsi="Arial" w:cs="Arial"/>
          </w:rPr>
          <w:t>https://www.investopedia.com/articles/active-trading/082615/key-financial-ratios-analyze-hospitality-industry.asp</w:t>
        </w:r>
      </w:hyperlink>
      <w:r>
        <w:rPr>
          <w:rFonts w:ascii="Arial" w:hAnsi="Arial" w:cs="Arial"/>
        </w:rPr>
        <w:t xml:space="preserve"> Accessed [27 November 2022]</w:t>
      </w:r>
    </w:p>
    <w:sectPr w:rsidR="00F2487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C6819"/>
    <w:rsid w:val="00115B96"/>
    <w:rsid w:val="00161F0C"/>
    <w:rsid w:val="001D376B"/>
    <w:rsid w:val="00284F1F"/>
    <w:rsid w:val="002D229E"/>
    <w:rsid w:val="002D46F2"/>
    <w:rsid w:val="002E7381"/>
    <w:rsid w:val="002F4796"/>
    <w:rsid w:val="002F79FF"/>
    <w:rsid w:val="00324CCD"/>
    <w:rsid w:val="00342553"/>
    <w:rsid w:val="003442D7"/>
    <w:rsid w:val="004474AA"/>
    <w:rsid w:val="004A11F6"/>
    <w:rsid w:val="004D519C"/>
    <w:rsid w:val="004F061A"/>
    <w:rsid w:val="006D129D"/>
    <w:rsid w:val="007D1947"/>
    <w:rsid w:val="007E4DAB"/>
    <w:rsid w:val="007F63D7"/>
    <w:rsid w:val="008D2ECC"/>
    <w:rsid w:val="008D5068"/>
    <w:rsid w:val="0092292B"/>
    <w:rsid w:val="00941CA9"/>
    <w:rsid w:val="00995CD8"/>
    <w:rsid w:val="00A232BF"/>
    <w:rsid w:val="00A23CF0"/>
    <w:rsid w:val="00AA2A91"/>
    <w:rsid w:val="00AF1C6C"/>
    <w:rsid w:val="00B45EA4"/>
    <w:rsid w:val="00BB6CBC"/>
    <w:rsid w:val="00C21218"/>
    <w:rsid w:val="00C2154D"/>
    <w:rsid w:val="00C71FB5"/>
    <w:rsid w:val="00CA09F3"/>
    <w:rsid w:val="00D528B2"/>
    <w:rsid w:val="00D626B5"/>
    <w:rsid w:val="00D854A5"/>
    <w:rsid w:val="00E0563E"/>
    <w:rsid w:val="00E83D32"/>
    <w:rsid w:val="00EB5D56"/>
    <w:rsid w:val="00ED1592"/>
    <w:rsid w:val="00EF60BA"/>
    <w:rsid w:val="00F2487C"/>
    <w:rsid w:val="00FF6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a">
    <w:name w:val="_"/>
    <w:basedOn w:val="DefaultParagraphFont"/>
    <w:rsid w:val="007E4DAB"/>
  </w:style>
  <w:style w:type="character" w:customStyle="1" w:styleId="fc2">
    <w:name w:val="fc2"/>
    <w:basedOn w:val="DefaultParagraphFont"/>
    <w:rsid w:val="007E4DAB"/>
  </w:style>
  <w:style w:type="character" w:customStyle="1" w:styleId="ff4">
    <w:name w:val="ff4"/>
    <w:basedOn w:val="DefaultParagraphFont"/>
    <w:rsid w:val="00A232BF"/>
  </w:style>
  <w:style w:type="character" w:customStyle="1" w:styleId="ff2">
    <w:name w:val="ff2"/>
    <w:basedOn w:val="DefaultParagraphFont"/>
    <w:rsid w:val="00A232BF"/>
  </w:style>
  <w:style w:type="character" w:styleId="UnresolvedMention">
    <w:name w:val="Unresolved Mention"/>
    <w:basedOn w:val="DefaultParagraphFont"/>
    <w:uiPriority w:val="99"/>
    <w:semiHidden/>
    <w:unhideWhenUsed/>
    <w:rsid w:val="00EF60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339934">
      <w:bodyDiv w:val="1"/>
      <w:marLeft w:val="0"/>
      <w:marRight w:val="0"/>
      <w:marTop w:val="0"/>
      <w:marBottom w:val="0"/>
      <w:divBdr>
        <w:top w:val="none" w:sz="0" w:space="0" w:color="auto"/>
        <w:left w:val="none" w:sz="0" w:space="0" w:color="auto"/>
        <w:bottom w:val="none" w:sz="0" w:space="0" w:color="auto"/>
        <w:right w:val="none" w:sz="0" w:space="0" w:color="auto"/>
      </w:divBdr>
    </w:div>
    <w:div w:id="1295597030">
      <w:bodyDiv w:val="1"/>
      <w:marLeft w:val="0"/>
      <w:marRight w:val="0"/>
      <w:marTop w:val="0"/>
      <w:marBottom w:val="0"/>
      <w:divBdr>
        <w:top w:val="none" w:sz="0" w:space="0" w:color="auto"/>
        <w:left w:val="none" w:sz="0" w:space="0" w:color="auto"/>
        <w:bottom w:val="none" w:sz="0" w:space="0" w:color="auto"/>
        <w:right w:val="none" w:sz="0" w:space="0" w:color="auto"/>
      </w:divBdr>
    </w:div>
    <w:div w:id="147786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dx.doi.org/10.2139/ssrn.3895784" TargetMode="External"/><Relationship Id="rId18" Type="http://schemas.openxmlformats.org/officeDocument/2006/relationships/hyperlink" Target="https://www.revfine.com/measure-profitability-hotel/"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penpoin.com/gearing/" TargetMode="External"/><Relationship Id="rId2" Type="http://schemas.openxmlformats.org/officeDocument/2006/relationships/customXml" Target="../customXml/item2.xml"/><Relationship Id="rId16" Type="http://schemas.openxmlformats.org/officeDocument/2006/relationships/hyperlink" Target="https://lib.dr.iastate.edu/etd/1391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customXml" Target="../customXml/item5.xml"/><Relationship Id="rId15" Type="http://schemas.openxmlformats.org/officeDocument/2006/relationships/hyperlink" Target="https://corporatefinanceinstitute.com/resources/accounting/limitations-ratio-analysis/" TargetMode="External"/><Relationship Id="rId10" Type="http://schemas.openxmlformats.org/officeDocument/2006/relationships/image" Target="media/image2.png"/><Relationship Id="rId19" Type="http://schemas.openxmlformats.org/officeDocument/2006/relationships/hyperlink" Target="https://www.investopedia.com/articles/active-trading/082615/key-financial-ratios-analyze-hospitality-industry.asp"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iiste.org/Journals/index.php/JTHS/article/view/22820"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Long Term Debt/Capital</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Sheet1!$A$1:$F$1</c:f>
              <c:numCache>
                <c:formatCode>General</c:formatCode>
                <c:ptCount val="6"/>
                <c:pt idx="0">
                  <c:v>2016</c:v>
                </c:pt>
                <c:pt idx="1">
                  <c:v>2017</c:v>
                </c:pt>
                <c:pt idx="2">
                  <c:v>2018</c:v>
                </c:pt>
                <c:pt idx="3">
                  <c:v>2019</c:v>
                </c:pt>
                <c:pt idx="4">
                  <c:v>2020</c:v>
                </c:pt>
                <c:pt idx="5">
                  <c:v>2021</c:v>
                </c:pt>
              </c:numCache>
            </c:numRef>
          </c:cat>
          <c:val>
            <c:numRef>
              <c:f>Sheet1!$A$2:$F$2</c:f>
              <c:numCache>
                <c:formatCode>General</c:formatCode>
                <c:ptCount val="6"/>
                <c:pt idx="0">
                  <c:v>5.2443999999999997</c:v>
                </c:pt>
                <c:pt idx="1">
                  <c:v>7.1337999999999999</c:v>
                </c:pt>
                <c:pt idx="2">
                  <c:v>9.1867999999999999</c:v>
                </c:pt>
                <c:pt idx="3">
                  <c:v>6.07</c:v>
                </c:pt>
                <c:pt idx="4">
                  <c:v>-2.5257999999999998</c:v>
                </c:pt>
                <c:pt idx="5">
                  <c:v>7.931</c:v>
                </c:pt>
              </c:numCache>
            </c:numRef>
          </c:val>
          <c:smooth val="0"/>
          <c:extLst>
            <c:ext xmlns:c16="http://schemas.microsoft.com/office/drawing/2014/chart" uri="{C3380CC4-5D6E-409C-BE32-E72D297353CC}">
              <c16:uniqueId val="{00000000-F33F-488A-80CE-28B526701E06}"/>
            </c:ext>
          </c:extLst>
        </c:ser>
        <c:dLbls>
          <c:dLblPos val="ctr"/>
          <c:showLegendKey val="0"/>
          <c:showVal val="1"/>
          <c:showCatName val="0"/>
          <c:showSerName val="0"/>
          <c:showPercent val="0"/>
          <c:showBubbleSize val="0"/>
        </c:dLbls>
        <c:smooth val="0"/>
        <c:axId val="546959808"/>
        <c:axId val="546961448"/>
      </c:lineChart>
      <c:catAx>
        <c:axId val="546959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546961448"/>
        <c:crosses val="autoZero"/>
        <c:auto val="1"/>
        <c:lblAlgn val="ctr"/>
        <c:lblOffset val="100"/>
        <c:noMultiLvlLbl val="0"/>
      </c:catAx>
      <c:valAx>
        <c:axId val="54696144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959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Net profit</a:t>
            </a:r>
            <a:r>
              <a:rPr lang="en-GB" baseline="0"/>
              <a:t> margin</a:t>
            </a:r>
            <a:endParaRPr lang="en-GB"/>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areaChart>
        <c:grouping val="stacked"/>
        <c:varyColors val="0"/>
        <c:ser>
          <c:idx val="0"/>
          <c:order val="0"/>
          <c:spPr>
            <a:pattFill prst="ltUpDiag">
              <a:fgClr>
                <a:schemeClr val="accent1"/>
              </a:fgClr>
              <a:bgClr>
                <a:schemeClr val="accent1">
                  <a:lumMod val="20000"/>
                  <a:lumOff val="80000"/>
                </a:schemeClr>
              </a:bgClr>
            </a:pattFill>
            <a:ln>
              <a:noFill/>
            </a:ln>
            <a:effectLst>
              <a:innerShdw blurRad="114300">
                <a:schemeClr val="accent1"/>
              </a:innerShdw>
            </a:effectLst>
          </c:spPr>
          <c:cat>
            <c:numRef>
              <c:f>Sheet1!$A$1:$F$1</c:f>
              <c:numCache>
                <c:formatCode>General</c:formatCode>
                <c:ptCount val="6"/>
                <c:pt idx="0">
                  <c:v>2016</c:v>
                </c:pt>
                <c:pt idx="1">
                  <c:v>2017</c:v>
                </c:pt>
                <c:pt idx="2">
                  <c:v>2018</c:v>
                </c:pt>
                <c:pt idx="3">
                  <c:v>2019</c:v>
                </c:pt>
                <c:pt idx="4">
                  <c:v>2020</c:v>
                </c:pt>
                <c:pt idx="5">
                  <c:v>2021</c:v>
                </c:pt>
              </c:numCache>
            </c:numRef>
          </c:cat>
          <c:val>
            <c:numRef>
              <c:f>Sheet1!$A$2:$F$2</c:f>
              <c:numCache>
                <c:formatCode>General</c:formatCode>
                <c:ptCount val="6"/>
                <c:pt idx="0">
                  <c:v>5.2443999999999997</c:v>
                </c:pt>
                <c:pt idx="1">
                  <c:v>7.1337999999999999</c:v>
                </c:pt>
                <c:pt idx="2">
                  <c:v>9.1867999999999999</c:v>
                </c:pt>
                <c:pt idx="3">
                  <c:v>6.07</c:v>
                </c:pt>
                <c:pt idx="4">
                  <c:v>-2.5257999999999998</c:v>
                </c:pt>
                <c:pt idx="5">
                  <c:v>7.931</c:v>
                </c:pt>
              </c:numCache>
            </c:numRef>
          </c:val>
          <c:extLst>
            <c:ext xmlns:c16="http://schemas.microsoft.com/office/drawing/2014/chart" uri="{C3380CC4-5D6E-409C-BE32-E72D297353CC}">
              <c16:uniqueId val="{00000000-7076-4F1E-9A15-D831824E12F1}"/>
            </c:ext>
          </c:extLst>
        </c:ser>
        <c:dLbls>
          <c:showLegendKey val="0"/>
          <c:showVal val="0"/>
          <c:showCatName val="0"/>
          <c:showSerName val="0"/>
          <c:showPercent val="0"/>
          <c:showBubbleSize val="0"/>
        </c:dLbls>
        <c:axId val="336912424"/>
        <c:axId val="336915376"/>
      </c:areaChart>
      <c:catAx>
        <c:axId val="336912424"/>
        <c:scaling>
          <c:orientation val="minMax"/>
        </c:scaling>
        <c:delete val="0"/>
        <c:axPos val="b"/>
        <c:numFmt formatCode="General" sourceLinked="1"/>
        <c:majorTickMark val="out"/>
        <c:minorTickMark val="out"/>
        <c:tickLblPos val="nextTo"/>
        <c:spPr>
          <a:noFill/>
          <a:ln>
            <a:noFill/>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336915376"/>
        <c:crosses val="autoZero"/>
        <c:auto val="1"/>
        <c:lblAlgn val="ctr"/>
        <c:lblOffset val="100"/>
        <c:noMultiLvlLbl val="0"/>
      </c:catAx>
      <c:valAx>
        <c:axId val="336915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912424"/>
        <c:crosses val="autoZero"/>
        <c:crossBetween val="midCat"/>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78">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defRPr sz="900" b="0" kern="1200" cap="all" spc="120" normalizeH="0" baseline="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tx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solidFill>
        <a:schemeClr val="lt1"/>
      </a:solidFill>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solidFill>
        <a:schemeClr val="lt1"/>
      </a:solidFill>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4A5D55B572C4D5AB04E83508D2D7040"/>
        <w:category>
          <w:name w:val="General"/>
          <w:gallery w:val="placeholder"/>
        </w:category>
        <w:types>
          <w:type w:val="bbPlcHdr"/>
        </w:types>
        <w:behaviors>
          <w:behavior w:val="content"/>
        </w:behaviors>
        <w:guid w:val="{1BB02588-AE0B-4999-9E67-FEED3FFC902B}"/>
      </w:docPartPr>
      <w:docPartBody>
        <w:p w:rsidR="00CF51E4" w:rsidRDefault="00564221" w:rsidP="00564221">
          <w:pPr>
            <w:pStyle w:val="C4A5D55B572C4D5AB04E83508D2D70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564221"/>
    <w:rsid w:val="0083132B"/>
    <w:rsid w:val="00A34C42"/>
    <w:rsid w:val="00BC1251"/>
    <w:rsid w:val="00C67429"/>
    <w:rsid w:val="00C72DCA"/>
    <w:rsid w:val="00CF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4A5D55B572C4D5AB04E83508D2D7040">
    <w:name w:val="C4A5D55B572C4D5AB04E83508D2D7040"/>
    <w:rsid w:val="005642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4.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D2F4F2A-CF7C-401C-BB08-257D9F0C04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10</Pages>
  <Words>2297</Words>
  <Characters>13097</Characters>
  <Application>Microsoft Office Word</Application>
  <DocSecurity>0</DocSecurity>
  <Lines>109</Lines>
  <Paragraphs>30</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name of the assignment</vt:lpstr>
      <vt:lpstr>Executive Summary</vt:lpstr>
      <vt:lpstr>Introduction</vt:lpstr>
      <vt:lpstr>Financial Analysis Trends</vt:lpstr>
      <vt:lpstr>    Profitability</vt:lpstr>
      <vt:lpstr>    Liquidity</vt:lpstr>
      <vt:lpstr>    Gearing</vt:lpstr>
      <vt:lpstr>Knowledge from Ratio Analysis</vt:lpstr>
      <vt:lpstr>Benefits and Limitations of Ratio Analysis</vt:lpstr>
      <vt:lpstr>Conclusion (average of 10% of word count)</vt:lpstr>
      <vt:lpstr>Bibliography</vt:lpstr>
    </vt:vector>
  </TitlesOfParts>
  <Company>University of Wales Trinity Saint David</Company>
  <LinksUpToDate>false</LinksUpToDate>
  <CharactersWithSpaces>15364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 international</dc:title>
  <dc:subject>Kajal Miah: 1709531</dc:subject>
  <dc:creator>Marie Pitson</dc:creator>
  <cp:keywords/>
  <dc:description/>
  <cp:lastModifiedBy>Kajal Miah</cp:lastModifiedBy>
  <cp:revision>37</cp:revision>
  <dcterms:created xsi:type="dcterms:W3CDTF">2022-11-04T01:56:00Z</dcterms:created>
  <dcterms:modified xsi:type="dcterms:W3CDTF">2022-11-27T14:01:00Z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