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F7B5CD"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6806332A"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50E5CD37"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1AFE9398"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3370F52D"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0F7A99B7"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6D67B734" w14:textId="77777777" w:rsidR="002B2570" w:rsidRPr="002B2570"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0AF0627B" w14:textId="77777777" w:rsidR="00544034" w:rsidRDefault="002B2570"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r w:rsidRPr="002B2570">
        <w:rPr>
          <w:rFonts w:ascii="Times New Roman" w:eastAsia="Arial" w:hAnsi="Times New Roman" w:cs="Times New Roman"/>
          <w:b/>
          <w:bCs/>
          <w:color w:val="000000"/>
          <w:kern w:val="0"/>
          <w:sz w:val="32"/>
          <w:szCs w:val="60"/>
          <w:lang w:val="en-US" w:eastAsia="en-US"/>
          <w14:ligatures w14:val="none"/>
        </w:rPr>
        <w:t>INTERNATIONAL MEETINGS MANAGEMENT FOR THE HOTEL INDUSTRY</w:t>
      </w:r>
    </w:p>
    <w:p w14:paraId="41248F61" w14:textId="77777777" w:rsidR="00DF3122" w:rsidRDefault="00DF3122"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p>
    <w:p w14:paraId="0C0340F7" w14:textId="3E76D9B3" w:rsidR="00544034" w:rsidRDefault="00DF3122" w:rsidP="002B2570">
      <w:pPr>
        <w:spacing w:line="360" w:lineRule="auto"/>
        <w:jc w:val="center"/>
        <w:rPr>
          <w:rFonts w:ascii="Times New Roman" w:eastAsia="Arial" w:hAnsi="Times New Roman" w:cs="Times New Roman"/>
          <w:b/>
          <w:bCs/>
          <w:color w:val="000000"/>
          <w:kern w:val="0"/>
          <w:sz w:val="32"/>
          <w:szCs w:val="60"/>
          <w:lang w:val="en-US" w:eastAsia="en-US"/>
          <w14:ligatures w14:val="none"/>
        </w:rPr>
      </w:pPr>
      <w:r w:rsidRPr="00DF3122">
        <w:rPr>
          <w:rFonts w:ascii="Times New Roman" w:eastAsia="Arial" w:hAnsi="Times New Roman" w:cs="Times New Roman"/>
          <w:b/>
          <w:bCs/>
          <w:color w:val="000000"/>
          <w:kern w:val="0"/>
          <w:sz w:val="32"/>
          <w:szCs w:val="60"/>
          <w:lang w:val="en-US" w:eastAsia="en-US"/>
          <w14:ligatures w14:val="none"/>
        </w:rPr>
        <w:t>BMIH6007</w:t>
      </w:r>
    </w:p>
    <w:p w14:paraId="7B3D6EFF" w14:textId="77777777" w:rsidR="00544034" w:rsidRDefault="00544034" w:rsidP="00544034">
      <w:pPr>
        <w:spacing w:line="360" w:lineRule="auto"/>
        <w:rPr>
          <w:rFonts w:ascii="Times New Roman" w:eastAsia="Arial" w:hAnsi="Times New Roman" w:cs="Times New Roman"/>
          <w:b/>
          <w:bCs/>
          <w:color w:val="000000"/>
          <w:kern w:val="0"/>
          <w:sz w:val="32"/>
          <w:szCs w:val="60"/>
          <w:lang w:val="en-US" w:eastAsia="en-US"/>
          <w14:ligatures w14:val="none"/>
        </w:rPr>
      </w:pPr>
    </w:p>
    <w:p w14:paraId="43012B19" w14:textId="4A395F5E" w:rsidR="00544034" w:rsidRDefault="00C87473" w:rsidP="00544034">
      <w:pPr>
        <w:spacing w:line="360" w:lineRule="auto"/>
        <w:rPr>
          <w:rFonts w:ascii="Times New Roman" w:eastAsia="Arial" w:hAnsi="Times New Roman" w:cs="Times New Roman"/>
          <w:b/>
          <w:bCs/>
          <w:color w:val="000000"/>
          <w:kern w:val="0"/>
          <w:sz w:val="32"/>
          <w:szCs w:val="60"/>
          <w:lang w:val="en-US" w:eastAsia="en-US"/>
          <w14:ligatures w14:val="none"/>
        </w:rPr>
      </w:pPr>
      <w:r>
        <w:rPr>
          <w:rFonts w:ascii="Times New Roman" w:eastAsia="Arial" w:hAnsi="Times New Roman" w:cs="Times New Roman"/>
          <w:b/>
          <w:bCs/>
          <w:color w:val="000000"/>
          <w:kern w:val="0"/>
          <w:sz w:val="32"/>
          <w:szCs w:val="60"/>
          <w:lang w:val="en-US" w:eastAsia="en-US"/>
          <w14:ligatures w14:val="none"/>
        </w:rPr>
        <w:t xml:space="preserve">                 </w:t>
      </w:r>
      <w:r w:rsidR="00DF3122">
        <w:rPr>
          <w:rFonts w:ascii="Times New Roman" w:eastAsia="Arial" w:hAnsi="Times New Roman" w:cs="Times New Roman"/>
          <w:b/>
          <w:bCs/>
          <w:color w:val="000000"/>
          <w:kern w:val="0"/>
          <w:sz w:val="32"/>
          <w:szCs w:val="60"/>
          <w:lang w:val="en-US" w:eastAsia="en-US"/>
          <w14:ligatures w14:val="none"/>
        </w:rPr>
        <w:t xml:space="preserve">         </w:t>
      </w:r>
      <w:r>
        <w:rPr>
          <w:rFonts w:ascii="Times New Roman" w:eastAsia="Arial" w:hAnsi="Times New Roman" w:cs="Times New Roman"/>
          <w:b/>
          <w:bCs/>
          <w:color w:val="000000"/>
          <w:kern w:val="0"/>
          <w:sz w:val="32"/>
          <w:szCs w:val="60"/>
          <w:lang w:val="en-US" w:eastAsia="en-US"/>
          <w14:ligatures w14:val="none"/>
        </w:rPr>
        <w:t xml:space="preserve">   </w:t>
      </w:r>
      <w:r w:rsidR="00302733" w:rsidRPr="00302733">
        <w:rPr>
          <w:rFonts w:ascii="Times New Roman" w:eastAsia="Arial" w:hAnsi="Times New Roman" w:cs="Times New Roman"/>
          <w:b/>
          <w:bCs/>
          <w:color w:val="000000"/>
          <w:kern w:val="0"/>
          <w:sz w:val="32"/>
          <w:szCs w:val="60"/>
          <w:lang w:val="en-US" w:eastAsia="en-US"/>
          <w14:ligatures w14:val="none"/>
        </w:rPr>
        <w:t>Module Lead: Kathryn Flynn</w:t>
      </w:r>
    </w:p>
    <w:p w14:paraId="33D6A227" w14:textId="5453B08B" w:rsidR="00544034" w:rsidRDefault="00544034" w:rsidP="00544034">
      <w:pPr>
        <w:spacing w:line="360" w:lineRule="auto"/>
        <w:rPr>
          <w:rFonts w:ascii="Times New Roman" w:eastAsia="Arial" w:hAnsi="Times New Roman" w:cs="Times New Roman"/>
          <w:b/>
          <w:bCs/>
          <w:color w:val="000000"/>
          <w:kern w:val="0"/>
          <w:sz w:val="32"/>
          <w:szCs w:val="60"/>
          <w:lang w:val="en-US" w:eastAsia="en-US"/>
          <w14:ligatures w14:val="none"/>
        </w:rPr>
      </w:pPr>
      <w:r>
        <w:rPr>
          <w:rFonts w:ascii="Times New Roman" w:eastAsia="Arial" w:hAnsi="Times New Roman" w:cs="Times New Roman"/>
          <w:b/>
          <w:bCs/>
          <w:color w:val="000000"/>
          <w:kern w:val="0"/>
          <w:sz w:val="32"/>
          <w:szCs w:val="60"/>
          <w:lang w:val="en-US" w:eastAsia="en-US"/>
          <w14:ligatures w14:val="none"/>
        </w:rPr>
        <w:t xml:space="preserve">                 </w:t>
      </w:r>
      <w:r w:rsidR="00DF3122">
        <w:rPr>
          <w:rFonts w:ascii="Times New Roman" w:eastAsia="Arial" w:hAnsi="Times New Roman" w:cs="Times New Roman"/>
          <w:b/>
          <w:bCs/>
          <w:color w:val="000000"/>
          <w:kern w:val="0"/>
          <w:sz w:val="32"/>
          <w:szCs w:val="60"/>
          <w:lang w:val="en-US" w:eastAsia="en-US"/>
          <w14:ligatures w14:val="none"/>
        </w:rPr>
        <w:t xml:space="preserve">         </w:t>
      </w:r>
      <w:r>
        <w:rPr>
          <w:rFonts w:ascii="Times New Roman" w:eastAsia="Arial" w:hAnsi="Times New Roman" w:cs="Times New Roman"/>
          <w:b/>
          <w:bCs/>
          <w:color w:val="000000"/>
          <w:kern w:val="0"/>
          <w:sz w:val="32"/>
          <w:szCs w:val="60"/>
          <w:lang w:val="en-US" w:eastAsia="en-US"/>
          <w14:ligatures w14:val="none"/>
        </w:rPr>
        <w:t xml:space="preserve">   Student name : Daniela Vladoi </w:t>
      </w:r>
    </w:p>
    <w:p w14:paraId="5ED2139E" w14:textId="46DA4ED7" w:rsidR="00C87473" w:rsidRDefault="00544034" w:rsidP="00544034">
      <w:pPr>
        <w:spacing w:line="360" w:lineRule="auto"/>
        <w:rPr>
          <w:rFonts w:ascii="Times New Roman" w:eastAsia="Arial" w:hAnsi="Times New Roman" w:cs="Times New Roman"/>
          <w:b/>
          <w:bCs/>
          <w:color w:val="000000"/>
          <w:kern w:val="0"/>
          <w:sz w:val="32"/>
          <w:szCs w:val="60"/>
          <w:lang w:val="en-US" w:eastAsia="en-US"/>
          <w14:ligatures w14:val="none"/>
        </w:rPr>
      </w:pPr>
      <w:r>
        <w:rPr>
          <w:rFonts w:ascii="Times New Roman" w:eastAsia="Arial" w:hAnsi="Times New Roman" w:cs="Times New Roman"/>
          <w:b/>
          <w:bCs/>
          <w:color w:val="000000"/>
          <w:kern w:val="0"/>
          <w:sz w:val="32"/>
          <w:szCs w:val="60"/>
          <w:lang w:val="en-US" w:eastAsia="en-US"/>
          <w14:ligatures w14:val="none"/>
        </w:rPr>
        <w:t xml:space="preserve">               </w:t>
      </w:r>
      <w:r w:rsidR="00C87473">
        <w:rPr>
          <w:rFonts w:ascii="Times New Roman" w:eastAsia="Arial" w:hAnsi="Times New Roman" w:cs="Times New Roman"/>
          <w:b/>
          <w:bCs/>
          <w:color w:val="000000"/>
          <w:kern w:val="0"/>
          <w:sz w:val="32"/>
          <w:szCs w:val="60"/>
          <w:lang w:val="en-US" w:eastAsia="en-US"/>
          <w14:ligatures w14:val="none"/>
        </w:rPr>
        <w:t xml:space="preserve">       </w:t>
      </w:r>
      <w:r>
        <w:rPr>
          <w:rFonts w:ascii="Times New Roman" w:eastAsia="Arial" w:hAnsi="Times New Roman" w:cs="Times New Roman"/>
          <w:b/>
          <w:bCs/>
          <w:color w:val="000000"/>
          <w:kern w:val="0"/>
          <w:sz w:val="32"/>
          <w:szCs w:val="60"/>
          <w:lang w:val="en-US" w:eastAsia="en-US"/>
          <w14:ligatures w14:val="none"/>
        </w:rPr>
        <w:t xml:space="preserve">     </w:t>
      </w:r>
      <w:r w:rsidR="00DF3122">
        <w:rPr>
          <w:rFonts w:ascii="Times New Roman" w:eastAsia="Arial" w:hAnsi="Times New Roman" w:cs="Times New Roman"/>
          <w:b/>
          <w:bCs/>
          <w:color w:val="000000"/>
          <w:kern w:val="0"/>
          <w:sz w:val="32"/>
          <w:szCs w:val="60"/>
          <w:lang w:val="en-US" w:eastAsia="en-US"/>
          <w14:ligatures w14:val="none"/>
        </w:rPr>
        <w:t xml:space="preserve">  </w:t>
      </w:r>
      <w:r>
        <w:rPr>
          <w:rFonts w:ascii="Times New Roman" w:eastAsia="Arial" w:hAnsi="Times New Roman" w:cs="Times New Roman"/>
          <w:b/>
          <w:bCs/>
          <w:color w:val="000000"/>
          <w:kern w:val="0"/>
          <w:sz w:val="32"/>
          <w:szCs w:val="60"/>
          <w:lang w:val="en-US" w:eastAsia="en-US"/>
          <w14:ligatures w14:val="none"/>
        </w:rPr>
        <w:t xml:space="preserve">Student id : 2207143 </w:t>
      </w:r>
    </w:p>
    <w:p w14:paraId="3EEC28CC" w14:textId="37A51513" w:rsidR="002B2570" w:rsidRPr="002B2570" w:rsidRDefault="00C87473" w:rsidP="00544034">
      <w:pPr>
        <w:spacing w:line="360" w:lineRule="auto"/>
        <w:rPr>
          <w:rFonts w:ascii="Times New Roman" w:eastAsia="Times New Roman" w:hAnsi="Times New Roman" w:cs="Times New Roman"/>
          <w:b/>
          <w:kern w:val="0"/>
          <w:sz w:val="24"/>
          <w:szCs w:val="24"/>
          <w:lang w:eastAsia="en-US"/>
          <w14:ligatures w14:val="none"/>
        </w:rPr>
      </w:pPr>
      <w:r>
        <w:rPr>
          <w:rFonts w:ascii="Times New Roman" w:eastAsia="Arial" w:hAnsi="Times New Roman" w:cs="Times New Roman"/>
          <w:b/>
          <w:bCs/>
          <w:color w:val="000000"/>
          <w:kern w:val="0"/>
          <w:sz w:val="32"/>
          <w:szCs w:val="60"/>
          <w:lang w:val="en-US" w:eastAsia="en-US"/>
          <w14:ligatures w14:val="none"/>
        </w:rPr>
        <w:t xml:space="preserve">      </w:t>
      </w:r>
      <w:r w:rsidR="002B2570" w:rsidRPr="002B2570">
        <w:rPr>
          <w:rFonts w:ascii="Times New Roman" w:eastAsia="Times New Roman" w:hAnsi="Times New Roman" w:cs="Times New Roman"/>
          <w:b/>
          <w:kern w:val="0"/>
          <w:sz w:val="24"/>
          <w:szCs w:val="24"/>
          <w:lang w:eastAsia="en-US"/>
          <w14:ligatures w14:val="none"/>
        </w:rPr>
        <w:br w:type="page"/>
      </w:r>
    </w:p>
    <w:sdt>
      <w:sdtPr>
        <w:rPr>
          <w:rFonts w:ascii="Arial" w:eastAsia="Arial" w:hAnsi="Arial" w:cs="Arial"/>
          <w:kern w:val="0"/>
          <w:lang w:val="en-US" w:eastAsia="en-US"/>
          <w14:ligatures w14:val="none"/>
        </w:rPr>
        <w:id w:val="-583908185"/>
        <w:docPartObj>
          <w:docPartGallery w:val="Table of Contents"/>
          <w:docPartUnique/>
        </w:docPartObj>
      </w:sdtPr>
      <w:sdtEndPr>
        <w:rPr>
          <w:b/>
          <w:bCs/>
          <w:noProof/>
        </w:rPr>
      </w:sdtEndPr>
      <w:sdtContent>
        <w:p w14:paraId="04E5EAF6" w14:textId="77777777" w:rsidR="002B2570" w:rsidRPr="002B2570" w:rsidRDefault="002B2570" w:rsidP="002B2570">
          <w:pPr>
            <w:keepNext/>
            <w:keepLines/>
            <w:spacing w:before="240" w:line="360" w:lineRule="auto"/>
            <w:jc w:val="center"/>
            <w:rPr>
              <w:rFonts w:ascii="Times New Roman" w:eastAsiaTheme="majorEastAsia" w:hAnsi="Times New Roman" w:cs="Times New Roman"/>
              <w:b/>
              <w:color w:val="000000" w:themeColor="text1"/>
              <w:kern w:val="0"/>
              <w:sz w:val="24"/>
              <w:szCs w:val="32"/>
              <w:lang w:val="en-US" w:eastAsia="en-US"/>
              <w14:ligatures w14:val="none"/>
            </w:rPr>
          </w:pPr>
          <w:r w:rsidRPr="002B2570">
            <w:rPr>
              <w:rFonts w:ascii="Times New Roman" w:eastAsiaTheme="majorEastAsia" w:hAnsi="Times New Roman" w:cs="Times New Roman"/>
              <w:b/>
              <w:color w:val="000000" w:themeColor="text1"/>
              <w:kern w:val="0"/>
              <w:sz w:val="24"/>
              <w:szCs w:val="32"/>
              <w:lang w:val="en-US" w:eastAsia="en-US"/>
              <w14:ligatures w14:val="none"/>
            </w:rPr>
            <w:t>Table of Contents</w:t>
          </w:r>
        </w:p>
        <w:p w14:paraId="03739279"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r w:rsidRPr="002B2570">
            <w:rPr>
              <w:rFonts w:ascii="Arial" w:eastAsia="Arial" w:hAnsi="Arial" w:cs="Arial"/>
              <w:kern w:val="0"/>
              <w:lang w:val="en-US" w:eastAsia="en-US"/>
              <w14:ligatures w14:val="none"/>
            </w:rPr>
            <w:fldChar w:fldCharType="begin"/>
          </w:r>
          <w:r w:rsidRPr="002B2570">
            <w:rPr>
              <w:rFonts w:ascii="Arial" w:eastAsia="Arial" w:hAnsi="Arial" w:cs="Arial"/>
              <w:kern w:val="0"/>
              <w:lang w:val="en-US" w:eastAsia="en-US"/>
              <w14:ligatures w14:val="none"/>
            </w:rPr>
            <w:instrText xml:space="preserve"> TOC \o "1-3" \h \z \u </w:instrText>
          </w:r>
          <w:r w:rsidRPr="002B2570">
            <w:rPr>
              <w:rFonts w:ascii="Arial" w:eastAsia="Arial" w:hAnsi="Arial" w:cs="Arial"/>
              <w:kern w:val="0"/>
              <w:lang w:val="en-US" w:eastAsia="en-US"/>
              <w14:ligatures w14:val="none"/>
            </w:rPr>
            <w:fldChar w:fldCharType="separate"/>
          </w:r>
          <w:hyperlink w:anchor="_Toc179921191" w:history="1">
            <w:r w:rsidRPr="002B2570">
              <w:rPr>
                <w:rFonts w:ascii="Times New Roman" w:eastAsia="Arial" w:hAnsi="Times New Roman" w:cs="Times New Roman"/>
                <w:noProof/>
                <w:color w:val="0563C1" w:themeColor="hyperlink"/>
                <w:kern w:val="0"/>
                <w:sz w:val="24"/>
                <w:szCs w:val="24"/>
                <w:u w:val="single"/>
                <w:lang w:eastAsia="en-US"/>
                <w14:ligatures w14:val="none"/>
              </w:rPr>
              <w:t>Event Content and Context</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_Toc179921191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3</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03C6DACB"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2" w:history="1">
            <w:r w:rsidRPr="002B2570">
              <w:rPr>
                <w:rFonts w:ascii="Times New Roman" w:eastAsia="Arial" w:hAnsi="Times New Roman" w:cs="Times New Roman"/>
                <w:noProof/>
                <w:color w:val="0563C1" w:themeColor="hyperlink"/>
                <w:kern w:val="0"/>
                <w:sz w:val="24"/>
                <w:szCs w:val="24"/>
                <w:u w:val="single"/>
                <w:lang w:eastAsia="en-US"/>
                <w14:ligatures w14:val="none"/>
              </w:rPr>
              <w:t>Market Factors - Target Market</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_Toc179921192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3</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7EC43F03"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3" w:history="1">
            <w:r w:rsidRPr="002B2570">
              <w:rPr>
                <w:rFonts w:ascii="Times New Roman" w:eastAsia="Arial" w:hAnsi="Times New Roman" w:cs="Times New Roman"/>
                <w:noProof/>
                <w:color w:val="0563C1" w:themeColor="hyperlink"/>
                <w:kern w:val="0"/>
                <w:sz w:val="24"/>
                <w:szCs w:val="24"/>
                <w:u w:val="single"/>
                <w:lang w:eastAsia="en-US"/>
                <w14:ligatures w14:val="none"/>
              </w:rPr>
              <w:t>Market Factors - Demand &amp; Supply</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_Toc179921193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3</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49B248CE"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4" w:history="1">
            <w:r w:rsidRPr="002B2570">
              <w:rPr>
                <w:rFonts w:ascii="Times New Roman" w:eastAsia="Arial" w:hAnsi="Times New Roman" w:cs="Times New Roman"/>
                <w:noProof/>
                <w:color w:val="0563C1" w:themeColor="hyperlink"/>
                <w:kern w:val="0"/>
                <w:sz w:val="24"/>
                <w:szCs w:val="24"/>
                <w:u w:val="single"/>
                <w:lang w:eastAsia="en-US"/>
                <w14:ligatures w14:val="none"/>
              </w:rPr>
              <w:t>Market Factors - Competition</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_Toc179921194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4</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579FE445"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5" w:history="1">
            <w:r w:rsidRPr="002B2570">
              <w:rPr>
                <w:rFonts w:ascii="Times New Roman" w:eastAsia="Arial" w:hAnsi="Times New Roman" w:cs="Times New Roman"/>
                <w:noProof/>
                <w:color w:val="0563C1" w:themeColor="hyperlink"/>
                <w:kern w:val="0"/>
                <w:sz w:val="24"/>
                <w:szCs w:val="24"/>
                <w:u w:val="single"/>
                <w:lang w:eastAsia="en-US"/>
                <w14:ligatures w14:val="none"/>
              </w:rPr>
              <w:t>Operational Factors - Venue</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_Toc179921195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4</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2C051850"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6" w:history="1">
            <w:r w:rsidRPr="002B2570">
              <w:rPr>
                <w:rFonts w:ascii="Times New Roman" w:eastAsia="Arial" w:hAnsi="Times New Roman" w:cs="Times New Roman"/>
                <w:noProof/>
                <w:color w:val="0563C1" w:themeColor="hyperlink"/>
                <w:kern w:val="0"/>
                <w:sz w:val="24"/>
                <w:szCs w:val="24"/>
                <w:u w:val="single"/>
                <w:lang w:eastAsia="en-US"/>
                <w14:ligatures w14:val="none"/>
              </w:rPr>
              <w:t>Operational Factors - Staffing</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_Toc179921196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4</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5A828875"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7" w:history="1">
            <w:r w:rsidRPr="002B2570">
              <w:rPr>
                <w:rFonts w:ascii="Times New Roman" w:eastAsia="Arial" w:hAnsi="Times New Roman" w:cs="Times New Roman"/>
                <w:noProof/>
                <w:color w:val="0563C1" w:themeColor="hyperlink"/>
                <w:kern w:val="0"/>
                <w:sz w:val="24"/>
                <w:szCs w:val="24"/>
                <w:u w:val="single"/>
                <w:lang w:eastAsia="en-US"/>
                <w14:ligatures w14:val="none"/>
              </w:rPr>
              <w:t>Operational Factors - Resources</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_Toc179921197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5</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5CB9D0B6"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8" w:history="1">
            <w:r w:rsidRPr="002B2570">
              <w:rPr>
                <w:rFonts w:ascii="Times New Roman" w:eastAsia="Arial" w:hAnsi="Times New Roman" w:cs="Times New Roman"/>
                <w:noProof/>
                <w:color w:val="0563C1" w:themeColor="hyperlink"/>
                <w:kern w:val="0"/>
                <w:sz w:val="24"/>
                <w:szCs w:val="24"/>
                <w:u w:val="single"/>
                <w:lang w:eastAsia="en-US"/>
                <w14:ligatures w14:val="none"/>
              </w:rPr>
              <w:t>Financial Factors - Costs</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_Toc179921198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5</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5F88B8A5"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199" w:history="1">
            <w:r w:rsidRPr="002B2570">
              <w:rPr>
                <w:rFonts w:ascii="Times New Roman" w:eastAsia="Arial" w:hAnsi="Times New Roman" w:cs="Times New Roman"/>
                <w:noProof/>
                <w:color w:val="0563C1" w:themeColor="hyperlink"/>
                <w:kern w:val="0"/>
                <w:sz w:val="24"/>
                <w:szCs w:val="24"/>
                <w:u w:val="single"/>
                <w:lang w:eastAsia="en-US"/>
                <w14:ligatures w14:val="none"/>
              </w:rPr>
              <w:t>Financial Factors - Predicted Revenue</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_Toc179921199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6</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1B208CAD"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200" w:history="1">
            <w:r w:rsidRPr="002B2570">
              <w:rPr>
                <w:rFonts w:ascii="Times New Roman" w:eastAsia="Arial" w:hAnsi="Times New Roman" w:cs="Times New Roman"/>
                <w:noProof/>
                <w:color w:val="0563C1" w:themeColor="hyperlink"/>
                <w:kern w:val="0"/>
                <w:sz w:val="24"/>
                <w:szCs w:val="24"/>
                <w:u w:val="single"/>
                <w:lang w:eastAsia="en-US"/>
                <w14:ligatures w14:val="none"/>
              </w:rPr>
              <w:t>Financial Factors - Funding &amp; Revenue Generation</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_Toc179921200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6</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4AC1908E"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201" w:history="1">
            <w:r w:rsidRPr="002B2570">
              <w:rPr>
                <w:rFonts w:ascii="Times New Roman" w:eastAsia="Arial" w:hAnsi="Times New Roman" w:cs="Times New Roman"/>
                <w:noProof/>
                <w:color w:val="0563C1" w:themeColor="hyperlink"/>
                <w:kern w:val="0"/>
                <w:sz w:val="24"/>
                <w:szCs w:val="24"/>
                <w:u w:val="single"/>
                <w:lang w:val="en-US" w:eastAsia="en-US"/>
                <w14:ligatures w14:val="none"/>
              </w:rPr>
              <w:t>Reference list</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_Toc179921201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7</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7ED36AE7" w14:textId="77777777" w:rsidR="002B2570" w:rsidRPr="002B2570" w:rsidRDefault="002B2570" w:rsidP="002B2570">
          <w:pPr>
            <w:tabs>
              <w:tab w:val="right" w:leader="dot" w:pos="9019"/>
            </w:tabs>
            <w:spacing w:after="100" w:line="276" w:lineRule="auto"/>
            <w:rPr>
              <w:rFonts w:ascii="Times New Roman" w:hAnsi="Times New Roman" w:cs="Times New Roman"/>
              <w:noProof/>
              <w:sz w:val="24"/>
              <w:szCs w:val="24"/>
              <w:lang w:val="en-IN" w:eastAsia="en-IN"/>
            </w:rPr>
          </w:pPr>
          <w:hyperlink w:anchor="_Toc179921202" w:history="1">
            <w:r w:rsidRPr="002B2570">
              <w:rPr>
                <w:rFonts w:ascii="Times New Roman" w:eastAsia="Arial" w:hAnsi="Times New Roman" w:cs="Times New Roman"/>
                <w:noProof/>
                <w:color w:val="0563C1" w:themeColor="hyperlink"/>
                <w:kern w:val="0"/>
                <w:sz w:val="24"/>
                <w:szCs w:val="24"/>
                <w:u w:val="single"/>
                <w:lang w:val="en-US" w:eastAsia="en-US"/>
                <w14:ligatures w14:val="none"/>
              </w:rPr>
              <w:t>Appendix: PPT</w:t>
            </w:r>
            <w:r w:rsidRPr="002B2570">
              <w:rPr>
                <w:rFonts w:ascii="Times New Roman" w:eastAsia="Arial" w:hAnsi="Times New Roman" w:cs="Times New Roman"/>
                <w:noProof/>
                <w:webHidden/>
                <w:kern w:val="0"/>
                <w:sz w:val="24"/>
                <w:szCs w:val="24"/>
                <w:lang w:val="en-US" w:eastAsia="en-US"/>
                <w14:ligatures w14:val="none"/>
              </w:rPr>
              <w:tab/>
            </w:r>
            <w:r w:rsidRPr="002B2570">
              <w:rPr>
                <w:rFonts w:ascii="Times New Roman" w:eastAsia="Arial" w:hAnsi="Times New Roman" w:cs="Times New Roman"/>
                <w:noProof/>
                <w:webHidden/>
                <w:kern w:val="0"/>
                <w:sz w:val="24"/>
                <w:szCs w:val="24"/>
                <w:lang w:val="en-US" w:eastAsia="en-US"/>
                <w14:ligatures w14:val="none"/>
              </w:rPr>
              <w:fldChar w:fldCharType="begin"/>
            </w:r>
            <w:r w:rsidRPr="002B2570">
              <w:rPr>
                <w:rFonts w:ascii="Times New Roman" w:eastAsia="Arial" w:hAnsi="Times New Roman" w:cs="Times New Roman"/>
                <w:noProof/>
                <w:webHidden/>
                <w:kern w:val="0"/>
                <w:sz w:val="24"/>
                <w:szCs w:val="24"/>
                <w:lang w:val="en-US" w:eastAsia="en-US"/>
                <w14:ligatures w14:val="none"/>
              </w:rPr>
              <w:instrText xml:space="preserve"> PAGEREF _Toc179921202 \h </w:instrText>
            </w:r>
            <w:r w:rsidRPr="002B2570">
              <w:rPr>
                <w:rFonts w:ascii="Times New Roman" w:eastAsia="Arial" w:hAnsi="Times New Roman" w:cs="Times New Roman"/>
                <w:noProof/>
                <w:webHidden/>
                <w:kern w:val="0"/>
                <w:sz w:val="24"/>
                <w:szCs w:val="24"/>
                <w:lang w:val="en-US" w:eastAsia="en-US"/>
                <w14:ligatures w14:val="none"/>
              </w:rPr>
            </w:r>
            <w:r w:rsidRPr="002B2570">
              <w:rPr>
                <w:rFonts w:ascii="Times New Roman" w:eastAsia="Arial" w:hAnsi="Times New Roman" w:cs="Times New Roman"/>
                <w:noProof/>
                <w:webHidden/>
                <w:kern w:val="0"/>
                <w:sz w:val="24"/>
                <w:szCs w:val="24"/>
                <w:lang w:val="en-US" w:eastAsia="en-US"/>
                <w14:ligatures w14:val="none"/>
              </w:rPr>
              <w:fldChar w:fldCharType="separate"/>
            </w:r>
            <w:r w:rsidRPr="002B2570">
              <w:rPr>
                <w:rFonts w:ascii="Times New Roman" w:eastAsia="Arial" w:hAnsi="Times New Roman" w:cs="Times New Roman"/>
                <w:noProof/>
                <w:webHidden/>
                <w:kern w:val="0"/>
                <w:sz w:val="24"/>
                <w:szCs w:val="24"/>
                <w:lang w:val="en-US" w:eastAsia="en-US"/>
                <w14:ligatures w14:val="none"/>
              </w:rPr>
              <w:t>9</w:t>
            </w:r>
            <w:r w:rsidRPr="002B2570">
              <w:rPr>
                <w:rFonts w:ascii="Times New Roman" w:eastAsia="Arial" w:hAnsi="Times New Roman" w:cs="Times New Roman"/>
                <w:noProof/>
                <w:webHidden/>
                <w:kern w:val="0"/>
                <w:sz w:val="24"/>
                <w:szCs w:val="24"/>
                <w:lang w:val="en-US" w:eastAsia="en-US"/>
                <w14:ligatures w14:val="none"/>
              </w:rPr>
              <w:fldChar w:fldCharType="end"/>
            </w:r>
          </w:hyperlink>
        </w:p>
        <w:p w14:paraId="0FB91F86"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b/>
              <w:bCs/>
              <w:noProof/>
              <w:kern w:val="0"/>
              <w:lang w:val="en-US" w:eastAsia="en-US"/>
              <w14:ligatures w14:val="none"/>
            </w:rPr>
            <w:fldChar w:fldCharType="end"/>
          </w:r>
        </w:p>
      </w:sdtContent>
    </w:sdt>
    <w:p w14:paraId="4BFB180B" w14:textId="77777777" w:rsidR="002B2570" w:rsidRPr="002B2570" w:rsidRDefault="002B2570" w:rsidP="002B2570">
      <w:pPr>
        <w:spacing w:line="276" w:lineRule="auto"/>
        <w:rPr>
          <w:rFonts w:ascii="Times New Roman" w:eastAsia="Times New Roman" w:hAnsi="Times New Roman" w:cs="Times New Roman"/>
          <w:b/>
          <w:kern w:val="0"/>
          <w:sz w:val="24"/>
          <w:szCs w:val="24"/>
          <w:lang w:eastAsia="en-US"/>
          <w14:ligatures w14:val="none"/>
        </w:rPr>
      </w:pPr>
      <w:r w:rsidRPr="002B2570">
        <w:rPr>
          <w:rFonts w:ascii="Times New Roman" w:eastAsia="Times New Roman" w:hAnsi="Times New Roman" w:cs="Times New Roman"/>
          <w:b/>
          <w:kern w:val="0"/>
          <w:sz w:val="24"/>
          <w:szCs w:val="24"/>
          <w:lang w:eastAsia="en-US"/>
          <w14:ligatures w14:val="none"/>
        </w:rPr>
        <w:br w:type="page"/>
      </w:r>
    </w:p>
    <w:p w14:paraId="7AD638F5"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0" w:name="_Toc179921191"/>
      <w:r w:rsidRPr="002B2570">
        <w:rPr>
          <w:rFonts w:ascii="Times New Roman" w:eastAsia="Arial" w:hAnsi="Times New Roman" w:cs="Arial"/>
          <w:b/>
          <w:kern w:val="0"/>
          <w:sz w:val="28"/>
          <w:szCs w:val="40"/>
          <w:lang w:eastAsia="en-US"/>
          <w14:ligatures w14:val="none"/>
        </w:rPr>
        <w:lastRenderedPageBreak/>
        <w:t>Event Content and Context</w:t>
      </w:r>
      <w:bookmarkEnd w:id="0"/>
    </w:p>
    <w:p w14:paraId="0753FC7A" w14:textId="77777777" w:rsidR="002B2570" w:rsidRPr="002B2570" w:rsidRDefault="002B2570" w:rsidP="002B2570">
      <w:pPr>
        <w:numPr>
          <w:ilvl w:val="0"/>
          <w:numId w:val="3"/>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 comprehensive immersive festive light display, it brings to life the magic of winter.</w:t>
      </w:r>
    </w:p>
    <w:p w14:paraId="3C099655" w14:textId="77777777" w:rsidR="002B2570" w:rsidRPr="002B2570" w:rsidRDefault="002B2570" w:rsidP="002B2570">
      <w:pPr>
        <w:numPr>
          <w:ilvl w:val="0"/>
          <w:numId w:val="3"/>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 union of nature, entertainment and holiday spirit into a magical outdoor experience.</w:t>
      </w:r>
    </w:p>
    <w:p w14:paraId="56D915B1" w14:textId="77777777" w:rsidR="002B2570" w:rsidRPr="002B2570" w:rsidRDefault="002B2570" w:rsidP="002B2570">
      <w:pPr>
        <w:numPr>
          <w:ilvl w:val="0"/>
          <w:numId w:val="3"/>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Families, couples and tourists who visit with a wish to spend a memorable holiday event.</w:t>
      </w:r>
    </w:p>
    <w:p w14:paraId="612206D5" w14:textId="77777777" w:rsidR="002B2570" w:rsidRPr="002B2570" w:rsidRDefault="002B2570" w:rsidP="002B2570">
      <w:pPr>
        <w:numPr>
          <w:ilvl w:val="0"/>
          <w:numId w:val="3"/>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Presents a one of a kind visit including radiant lights revealing the regular excellence of Kew Gardens.</w:t>
      </w:r>
    </w:p>
    <w:p w14:paraId="716D09EB" w14:textId="77777777" w:rsidR="002B2570" w:rsidRPr="002B2570" w:rsidRDefault="002B2570" w:rsidP="002B2570">
      <w:pPr>
        <w:numPr>
          <w:ilvl w:val="0"/>
          <w:numId w:val="3"/>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Christmas at Kew Gardens intertwines the joy of the holiday period with the breathtaking wonder of nature’s wonder, offering Londoners something very different compared to other Christmas celebrations in the city.</w:t>
      </w:r>
    </w:p>
    <w:p w14:paraId="7F2275D4"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1" w:name="_Toc179921192"/>
      <w:r w:rsidRPr="002B2570">
        <w:rPr>
          <w:rFonts w:ascii="Times New Roman" w:eastAsia="Arial" w:hAnsi="Times New Roman" w:cs="Arial"/>
          <w:b/>
          <w:kern w:val="0"/>
          <w:sz w:val="28"/>
          <w:szCs w:val="40"/>
          <w:lang w:eastAsia="en-US"/>
          <w14:ligatures w14:val="none"/>
        </w:rPr>
        <w:t>Market Factors - Target Market</w:t>
      </w:r>
      <w:bookmarkEnd w:id="1"/>
    </w:p>
    <w:p w14:paraId="680F30C9" w14:textId="77777777" w:rsidR="002B2570" w:rsidRPr="002B2570" w:rsidRDefault="002B2570" w:rsidP="002B2570">
      <w:pPr>
        <w:numPr>
          <w:ilvl w:val="0"/>
          <w:numId w:val="7"/>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 xml:space="preserve">Meant to target families, couples on tour, and tourists looking for some good festive or nature-oriented experiences (Rantala </w:t>
      </w:r>
      <w:r w:rsidRPr="002B2570">
        <w:rPr>
          <w:rFonts w:ascii="Times New Roman" w:eastAsia="Times New Roman" w:hAnsi="Times New Roman" w:cs="Times New Roman"/>
          <w:i/>
          <w:kern w:val="0"/>
          <w:sz w:val="24"/>
          <w:szCs w:val="24"/>
          <w:lang w:eastAsia="en-US"/>
          <w14:ligatures w14:val="none"/>
        </w:rPr>
        <w:t>et al.</w:t>
      </w:r>
      <w:r w:rsidRPr="002B2570">
        <w:rPr>
          <w:rFonts w:ascii="Times New Roman" w:eastAsia="Times New Roman" w:hAnsi="Times New Roman" w:cs="Times New Roman"/>
          <w:kern w:val="0"/>
          <w:sz w:val="24"/>
          <w:szCs w:val="24"/>
          <w:lang w:eastAsia="en-US"/>
          <w14:ligatures w14:val="none"/>
        </w:rPr>
        <w:t>, 2018).</w:t>
      </w:r>
    </w:p>
    <w:p w14:paraId="29CF8914" w14:textId="77777777" w:rsidR="002B2570" w:rsidRPr="002B2570" w:rsidRDefault="002B2570" w:rsidP="002B2570">
      <w:pPr>
        <w:numPr>
          <w:ilvl w:val="0"/>
          <w:numId w:val="7"/>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Demand for unique holiday events is strong, especially during winter.</w:t>
      </w:r>
    </w:p>
    <w:p w14:paraId="19CA99FC" w14:textId="77777777" w:rsidR="002B2570" w:rsidRPr="002B2570" w:rsidRDefault="002B2570" w:rsidP="002B2570">
      <w:pPr>
        <w:numPr>
          <w:ilvl w:val="0"/>
          <w:numId w:val="7"/>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Others include Winter Wonderland and other ice skating rinks in London.</w:t>
      </w:r>
    </w:p>
    <w:p w14:paraId="0C822A99" w14:textId="77777777" w:rsidR="002B2570" w:rsidRPr="002B2570" w:rsidRDefault="002B2570" w:rsidP="002B2570">
      <w:pPr>
        <w:numPr>
          <w:ilvl w:val="0"/>
          <w:numId w:val="7"/>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Attracts visitors seeking a quieter, more natural backdrop to their holiday without the noise.</w:t>
      </w:r>
    </w:p>
    <w:p w14:paraId="78A8DF15" w14:textId="77777777" w:rsidR="002B2570" w:rsidRPr="002B2570" w:rsidRDefault="002B2570" w:rsidP="002B2570">
      <w:pPr>
        <w:numPr>
          <w:ilvl w:val="0"/>
          <w:numId w:val="7"/>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Christmas at Kew Gardens stands out because it offers a botanical backdrop and light displays to deliver tranquillity and beauty for an audience that loves that in a holiday setting.</w:t>
      </w:r>
    </w:p>
    <w:p w14:paraId="01832EFB"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2" w:name="_Toc179921193"/>
      <w:r w:rsidRPr="002B2570">
        <w:rPr>
          <w:rFonts w:ascii="Times New Roman" w:eastAsia="Arial" w:hAnsi="Times New Roman" w:cs="Arial"/>
          <w:b/>
          <w:kern w:val="0"/>
          <w:sz w:val="28"/>
          <w:szCs w:val="40"/>
          <w:lang w:eastAsia="en-US"/>
          <w14:ligatures w14:val="none"/>
        </w:rPr>
        <w:t>Market Factors - Demand &amp; Supply</w:t>
      </w:r>
      <w:bookmarkEnd w:id="2"/>
    </w:p>
    <w:p w14:paraId="20ADFA86" w14:textId="77777777" w:rsidR="002B2570" w:rsidRPr="002B2570" w:rsidRDefault="002B2570" w:rsidP="002B2570">
      <w:pPr>
        <w:numPr>
          <w:ilvl w:val="0"/>
          <w:numId w:val="4"/>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An explosion in demand arises from holiday excitement and a need for family-oriented events.</w:t>
      </w:r>
    </w:p>
    <w:p w14:paraId="4D70A805" w14:textId="77777777" w:rsidR="002B2570" w:rsidRPr="002B2570" w:rsidRDefault="002B2570" w:rsidP="002B2570">
      <w:pPr>
        <w:numPr>
          <w:ilvl w:val="0"/>
          <w:numId w:val="4"/>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This is different from other city-centred holiday activities because Kew’s focus is botanical.</w:t>
      </w:r>
    </w:p>
    <w:p w14:paraId="75EA95C7" w14:textId="77777777" w:rsidR="002B2570" w:rsidRPr="002B2570" w:rsidRDefault="002B2570" w:rsidP="002B2570">
      <w:pPr>
        <w:numPr>
          <w:ilvl w:val="0"/>
          <w:numId w:val="4"/>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It’s hard to rival London for a nature-focused winter event of a similar theme.</w:t>
      </w:r>
    </w:p>
    <w:p w14:paraId="4380E03D" w14:textId="77777777" w:rsidR="002B2570" w:rsidRPr="002B2570" w:rsidRDefault="002B2570" w:rsidP="002B2570">
      <w:pPr>
        <w:numPr>
          <w:ilvl w:val="0"/>
          <w:numId w:val="4"/>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An appeal to those visitors who would like to spend the holiday season among nature and in a festive but quiet atmosphere (McKercher, Prideaux and Thompson, 2023).</w:t>
      </w:r>
    </w:p>
    <w:p w14:paraId="4227620C" w14:textId="77777777" w:rsidR="002B2570" w:rsidRPr="002B2570" w:rsidRDefault="002B2570" w:rsidP="002B2570">
      <w:pPr>
        <w:numPr>
          <w:ilvl w:val="0"/>
          <w:numId w:val="4"/>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Christmas at Kew Gardens is a highly sought-after outdoor winter event catering to the growing need for family-friendly holiday activities in a one-of-a-kind natural setting.</w:t>
      </w:r>
    </w:p>
    <w:p w14:paraId="7BE930AF"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3" w:name="_Toc179921194"/>
      <w:r w:rsidRPr="002B2570">
        <w:rPr>
          <w:rFonts w:ascii="Times New Roman" w:eastAsia="Arial" w:hAnsi="Times New Roman" w:cs="Arial"/>
          <w:b/>
          <w:kern w:val="0"/>
          <w:sz w:val="28"/>
          <w:szCs w:val="40"/>
          <w:lang w:eastAsia="en-US"/>
          <w14:ligatures w14:val="none"/>
        </w:rPr>
        <w:t>Market Factors - Competition</w:t>
      </w:r>
      <w:bookmarkEnd w:id="3"/>
    </w:p>
    <w:p w14:paraId="3BFDB0F8" w14:textId="77777777" w:rsidR="002B2570" w:rsidRPr="002B2570" w:rsidRDefault="002B2570" w:rsidP="002B2570">
      <w:pPr>
        <w:numPr>
          <w:ilvl w:val="0"/>
          <w:numId w:val="5"/>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 major holiday event in Hyde Park called Winter Wonderland, puts it up against some strong competition (Heo</w:t>
      </w:r>
      <w:r w:rsidRPr="002B2570">
        <w:rPr>
          <w:rFonts w:ascii="Times New Roman" w:eastAsia="Times New Roman" w:hAnsi="Times New Roman" w:cs="Times New Roman"/>
          <w:i/>
          <w:kern w:val="0"/>
          <w:sz w:val="24"/>
          <w:szCs w:val="24"/>
          <w:lang w:eastAsia="en-US"/>
          <w14:ligatures w14:val="none"/>
        </w:rPr>
        <w:t xml:space="preserve"> et al.</w:t>
      </w:r>
      <w:r w:rsidRPr="002B2570">
        <w:rPr>
          <w:rFonts w:ascii="Times New Roman" w:eastAsia="Times New Roman" w:hAnsi="Times New Roman" w:cs="Times New Roman"/>
          <w:kern w:val="0"/>
          <w:sz w:val="24"/>
          <w:szCs w:val="24"/>
          <w:lang w:eastAsia="en-US"/>
          <w14:ligatures w14:val="none"/>
        </w:rPr>
        <w:t>, 2022).</w:t>
      </w:r>
    </w:p>
    <w:p w14:paraId="0E7AFCA1" w14:textId="77777777" w:rsidR="002B2570" w:rsidRPr="002B2570" w:rsidRDefault="002B2570" w:rsidP="002B2570">
      <w:pPr>
        <w:numPr>
          <w:ilvl w:val="0"/>
          <w:numId w:val="5"/>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Alongside all that, Christmas markets and ice rinks also prove popular.</w:t>
      </w:r>
    </w:p>
    <w:p w14:paraId="1F3A5A7F" w14:textId="77777777" w:rsidR="002B2570" w:rsidRPr="002B2570" w:rsidRDefault="002B2570" w:rsidP="002B2570">
      <w:pPr>
        <w:numPr>
          <w:ilvl w:val="0"/>
          <w:numId w:val="5"/>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What makes Kew Gardens special are its botanical variety and festive light displays.</w:t>
      </w:r>
    </w:p>
    <w:p w14:paraId="1CAE81D8" w14:textId="77777777" w:rsidR="002B2570" w:rsidRPr="002B2570" w:rsidRDefault="002B2570" w:rsidP="002B2570">
      <w:pPr>
        <w:numPr>
          <w:ilvl w:val="0"/>
          <w:numId w:val="5"/>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Christmas at Kew Gardens is a peaceful, nature-based alternative to more commercial events.</w:t>
      </w:r>
    </w:p>
    <w:p w14:paraId="6DB80EC9" w14:textId="77777777" w:rsidR="002B2570" w:rsidRPr="002B2570" w:rsidRDefault="002B2570" w:rsidP="002B2570">
      <w:pPr>
        <w:numPr>
          <w:ilvl w:val="0"/>
          <w:numId w:val="5"/>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While there is competition, the event’s combination of natural beauty and holiday charm provides a different kind of festive experience that can satisfy a craving for something other than a city-based, bump into people, holiday.</w:t>
      </w:r>
    </w:p>
    <w:p w14:paraId="491C349F"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4" w:name="_Toc179921195"/>
      <w:r w:rsidRPr="002B2570">
        <w:rPr>
          <w:rFonts w:ascii="Times New Roman" w:eastAsia="Arial" w:hAnsi="Times New Roman" w:cs="Arial"/>
          <w:b/>
          <w:kern w:val="0"/>
          <w:sz w:val="28"/>
          <w:szCs w:val="40"/>
          <w:lang w:eastAsia="en-US"/>
          <w14:ligatures w14:val="none"/>
        </w:rPr>
        <w:t>Operational Factors - Venue</w:t>
      </w:r>
      <w:bookmarkEnd w:id="4"/>
    </w:p>
    <w:p w14:paraId="5A1B9E7D" w14:textId="77777777" w:rsidR="002B2570" w:rsidRPr="002B2570" w:rsidRDefault="002B2570" w:rsidP="002B2570">
      <w:pPr>
        <w:numPr>
          <w:ilvl w:val="0"/>
          <w:numId w:val="10"/>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Festive light displays in Kew Gardens are a place of beauty and space.</w:t>
      </w:r>
    </w:p>
    <w:p w14:paraId="709BFC5F" w14:textId="77777777" w:rsidR="002B2570" w:rsidRPr="002B2570" w:rsidRDefault="002B2570" w:rsidP="002B2570">
      <w:pPr>
        <w:numPr>
          <w:ilvl w:val="0"/>
          <w:numId w:val="10"/>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Kew’s natural ambience always works best in the evening when the pathways are illuminated and add magic to the place (Haskell, 2021).</w:t>
      </w:r>
    </w:p>
    <w:p w14:paraId="2B2DB5FC" w14:textId="77777777" w:rsidR="002B2570" w:rsidRPr="002B2570" w:rsidRDefault="002B2570" w:rsidP="002B2570">
      <w:pPr>
        <w:numPr>
          <w:ilvl w:val="0"/>
          <w:numId w:val="10"/>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The expansive walking paths, see established infrastructure and facilitate large crowds.</w:t>
      </w:r>
    </w:p>
    <w:p w14:paraId="13AB4690" w14:textId="77777777" w:rsidR="002B2570" w:rsidRPr="002B2570" w:rsidRDefault="002B2570" w:rsidP="002B2570">
      <w:pPr>
        <w:numPr>
          <w:ilvl w:val="0"/>
          <w:numId w:val="10"/>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The festive experience at Kew Gardens is uniquely enriched by its greenery, along with holiday lights.</w:t>
      </w:r>
    </w:p>
    <w:p w14:paraId="2CBEB6C4" w14:textId="77777777" w:rsidR="002B2570" w:rsidRPr="002B2570" w:rsidRDefault="002B2570" w:rsidP="002B2570">
      <w:pPr>
        <w:numPr>
          <w:ilvl w:val="0"/>
          <w:numId w:val="10"/>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With evening hours, existing facilities and a scenic location, this venue is ideal for high-speed, immersive holiday events, allowing people to enjoy the full magic of the illuminated gardens.</w:t>
      </w:r>
    </w:p>
    <w:p w14:paraId="2B763660"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5" w:name="_Toc179921196"/>
      <w:r w:rsidRPr="002B2570">
        <w:rPr>
          <w:rFonts w:ascii="Times New Roman" w:eastAsia="Arial" w:hAnsi="Times New Roman" w:cs="Arial"/>
          <w:b/>
          <w:kern w:val="0"/>
          <w:sz w:val="28"/>
          <w:szCs w:val="40"/>
          <w:lang w:eastAsia="en-US"/>
          <w14:ligatures w14:val="none"/>
        </w:rPr>
        <w:t>Operational Factors - Staffing</w:t>
      </w:r>
      <w:bookmarkEnd w:id="5"/>
    </w:p>
    <w:p w14:paraId="7110CB0D" w14:textId="77777777" w:rsidR="002B2570" w:rsidRPr="002B2570" w:rsidRDefault="002B2570" w:rsidP="002B2570">
      <w:pPr>
        <w:numPr>
          <w:ilvl w:val="0"/>
          <w:numId w:val="8"/>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Experienced event managers, security personnel and hospitality staff are required to manage operations to run smoothly at an event.</w:t>
      </w:r>
    </w:p>
    <w:p w14:paraId="2C4AAB2F" w14:textId="77777777" w:rsidR="002B2570" w:rsidRPr="002B2570" w:rsidRDefault="002B2570" w:rsidP="002B2570">
      <w:pPr>
        <w:numPr>
          <w:ilvl w:val="0"/>
          <w:numId w:val="8"/>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It will have more technical people running lighting, sound systems, and the setup for light displays (Lenk and Lenk, 2017).</w:t>
      </w:r>
    </w:p>
    <w:p w14:paraId="4795EE7C" w14:textId="77777777" w:rsidR="002B2570" w:rsidRPr="002B2570" w:rsidRDefault="002B2570" w:rsidP="002B2570">
      <w:pPr>
        <w:numPr>
          <w:ilvl w:val="0"/>
          <w:numId w:val="8"/>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Training of staff in crowd control, safety protocols, and assistance to visitors is further necessary (Wynn-Moylan, 2017).</w:t>
      </w:r>
    </w:p>
    <w:p w14:paraId="5DEADEAA" w14:textId="77777777" w:rsidR="002B2570" w:rsidRPr="002B2570" w:rsidRDefault="002B2570" w:rsidP="002B2570">
      <w:pPr>
        <w:numPr>
          <w:ilvl w:val="0"/>
          <w:numId w:val="8"/>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Large peaks in the evening will see temporary staff hired to support such large crowds.</w:t>
      </w:r>
    </w:p>
    <w:p w14:paraId="166D14E0" w14:textId="77777777" w:rsidR="002B2570" w:rsidRPr="002B2570" w:rsidRDefault="002B2570" w:rsidP="002B2570">
      <w:pPr>
        <w:numPr>
          <w:ilvl w:val="0"/>
          <w:numId w:val="8"/>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Management of operations, protection of visitors, and delivering a seamless positive experience for all visitors attending the event is reliant upon effective coordination, and staff training.</w:t>
      </w:r>
    </w:p>
    <w:p w14:paraId="71C6852D"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6" w:name="_Toc179921197"/>
      <w:r w:rsidRPr="002B2570">
        <w:rPr>
          <w:rFonts w:ascii="Times New Roman" w:eastAsia="Arial" w:hAnsi="Times New Roman" w:cs="Arial"/>
          <w:b/>
          <w:kern w:val="0"/>
          <w:sz w:val="28"/>
          <w:szCs w:val="40"/>
          <w:lang w:eastAsia="en-US"/>
          <w14:ligatures w14:val="none"/>
        </w:rPr>
        <w:t>Operational Factors - Resources</w:t>
      </w:r>
      <w:bookmarkEnd w:id="6"/>
    </w:p>
    <w:p w14:paraId="67F00B34" w14:textId="77777777" w:rsidR="002B2570" w:rsidRPr="002B2570" w:rsidRDefault="002B2570" w:rsidP="002B2570">
      <w:pPr>
        <w:numPr>
          <w:ilvl w:val="0"/>
          <w:numId w:val="1"/>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Food and beverage stands will be introducing hot chocolate and mulled wine alongside seasonal food offers.</w:t>
      </w:r>
    </w:p>
    <w:p w14:paraId="7EEAAD78" w14:textId="77777777" w:rsidR="002B2570" w:rsidRPr="002B2570" w:rsidRDefault="002B2570" w:rsidP="002B2570">
      <w:pPr>
        <w:numPr>
          <w:ilvl w:val="0"/>
          <w:numId w:val="1"/>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Displays will be powered by LED lighting systems delivering an environmentally friendly yet stunning experience (Jones, 2017).</w:t>
      </w:r>
    </w:p>
    <w:p w14:paraId="0C0DBDCC" w14:textId="77777777" w:rsidR="002B2570" w:rsidRPr="002B2570" w:rsidRDefault="002B2570" w:rsidP="002B2570">
      <w:pPr>
        <w:numPr>
          <w:ilvl w:val="0"/>
          <w:numId w:val="1"/>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Parking is limited at the venue and a shuttle bus is encouraged where possible.</w:t>
      </w:r>
    </w:p>
    <w:p w14:paraId="0636EF7D" w14:textId="77777777" w:rsidR="002B2570" w:rsidRPr="002B2570" w:rsidRDefault="002B2570" w:rsidP="002B2570">
      <w:pPr>
        <w:numPr>
          <w:ilvl w:val="0"/>
          <w:numId w:val="1"/>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To ramp up the holiday feel, sound systems and more festive decorations will be put up throughout the venue.</w:t>
      </w:r>
    </w:p>
    <w:p w14:paraId="048E409E" w14:textId="77777777" w:rsidR="002B2570" w:rsidRPr="002B2570" w:rsidRDefault="002B2570" w:rsidP="002B2570">
      <w:pPr>
        <w:numPr>
          <w:ilvl w:val="0"/>
          <w:numId w:val="1"/>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Allocating adequate resources from catering, lighting and transport, makes the event run smoothly and enjoyable for all event attendees.</w:t>
      </w:r>
    </w:p>
    <w:p w14:paraId="60519555"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7" w:name="_Toc179921198"/>
      <w:r w:rsidRPr="002B2570">
        <w:rPr>
          <w:rFonts w:ascii="Times New Roman" w:eastAsia="Arial" w:hAnsi="Times New Roman" w:cs="Arial"/>
          <w:b/>
          <w:kern w:val="0"/>
          <w:sz w:val="28"/>
          <w:szCs w:val="40"/>
          <w:lang w:eastAsia="en-US"/>
          <w14:ligatures w14:val="none"/>
        </w:rPr>
        <w:t>Financial Factors - Costs</w:t>
      </w:r>
      <w:bookmarkEnd w:id="7"/>
    </w:p>
    <w:p w14:paraId="34DAD6F7" w14:textId="77777777" w:rsidR="002B2570" w:rsidRPr="002B2570" w:rsidRDefault="002B2570" w:rsidP="002B2570">
      <w:pPr>
        <w:numPr>
          <w:ilvl w:val="0"/>
          <w:numId w:val="9"/>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Major expenses are associated with installing lights and sounds and other festivities such as putting up structures like balloons, posters, and others in the event’s space.</w:t>
      </w:r>
    </w:p>
    <w:p w14:paraId="4A758996" w14:textId="77777777" w:rsidR="002B2570" w:rsidRPr="002B2570" w:rsidRDefault="002B2570" w:rsidP="002B2570">
      <w:pPr>
        <w:numPr>
          <w:ilvl w:val="0"/>
          <w:numId w:val="9"/>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Factoring in the cost of temporary employees and technical specialists who will be in charge of the light and sound system and pay them their salaries are the main costs that will be incurred (Garber and Mack III, 2018).</w:t>
      </w:r>
    </w:p>
    <w:p w14:paraId="1A2C20C0" w14:textId="77777777" w:rsidR="002B2570" w:rsidRPr="002B2570" w:rsidRDefault="002B2570" w:rsidP="002B2570">
      <w:pPr>
        <w:numPr>
          <w:ilvl w:val="0"/>
          <w:numId w:val="9"/>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 sum for expenses will be set for social network promotion, regional ads, and events.</w:t>
      </w:r>
    </w:p>
    <w:p w14:paraId="29F136C0" w14:textId="77777777" w:rsidR="002B2570" w:rsidRPr="002B2570" w:rsidRDefault="002B2570" w:rsidP="002B2570">
      <w:pPr>
        <w:numPr>
          <w:ilvl w:val="0"/>
          <w:numId w:val="9"/>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Other overhead expenses such as meals, transportation of participants, and utility expenses will be incurred and incorporated in the computation of total costs.</w:t>
      </w:r>
    </w:p>
    <w:p w14:paraId="25CE24CA" w14:textId="77777777" w:rsidR="002B2570" w:rsidRPr="002B2570" w:rsidRDefault="002B2570" w:rsidP="002B2570">
      <w:pPr>
        <w:numPr>
          <w:ilvl w:val="0"/>
          <w:numId w:val="9"/>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 clear cost plan will control all financial aspects properly, that is, the event will run smoothly and will not overshoot the budget.</w:t>
      </w:r>
    </w:p>
    <w:p w14:paraId="70662655"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8" w:name="_Toc179921199"/>
      <w:r w:rsidRPr="002B2570">
        <w:rPr>
          <w:rFonts w:ascii="Times New Roman" w:eastAsia="Arial" w:hAnsi="Times New Roman" w:cs="Arial"/>
          <w:b/>
          <w:kern w:val="0"/>
          <w:sz w:val="28"/>
          <w:szCs w:val="40"/>
          <w:lang w:eastAsia="en-US"/>
          <w14:ligatures w14:val="none"/>
        </w:rPr>
        <w:t>Financial Factors - Predicted Revenue</w:t>
      </w:r>
      <w:bookmarkEnd w:id="8"/>
    </w:p>
    <w:p w14:paraId="19D979A0" w14:textId="77777777" w:rsidR="002B2570" w:rsidRPr="002B2570" w:rsidRDefault="002B2570" w:rsidP="002B2570">
      <w:pPr>
        <w:numPr>
          <w:ilvl w:val="0"/>
          <w:numId w:val="6"/>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The main source of revenues shall be acquired through ticket-selling services, which will also come in VIP packages.</w:t>
      </w:r>
    </w:p>
    <w:p w14:paraId="471BB46F" w14:textId="77777777" w:rsidR="002B2570" w:rsidRPr="002B2570" w:rsidRDefault="002B2570" w:rsidP="002B2570">
      <w:pPr>
        <w:numPr>
          <w:ilvl w:val="0"/>
          <w:numId w:val="6"/>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 xml:space="preserve">Sales of all the food and beverage stands will comprise part of the total income and the visitors will be able to purchase seasonal products (Davis </w:t>
      </w:r>
      <w:r w:rsidRPr="002B2570">
        <w:rPr>
          <w:rFonts w:ascii="Times New Roman" w:eastAsia="Times New Roman" w:hAnsi="Times New Roman" w:cs="Times New Roman"/>
          <w:i/>
          <w:kern w:val="0"/>
          <w:sz w:val="24"/>
          <w:szCs w:val="24"/>
          <w:lang w:eastAsia="en-US"/>
          <w14:ligatures w14:val="none"/>
        </w:rPr>
        <w:t>et al.,</w:t>
      </w:r>
      <w:r w:rsidRPr="002B2570">
        <w:rPr>
          <w:rFonts w:ascii="Times New Roman" w:eastAsia="Times New Roman" w:hAnsi="Times New Roman" w:cs="Times New Roman"/>
          <w:kern w:val="0"/>
          <w:sz w:val="24"/>
          <w:szCs w:val="24"/>
          <w:lang w:eastAsia="en-US"/>
          <w14:ligatures w14:val="none"/>
        </w:rPr>
        <w:t xml:space="preserve"> 2018).</w:t>
      </w:r>
    </w:p>
    <w:p w14:paraId="0CE5E0D7" w14:textId="77777777" w:rsidR="002B2570" w:rsidRPr="002B2570" w:rsidRDefault="002B2570" w:rsidP="002B2570">
      <w:pPr>
        <w:numPr>
          <w:ilvl w:val="0"/>
          <w:numId w:val="6"/>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Extra revenues will be earned from festive-related products including apparel with logos of the festival.</w:t>
      </w:r>
    </w:p>
    <w:p w14:paraId="69EF5BC3" w14:textId="77777777" w:rsidR="002B2570" w:rsidRPr="002B2570" w:rsidRDefault="002B2570" w:rsidP="002B2570">
      <w:pPr>
        <w:numPr>
          <w:ilvl w:val="0"/>
          <w:numId w:val="6"/>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Local sponsorships and partnership agreements will also be an additional source of revenue for the event.</w:t>
      </w:r>
    </w:p>
    <w:p w14:paraId="1EA048DE" w14:textId="77777777" w:rsidR="002B2570" w:rsidRPr="002B2570" w:rsidRDefault="002B2570" w:rsidP="002B2570">
      <w:pPr>
        <w:numPr>
          <w:ilvl w:val="0"/>
          <w:numId w:val="6"/>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It follows that ticket sales, the sale of food and drinks, as well as merchandise are all critically important, so the event can be profitable.</w:t>
      </w:r>
    </w:p>
    <w:p w14:paraId="06183E40"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eastAsia="en-US"/>
          <w14:ligatures w14:val="none"/>
        </w:rPr>
      </w:pPr>
      <w:bookmarkStart w:id="9" w:name="_Toc179921200"/>
      <w:r w:rsidRPr="002B2570">
        <w:rPr>
          <w:rFonts w:ascii="Times New Roman" w:eastAsia="Arial" w:hAnsi="Times New Roman" w:cs="Arial"/>
          <w:b/>
          <w:kern w:val="0"/>
          <w:sz w:val="28"/>
          <w:szCs w:val="40"/>
          <w:lang w:eastAsia="en-US"/>
          <w14:ligatures w14:val="none"/>
        </w:rPr>
        <w:t>Financial Factors - Funding &amp; Revenue Generation</w:t>
      </w:r>
      <w:bookmarkEnd w:id="9"/>
    </w:p>
    <w:p w14:paraId="6B18C94E" w14:textId="77777777" w:rsidR="002B2570" w:rsidRPr="002B2570" w:rsidRDefault="002B2570" w:rsidP="002B2570">
      <w:pPr>
        <w:numPr>
          <w:ilvl w:val="0"/>
          <w:numId w:val="2"/>
        </w:numPr>
        <w:spacing w:before="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The main income stream shall be ticket sales initially Individuals, groups and family tickets shall be sold at discounted prices.</w:t>
      </w:r>
    </w:p>
    <w:p w14:paraId="30EFAE0C" w14:textId="77777777" w:rsidR="002B2570" w:rsidRPr="002B2570" w:rsidRDefault="002B2570" w:rsidP="002B2570">
      <w:pPr>
        <w:numPr>
          <w:ilvl w:val="0"/>
          <w:numId w:val="2"/>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In terms of the event sponsorship funding, local and national businesses and brands are going to assist with the needs of the event.</w:t>
      </w:r>
    </w:p>
    <w:p w14:paraId="75F4CDCF" w14:textId="77777777" w:rsidR="002B2570" w:rsidRPr="002B2570" w:rsidRDefault="002B2570" w:rsidP="002B2570">
      <w:pPr>
        <w:numPr>
          <w:ilvl w:val="0"/>
          <w:numId w:val="2"/>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Promotional offers to early bird and family packages for specific periods will ensure early business is established (Baverstock and Bowen, 2019).</w:t>
      </w:r>
    </w:p>
    <w:p w14:paraId="4B887B08" w14:textId="77777777" w:rsidR="002B2570" w:rsidRPr="002B2570" w:rsidRDefault="002B2570" w:rsidP="002B2570">
      <w:pPr>
        <w:numPr>
          <w:ilvl w:val="0"/>
          <w:numId w:val="2"/>
        </w:numPr>
        <w:spacing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Additional ticket sales will come from fine dining, personal encounters and restricted areas ticketing being part of the VIP packages.</w:t>
      </w:r>
    </w:p>
    <w:p w14:paraId="4DE4ACE9" w14:textId="77777777" w:rsidR="002B2570" w:rsidRPr="002B2570" w:rsidRDefault="002B2570" w:rsidP="002B2570">
      <w:pPr>
        <w:numPr>
          <w:ilvl w:val="0"/>
          <w:numId w:val="2"/>
        </w:numPr>
        <w:spacing w:after="240" w:line="360"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t>While admitting that the major portion of funding will be revenue from ticket sales, additional income from sponsors and premium offers will guarantee profitability.</w:t>
      </w:r>
    </w:p>
    <w:p w14:paraId="58CA39AA" w14:textId="77777777" w:rsidR="002B2570" w:rsidRPr="002B2570" w:rsidRDefault="002B2570" w:rsidP="002B2570">
      <w:pPr>
        <w:spacing w:line="276" w:lineRule="auto"/>
        <w:rPr>
          <w:rFonts w:ascii="Times New Roman" w:eastAsia="Times New Roman" w:hAnsi="Times New Roman" w:cs="Times New Roman"/>
          <w:kern w:val="0"/>
          <w:sz w:val="24"/>
          <w:szCs w:val="24"/>
          <w:lang w:eastAsia="en-US"/>
          <w14:ligatures w14:val="none"/>
        </w:rPr>
      </w:pPr>
      <w:r w:rsidRPr="002B2570">
        <w:rPr>
          <w:rFonts w:ascii="Times New Roman" w:eastAsia="Times New Roman" w:hAnsi="Times New Roman" w:cs="Times New Roman"/>
          <w:kern w:val="0"/>
          <w:sz w:val="24"/>
          <w:szCs w:val="24"/>
          <w:lang w:eastAsia="en-US"/>
          <w14:ligatures w14:val="none"/>
        </w:rPr>
        <w:br w:type="page"/>
      </w:r>
    </w:p>
    <w:p w14:paraId="6113127C"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val="en-US" w:eastAsia="en-US"/>
          <w14:ligatures w14:val="none"/>
        </w:rPr>
      </w:pPr>
      <w:bookmarkStart w:id="10" w:name="_Toc179921201"/>
      <w:r w:rsidRPr="002B2570">
        <w:rPr>
          <w:rFonts w:ascii="Times New Roman" w:eastAsia="Arial" w:hAnsi="Times New Roman" w:cs="Arial"/>
          <w:b/>
          <w:kern w:val="0"/>
          <w:sz w:val="28"/>
          <w:szCs w:val="40"/>
          <w:lang w:val="en-US" w:eastAsia="en-US"/>
          <w14:ligatures w14:val="none"/>
        </w:rPr>
        <w:t>Reference list</w:t>
      </w:r>
      <w:bookmarkEnd w:id="10"/>
    </w:p>
    <w:p w14:paraId="33B9162F"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Baverstock, A. and Bowen, S. (2019). </w:t>
      </w:r>
      <w:r w:rsidRPr="002B2570">
        <w:rPr>
          <w:rFonts w:ascii="Times New Roman" w:eastAsia="Times New Roman" w:hAnsi="Times New Roman" w:cs="Times New Roman"/>
          <w:i/>
          <w:iCs/>
          <w:kern w:val="0"/>
          <w:sz w:val="24"/>
          <w:szCs w:val="24"/>
          <w:lang w:val="en-US" w:eastAsia="en-US"/>
          <w14:ligatures w14:val="none"/>
        </w:rPr>
        <w:t>How to Market Books</w:t>
      </w:r>
      <w:r w:rsidRPr="002B2570">
        <w:rPr>
          <w:rFonts w:ascii="Times New Roman" w:eastAsia="Times New Roman" w:hAnsi="Times New Roman" w:cs="Times New Roman"/>
          <w:kern w:val="0"/>
          <w:sz w:val="24"/>
          <w:szCs w:val="24"/>
          <w:lang w:val="en-US" w:eastAsia="en-US"/>
          <w14:ligatures w14:val="none"/>
        </w:rPr>
        <w:t>. Sixth edition. | London ; New York : Routledge, 2019.: Routledge. doi:https://doi.org/10.4324/9780429487002.</w:t>
      </w:r>
    </w:p>
    <w:p w14:paraId="5E94DB92"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Davis, B., Lockwood, A., Alcott, P. and Pantelidis, I.S. (2018). </w:t>
      </w:r>
      <w:r w:rsidRPr="002B2570">
        <w:rPr>
          <w:rFonts w:ascii="Times New Roman" w:eastAsia="Times New Roman" w:hAnsi="Times New Roman" w:cs="Times New Roman"/>
          <w:i/>
          <w:iCs/>
          <w:kern w:val="0"/>
          <w:sz w:val="24"/>
          <w:szCs w:val="24"/>
          <w:lang w:val="en-US" w:eastAsia="en-US"/>
          <w14:ligatures w14:val="none"/>
        </w:rPr>
        <w:t>Food and Beverage Management</w:t>
      </w:r>
      <w:r w:rsidRPr="002B2570">
        <w:rPr>
          <w:rFonts w:ascii="Times New Roman" w:eastAsia="Times New Roman" w:hAnsi="Times New Roman" w:cs="Times New Roman"/>
          <w:kern w:val="0"/>
          <w:sz w:val="24"/>
          <w:szCs w:val="24"/>
          <w:lang w:val="en-US" w:eastAsia="en-US"/>
          <w14:ligatures w14:val="none"/>
        </w:rPr>
        <w:t>. Sixth edition. | New York, NY : Routledge, 2018.: Routledge. doi:https://doi.org/10.4324/9781315563374.</w:t>
      </w:r>
    </w:p>
    <w:p w14:paraId="0FB8495B"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Garber, P. and Mack III, J. (2018). </w:t>
      </w:r>
      <w:r w:rsidRPr="002B2570">
        <w:rPr>
          <w:rFonts w:ascii="Times New Roman" w:eastAsia="Times New Roman" w:hAnsi="Times New Roman" w:cs="Times New Roman"/>
          <w:i/>
          <w:iCs/>
          <w:kern w:val="0"/>
          <w:sz w:val="24"/>
          <w:szCs w:val="24"/>
          <w:lang w:val="en-US" w:eastAsia="en-US"/>
          <w14:ligatures w14:val="none"/>
        </w:rPr>
        <w:t>A Practical Guide to Managing Temporary Workers</w:t>
      </w:r>
      <w:r w:rsidRPr="002B2570">
        <w:rPr>
          <w:rFonts w:ascii="Times New Roman" w:eastAsia="Times New Roman" w:hAnsi="Times New Roman" w:cs="Times New Roman"/>
          <w:kern w:val="0"/>
          <w:sz w:val="24"/>
          <w:szCs w:val="24"/>
          <w:lang w:val="en-US" w:eastAsia="en-US"/>
          <w14:ligatures w14:val="none"/>
        </w:rPr>
        <w:t>. [online] Available at: https://books.google.co.in/books?hl=en&amp;lr=&amp;id=fJVqDwAAQBAJ&amp;oi=fnd&amp;pg=PT6&amp;dq=Factoring+in+the+cost+of+temporary+employees+and+technical+specialists+who+will+be+in+charge+of+the+light+and+sound+system+and+pay+them+their+salaries+are+the+main+costs+that+will+be+incurred&amp;ots=8LZ8EKShx-&amp;sig=n_XZcgbXHsd6L9LWTi5pcDhy4Ws.</w:t>
      </w:r>
    </w:p>
    <w:p w14:paraId="2BE2EF51"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Haskell, D. (2021). </w:t>
      </w:r>
      <w:r w:rsidRPr="002B2570">
        <w:rPr>
          <w:rFonts w:ascii="Times New Roman" w:eastAsia="Times New Roman" w:hAnsi="Times New Roman" w:cs="Times New Roman"/>
          <w:i/>
          <w:iCs/>
          <w:kern w:val="0"/>
          <w:sz w:val="24"/>
          <w:szCs w:val="24"/>
          <w:lang w:val="en-US" w:eastAsia="en-US"/>
          <w14:ligatures w14:val="none"/>
        </w:rPr>
        <w:t>Thirteen Ways to Smell a Tree</w:t>
      </w:r>
      <w:r w:rsidRPr="002B2570">
        <w:rPr>
          <w:rFonts w:ascii="Times New Roman" w:eastAsia="Times New Roman" w:hAnsi="Times New Roman" w:cs="Times New Roman"/>
          <w:kern w:val="0"/>
          <w:sz w:val="24"/>
          <w:szCs w:val="24"/>
          <w:lang w:val="en-US" w:eastAsia="en-US"/>
          <w14:ligatures w14:val="none"/>
        </w:rPr>
        <w:t>. [online] Google Books. Available at: https://books.google.co.in/books?hl=en&amp;lr=&amp;id=rN8uEAAAQBAJ&amp;oi=fnd&amp;pg=PT9&amp;dq=Kew%E2%80%99s+natural+ambience+always+works+best+in+the+evening+when+the+pathways+are+illuminated+and+add+magic+to+the+place.&amp;ots=sEkaU_wsfe&amp;sig=TLdoarcq17w7pXFobw3sW5gfqy4 [Accessed 11 Oct. 2024].</w:t>
      </w:r>
    </w:p>
    <w:p w14:paraId="3C03C64D"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Heo, W., Tang, Y., Liu, F., Hanks, L. and Xu, X. (2022). The impact of ‘seasonal urban event’ to the hosting city’s urban vitality: case study of Summer beach and Winter Wonderland in Nottingham, UK. </w:t>
      </w:r>
      <w:r w:rsidRPr="002B2570">
        <w:rPr>
          <w:rFonts w:ascii="Times New Roman" w:eastAsia="Times New Roman" w:hAnsi="Times New Roman" w:cs="Times New Roman"/>
          <w:i/>
          <w:iCs/>
          <w:kern w:val="0"/>
          <w:sz w:val="24"/>
          <w:szCs w:val="24"/>
          <w:lang w:val="en-US" w:eastAsia="en-US"/>
          <w14:ligatures w14:val="none"/>
        </w:rPr>
        <w:t>Acta Scientiarum. Technology</w:t>
      </w:r>
      <w:r w:rsidRPr="002B2570">
        <w:rPr>
          <w:rFonts w:ascii="Times New Roman" w:eastAsia="Times New Roman" w:hAnsi="Times New Roman" w:cs="Times New Roman"/>
          <w:kern w:val="0"/>
          <w:sz w:val="24"/>
          <w:szCs w:val="24"/>
          <w:lang w:val="en-US" w:eastAsia="en-US"/>
          <w14:ligatures w14:val="none"/>
        </w:rPr>
        <w:t>, [online] 44, p.e57668. doi:https://doi.org/10.4025/actascitechnol.v44i1.57668.</w:t>
      </w:r>
    </w:p>
    <w:p w14:paraId="77DB4392"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Jones, M.L. (2017). </w:t>
      </w:r>
      <w:r w:rsidRPr="002B2570">
        <w:rPr>
          <w:rFonts w:ascii="Times New Roman" w:eastAsia="Times New Roman" w:hAnsi="Times New Roman" w:cs="Times New Roman"/>
          <w:i/>
          <w:iCs/>
          <w:kern w:val="0"/>
          <w:sz w:val="24"/>
          <w:szCs w:val="24"/>
          <w:lang w:val="en-US" w:eastAsia="en-US"/>
          <w14:ligatures w14:val="none"/>
        </w:rPr>
        <w:t>Sustainable Event Management</w:t>
      </w:r>
      <w:r w:rsidRPr="002B2570">
        <w:rPr>
          <w:rFonts w:ascii="Times New Roman" w:eastAsia="Times New Roman" w:hAnsi="Times New Roman" w:cs="Times New Roman"/>
          <w:kern w:val="0"/>
          <w:sz w:val="24"/>
          <w:szCs w:val="24"/>
          <w:lang w:val="en-US" w:eastAsia="en-US"/>
          <w14:ligatures w14:val="none"/>
        </w:rPr>
        <w:t>. [online] Routledge. doi:https://doi.org/10.4324/9781315439723.</w:t>
      </w:r>
    </w:p>
    <w:p w14:paraId="31BC42CF"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Lenk, R. and Lenk, C. (2017). </w:t>
      </w:r>
      <w:r w:rsidRPr="002B2570">
        <w:rPr>
          <w:rFonts w:ascii="Times New Roman" w:eastAsia="Times New Roman" w:hAnsi="Times New Roman" w:cs="Times New Roman"/>
          <w:i/>
          <w:iCs/>
          <w:kern w:val="0"/>
          <w:sz w:val="24"/>
          <w:szCs w:val="24"/>
          <w:lang w:val="en-US" w:eastAsia="en-US"/>
          <w14:ligatures w14:val="none"/>
        </w:rPr>
        <w:t>Practical Lighting Design with LEDs</w:t>
      </w:r>
      <w:r w:rsidRPr="002B2570">
        <w:rPr>
          <w:rFonts w:ascii="Times New Roman" w:eastAsia="Times New Roman" w:hAnsi="Times New Roman" w:cs="Times New Roman"/>
          <w:kern w:val="0"/>
          <w:sz w:val="24"/>
          <w:szCs w:val="24"/>
          <w:lang w:val="en-US" w:eastAsia="en-US"/>
          <w14:ligatures w14:val="none"/>
        </w:rPr>
        <w:t>. [online] Google Books. Available at: https://books.google.co.in/books?hl=en&amp;lr=&amp;id=2zpGDgAAQBAJ&amp;oi=fnd&amp;pg=PR1&amp;dq=It+will+have+more+technical+people+running+lighting [Accessed 11 Oct. 2024].</w:t>
      </w:r>
    </w:p>
    <w:p w14:paraId="1E5BC1F6"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McKercher, B., Prideaux, B. and Thompson, M. (2023). The impact of changing seasons on in-destination tourist behaviour. </w:t>
      </w:r>
      <w:r w:rsidRPr="002B2570">
        <w:rPr>
          <w:rFonts w:ascii="Times New Roman" w:eastAsia="Times New Roman" w:hAnsi="Times New Roman" w:cs="Times New Roman"/>
          <w:i/>
          <w:iCs/>
          <w:kern w:val="0"/>
          <w:sz w:val="24"/>
          <w:szCs w:val="24"/>
          <w:lang w:val="en-US" w:eastAsia="en-US"/>
          <w14:ligatures w14:val="none"/>
        </w:rPr>
        <w:t>Tourism Review</w:t>
      </w:r>
      <w:r w:rsidRPr="002B2570">
        <w:rPr>
          <w:rFonts w:ascii="Times New Roman" w:eastAsia="Times New Roman" w:hAnsi="Times New Roman" w:cs="Times New Roman"/>
          <w:kern w:val="0"/>
          <w:sz w:val="24"/>
          <w:szCs w:val="24"/>
          <w:lang w:val="en-US" w:eastAsia="en-US"/>
          <w14:ligatures w14:val="none"/>
        </w:rPr>
        <w:t>. doi:https://doi.org/10.1108/tr-06-2023-0420.</w:t>
      </w:r>
    </w:p>
    <w:p w14:paraId="412CCE23"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Rantala, O., Hallikainen, V., Ilola, H. and Tuulentie, S. (2018). The softening of adventure tourism. </w:t>
      </w:r>
      <w:r w:rsidRPr="002B2570">
        <w:rPr>
          <w:rFonts w:ascii="Times New Roman" w:eastAsia="Times New Roman" w:hAnsi="Times New Roman" w:cs="Times New Roman"/>
          <w:i/>
          <w:iCs/>
          <w:kern w:val="0"/>
          <w:sz w:val="24"/>
          <w:szCs w:val="24"/>
          <w:lang w:val="en-US" w:eastAsia="en-US"/>
          <w14:ligatures w14:val="none"/>
        </w:rPr>
        <w:t>Scandinavian Journal of Hospitality and Tourism</w:t>
      </w:r>
      <w:r w:rsidRPr="002B2570">
        <w:rPr>
          <w:rFonts w:ascii="Times New Roman" w:eastAsia="Times New Roman" w:hAnsi="Times New Roman" w:cs="Times New Roman"/>
          <w:kern w:val="0"/>
          <w:sz w:val="24"/>
          <w:szCs w:val="24"/>
          <w:lang w:val="en-US" w:eastAsia="en-US"/>
          <w14:ligatures w14:val="none"/>
        </w:rPr>
        <w:t>, 18(4), pp.343–361. doi:https://doi.org/10.1080/15022250.2018.1522725.</w:t>
      </w:r>
    </w:p>
    <w:p w14:paraId="6EECF166" w14:textId="77777777" w:rsidR="002B2570" w:rsidRPr="002B2570" w:rsidRDefault="002B2570" w:rsidP="002B2570">
      <w:pPr>
        <w:spacing w:before="240" w:line="360" w:lineRule="auto"/>
        <w:jc w:val="both"/>
        <w:rPr>
          <w:rFonts w:ascii="Times New Roman" w:eastAsia="Times New Roman" w:hAnsi="Times New Roman" w:cs="Times New Roman"/>
          <w:kern w:val="0"/>
          <w:sz w:val="24"/>
          <w:szCs w:val="24"/>
          <w:lang w:val="en-US" w:eastAsia="en-US"/>
          <w14:ligatures w14:val="none"/>
        </w:rPr>
      </w:pPr>
      <w:r w:rsidRPr="002B2570">
        <w:rPr>
          <w:rFonts w:ascii="Times New Roman" w:eastAsia="Times New Roman" w:hAnsi="Times New Roman" w:cs="Times New Roman"/>
          <w:kern w:val="0"/>
          <w:sz w:val="24"/>
          <w:szCs w:val="24"/>
          <w:lang w:val="en-US" w:eastAsia="en-US"/>
          <w14:ligatures w14:val="none"/>
        </w:rPr>
        <w:t xml:space="preserve">Wynn-Moylan, P. (2017). </w:t>
      </w:r>
      <w:r w:rsidRPr="002B2570">
        <w:rPr>
          <w:rFonts w:ascii="Times New Roman" w:eastAsia="Times New Roman" w:hAnsi="Times New Roman" w:cs="Times New Roman"/>
          <w:i/>
          <w:iCs/>
          <w:kern w:val="0"/>
          <w:sz w:val="24"/>
          <w:szCs w:val="24"/>
          <w:lang w:val="en-US" w:eastAsia="en-US"/>
          <w14:ligatures w14:val="none"/>
        </w:rPr>
        <w:t>Risk and Hazard Management for Festivals and Events</w:t>
      </w:r>
      <w:r w:rsidRPr="002B2570">
        <w:rPr>
          <w:rFonts w:ascii="Times New Roman" w:eastAsia="Times New Roman" w:hAnsi="Times New Roman" w:cs="Times New Roman"/>
          <w:kern w:val="0"/>
          <w:sz w:val="24"/>
          <w:szCs w:val="24"/>
          <w:lang w:val="en-US" w:eastAsia="en-US"/>
          <w14:ligatures w14:val="none"/>
        </w:rPr>
        <w:t>. Routledge. doi:https://doi.org/10.4324/9781315558974.</w:t>
      </w:r>
    </w:p>
    <w:p w14:paraId="12F5CA59" w14:textId="77777777" w:rsidR="002B2570" w:rsidRPr="002B2570" w:rsidRDefault="002B2570" w:rsidP="002B2570">
      <w:pPr>
        <w:spacing w:line="276" w:lineRule="auto"/>
        <w:rPr>
          <w:rFonts w:ascii="Times New Roman" w:eastAsia="Times New Roman" w:hAnsi="Times New Roman" w:cs="Times New Roman"/>
          <w:kern w:val="0"/>
          <w:sz w:val="24"/>
          <w:szCs w:val="24"/>
          <w:lang w:val="en-US" w:eastAsia="en-US"/>
          <w14:ligatures w14:val="none"/>
        </w:rPr>
      </w:pPr>
      <w:r w:rsidRPr="002B2570">
        <w:rPr>
          <w:rFonts w:ascii="Arial" w:eastAsia="Arial" w:hAnsi="Arial" w:cs="Arial"/>
          <w:kern w:val="0"/>
          <w:lang w:val="en-US" w:eastAsia="en-US"/>
          <w14:ligatures w14:val="none"/>
        </w:rPr>
        <w:br w:type="page"/>
      </w:r>
    </w:p>
    <w:p w14:paraId="7A606835" w14:textId="77777777" w:rsidR="002B2570" w:rsidRPr="002B2570" w:rsidRDefault="002B2570" w:rsidP="002B2570">
      <w:pPr>
        <w:keepNext/>
        <w:keepLines/>
        <w:spacing w:before="400" w:after="120" w:line="360" w:lineRule="auto"/>
        <w:jc w:val="both"/>
        <w:outlineLvl w:val="0"/>
        <w:rPr>
          <w:rFonts w:ascii="Times New Roman" w:eastAsia="Arial" w:hAnsi="Times New Roman" w:cs="Arial"/>
          <w:b/>
          <w:kern w:val="0"/>
          <w:sz w:val="28"/>
          <w:szCs w:val="40"/>
          <w:lang w:val="en-US" w:eastAsia="en-US"/>
          <w14:ligatures w14:val="none"/>
        </w:rPr>
      </w:pPr>
      <w:bookmarkStart w:id="11" w:name="_Toc179921202"/>
      <w:r w:rsidRPr="002B2570">
        <w:rPr>
          <w:rFonts w:ascii="Times New Roman" w:eastAsia="Arial" w:hAnsi="Times New Roman" w:cs="Arial"/>
          <w:b/>
          <w:kern w:val="0"/>
          <w:sz w:val="28"/>
          <w:szCs w:val="40"/>
          <w:lang w:val="en-US" w:eastAsia="en-US"/>
          <w14:ligatures w14:val="none"/>
        </w:rPr>
        <w:t>Appendix: PPT</w:t>
      </w:r>
      <w:bookmarkEnd w:id="11"/>
    </w:p>
    <w:p w14:paraId="5F8ABC14"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58E774D3" wp14:editId="4279B61E">
            <wp:extent cx="5733415" cy="3186430"/>
            <wp:effectExtent l="0" t="0" r="635" b="0"/>
            <wp:docPr id="1333386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386245" name=""/>
                    <pic:cNvPicPr/>
                  </pic:nvPicPr>
                  <pic:blipFill>
                    <a:blip r:embed="rId7"/>
                    <a:stretch>
                      <a:fillRect/>
                    </a:stretch>
                  </pic:blipFill>
                  <pic:spPr>
                    <a:xfrm>
                      <a:off x="0" y="0"/>
                      <a:ext cx="5733415" cy="3186430"/>
                    </a:xfrm>
                    <a:prstGeom prst="rect">
                      <a:avLst/>
                    </a:prstGeom>
                  </pic:spPr>
                </pic:pic>
              </a:graphicData>
            </a:graphic>
          </wp:inline>
        </w:drawing>
      </w:r>
    </w:p>
    <w:p w14:paraId="685E2AA6"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524C7337" wp14:editId="59ECE869">
            <wp:extent cx="5733415" cy="3224530"/>
            <wp:effectExtent l="0" t="0" r="635" b="0"/>
            <wp:docPr id="1002942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942120" name=""/>
                    <pic:cNvPicPr/>
                  </pic:nvPicPr>
                  <pic:blipFill>
                    <a:blip r:embed="rId8"/>
                    <a:stretch>
                      <a:fillRect/>
                    </a:stretch>
                  </pic:blipFill>
                  <pic:spPr>
                    <a:xfrm>
                      <a:off x="0" y="0"/>
                      <a:ext cx="5733415" cy="3224530"/>
                    </a:xfrm>
                    <a:prstGeom prst="rect">
                      <a:avLst/>
                    </a:prstGeom>
                  </pic:spPr>
                </pic:pic>
              </a:graphicData>
            </a:graphic>
          </wp:inline>
        </w:drawing>
      </w:r>
    </w:p>
    <w:p w14:paraId="7F9704E8"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709CDF68" wp14:editId="4D337BC3">
            <wp:extent cx="5733415" cy="3177540"/>
            <wp:effectExtent l="0" t="0" r="635" b="3810"/>
            <wp:docPr id="106284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840661" name=""/>
                    <pic:cNvPicPr/>
                  </pic:nvPicPr>
                  <pic:blipFill>
                    <a:blip r:embed="rId9"/>
                    <a:stretch>
                      <a:fillRect/>
                    </a:stretch>
                  </pic:blipFill>
                  <pic:spPr>
                    <a:xfrm>
                      <a:off x="0" y="0"/>
                      <a:ext cx="5733415" cy="3177540"/>
                    </a:xfrm>
                    <a:prstGeom prst="rect">
                      <a:avLst/>
                    </a:prstGeom>
                  </pic:spPr>
                </pic:pic>
              </a:graphicData>
            </a:graphic>
          </wp:inline>
        </w:drawing>
      </w:r>
    </w:p>
    <w:p w14:paraId="5FA439FB"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4B1FBFBB" wp14:editId="1C0B453F">
            <wp:extent cx="5733415" cy="3177540"/>
            <wp:effectExtent l="0" t="0" r="635" b="3810"/>
            <wp:docPr id="745619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619939" name=""/>
                    <pic:cNvPicPr/>
                  </pic:nvPicPr>
                  <pic:blipFill>
                    <a:blip r:embed="rId10"/>
                    <a:stretch>
                      <a:fillRect/>
                    </a:stretch>
                  </pic:blipFill>
                  <pic:spPr>
                    <a:xfrm>
                      <a:off x="0" y="0"/>
                      <a:ext cx="5733415" cy="3177540"/>
                    </a:xfrm>
                    <a:prstGeom prst="rect">
                      <a:avLst/>
                    </a:prstGeom>
                  </pic:spPr>
                </pic:pic>
              </a:graphicData>
            </a:graphic>
          </wp:inline>
        </w:drawing>
      </w:r>
    </w:p>
    <w:p w14:paraId="3A513C35"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776C5355" wp14:editId="11C5CEBB">
            <wp:extent cx="5733415" cy="3228975"/>
            <wp:effectExtent l="0" t="0" r="635" b="9525"/>
            <wp:docPr id="91110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10592" name=""/>
                    <pic:cNvPicPr/>
                  </pic:nvPicPr>
                  <pic:blipFill>
                    <a:blip r:embed="rId11"/>
                    <a:stretch>
                      <a:fillRect/>
                    </a:stretch>
                  </pic:blipFill>
                  <pic:spPr>
                    <a:xfrm>
                      <a:off x="0" y="0"/>
                      <a:ext cx="5733415" cy="3228975"/>
                    </a:xfrm>
                    <a:prstGeom prst="rect">
                      <a:avLst/>
                    </a:prstGeom>
                  </pic:spPr>
                </pic:pic>
              </a:graphicData>
            </a:graphic>
          </wp:inline>
        </w:drawing>
      </w:r>
    </w:p>
    <w:p w14:paraId="597F97EA"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6C989028" wp14:editId="33DF3F86">
            <wp:extent cx="5733415" cy="3213735"/>
            <wp:effectExtent l="0" t="0" r="635" b="5715"/>
            <wp:docPr id="318721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721911" name=""/>
                    <pic:cNvPicPr/>
                  </pic:nvPicPr>
                  <pic:blipFill>
                    <a:blip r:embed="rId12"/>
                    <a:stretch>
                      <a:fillRect/>
                    </a:stretch>
                  </pic:blipFill>
                  <pic:spPr>
                    <a:xfrm>
                      <a:off x="0" y="0"/>
                      <a:ext cx="5733415" cy="3213735"/>
                    </a:xfrm>
                    <a:prstGeom prst="rect">
                      <a:avLst/>
                    </a:prstGeom>
                  </pic:spPr>
                </pic:pic>
              </a:graphicData>
            </a:graphic>
          </wp:inline>
        </w:drawing>
      </w:r>
    </w:p>
    <w:p w14:paraId="0EF3E3F9"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1694CE3A" wp14:editId="65B832AD">
            <wp:extent cx="5733415" cy="3166745"/>
            <wp:effectExtent l="0" t="0" r="635" b="0"/>
            <wp:docPr id="2141869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69262" name=""/>
                    <pic:cNvPicPr/>
                  </pic:nvPicPr>
                  <pic:blipFill>
                    <a:blip r:embed="rId13"/>
                    <a:stretch>
                      <a:fillRect/>
                    </a:stretch>
                  </pic:blipFill>
                  <pic:spPr>
                    <a:xfrm>
                      <a:off x="0" y="0"/>
                      <a:ext cx="5733415" cy="3166745"/>
                    </a:xfrm>
                    <a:prstGeom prst="rect">
                      <a:avLst/>
                    </a:prstGeom>
                  </pic:spPr>
                </pic:pic>
              </a:graphicData>
            </a:graphic>
          </wp:inline>
        </w:drawing>
      </w:r>
    </w:p>
    <w:p w14:paraId="3D7D7384" w14:textId="77777777" w:rsidR="002B2570" w:rsidRPr="002B2570" w:rsidRDefault="002B2570" w:rsidP="002B2570">
      <w:pPr>
        <w:spacing w:line="276" w:lineRule="auto"/>
        <w:rPr>
          <w:rFonts w:ascii="Arial" w:eastAsia="Arial" w:hAnsi="Arial" w:cs="Arial"/>
          <w:kern w:val="0"/>
          <w:lang w:val="en-US" w:eastAsia="en-US"/>
          <w14:ligatures w14:val="none"/>
        </w:rPr>
      </w:pPr>
    </w:p>
    <w:p w14:paraId="10C5614D"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667D0C1C" wp14:editId="66467246">
            <wp:extent cx="5733415" cy="3190875"/>
            <wp:effectExtent l="0" t="0" r="635" b="9525"/>
            <wp:docPr id="12750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8077" name=""/>
                    <pic:cNvPicPr/>
                  </pic:nvPicPr>
                  <pic:blipFill>
                    <a:blip r:embed="rId14"/>
                    <a:stretch>
                      <a:fillRect/>
                    </a:stretch>
                  </pic:blipFill>
                  <pic:spPr>
                    <a:xfrm>
                      <a:off x="0" y="0"/>
                      <a:ext cx="5733415" cy="3190875"/>
                    </a:xfrm>
                    <a:prstGeom prst="rect">
                      <a:avLst/>
                    </a:prstGeom>
                  </pic:spPr>
                </pic:pic>
              </a:graphicData>
            </a:graphic>
          </wp:inline>
        </w:drawing>
      </w:r>
    </w:p>
    <w:p w14:paraId="7F329259"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379ADB0B" wp14:editId="4AD21940">
            <wp:extent cx="5733415" cy="3207385"/>
            <wp:effectExtent l="0" t="0" r="635" b="0"/>
            <wp:docPr id="146807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70274" name=""/>
                    <pic:cNvPicPr/>
                  </pic:nvPicPr>
                  <pic:blipFill>
                    <a:blip r:embed="rId15"/>
                    <a:stretch>
                      <a:fillRect/>
                    </a:stretch>
                  </pic:blipFill>
                  <pic:spPr>
                    <a:xfrm>
                      <a:off x="0" y="0"/>
                      <a:ext cx="5733415" cy="3207385"/>
                    </a:xfrm>
                    <a:prstGeom prst="rect">
                      <a:avLst/>
                    </a:prstGeom>
                  </pic:spPr>
                </pic:pic>
              </a:graphicData>
            </a:graphic>
          </wp:inline>
        </w:drawing>
      </w:r>
    </w:p>
    <w:p w14:paraId="52255632"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791F876F" wp14:editId="499BAFB3">
            <wp:extent cx="5733415" cy="3186430"/>
            <wp:effectExtent l="0" t="0" r="635" b="0"/>
            <wp:docPr id="1154421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21835" name=""/>
                    <pic:cNvPicPr/>
                  </pic:nvPicPr>
                  <pic:blipFill>
                    <a:blip r:embed="rId16"/>
                    <a:stretch>
                      <a:fillRect/>
                    </a:stretch>
                  </pic:blipFill>
                  <pic:spPr>
                    <a:xfrm>
                      <a:off x="0" y="0"/>
                      <a:ext cx="5733415" cy="3186430"/>
                    </a:xfrm>
                    <a:prstGeom prst="rect">
                      <a:avLst/>
                    </a:prstGeom>
                  </pic:spPr>
                </pic:pic>
              </a:graphicData>
            </a:graphic>
          </wp:inline>
        </w:drawing>
      </w:r>
    </w:p>
    <w:p w14:paraId="7D688B5C"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74B041F6" wp14:editId="28DF75B3">
            <wp:extent cx="5733415" cy="3190875"/>
            <wp:effectExtent l="0" t="0" r="635" b="9525"/>
            <wp:docPr id="815346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346778" name=""/>
                    <pic:cNvPicPr/>
                  </pic:nvPicPr>
                  <pic:blipFill>
                    <a:blip r:embed="rId17"/>
                    <a:stretch>
                      <a:fillRect/>
                    </a:stretch>
                  </pic:blipFill>
                  <pic:spPr>
                    <a:xfrm>
                      <a:off x="0" y="0"/>
                      <a:ext cx="5733415" cy="3190875"/>
                    </a:xfrm>
                    <a:prstGeom prst="rect">
                      <a:avLst/>
                    </a:prstGeom>
                  </pic:spPr>
                </pic:pic>
              </a:graphicData>
            </a:graphic>
          </wp:inline>
        </w:drawing>
      </w:r>
    </w:p>
    <w:p w14:paraId="2EB74867"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1FB32D1F" wp14:editId="37D6B09D">
            <wp:extent cx="5733415" cy="3209290"/>
            <wp:effectExtent l="0" t="0" r="635" b="0"/>
            <wp:docPr id="1020911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11849" name=""/>
                    <pic:cNvPicPr/>
                  </pic:nvPicPr>
                  <pic:blipFill>
                    <a:blip r:embed="rId18"/>
                    <a:stretch>
                      <a:fillRect/>
                    </a:stretch>
                  </pic:blipFill>
                  <pic:spPr>
                    <a:xfrm>
                      <a:off x="0" y="0"/>
                      <a:ext cx="5733415" cy="3209290"/>
                    </a:xfrm>
                    <a:prstGeom prst="rect">
                      <a:avLst/>
                    </a:prstGeom>
                  </pic:spPr>
                </pic:pic>
              </a:graphicData>
            </a:graphic>
          </wp:inline>
        </w:drawing>
      </w:r>
    </w:p>
    <w:p w14:paraId="4861542F" w14:textId="77777777" w:rsidR="002B2570" w:rsidRPr="002B2570" w:rsidRDefault="002B2570" w:rsidP="002B2570">
      <w:pPr>
        <w:spacing w:line="276" w:lineRule="auto"/>
        <w:rPr>
          <w:rFonts w:ascii="Arial" w:eastAsia="Arial" w:hAnsi="Arial" w:cs="Arial"/>
          <w:kern w:val="0"/>
          <w:lang w:val="en-US" w:eastAsia="en-US"/>
          <w14:ligatures w14:val="none"/>
        </w:rPr>
      </w:pPr>
      <w:r w:rsidRPr="002B2570">
        <w:rPr>
          <w:rFonts w:ascii="Arial" w:eastAsia="Arial" w:hAnsi="Arial" w:cs="Arial"/>
          <w:noProof/>
          <w:kern w:val="0"/>
          <w:lang w:val="en-US" w:eastAsia="en-US"/>
          <w14:ligatures w14:val="none"/>
        </w:rPr>
        <w:drawing>
          <wp:inline distT="0" distB="0" distL="0" distR="0" wp14:anchorId="42425346" wp14:editId="05816EEA">
            <wp:extent cx="5733415" cy="3199765"/>
            <wp:effectExtent l="0" t="0" r="635" b="635"/>
            <wp:docPr id="3856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2204" name=""/>
                    <pic:cNvPicPr/>
                  </pic:nvPicPr>
                  <pic:blipFill>
                    <a:blip r:embed="rId19"/>
                    <a:stretch>
                      <a:fillRect/>
                    </a:stretch>
                  </pic:blipFill>
                  <pic:spPr>
                    <a:xfrm>
                      <a:off x="0" y="0"/>
                      <a:ext cx="5733415" cy="3199765"/>
                    </a:xfrm>
                    <a:prstGeom prst="rect">
                      <a:avLst/>
                    </a:prstGeom>
                  </pic:spPr>
                </pic:pic>
              </a:graphicData>
            </a:graphic>
          </wp:inline>
        </w:drawing>
      </w:r>
    </w:p>
    <w:p w14:paraId="6D44A9DF" w14:textId="77777777" w:rsidR="002B2570" w:rsidRDefault="002B2570"/>
    <w:sectPr w:rsidR="002B2570" w:rsidSect="002B2570">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C40D50" w14:textId="77777777" w:rsidR="00B16311" w:rsidRDefault="00B16311">
      <w:r>
        <w:separator/>
      </w:r>
    </w:p>
  </w:endnote>
  <w:endnote w:type="continuationSeparator" w:id="0">
    <w:p w14:paraId="24DADAAA" w14:textId="77777777" w:rsidR="00B16311" w:rsidRDefault="00B16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8787931"/>
      <w:docPartObj>
        <w:docPartGallery w:val="Page Numbers (Bottom of Page)"/>
        <w:docPartUnique/>
      </w:docPartObj>
    </w:sdtPr>
    <w:sdtEndPr>
      <w:rPr>
        <w:rFonts w:ascii="Times New Roman" w:hAnsi="Times New Roman" w:cs="Times New Roman"/>
        <w:noProof/>
        <w:sz w:val="20"/>
      </w:rPr>
    </w:sdtEndPr>
    <w:sdtContent>
      <w:p w14:paraId="5188A940" w14:textId="77777777" w:rsidR="00A879F8" w:rsidRPr="00922C0B" w:rsidRDefault="001A5717">
        <w:pPr>
          <w:pStyle w:val="Footer"/>
          <w:jc w:val="right"/>
          <w:rPr>
            <w:rFonts w:ascii="Times New Roman" w:hAnsi="Times New Roman" w:cs="Times New Roman"/>
            <w:sz w:val="20"/>
          </w:rPr>
        </w:pPr>
        <w:r w:rsidRPr="00922C0B">
          <w:rPr>
            <w:rFonts w:ascii="Times New Roman" w:hAnsi="Times New Roman" w:cs="Times New Roman"/>
            <w:sz w:val="20"/>
          </w:rPr>
          <w:fldChar w:fldCharType="begin"/>
        </w:r>
        <w:r w:rsidRPr="00922C0B">
          <w:rPr>
            <w:rFonts w:ascii="Times New Roman" w:hAnsi="Times New Roman" w:cs="Times New Roman"/>
            <w:sz w:val="20"/>
          </w:rPr>
          <w:instrText xml:space="preserve"> PAGE   \* MERGEFORMAT </w:instrText>
        </w:r>
        <w:r w:rsidRPr="00922C0B">
          <w:rPr>
            <w:rFonts w:ascii="Times New Roman" w:hAnsi="Times New Roman" w:cs="Times New Roman"/>
            <w:sz w:val="20"/>
          </w:rPr>
          <w:fldChar w:fldCharType="separate"/>
        </w:r>
        <w:r>
          <w:rPr>
            <w:rFonts w:ascii="Times New Roman" w:hAnsi="Times New Roman" w:cs="Times New Roman"/>
            <w:noProof/>
            <w:sz w:val="20"/>
          </w:rPr>
          <w:t>8</w:t>
        </w:r>
        <w:r w:rsidRPr="00922C0B">
          <w:rPr>
            <w:rFonts w:ascii="Times New Roman" w:hAnsi="Times New Roman" w:cs="Times New Roman"/>
            <w:noProof/>
            <w:sz w:val="20"/>
          </w:rPr>
          <w:fldChar w:fldCharType="end"/>
        </w:r>
      </w:p>
    </w:sdtContent>
  </w:sdt>
  <w:p w14:paraId="02D1D678" w14:textId="77777777" w:rsidR="00A879F8" w:rsidRDefault="00A87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8EF265" w14:textId="77777777" w:rsidR="00B16311" w:rsidRDefault="00B16311">
      <w:r>
        <w:separator/>
      </w:r>
    </w:p>
  </w:footnote>
  <w:footnote w:type="continuationSeparator" w:id="0">
    <w:p w14:paraId="636E4BFF" w14:textId="77777777" w:rsidR="00B16311" w:rsidRDefault="00B163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0648A"/>
    <w:multiLevelType w:val="multilevel"/>
    <w:tmpl w:val="AA9215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61109A"/>
    <w:multiLevelType w:val="multilevel"/>
    <w:tmpl w:val="0B3EC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EE649A"/>
    <w:multiLevelType w:val="multilevel"/>
    <w:tmpl w:val="83C24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9B553E"/>
    <w:multiLevelType w:val="multilevel"/>
    <w:tmpl w:val="07B4E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1609BC"/>
    <w:multiLevelType w:val="multilevel"/>
    <w:tmpl w:val="4EC8D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227C35"/>
    <w:multiLevelType w:val="multilevel"/>
    <w:tmpl w:val="B6346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6D17B0D"/>
    <w:multiLevelType w:val="multilevel"/>
    <w:tmpl w:val="EF9E3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A043026"/>
    <w:multiLevelType w:val="multilevel"/>
    <w:tmpl w:val="B566B2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930B13"/>
    <w:multiLevelType w:val="multilevel"/>
    <w:tmpl w:val="0C8A7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253DBE"/>
    <w:multiLevelType w:val="multilevel"/>
    <w:tmpl w:val="A8648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4229911">
    <w:abstractNumId w:val="2"/>
  </w:num>
  <w:num w:numId="2" w16cid:durableId="1480267622">
    <w:abstractNumId w:val="1"/>
  </w:num>
  <w:num w:numId="3" w16cid:durableId="1850631547">
    <w:abstractNumId w:val="9"/>
  </w:num>
  <w:num w:numId="4" w16cid:durableId="8722333">
    <w:abstractNumId w:val="7"/>
  </w:num>
  <w:num w:numId="5" w16cid:durableId="444227817">
    <w:abstractNumId w:val="6"/>
  </w:num>
  <w:num w:numId="6" w16cid:durableId="345904842">
    <w:abstractNumId w:val="3"/>
  </w:num>
  <w:num w:numId="7" w16cid:durableId="226308134">
    <w:abstractNumId w:val="8"/>
  </w:num>
  <w:num w:numId="8" w16cid:durableId="69238572">
    <w:abstractNumId w:val="0"/>
  </w:num>
  <w:num w:numId="9" w16cid:durableId="64450510">
    <w:abstractNumId w:val="5"/>
  </w:num>
  <w:num w:numId="10" w16cid:durableId="18366534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570"/>
    <w:rsid w:val="001A5717"/>
    <w:rsid w:val="002B2570"/>
    <w:rsid w:val="00302733"/>
    <w:rsid w:val="00544034"/>
    <w:rsid w:val="009A0888"/>
    <w:rsid w:val="00A879F8"/>
    <w:rsid w:val="00B16311"/>
    <w:rsid w:val="00C87473"/>
    <w:rsid w:val="00DF3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CAA213"/>
  <w15:chartTrackingRefBased/>
  <w15:docId w15:val="{297C7F35-F4E1-404F-A97A-EE0ADF85E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B25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25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25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25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25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25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5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5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5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B25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25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25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25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25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25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5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5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570"/>
    <w:rPr>
      <w:rFonts w:eastAsiaTheme="majorEastAsia" w:cstheme="majorBidi"/>
      <w:color w:val="272727" w:themeColor="text1" w:themeTint="D8"/>
    </w:rPr>
  </w:style>
  <w:style w:type="paragraph" w:styleId="Title">
    <w:name w:val="Title"/>
    <w:basedOn w:val="Normal"/>
    <w:next w:val="Normal"/>
    <w:link w:val="TitleChar"/>
    <w:uiPriority w:val="10"/>
    <w:qFormat/>
    <w:rsid w:val="002B25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5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57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5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57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B2570"/>
    <w:rPr>
      <w:i/>
      <w:iCs/>
      <w:color w:val="404040" w:themeColor="text1" w:themeTint="BF"/>
    </w:rPr>
  </w:style>
  <w:style w:type="paragraph" w:styleId="ListParagraph">
    <w:name w:val="List Paragraph"/>
    <w:basedOn w:val="Normal"/>
    <w:uiPriority w:val="34"/>
    <w:qFormat/>
    <w:rsid w:val="002B2570"/>
    <w:pPr>
      <w:ind w:left="720"/>
      <w:contextualSpacing/>
    </w:pPr>
  </w:style>
  <w:style w:type="character" w:styleId="IntenseEmphasis">
    <w:name w:val="Intense Emphasis"/>
    <w:basedOn w:val="DefaultParagraphFont"/>
    <w:uiPriority w:val="21"/>
    <w:qFormat/>
    <w:rsid w:val="002B2570"/>
    <w:rPr>
      <w:i/>
      <w:iCs/>
      <w:color w:val="2F5496" w:themeColor="accent1" w:themeShade="BF"/>
    </w:rPr>
  </w:style>
  <w:style w:type="paragraph" w:styleId="IntenseQuote">
    <w:name w:val="Intense Quote"/>
    <w:basedOn w:val="Normal"/>
    <w:next w:val="Normal"/>
    <w:link w:val="IntenseQuoteChar"/>
    <w:uiPriority w:val="30"/>
    <w:qFormat/>
    <w:rsid w:val="002B25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2570"/>
    <w:rPr>
      <w:i/>
      <w:iCs/>
      <w:color w:val="2F5496" w:themeColor="accent1" w:themeShade="BF"/>
    </w:rPr>
  </w:style>
  <w:style w:type="character" w:styleId="IntenseReference">
    <w:name w:val="Intense Reference"/>
    <w:basedOn w:val="DefaultParagraphFont"/>
    <w:uiPriority w:val="32"/>
    <w:qFormat/>
    <w:rsid w:val="002B2570"/>
    <w:rPr>
      <w:b/>
      <w:bCs/>
      <w:smallCaps/>
      <w:color w:val="2F5496" w:themeColor="accent1" w:themeShade="BF"/>
      <w:spacing w:val="5"/>
    </w:rPr>
  </w:style>
  <w:style w:type="paragraph" w:styleId="NormalWeb">
    <w:name w:val="Normal (Web)"/>
    <w:basedOn w:val="Normal"/>
    <w:uiPriority w:val="99"/>
    <w:unhideWhenUsed/>
    <w:rsid w:val="002B2570"/>
    <w:pPr>
      <w:spacing w:before="100" w:beforeAutospacing="1" w:after="100" w:afterAutospacing="1"/>
    </w:pPr>
    <w:rPr>
      <w:rFonts w:ascii="Times New Roman" w:eastAsia="Times New Roman" w:hAnsi="Times New Roman" w:cs="Times New Roman"/>
      <w:kern w:val="0"/>
      <w:sz w:val="24"/>
      <w:szCs w:val="24"/>
      <w:lang w:val="en-US" w:eastAsia="en-US"/>
      <w14:ligatures w14:val="none"/>
    </w:rPr>
  </w:style>
  <w:style w:type="paragraph" w:styleId="Footer">
    <w:name w:val="footer"/>
    <w:basedOn w:val="Normal"/>
    <w:link w:val="FooterChar"/>
    <w:uiPriority w:val="99"/>
    <w:unhideWhenUsed/>
    <w:rsid w:val="002B2570"/>
    <w:pPr>
      <w:tabs>
        <w:tab w:val="center" w:pos="4680"/>
        <w:tab w:val="right" w:pos="9360"/>
      </w:tabs>
    </w:pPr>
    <w:rPr>
      <w:rFonts w:ascii="Arial" w:eastAsia="Arial" w:hAnsi="Arial" w:cs="Arial"/>
      <w:kern w:val="0"/>
      <w:lang w:val="en-US" w:eastAsia="en-US"/>
      <w14:ligatures w14:val="none"/>
    </w:rPr>
  </w:style>
  <w:style w:type="character" w:customStyle="1" w:styleId="FooterChar">
    <w:name w:val="Footer Char"/>
    <w:basedOn w:val="DefaultParagraphFont"/>
    <w:link w:val="Footer"/>
    <w:uiPriority w:val="99"/>
    <w:rsid w:val="002B2570"/>
    <w:rPr>
      <w:rFonts w:ascii="Arial" w:eastAsia="Arial" w:hAnsi="Arial" w:cs="Arial"/>
      <w:kern w:val="0"/>
      <w:lang w:val="en-US" w:eastAsia="en-US"/>
      <w14:ligatures w14:val="none"/>
    </w:rPr>
  </w:style>
  <w:style w:type="paragraph" w:styleId="TOCHeading">
    <w:name w:val="TOC Heading"/>
    <w:basedOn w:val="Heading1"/>
    <w:next w:val="Normal"/>
    <w:uiPriority w:val="39"/>
    <w:unhideWhenUsed/>
    <w:qFormat/>
    <w:rsid w:val="002B2570"/>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B2570"/>
    <w:pPr>
      <w:spacing w:after="100" w:line="276" w:lineRule="auto"/>
    </w:pPr>
    <w:rPr>
      <w:rFonts w:ascii="Arial" w:eastAsia="Arial" w:hAnsi="Arial" w:cs="Arial"/>
      <w:kern w:val="0"/>
      <w:lang w:val="en-US" w:eastAsia="en-US"/>
      <w14:ligatures w14:val="none"/>
    </w:rPr>
  </w:style>
  <w:style w:type="character" w:styleId="Hyperlink">
    <w:name w:val="Hyperlink"/>
    <w:basedOn w:val="DefaultParagraphFont"/>
    <w:uiPriority w:val="99"/>
    <w:unhideWhenUsed/>
    <w:rsid w:val="002B25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1560</Words>
  <Characters>8894</Characters>
  <Application>Microsoft Office Word</Application>
  <DocSecurity>0</DocSecurity>
  <Lines>74</Lines>
  <Paragraphs>20</Paragraphs>
  <ScaleCrop>false</ScaleCrop>
  <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2</cp:revision>
  <dcterms:created xsi:type="dcterms:W3CDTF">2024-10-18T20:46:00Z</dcterms:created>
  <dcterms:modified xsi:type="dcterms:W3CDTF">2024-10-18T20:46:00Z</dcterms:modified>
</cp:coreProperties>
</file>