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p w14:paraId="1D7D8A93" w14:textId="1F2AC50F" w:rsidR="0036677B" w:rsidRDefault="00A56421" w:rsidP="000B2DCD">
      <w:pPr>
        <w:jc w:val="center"/>
        <w:rPr>
          <w:rFonts w:ascii="Elephant" w:hAnsi="Elephant"/>
          <w:sz w:val="40"/>
          <w:szCs w:val="40"/>
          <w:u w:val="thick" w:color="000000" w:themeColor="text1"/>
        </w:rPr>
      </w:pPr>
      <w:r>
        <w:rPr>
          <w:noProof/>
        </w:rPr>
        <mc:AlternateContent>
          <mc:Choice Requires="wpi">
            <w:drawing>
              <wp:anchor distT="0" distB="0" distL="114300" distR="114300" simplePos="0" relativeHeight="251665408" behindDoc="0" locked="0" layoutInCell="1" allowOverlap="1" wp14:anchorId="7E14E373" wp14:editId="308F95C0">
                <wp:simplePos x="0" y="0"/>
                <wp:positionH relativeFrom="column">
                  <wp:posOffset>3803650</wp:posOffset>
                </wp:positionH>
                <wp:positionV relativeFrom="paragraph">
                  <wp:posOffset>522330</wp:posOffset>
                </wp:positionV>
                <wp:extent cx="1943100" cy="360"/>
                <wp:effectExtent l="95250" t="152400" r="114300" b="152400"/>
                <wp:wrapNone/>
                <wp:docPr id="1211913405"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1943100" cy="360"/>
                      </w14:xfrm>
                    </w14:contentPart>
                  </a:graphicData>
                </a:graphic>
                <wp14:sizeRelH relativeFrom="margin">
                  <wp14:pctWidth>0</wp14:pctWidth>
                </wp14:sizeRelH>
              </wp:anchor>
            </w:drawing>
          </mc:Choice>
          <mc:Fallback>
            <w:pict>
              <v:shapetype w14:anchorId="57F74C1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295.3pt;margin-top:32.65pt;width:161.4pt;height:17.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">
                <v:imagedata r:id="rId9" o:title=""/>
              </v:shape>
            </w:pict>
          </mc:Fallback>
        </mc:AlternateContent>
      </w:r>
      <w:r>
        <w:rPr>
          <w:noProof/>
        </w:rPr>
        <mc:AlternateContent>
          <mc:Choice Requires="wpi">
            <w:drawing>
              <wp:anchor distT="0" distB="0" distL="114300" distR="114300" simplePos="0" relativeHeight="251661312" behindDoc="0" locked="0" layoutInCell="1" allowOverlap="1" wp14:anchorId="36303741" wp14:editId="5434E9A3">
                <wp:simplePos x="0" y="0"/>
                <wp:positionH relativeFrom="column">
                  <wp:posOffset>-50800</wp:posOffset>
                </wp:positionH>
                <wp:positionV relativeFrom="paragraph">
                  <wp:posOffset>521970</wp:posOffset>
                </wp:positionV>
                <wp:extent cx="1943100" cy="360"/>
                <wp:effectExtent l="95250" t="152400" r="114300" b="152400"/>
                <wp:wrapNone/>
                <wp:docPr id="390091137"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1943100" cy="360"/>
                      </w14:xfrm>
                    </w14:contentPart>
                  </a:graphicData>
                </a:graphic>
                <wp14:sizeRelH relativeFrom="margin">
                  <wp14:pctWidth>0</wp14:pctWidth>
                </wp14:sizeRelH>
              </wp:anchor>
            </w:drawing>
          </mc:Choice>
          <mc:Fallback>
            <w:pict>
              <v:shape w14:anchorId="63C1A5A2" id="Ink 4" o:spid="_x0000_s1026" type="#_x0000_t75" style="position:absolute;margin-left:-8.2pt;margin-top:32.6pt;width:161.4pt;height:17.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">
                <v:imagedata r:id="rId9" o:title=""/>
              </v:shape>
            </w:pict>
          </mc:Fallback>
        </mc:AlternateContent>
      </w:r>
      <w:r w:rsidR="009F0295" w:rsidRPr="000B2DCD">
        <w:rPr>
          <w:rFonts w:ascii="Elephant" w:hAnsi="Elephant"/>
          <w:noProof/>
          <w:sz w:val="40"/>
          <w:szCs w:val="40"/>
          <w:u w:val="thick" w:color="000000" w:themeColor="text1"/>
        </w:rPr>
        <mc:AlternateContent>
          <mc:Choice Requires="wps">
            <w:drawing>
              <wp:anchor distT="0" distB="0" distL="114300" distR="114300" simplePos="0" relativeHeight="251659264" behindDoc="0" locked="0" layoutInCell="1" allowOverlap="1" wp14:anchorId="7849FED2" wp14:editId="44A54938">
                <wp:simplePos x="0" y="0"/>
                <wp:positionH relativeFrom="column">
                  <wp:posOffset>635000</wp:posOffset>
                </wp:positionH>
                <wp:positionV relativeFrom="paragraph">
                  <wp:posOffset>738505</wp:posOffset>
                </wp:positionV>
                <wp:extent cx="1828800" cy="1828800"/>
                <wp:effectExtent l="0" t="0" r="13970" b="11430"/>
                <wp:wrapNone/>
                <wp:docPr id="75807156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12700">
                          <a:solidFill>
                            <a:schemeClr val="tx2">
                              <a:lumMod val="75000"/>
                              <a:lumOff val="25000"/>
                            </a:schemeClr>
                          </a:solidFill>
                        </a:ln>
                      </wps:spPr>
                      <wps:txbx>
                        <w:txbxContent>
                          <w:p w14:paraId="5944FC4E" w14:textId="77777777" w:rsidR="00253F12" w:rsidRPr="00445A87" w:rsidRDefault="00253F12" w:rsidP="00253F12">
                            <w:pPr>
                              <w:jc w:val="center"/>
                            </w:pPr>
                            <w:r w:rsidRPr="00445A87">
                              <w:rPr>
                                <w:b/>
                              </w:rPr>
                              <w:t>name:</w:t>
                            </w:r>
                            <w:r w:rsidRPr="00445A87">
                              <w:t xml:space="preserve"> Shahnaz Kausar                 </w:t>
                            </w:r>
                            <w:r w:rsidRPr="00445A87">
                              <w:rPr>
                                <w:b/>
                              </w:rPr>
                              <w:t>Student number:</w:t>
                            </w:r>
                            <w:r w:rsidRPr="00445A87">
                              <w:t xml:space="preserve"> 1714217</w:t>
                            </w:r>
                          </w:p>
                          <w:p w14:paraId="46901F64" w14:textId="5EE2D690" w:rsidR="00253F12" w:rsidRPr="00445A87" w:rsidRDefault="00253F12" w:rsidP="00253F12">
                            <w:pPr>
                              <w:jc w:val="center"/>
                            </w:pPr>
                            <w:r w:rsidRPr="00445A87">
                              <w:rPr>
                                <w:b/>
                              </w:rPr>
                              <w:t>module name:</w:t>
                            </w:r>
                            <w:r w:rsidRPr="00445A87">
                              <w:t xml:space="preserve"> </w:t>
                            </w:r>
                            <w:r w:rsidR="00A32B26">
                              <w:t>digital transformation in health and care professions</w:t>
                            </w:r>
                          </w:p>
                          <w:p w14:paraId="22111E1D" w14:textId="498272D3" w:rsidR="00253F12" w:rsidRPr="00123D65" w:rsidRDefault="00253F12" w:rsidP="00253F12">
                            <w:pPr>
                              <w:jc w:val="center"/>
                              <w:rPr>
                                <w:b/>
                              </w:rPr>
                            </w:pPr>
                            <w:r w:rsidRPr="00445A87">
                              <w:rPr>
                                <w:b/>
                              </w:rPr>
                              <w:t>module code:</w:t>
                            </w:r>
                            <w:r w:rsidRPr="00445A87">
                              <w:t xml:space="preserve"> BMHP</w:t>
                            </w:r>
                            <w:r>
                              <w:t>6026</w:t>
                            </w:r>
                            <w:r w:rsidR="00AA0CFA">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849FED2" id="_x0000_t202" coordsize="21600,21600" o:spt="202" path="m,l,21600r21600,l21600,xe">
                <v:stroke joinstyle="miter"/>
                <v:path gradientshapeok="t" o:connecttype="rect"/>
              </v:shapetype>
              <v:shape id="Text Box 1" o:spid="_x0000_s1026" type="#_x0000_t202" style="position:absolute;left:0;text-align:left;margin-left:50pt;margin-top:58.1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" filled="f" strokecolor="#215e99 [2431]" strokeweight="1pt">
                <v:textbox style="mso-fit-shape-to-text:t">
                  <w:txbxContent>
                    <w:p w14:paraId="5944FC4E" w14:textId="77777777" w:rsidR="00253F12" w:rsidRPr="00445A87" w:rsidRDefault="00253F12" w:rsidP="00253F12">
                      <w:pPr>
                        <w:jc w:val="center"/>
                      </w:pPr>
                      <w:r w:rsidRPr="00445A87">
                        <w:rPr>
                          <w:b/>
                        </w:rPr>
                        <w:t>name:</w:t>
                      </w:r>
                      <w:r w:rsidRPr="00445A87">
                        <w:t xml:space="preserve"> Shahnaz Kausar                 </w:t>
                      </w:r>
                      <w:r w:rsidRPr="00445A87">
                        <w:rPr>
                          <w:b/>
                        </w:rPr>
                        <w:t>Student number:</w:t>
                      </w:r>
                      <w:r w:rsidRPr="00445A87">
                        <w:t xml:space="preserve"> 1714217</w:t>
                      </w:r>
                    </w:p>
                    <w:p w14:paraId="46901F64" w14:textId="5EE2D690" w:rsidR="00253F12" w:rsidRPr="00445A87" w:rsidRDefault="00253F12" w:rsidP="00253F12">
                      <w:pPr>
                        <w:jc w:val="center"/>
                      </w:pPr>
                      <w:r w:rsidRPr="00445A87">
                        <w:rPr>
                          <w:b/>
                        </w:rPr>
                        <w:t>module name:</w:t>
                      </w:r>
                      <w:r w:rsidRPr="00445A87">
                        <w:t xml:space="preserve"> </w:t>
                      </w:r>
                      <w:r w:rsidR="00A32B26">
                        <w:t>digital transformation in health and care professions</w:t>
                      </w:r>
                    </w:p>
                    <w:p w14:paraId="22111E1D" w14:textId="498272D3" w:rsidR="00253F12" w:rsidRPr="00123D65" w:rsidRDefault="00253F12" w:rsidP="00253F12">
                      <w:pPr>
                        <w:jc w:val="center"/>
                        <w:rPr>
                          <w:b/>
                        </w:rPr>
                      </w:pPr>
                      <w:r w:rsidRPr="00445A87">
                        <w:rPr>
                          <w:b/>
                        </w:rPr>
                        <w:t>module code:</w:t>
                      </w:r>
                      <w:r w:rsidRPr="00445A87">
                        <w:t xml:space="preserve"> BMHP</w:t>
                      </w:r>
                      <w:r>
                        <w:t>6026</w:t>
                      </w:r>
                      <w:r w:rsidR="00AA0CFA">
                        <w:t xml:space="preserve">    </w:t>
                      </w:r>
                    </w:p>
                  </w:txbxContent>
                </v:textbox>
              </v:shape>
            </w:pict>
          </mc:Fallback>
        </mc:AlternateContent>
      </w:r>
      <w:r w:rsidR="00B367C1" w:rsidRPr="000B2DCD">
        <w:rPr>
          <w:rFonts w:ascii="Elephant" w:hAnsi="Elephant"/>
          <w:sz w:val="40"/>
          <w:szCs w:val="40"/>
          <w:u w:val="thick" w:color="000000" w:themeColor="text1"/>
        </w:rPr>
        <w:t>Component one: written assignment – digital innovation</w:t>
      </w:r>
    </w:p>
    <w:p w14:paraId="6E3E3478" w14:textId="483500A4" w:rsidR="000B2DCD" w:rsidRDefault="000B2DCD" w:rsidP="000B2DCD">
      <w:pPr>
        <w:jc w:val="center"/>
        <w:rPr>
          <w:rFonts w:ascii="Elephant" w:hAnsi="Elephant"/>
          <w:sz w:val="40"/>
          <w:szCs w:val="40"/>
          <w:u w:val="thick" w:color="000000" w:themeColor="text1"/>
        </w:rPr>
      </w:pPr>
    </w:p>
    <w:p w14:paraId="51999884" w14:textId="36B9E5A8" w:rsidR="000B2DCD" w:rsidRDefault="000B2DCD" w:rsidP="000B2DCD">
      <w:pPr>
        <w:jc w:val="center"/>
        <w:rPr>
          <w:rFonts w:ascii="Elephant" w:hAnsi="Elephant"/>
          <w:sz w:val="40"/>
          <w:szCs w:val="40"/>
          <w:u w:val="thick" w:color="000000" w:themeColor="text1"/>
        </w:rPr>
      </w:pPr>
    </w:p>
    <w:p w14:paraId="4A1E839D" w14:textId="795CD33E" w:rsidR="00652C7E" w:rsidRPr="00D04F57" w:rsidRDefault="000E2C92" w:rsidP="00D04F57">
      <w:pPr>
        <w:jc w:val="center"/>
        <w:rPr>
          <w:rFonts w:ascii="Elephant" w:hAnsi="Elephant"/>
          <w:sz w:val="48"/>
          <w:szCs w:val="48"/>
          <w:u w:val="thick" w:color="000000" w:themeColor="text1"/>
        </w:rPr>
      </w:pPr>
      <w:r w:rsidRPr="00D04F57">
        <w:rPr>
          <w:rFonts w:ascii="Elephant" w:hAnsi="Elephant"/>
          <w:b/>
          <w:bCs/>
          <w:sz w:val="48"/>
          <w:szCs w:val="48"/>
          <w:u w:val="thick" w:color="000000" w:themeColor="text1"/>
        </w:rPr>
        <w:t>Computer Vision and AI Diagnostics</w:t>
      </w:r>
    </w:p>
    <w:p w14:paraId="7E167356" w14:textId="44E18FCD" w:rsidR="007304FF" w:rsidRPr="00A56421" w:rsidRDefault="00A56421" w:rsidP="007304FF">
      <w:pPr>
        <w:rPr>
          <w:rFonts w:ascii="Algerian" w:hAnsi="Algerian" w:cs="Arial"/>
          <w:b/>
          <w:bCs/>
          <w:sz w:val="28"/>
          <w:szCs w:val="28"/>
        </w:rPr>
      </w:pPr>
      <w:r>
        <w:rPr>
          <w:noProof/>
        </w:rPr>
        <mc:AlternateContent>
          <mc:Choice Requires="wpi">
            <w:drawing>
              <wp:anchor distT="0" distB="0" distL="114300" distR="114300" simplePos="0" relativeHeight="251667456" behindDoc="0" locked="0" layoutInCell="1" allowOverlap="1" wp14:anchorId="285EB0EF" wp14:editId="39CF8289">
                <wp:simplePos x="0" y="0"/>
                <wp:positionH relativeFrom="column">
                  <wp:posOffset>1314450</wp:posOffset>
                </wp:positionH>
                <wp:positionV relativeFrom="paragraph">
                  <wp:posOffset>152400</wp:posOffset>
                </wp:positionV>
                <wp:extent cx="4660900" cy="360"/>
                <wp:effectExtent l="57150" t="76200" r="63500" b="76200"/>
                <wp:wrapNone/>
                <wp:docPr id="2126907255"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4660900" cy="360"/>
                      </w14:xfrm>
                    </w14:contentPart>
                  </a:graphicData>
                </a:graphic>
                <wp14:sizeRelH relativeFrom="margin">
                  <wp14:pctWidth>0</wp14:pctWidth>
                </wp14:sizeRelH>
              </wp:anchor>
            </w:drawing>
          </mc:Choice>
          <mc:Fallback>
            <w:pict>
              <v:shape w14:anchorId="3D16A5DF" id="Ink 4" o:spid="_x0000_s1026" type="#_x0000_t75" style="position:absolute;margin-left:102.35pt;margin-top:9.75pt;width:369.2pt;height:4.5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">
                <v:imagedata r:id="rId12" o:title=""/>
              </v:shape>
            </w:pict>
          </mc:Fallback>
        </mc:AlternateContent>
      </w:r>
      <w:r w:rsidR="007304FF" w:rsidRPr="00A56421">
        <w:rPr>
          <w:rFonts w:ascii="Algerian" w:hAnsi="Algerian" w:cs="Arial"/>
          <w:b/>
          <w:bCs/>
          <w:sz w:val="28"/>
          <w:szCs w:val="28"/>
        </w:rPr>
        <w:t xml:space="preserve">Introduction </w:t>
      </w:r>
    </w:p>
    <w:p w14:paraId="2E3F4853" w14:textId="77777777" w:rsidR="0044611A" w:rsidRPr="0044611A" w:rsidRDefault="0044611A" w:rsidP="0044611A">
      <w:pPr>
        <w:rPr>
          <w:rFonts w:ascii="Arial" w:hAnsi="Arial" w:cs="Arial"/>
        </w:rPr>
      </w:pPr>
      <w:r w:rsidRPr="0044611A">
        <w:rPr>
          <w:rFonts w:ascii="Arial" w:hAnsi="Arial" w:cs="Arial"/>
        </w:rPr>
        <w:t>Computer vision and AI</w:t>
      </w:r>
      <w:r w:rsidRPr="0044611A">
        <w:rPr>
          <w:rFonts w:ascii="Arial" w:hAnsi="Arial" w:cs="Arial"/>
        </w:rPr>
        <w:noBreakHyphen/>
        <w:t>enabled diagnostics describe digital systems that interpret clinical images to identify disease patterns. Although often presented as objective and efficient, their value in health and social care depends on whether they genuinely improve decision</w:t>
      </w:r>
      <w:r w:rsidRPr="0044611A">
        <w:rPr>
          <w:rFonts w:ascii="Arial" w:hAnsi="Arial" w:cs="Arial"/>
        </w:rPr>
        <w:noBreakHyphen/>
        <w:t>making, reduce variation, and support early intervention in real</w:t>
      </w:r>
      <w:r w:rsidRPr="0044611A">
        <w:rPr>
          <w:rFonts w:ascii="Arial" w:hAnsi="Arial" w:cs="Arial"/>
        </w:rPr>
        <w:noBreakHyphen/>
        <w:t>world settings. Evidence shows that AI can match clinician</w:t>
      </w:r>
      <w:r w:rsidRPr="0044611A">
        <w:rPr>
          <w:rFonts w:ascii="Arial" w:hAnsi="Arial" w:cs="Arial"/>
        </w:rPr>
        <w:noBreakHyphen/>
        <w:t>level accuracy in fields such as radiology and dermatology (Topol, 2019; NHS England, 2023), yet many studies rely on controlled datasets, raising concerns about performance, bias, and equity. This matters because unrepresentative algorithms risk reinforcing existing health inequalities.</w:t>
      </w:r>
    </w:p>
    <w:p w14:paraId="4CC657FE" w14:textId="77777777" w:rsidR="0044611A" w:rsidRPr="0044611A" w:rsidRDefault="0044611A" w:rsidP="0044611A">
      <w:pPr>
        <w:rPr>
          <w:rFonts w:ascii="Arial" w:hAnsi="Arial" w:cs="Arial"/>
        </w:rPr>
      </w:pPr>
      <w:r w:rsidRPr="0044611A">
        <w:rPr>
          <w:rFonts w:ascii="Arial" w:hAnsi="Arial" w:cs="Arial"/>
        </w:rPr>
        <w:t>The significance of this innovation lies not only in technical capability but in its potential to reshape practice. AI may ease workload pressures, but it also introduces risks such as over</w:t>
      </w:r>
      <w:r w:rsidRPr="0044611A">
        <w:rPr>
          <w:rFonts w:ascii="Arial" w:hAnsi="Arial" w:cs="Arial"/>
        </w:rPr>
        <w:noBreakHyphen/>
        <w:t>reliance on automated outputs and unclear accountability. This report will critically examine impacts on the workforce, service delivery, and patient or service</w:t>
      </w:r>
      <w:r w:rsidRPr="0044611A">
        <w:rPr>
          <w:rFonts w:ascii="Arial" w:hAnsi="Arial" w:cs="Arial"/>
        </w:rPr>
        <w:noBreakHyphen/>
        <w:t>user experience, focusing on implications for safe, equitable care.</w:t>
      </w:r>
    </w:p>
    <w:p w14:paraId="27293172" w14:textId="53DBDB4B" w:rsidR="007304FF" w:rsidRPr="00A56421" w:rsidRDefault="00A56421" w:rsidP="007304FF">
      <w:pPr>
        <w:rPr>
          <w:rFonts w:ascii="Algerian" w:hAnsi="Algerian" w:cs="Arial"/>
          <w:b/>
          <w:bCs/>
          <w:sz w:val="28"/>
          <w:szCs w:val="28"/>
        </w:rPr>
      </w:pPr>
      <w:r>
        <w:rPr>
          <w:noProof/>
        </w:rPr>
        <mc:AlternateContent>
          <mc:Choice Requires="wpi">
            <w:drawing>
              <wp:anchor distT="0" distB="0" distL="114300" distR="114300" simplePos="0" relativeHeight="251669504" behindDoc="0" locked="0" layoutInCell="1" allowOverlap="1" wp14:anchorId="5B22D9E5" wp14:editId="18BD0C23">
                <wp:simplePos x="0" y="0"/>
                <wp:positionH relativeFrom="column">
                  <wp:posOffset>1365250</wp:posOffset>
                </wp:positionH>
                <wp:positionV relativeFrom="paragraph">
                  <wp:posOffset>145415</wp:posOffset>
                </wp:positionV>
                <wp:extent cx="4660900" cy="360"/>
                <wp:effectExtent l="57150" t="76200" r="63500" b="76200"/>
                <wp:wrapNone/>
                <wp:docPr id="624240198"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4660900" cy="360"/>
                      </w14:xfrm>
                    </w14:contentPart>
                  </a:graphicData>
                </a:graphic>
                <wp14:sizeRelH relativeFrom="margin">
                  <wp14:pctWidth>0</wp14:pctWidth>
                </wp14:sizeRelH>
              </wp:anchor>
            </w:drawing>
          </mc:Choice>
          <mc:Fallback>
            <w:pict>
              <v:shape w14:anchorId="7CA95EAE" id="Ink 4" o:spid="_x0000_s1026" type="#_x0000_t75" style="position:absolute;margin-left:106.35pt;margin-top:9.2pt;width:369.2pt;height:4.5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">
                <v:imagedata r:id="rId12" o:title=""/>
              </v:shape>
            </w:pict>
          </mc:Fallback>
        </mc:AlternateContent>
      </w:r>
      <w:r w:rsidR="007304FF" w:rsidRPr="00A56421">
        <w:rPr>
          <w:rFonts w:ascii="Algerian" w:hAnsi="Algerian" w:cs="Arial"/>
          <w:b/>
          <w:bCs/>
          <w:sz w:val="28"/>
          <w:szCs w:val="28"/>
        </w:rPr>
        <w:t>a) Workforce</w:t>
      </w:r>
    </w:p>
    <w:p w14:paraId="59C13341" w14:textId="4A84DAAB" w:rsidR="008762C9" w:rsidRPr="008762C9" w:rsidRDefault="008762C9" w:rsidP="008762C9">
      <w:pPr>
        <w:rPr>
          <w:rFonts w:ascii="Arial" w:hAnsi="Arial" w:cs="Arial"/>
        </w:rPr>
      </w:pPr>
      <w:r w:rsidRPr="008762C9">
        <w:rPr>
          <w:rFonts w:ascii="Arial" w:hAnsi="Arial" w:cs="Arial"/>
        </w:rPr>
        <w:t xml:space="preserve">The introduction of computer vision and AI diagnostics is </w:t>
      </w:r>
      <w:r w:rsidR="003E61E9">
        <w:rPr>
          <w:rFonts w:ascii="Arial" w:hAnsi="Arial" w:cs="Arial"/>
        </w:rPr>
        <w:t>changing</w:t>
      </w:r>
      <w:r w:rsidRPr="008762C9">
        <w:rPr>
          <w:rFonts w:ascii="Arial" w:hAnsi="Arial" w:cs="Arial"/>
        </w:rPr>
        <w:t xml:space="preserve"> the health and social care workforce in the UK, altering professional roles, skill requirements, and the balance between human judgement and automated decision</w:t>
      </w:r>
      <w:r w:rsidRPr="008762C9">
        <w:rPr>
          <w:rFonts w:ascii="Arial" w:hAnsi="Arial" w:cs="Arial"/>
        </w:rPr>
        <w:noBreakHyphen/>
        <w:t>support. These technologies promise greater accuracy and efficiency, yet their impact is complex and dependent on how organisations manage change, training, and governance. A critical examination shows that AI can enhance workforce capacity, but it also introduces new risks that require careful oversight.</w:t>
      </w:r>
    </w:p>
    <w:p w14:paraId="63D82425" w14:textId="77777777" w:rsidR="008762C9" w:rsidRPr="008762C9" w:rsidRDefault="008762C9" w:rsidP="008762C9">
      <w:pPr>
        <w:rPr>
          <w:rFonts w:ascii="Arial" w:hAnsi="Arial" w:cs="Arial"/>
        </w:rPr>
      </w:pPr>
      <w:r w:rsidRPr="008762C9">
        <w:rPr>
          <w:rFonts w:ascii="Arial" w:hAnsi="Arial" w:cs="Arial"/>
        </w:rPr>
        <w:t>A major shift is the redefinition of job roles. Clinicians who previously carried out manual diagnostic tasks are increasingly becoming evaluators of AI</w:t>
      </w:r>
      <w:r w:rsidRPr="008762C9">
        <w:rPr>
          <w:rFonts w:ascii="Arial" w:hAnsi="Arial" w:cs="Arial"/>
        </w:rPr>
        <w:noBreakHyphen/>
        <w:t xml:space="preserve">generated outputs. Radiographers, for example, now act as “AI supervisors,” validating algorithmic findings and integrating them with clinical context. This matters because it reframes expertise: instead of producing diagnostic insights, clinicians must judge </w:t>
      </w:r>
      <w:r w:rsidRPr="008762C9">
        <w:rPr>
          <w:rFonts w:ascii="Arial" w:hAnsi="Arial" w:cs="Arial"/>
        </w:rPr>
        <w:lastRenderedPageBreak/>
        <w:t>when AI is reliable and when it may be misleading. While this can reduce cognitive load and speed up reporting, it also risks automation bias, where staff over</w:t>
      </w:r>
      <w:r w:rsidRPr="008762C9">
        <w:rPr>
          <w:rFonts w:ascii="Arial" w:hAnsi="Arial" w:cs="Arial"/>
        </w:rPr>
        <w:noBreakHyphen/>
        <w:t>trust AI recommendations. Evidence from NHS England pilots shows that AI can reduce radiology backlogs, but only when clinicians maintain active oversight and retain responsibility for final decisions. In social care, computer</w:t>
      </w:r>
      <w:r w:rsidRPr="008762C9">
        <w:rPr>
          <w:rFonts w:ascii="Arial" w:hAnsi="Arial" w:cs="Arial"/>
        </w:rPr>
        <w:noBreakHyphen/>
        <w:t>vision</w:t>
      </w:r>
      <w:r w:rsidRPr="008762C9">
        <w:rPr>
          <w:rFonts w:ascii="Arial" w:hAnsi="Arial" w:cs="Arial"/>
        </w:rPr>
        <w:noBreakHyphen/>
        <w:t>based monitoring systems have shifted care workers’ roles from routine observation to interpreting alerts and managing digital safeguarding concerns, adding new layers of responsibility.</w:t>
      </w:r>
    </w:p>
    <w:p w14:paraId="75EF8FFB" w14:textId="77777777" w:rsidR="008762C9" w:rsidRPr="008762C9" w:rsidRDefault="008762C9" w:rsidP="008762C9">
      <w:pPr>
        <w:rPr>
          <w:rFonts w:ascii="Arial" w:hAnsi="Arial" w:cs="Arial"/>
        </w:rPr>
      </w:pPr>
      <w:r w:rsidRPr="008762C9">
        <w:rPr>
          <w:rFonts w:ascii="Arial" w:hAnsi="Arial" w:cs="Arial"/>
        </w:rPr>
        <w:t>These role changes create significant implications for skills, training, and competency. Staff must develop digital literacy, understand algorithmic limitations, and recognise when AI outputs may be biased or clinically inappropriate. This represents a substantial departure from traditional training pathways, which rarely included data science, human</w:t>
      </w:r>
      <w:r w:rsidRPr="008762C9">
        <w:rPr>
          <w:rFonts w:ascii="Arial" w:hAnsi="Arial" w:cs="Arial"/>
        </w:rPr>
        <w:noBreakHyphen/>
        <w:t>AI interaction, or critical appraisal of algorithmic tools. The Topol Review (2019) identifies workforce readiness as a major barrier to safe AI adoption, emphasising the need for continuous professional development rather than one</w:t>
      </w:r>
      <w:r w:rsidRPr="008762C9">
        <w:rPr>
          <w:rFonts w:ascii="Arial" w:hAnsi="Arial" w:cs="Arial"/>
        </w:rPr>
        <w:noBreakHyphen/>
        <w:t>off training sessions. This matters because uneven digital capability can create unsafe practice environments, where some staff rely heavily on AI while others avoid it entirely. Competency frameworks increasingly include skills such as interpreting heatmaps, understanding false</w:t>
      </w:r>
      <w:r w:rsidRPr="008762C9">
        <w:rPr>
          <w:rFonts w:ascii="Arial" w:hAnsi="Arial" w:cs="Arial"/>
        </w:rPr>
        <w:noBreakHyphen/>
        <w:t>positive and false</w:t>
      </w:r>
      <w:r w:rsidRPr="008762C9">
        <w:rPr>
          <w:rFonts w:ascii="Arial" w:hAnsi="Arial" w:cs="Arial"/>
        </w:rPr>
        <w:noBreakHyphen/>
        <w:t>negative trade</w:t>
      </w:r>
      <w:r w:rsidRPr="008762C9">
        <w:rPr>
          <w:rFonts w:ascii="Arial" w:hAnsi="Arial" w:cs="Arial"/>
        </w:rPr>
        <w:noBreakHyphen/>
        <w:t>offs, and identifying dataset bias—skills that were not previously part of clinical education. Without structured training, AI risks widening skill gaps and undermining confidence among staff who feel excluded from digital transformation.</w:t>
      </w:r>
    </w:p>
    <w:p w14:paraId="027389A5" w14:textId="77777777" w:rsidR="008762C9" w:rsidRPr="008762C9" w:rsidRDefault="008762C9" w:rsidP="008762C9">
      <w:pPr>
        <w:rPr>
          <w:rFonts w:ascii="Arial" w:hAnsi="Arial" w:cs="Arial"/>
        </w:rPr>
      </w:pPr>
      <w:r w:rsidRPr="008762C9">
        <w:rPr>
          <w:rFonts w:ascii="Arial" w:hAnsi="Arial" w:cs="Arial"/>
        </w:rPr>
        <w:t>The introduction of AI diagnostics brings several workforce benefits, but these are conditional. AI can reduce administrative burden, support triage, and help prioritise urgent cases, improving workflow efficiency and reducing delays. For overstretched services, this can alleviate burnout and improve retention by allowing clinicians to focus on complex decision</w:t>
      </w:r>
      <w:r w:rsidRPr="008762C9">
        <w:rPr>
          <w:rFonts w:ascii="Arial" w:hAnsi="Arial" w:cs="Arial"/>
        </w:rPr>
        <w:noBreakHyphen/>
        <w:t>making, communication, and relational care. In social care, computer</w:t>
      </w:r>
      <w:r w:rsidRPr="008762C9">
        <w:rPr>
          <w:rFonts w:ascii="Arial" w:hAnsi="Arial" w:cs="Arial"/>
        </w:rPr>
        <w:noBreakHyphen/>
        <w:t>vision</w:t>
      </w:r>
      <w:r w:rsidRPr="008762C9">
        <w:rPr>
          <w:rFonts w:ascii="Arial" w:hAnsi="Arial" w:cs="Arial"/>
        </w:rPr>
        <w:noBreakHyphen/>
        <w:t>based fall</w:t>
      </w:r>
      <w:r w:rsidRPr="008762C9">
        <w:rPr>
          <w:rFonts w:ascii="Arial" w:hAnsi="Arial" w:cs="Arial"/>
        </w:rPr>
        <w:noBreakHyphen/>
        <w:t>detection systems can reduce unnecessary checks, enabling staff to spend more time on meaningful interactions. These benefits matter because they directly address long</w:t>
      </w:r>
      <w:r w:rsidRPr="008762C9">
        <w:rPr>
          <w:rFonts w:ascii="Arial" w:hAnsi="Arial" w:cs="Arial"/>
        </w:rPr>
        <w:noBreakHyphen/>
        <w:t>standing workforce pressures, including shortages and rising demand. However, efficiency gains are not guaranteed. Poorly integrated AI tools can increase workload by generating excessive alerts, requiring manual data correction, or creating parallel systems that staff must navigate. This “AI</w:t>
      </w:r>
      <w:r w:rsidRPr="008762C9">
        <w:rPr>
          <w:rFonts w:ascii="Arial" w:hAnsi="Arial" w:cs="Arial"/>
        </w:rPr>
        <w:noBreakHyphen/>
        <w:t>induced workload” demonstrates that efficiency depends on thoughtful implementation, user</w:t>
      </w:r>
      <w:r w:rsidRPr="008762C9">
        <w:rPr>
          <w:rFonts w:ascii="Arial" w:hAnsi="Arial" w:cs="Arial"/>
        </w:rPr>
        <w:noBreakHyphen/>
        <w:t>centred design, and realistic workload modelling.</w:t>
      </w:r>
    </w:p>
    <w:p w14:paraId="2574435A" w14:textId="77777777" w:rsidR="008762C9" w:rsidRPr="008762C9" w:rsidRDefault="008762C9" w:rsidP="008762C9">
      <w:pPr>
        <w:rPr>
          <w:rFonts w:ascii="Arial" w:hAnsi="Arial" w:cs="Arial"/>
        </w:rPr>
      </w:pPr>
      <w:r w:rsidRPr="008762C9">
        <w:rPr>
          <w:rFonts w:ascii="Arial" w:hAnsi="Arial" w:cs="Arial"/>
        </w:rPr>
        <w:t xml:space="preserve">Despite potential benefits, the workforce faces significant challenges, including resistance to change, ethical uncertainty, and fear of deskilling. Some clinicians worry that AI threatens professional identity, particularly in diagnostic specialties. This resistance reflects legitimate concerns about accountability. If an AI system misdiagnoses a condition, responsibility is unclear—does it lie with the clinician, the organisation, or the developer? Current regulatory frameworks offer limited clarity, creating anxiety and defensive practice. Another challenge is the potential for </w:t>
      </w:r>
      <w:r w:rsidRPr="008762C9">
        <w:rPr>
          <w:rFonts w:ascii="Arial" w:hAnsi="Arial" w:cs="Arial"/>
        </w:rPr>
        <w:lastRenderedPageBreak/>
        <w:t>deskilling. If AI performs routine diagnostic tasks, clinicians may lose opportunities to develop and maintain expertise. Evidence from automation research shows that over</w:t>
      </w:r>
      <w:r w:rsidRPr="008762C9">
        <w:rPr>
          <w:rFonts w:ascii="Arial" w:hAnsi="Arial" w:cs="Arial"/>
        </w:rPr>
        <w:noBreakHyphen/>
        <w:t>reliance on automated systems can erode human skill over time, which is particularly concerning in rare or complex cases where AI performs poorly.</w:t>
      </w:r>
    </w:p>
    <w:p w14:paraId="7848A751" w14:textId="77777777" w:rsidR="008762C9" w:rsidRPr="008762C9" w:rsidRDefault="008762C9" w:rsidP="008762C9">
      <w:pPr>
        <w:rPr>
          <w:rFonts w:ascii="Arial" w:hAnsi="Arial" w:cs="Arial"/>
        </w:rPr>
      </w:pPr>
      <w:r w:rsidRPr="008762C9">
        <w:rPr>
          <w:rFonts w:ascii="Arial" w:hAnsi="Arial" w:cs="Arial"/>
        </w:rPr>
        <w:t>Finally, equity and bias present workforce</w:t>
      </w:r>
      <w:r w:rsidRPr="008762C9">
        <w:rPr>
          <w:rFonts w:ascii="Arial" w:hAnsi="Arial" w:cs="Arial"/>
        </w:rPr>
        <w:noBreakHyphen/>
        <w:t>level challenges. Staff must be able to recognise when AI tools perform differently across demographic groups. Without this awareness, clinicians may unknowingly perpetuate inequalities. This requires training not only in technical skills but in ethical reasoning, cultural competence, and critical appraisal of evidence. The implication is that AI adoption must be accompanied by robust governance and reflective practice to ensure that technology enhances, rather than undermines, equitable care.</w:t>
      </w:r>
    </w:p>
    <w:p w14:paraId="666229EA" w14:textId="72C2B6C3" w:rsidR="007304FF" w:rsidRPr="00A56421" w:rsidRDefault="00A56421" w:rsidP="007304FF">
      <w:pPr>
        <w:rPr>
          <w:rFonts w:ascii="Algerian" w:hAnsi="Algerian" w:cs="Arial"/>
          <w:b/>
          <w:bCs/>
          <w:sz w:val="28"/>
          <w:szCs w:val="28"/>
        </w:rPr>
      </w:pPr>
      <w:r>
        <w:rPr>
          <w:noProof/>
        </w:rPr>
        <mc:AlternateContent>
          <mc:Choice Requires="wpi">
            <w:drawing>
              <wp:anchor distT="0" distB="0" distL="114300" distR="114300" simplePos="0" relativeHeight="251671552" behindDoc="0" locked="0" layoutInCell="1" allowOverlap="1" wp14:anchorId="458C4729" wp14:editId="3FA6314E">
                <wp:simplePos x="0" y="0"/>
                <wp:positionH relativeFrom="column">
                  <wp:posOffset>1873250</wp:posOffset>
                </wp:positionH>
                <wp:positionV relativeFrom="paragraph">
                  <wp:posOffset>133350</wp:posOffset>
                </wp:positionV>
                <wp:extent cx="4152900" cy="360"/>
                <wp:effectExtent l="57150" t="76200" r="57150" b="76200"/>
                <wp:wrapNone/>
                <wp:docPr id="675754829"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4152900" cy="360"/>
                      </w14:xfrm>
                    </w14:contentPart>
                  </a:graphicData>
                </a:graphic>
                <wp14:sizeRelH relativeFrom="margin">
                  <wp14:pctWidth>0</wp14:pctWidth>
                </wp14:sizeRelH>
              </wp:anchor>
            </w:drawing>
          </mc:Choice>
          <mc:Fallback>
            <w:pict>
              <v:shape w14:anchorId="3C6ADC0A" id="Ink 4" o:spid="_x0000_s1026" type="#_x0000_t75" style="position:absolute;margin-left:146.35pt;margin-top:8.25pt;width:329.2pt;height:4.5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">
                <v:imagedata r:id="rId15" o:title=""/>
              </v:shape>
            </w:pict>
          </mc:Fallback>
        </mc:AlternateContent>
      </w:r>
      <w:r w:rsidR="007304FF" w:rsidRPr="00A56421">
        <w:rPr>
          <w:rFonts w:ascii="Algerian" w:hAnsi="Algerian" w:cs="Arial"/>
          <w:b/>
          <w:bCs/>
          <w:sz w:val="28"/>
          <w:szCs w:val="28"/>
        </w:rPr>
        <w:t>b) Service Delivery</w:t>
      </w:r>
    </w:p>
    <w:p w14:paraId="7EB5809A" w14:textId="77777777" w:rsidR="00F1044C" w:rsidRPr="001037CC" w:rsidRDefault="00F1044C" w:rsidP="00F1044C">
      <w:pPr>
        <w:rPr>
          <w:rFonts w:ascii="Arial" w:hAnsi="Arial" w:cs="Arial"/>
        </w:rPr>
      </w:pPr>
      <w:r w:rsidRPr="001037CC">
        <w:rPr>
          <w:rFonts w:ascii="Arial" w:hAnsi="Arial" w:cs="Arial"/>
        </w:rPr>
        <w:t>Computer vision and AI diagnostics are reshaping service delivery across UK health and social care, influencing workflows, communication, and operational efficiency. These technologies promise faster, more consistent diagnostic processes, but their real impact depends on how effectively they are embedded into existing systems. A critical examination shows that while AI can streamline services, it also introduces new complexities that organisations must manage to ensure safe and equitable delivery.</w:t>
      </w:r>
    </w:p>
    <w:p w14:paraId="141396A0" w14:textId="77777777" w:rsidR="00F1044C" w:rsidRPr="001037CC" w:rsidRDefault="00F1044C" w:rsidP="00F1044C">
      <w:pPr>
        <w:rPr>
          <w:rFonts w:ascii="Arial" w:hAnsi="Arial" w:cs="Arial"/>
        </w:rPr>
      </w:pPr>
      <w:r w:rsidRPr="001037CC">
        <w:rPr>
          <w:rFonts w:ascii="Arial" w:hAnsi="Arial" w:cs="Arial"/>
        </w:rPr>
        <w:t>A major shift is the reconfiguration of clinical workflows. Traditional diagnostic pathways rely on sequential processes: image capture, human interpretation, reporting, and communication. AI disrupts this model by enabling near</w:t>
      </w:r>
      <w:r w:rsidRPr="001037CC">
        <w:rPr>
          <w:rFonts w:ascii="Arial" w:hAnsi="Arial" w:cs="Arial"/>
        </w:rPr>
        <w:noBreakHyphen/>
        <w:t>instant preliminary analysis. For example, AI triage tools can automatically flag suspected strokes or lung abnormalities, allowing clinicians to prioritise urgent cases. This matters because it changes how services allocate time and resources, potentially reducing delays in high</w:t>
      </w:r>
      <w:r w:rsidRPr="001037CC">
        <w:rPr>
          <w:rFonts w:ascii="Arial" w:hAnsi="Arial" w:cs="Arial"/>
        </w:rPr>
        <w:noBreakHyphen/>
        <w:t>risk pathways. However, workflow redesign is essential. If AI generates excessive false positives or flags more cases than expected, it can create new bottlenecks. Early NHS pilots showed that AI</w:t>
      </w:r>
      <w:r w:rsidRPr="001037CC">
        <w:rPr>
          <w:rFonts w:ascii="Arial" w:hAnsi="Arial" w:cs="Arial"/>
        </w:rPr>
        <w:noBreakHyphen/>
        <w:t>supported chest X</w:t>
      </w:r>
      <w:r w:rsidRPr="001037CC">
        <w:rPr>
          <w:rFonts w:ascii="Arial" w:hAnsi="Arial" w:cs="Arial"/>
        </w:rPr>
        <w:noBreakHyphen/>
        <w:t>ray triage reduced reporting times only when paired with clear escalation protocols and human oversight. This demonstrates that technology alone does not improve service delivery; organisational readiness and process alignment are equally important.</w:t>
      </w:r>
    </w:p>
    <w:p w14:paraId="4E862335" w14:textId="77777777" w:rsidR="00F1044C" w:rsidRPr="001037CC" w:rsidRDefault="00F1044C" w:rsidP="00F1044C">
      <w:pPr>
        <w:rPr>
          <w:rFonts w:ascii="Arial" w:hAnsi="Arial" w:cs="Arial"/>
        </w:rPr>
      </w:pPr>
      <w:r w:rsidRPr="001037CC">
        <w:rPr>
          <w:rFonts w:ascii="Arial" w:hAnsi="Arial" w:cs="Arial"/>
        </w:rPr>
        <w:t xml:space="preserve">Communication within multidisciplinary teams is also evolving. AI systems produce structured outputs, probability scores, and visual explanations that must be interpreted and shared across clinical teams. This can improve clarity and reduce ambiguity, particularly in emergency settings. Yet it also introduces new communication challenges. Staff must understand how to explain AI findings to colleagues with varying levels of digital literacy. Disagreements between AI outputs and human judgement can create tension, requiring teams to negotiate decisions and justify their reasoning. This matters because communication breakdowns are a </w:t>
      </w:r>
      <w:r w:rsidRPr="001037CC">
        <w:rPr>
          <w:rFonts w:ascii="Arial" w:hAnsi="Arial" w:cs="Arial"/>
        </w:rPr>
        <w:lastRenderedPageBreak/>
        <w:t>known contributor to adverse events; introducing AI adds another layer of complexity that must be managed through training and shared protocols.</w:t>
      </w:r>
    </w:p>
    <w:p w14:paraId="0B01931B" w14:textId="77777777" w:rsidR="00F1044C" w:rsidRPr="001037CC" w:rsidRDefault="00F1044C" w:rsidP="00F1044C">
      <w:pPr>
        <w:rPr>
          <w:rFonts w:ascii="Arial" w:hAnsi="Arial" w:cs="Arial"/>
        </w:rPr>
      </w:pPr>
      <w:r w:rsidRPr="001037CC">
        <w:rPr>
          <w:rFonts w:ascii="Arial" w:hAnsi="Arial" w:cs="Arial"/>
        </w:rPr>
        <w:t>In terms of efficiency, AI diagnostics offer potential gains by reducing backlogs, accelerating triage, and supporting earlier intervention. Moorfields Eye Hospital’s collaboration with DeepMind demonstrated that AI could match expert performance in detecting retinal disease, with the potential to reduce waiting times for specialist review. Similarly, NHS Grampian’s use of AI</w:t>
      </w:r>
      <w:r w:rsidRPr="001037CC">
        <w:rPr>
          <w:rFonts w:ascii="Arial" w:hAnsi="Arial" w:cs="Arial"/>
        </w:rPr>
        <w:noBreakHyphen/>
        <w:t>supported mammography has shown promise in reducing double</w:t>
      </w:r>
      <w:r w:rsidRPr="001037CC">
        <w:rPr>
          <w:rFonts w:ascii="Arial" w:hAnsi="Arial" w:cs="Arial"/>
        </w:rPr>
        <w:noBreakHyphen/>
        <w:t>reading workloads. These examples illustrate how AI can support service capacity, particularly in areas facing workforce shortages. However, efficiency gains are not guaranteed. Some services report increased workload due to system alerts, data</w:t>
      </w:r>
      <w:r w:rsidRPr="001037CC">
        <w:rPr>
          <w:rFonts w:ascii="Arial" w:hAnsi="Arial" w:cs="Arial"/>
        </w:rPr>
        <w:noBreakHyphen/>
        <w:t>quality issues, or the need for manual verification. This “AI</w:t>
      </w:r>
      <w:r w:rsidRPr="001037CC">
        <w:rPr>
          <w:rFonts w:ascii="Arial" w:hAnsi="Arial" w:cs="Arial"/>
        </w:rPr>
        <w:noBreakHyphen/>
        <w:t>induced workload” shows that efficiency depends on careful calibration and ongoing monitoring.</w:t>
      </w:r>
    </w:p>
    <w:p w14:paraId="56752708" w14:textId="77777777" w:rsidR="00F1044C" w:rsidRPr="001037CC" w:rsidRDefault="00F1044C" w:rsidP="00F1044C">
      <w:pPr>
        <w:rPr>
          <w:rFonts w:ascii="Arial" w:hAnsi="Arial" w:cs="Arial"/>
        </w:rPr>
      </w:pPr>
      <w:r w:rsidRPr="001037CC">
        <w:rPr>
          <w:rFonts w:ascii="Arial" w:hAnsi="Arial" w:cs="Arial"/>
        </w:rPr>
        <w:t>Short</w:t>
      </w:r>
      <w:r w:rsidRPr="001037CC">
        <w:rPr>
          <w:rFonts w:ascii="Arial" w:hAnsi="Arial" w:cs="Arial"/>
        </w:rPr>
        <w:noBreakHyphen/>
        <w:t>term challenges are significant. Cost is a major barrier. AI systems require investment not only in software but in hardware, cybersecurity, training, and maintenance. For many NHS trusts under financial pressure, these upfront costs can delay adoption. Integration with existing electronic health record (EHR) systems is another challenge. The NHS uses a patchwork of digital systems, and poor interoperability can lead to fragmented workflows or reliance on manual workarounds that undermine efficiency.</w:t>
      </w:r>
    </w:p>
    <w:p w14:paraId="7B6E0BD2" w14:textId="1DE6989E" w:rsidR="007304FF" w:rsidRPr="00A56421" w:rsidRDefault="00A56421" w:rsidP="007304FF">
      <w:pPr>
        <w:rPr>
          <w:rFonts w:ascii="Algerian" w:hAnsi="Algerian" w:cs="Arial"/>
          <w:b/>
          <w:bCs/>
          <w:sz w:val="28"/>
          <w:szCs w:val="28"/>
        </w:rPr>
      </w:pPr>
      <w:r>
        <w:rPr>
          <w:noProof/>
        </w:rPr>
        <mc:AlternateContent>
          <mc:Choice Requires="wpi">
            <w:drawing>
              <wp:anchor distT="0" distB="0" distL="114300" distR="114300" simplePos="0" relativeHeight="251673600" behindDoc="0" locked="0" layoutInCell="1" allowOverlap="1" wp14:anchorId="33F6E6BD" wp14:editId="39691C47">
                <wp:simplePos x="0" y="0"/>
                <wp:positionH relativeFrom="column">
                  <wp:posOffset>2343150</wp:posOffset>
                </wp:positionH>
                <wp:positionV relativeFrom="paragraph">
                  <wp:posOffset>127000</wp:posOffset>
                </wp:positionV>
                <wp:extent cx="3632200" cy="360"/>
                <wp:effectExtent l="57150" t="76200" r="63500" b="76200"/>
                <wp:wrapNone/>
                <wp:docPr id="403955406"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3632200" cy="360"/>
                      </w14:xfrm>
                    </w14:contentPart>
                  </a:graphicData>
                </a:graphic>
                <wp14:sizeRelH relativeFrom="margin">
                  <wp14:pctWidth>0</wp14:pctWidth>
                </wp14:sizeRelH>
              </wp:anchor>
            </w:drawing>
          </mc:Choice>
          <mc:Fallback>
            <w:pict>
              <v:shape w14:anchorId="01B9E357" id="Ink 4" o:spid="_x0000_s1026" type="#_x0000_t75" style="position:absolute;margin-left:183.35pt;margin-top:7.75pt;width:288.2pt;height:4.5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">
                <v:imagedata r:id="rId17" o:title=""/>
              </v:shape>
            </w:pict>
          </mc:Fallback>
        </mc:AlternateContent>
      </w:r>
      <w:r w:rsidR="007304FF" w:rsidRPr="00A56421">
        <w:rPr>
          <w:rFonts w:ascii="Algerian" w:hAnsi="Algerian" w:cs="Arial"/>
          <w:b/>
          <w:bCs/>
          <w:sz w:val="28"/>
          <w:szCs w:val="28"/>
        </w:rPr>
        <w:t>c) Patient/Service User</w:t>
      </w:r>
      <w:r>
        <w:rPr>
          <w:rFonts w:ascii="Algerian" w:hAnsi="Algerian" w:cs="Arial"/>
          <w:b/>
          <w:bCs/>
          <w:sz w:val="28"/>
          <w:szCs w:val="28"/>
        </w:rPr>
        <w:t xml:space="preserve"> </w:t>
      </w:r>
    </w:p>
    <w:p w14:paraId="73EDCF88" w14:textId="77777777" w:rsidR="00886E8C" w:rsidRPr="00D03C61" w:rsidRDefault="00886E8C" w:rsidP="00886E8C">
      <w:pPr>
        <w:rPr>
          <w:rFonts w:ascii="Arial" w:hAnsi="Arial" w:cs="Arial"/>
        </w:rPr>
      </w:pPr>
      <w:r w:rsidRPr="00D03C61">
        <w:rPr>
          <w:rFonts w:ascii="Arial" w:hAnsi="Arial" w:cs="Arial"/>
        </w:rPr>
        <w:t>These technologies influence access, convenience, and the perceived quality of care, but their impact is uneven and shaped by digital literacy, privacy concerns, and structural inequalities. A critical examination shows that while AI can enhance patient experience, it also introduces new risks that must be addressed to ensure equitable, person</w:t>
      </w:r>
      <w:r w:rsidRPr="00D03C61">
        <w:rPr>
          <w:rFonts w:ascii="Arial" w:hAnsi="Arial" w:cs="Arial"/>
        </w:rPr>
        <w:noBreakHyphen/>
        <w:t>centred care.</w:t>
      </w:r>
    </w:p>
    <w:p w14:paraId="053F8BEC" w14:textId="77777777" w:rsidR="00886E8C" w:rsidRPr="00D03C61" w:rsidRDefault="00886E8C" w:rsidP="00886E8C">
      <w:pPr>
        <w:rPr>
          <w:rFonts w:ascii="Arial" w:hAnsi="Arial" w:cs="Arial"/>
        </w:rPr>
      </w:pPr>
      <w:r w:rsidRPr="00D03C61">
        <w:rPr>
          <w:rFonts w:ascii="Arial" w:hAnsi="Arial" w:cs="Arial"/>
        </w:rPr>
        <w:t>A major change is in access to diagnostic services. AI</w:t>
      </w:r>
      <w:r w:rsidRPr="00D03C61">
        <w:rPr>
          <w:rFonts w:ascii="Arial" w:hAnsi="Arial" w:cs="Arial"/>
        </w:rPr>
        <w:noBreakHyphen/>
        <w:t>enabled triage tools can reduce waiting times by rapidly identifying high</w:t>
      </w:r>
      <w:r w:rsidRPr="00D03C61">
        <w:rPr>
          <w:rFonts w:ascii="Arial" w:hAnsi="Arial" w:cs="Arial"/>
        </w:rPr>
        <w:noBreakHyphen/>
        <w:t>risk cases, allowing clinicians to prioritise urgent referrals. For example, Moorfields Eye Hospital’s collaboration with DeepMind demonstrated that AI could detect retinal disease with expert</w:t>
      </w:r>
      <w:r w:rsidRPr="00D03C61">
        <w:rPr>
          <w:rFonts w:ascii="Arial" w:hAnsi="Arial" w:cs="Arial"/>
        </w:rPr>
        <w:noBreakHyphen/>
        <w:t>level accuracy, potentially shortening referral pathways for conditions where early treatment is crucial. This matters because faster access can prevent deterioration and reduce anxiety for patients waiting for results. However, access improvements are not universal. Many AI</w:t>
      </w:r>
      <w:r w:rsidRPr="00D03C61">
        <w:rPr>
          <w:rFonts w:ascii="Arial" w:hAnsi="Arial" w:cs="Arial"/>
        </w:rPr>
        <w:noBreakHyphen/>
        <w:t>supported pathways rely on digital platforms or smartphone</w:t>
      </w:r>
      <w:r w:rsidRPr="00D03C61">
        <w:rPr>
          <w:rFonts w:ascii="Arial" w:hAnsi="Arial" w:cs="Arial"/>
        </w:rPr>
        <w:noBreakHyphen/>
        <w:t>based imaging, which may disadvantage people without reliable internet access, appropriate devices, or confidence using digital tools. This risks widening the digital divide, particularly affecting older adults, low</w:t>
      </w:r>
      <w:r w:rsidRPr="00D03C61">
        <w:rPr>
          <w:rFonts w:ascii="Arial" w:hAnsi="Arial" w:cs="Arial"/>
        </w:rPr>
        <w:noBreakHyphen/>
        <w:t>income groups, and some ethnic minorities.</w:t>
      </w:r>
    </w:p>
    <w:p w14:paraId="71E7856B" w14:textId="5459A7E8" w:rsidR="00886E8C" w:rsidRPr="00D03C61" w:rsidRDefault="00886E8C" w:rsidP="00886E8C">
      <w:pPr>
        <w:rPr>
          <w:rFonts w:ascii="Arial" w:hAnsi="Arial" w:cs="Arial"/>
        </w:rPr>
      </w:pPr>
      <w:r w:rsidRPr="00D03C61">
        <w:rPr>
          <w:rFonts w:ascii="Arial" w:hAnsi="Arial" w:cs="Arial"/>
        </w:rPr>
        <w:t>Convenience has also shifted, especially through remote monitoring and automated image analysis. Computer</w:t>
      </w:r>
      <w:r w:rsidRPr="00D03C61">
        <w:rPr>
          <w:rFonts w:ascii="Arial" w:hAnsi="Arial" w:cs="Arial"/>
        </w:rPr>
        <w:noBreakHyphen/>
        <w:t>vision</w:t>
      </w:r>
      <w:r w:rsidRPr="00D03C61">
        <w:rPr>
          <w:rFonts w:ascii="Arial" w:hAnsi="Arial" w:cs="Arial"/>
        </w:rPr>
        <w:noBreakHyphen/>
        <w:t xml:space="preserve">based tools allow patients to submit images from </w:t>
      </w:r>
      <w:r w:rsidRPr="00D03C61">
        <w:rPr>
          <w:rFonts w:ascii="Arial" w:hAnsi="Arial" w:cs="Arial"/>
        </w:rPr>
        <w:lastRenderedPageBreak/>
        <w:t>home, reducing the need for travel and in</w:t>
      </w:r>
      <w:r w:rsidRPr="00D03C61">
        <w:rPr>
          <w:rFonts w:ascii="Arial" w:hAnsi="Arial" w:cs="Arial"/>
        </w:rPr>
        <w:noBreakHyphen/>
        <w:t xml:space="preserve">person appointments. This can be transformative for people with mobility challenges or those living far from specialist services. Yet convenience is not guaranteed. Some patients report difficulty capturing images correctly, uncertainty about the accuracy of AI assessments, or discomfort with reduced human interaction. Evidence from UK </w:t>
      </w:r>
      <w:r w:rsidR="00D03C61" w:rsidRPr="00D03C61">
        <w:rPr>
          <w:rFonts w:ascii="Arial" w:hAnsi="Arial" w:cs="Arial"/>
        </w:rPr>
        <w:t>tele dermatology</w:t>
      </w:r>
      <w:r w:rsidRPr="00D03C61">
        <w:rPr>
          <w:rFonts w:ascii="Arial" w:hAnsi="Arial" w:cs="Arial"/>
        </w:rPr>
        <w:t xml:space="preserve"> pilots shows that while many patients value faster responses, others feel less reassured when they do not speak directly with a clinician. This highlights a tension between efficiency and relational care: convenience must not undermine communication, trust, or opportunities for shared decision</w:t>
      </w:r>
      <w:r w:rsidRPr="00D03C61">
        <w:rPr>
          <w:rFonts w:ascii="Arial" w:hAnsi="Arial" w:cs="Arial"/>
        </w:rPr>
        <w:noBreakHyphen/>
        <w:t>making.</w:t>
      </w:r>
    </w:p>
    <w:p w14:paraId="59F64BE9" w14:textId="77777777" w:rsidR="00886E8C" w:rsidRPr="00D03C61" w:rsidRDefault="00886E8C" w:rsidP="00886E8C">
      <w:pPr>
        <w:rPr>
          <w:rFonts w:ascii="Arial" w:hAnsi="Arial" w:cs="Arial"/>
        </w:rPr>
      </w:pPr>
      <w:r w:rsidRPr="00D03C61">
        <w:rPr>
          <w:rFonts w:ascii="Arial" w:hAnsi="Arial" w:cs="Arial"/>
        </w:rPr>
        <w:t>In terms of quality of care, AI diagnostics can support more consistent and accurate decision</w:t>
      </w:r>
      <w:r w:rsidRPr="00D03C61">
        <w:rPr>
          <w:rFonts w:ascii="Arial" w:hAnsi="Arial" w:cs="Arial"/>
        </w:rPr>
        <w:noBreakHyphen/>
        <w:t>making. Studies show that AI can match or exceed clinician performance in detecting certain cancers, eye diseases, and lung abnormalities. For patients, this may reduce the risk of missed diagnoses and support earlier intervention. However, quality is closely tied to the representativeness of training data. If AI systems perform less accurately for certain demographic groups—such as people with darker skin tones in dermatology—this can lead to unequal outcomes. Patient advocacy groups have raised concerns that algorithmic bias may reinforce existing health inequalities. This matters because fairness is a core principle of UK health and social care, and any technology that undermines it risks eroding public trust.</w:t>
      </w:r>
    </w:p>
    <w:p w14:paraId="58CB152A" w14:textId="77777777" w:rsidR="00886E8C" w:rsidRPr="00D03C61" w:rsidRDefault="00886E8C" w:rsidP="00886E8C">
      <w:pPr>
        <w:rPr>
          <w:rFonts w:ascii="Arial" w:hAnsi="Arial" w:cs="Arial"/>
        </w:rPr>
      </w:pPr>
      <w:r w:rsidRPr="00D03C61">
        <w:rPr>
          <w:rFonts w:ascii="Arial" w:hAnsi="Arial" w:cs="Arial"/>
        </w:rPr>
        <w:t>Privacy and surveillance concerns are particularly significant in social care settings where computer</w:t>
      </w:r>
      <w:r w:rsidRPr="00D03C61">
        <w:rPr>
          <w:rFonts w:ascii="Arial" w:hAnsi="Arial" w:cs="Arial"/>
        </w:rPr>
        <w:noBreakHyphen/>
        <w:t>vision</w:t>
      </w:r>
      <w:r w:rsidRPr="00D03C61">
        <w:rPr>
          <w:rFonts w:ascii="Arial" w:hAnsi="Arial" w:cs="Arial"/>
        </w:rPr>
        <w:noBreakHyphen/>
        <w:t>based monitoring is used to detect falls or unusual behaviour. While these tools can enhance safety, some service users feel uncomfortable being continuously observed, even when systems claim to be “non</w:t>
      </w:r>
      <w:r w:rsidRPr="00D03C61">
        <w:rPr>
          <w:rFonts w:ascii="Arial" w:hAnsi="Arial" w:cs="Arial"/>
        </w:rPr>
        <w:noBreakHyphen/>
        <w:t>intrusive.” The boundary between monitoring for safety and surveillance for efficiency is not always clear, raising ethical questions about consent, autonomy, and dignity. Care</w:t>
      </w:r>
      <w:r w:rsidRPr="00D03C61">
        <w:rPr>
          <w:rFonts w:ascii="Arial" w:hAnsi="Arial" w:cs="Arial"/>
        </w:rPr>
        <w:noBreakHyphen/>
        <w:t>home residents have expressed concerns about being watched or recorded, highlighting the need for transparent communication and co</w:t>
      </w:r>
      <w:r w:rsidRPr="00D03C61">
        <w:rPr>
          <w:rFonts w:ascii="Arial" w:hAnsi="Arial" w:cs="Arial"/>
        </w:rPr>
        <w:noBreakHyphen/>
        <w:t>design with service users.</w:t>
      </w:r>
    </w:p>
    <w:p w14:paraId="01F7DF34" w14:textId="77777777" w:rsidR="00886E8C" w:rsidRPr="00D03C61" w:rsidRDefault="00886E8C" w:rsidP="00886E8C">
      <w:pPr>
        <w:rPr>
          <w:rFonts w:ascii="Arial" w:hAnsi="Arial" w:cs="Arial"/>
        </w:rPr>
      </w:pPr>
      <w:r w:rsidRPr="00D03C61">
        <w:rPr>
          <w:rFonts w:ascii="Arial" w:hAnsi="Arial" w:cs="Arial"/>
        </w:rPr>
        <w:t>Digital literacy is another critical factor shaping patient experience. AI</w:t>
      </w:r>
      <w:r w:rsidRPr="00D03C61">
        <w:rPr>
          <w:rFonts w:ascii="Arial" w:hAnsi="Arial" w:cs="Arial"/>
        </w:rPr>
        <w:noBreakHyphen/>
        <w:t>enabled services often assume that users can navigate apps, upload images, or interpret automated feedback. For digitally confident individuals, this can empower self</w:t>
      </w:r>
      <w:r w:rsidRPr="00D03C61">
        <w:rPr>
          <w:rFonts w:ascii="Arial" w:hAnsi="Arial" w:cs="Arial"/>
        </w:rPr>
        <w:noBreakHyphen/>
        <w:t>management. For others, it creates new barriers. NHS Digital reports that around one in five UK adults lacks essential digital skills for health</w:t>
      </w:r>
      <w:r w:rsidRPr="00D03C61">
        <w:rPr>
          <w:rFonts w:ascii="Arial" w:hAnsi="Arial" w:cs="Arial"/>
        </w:rPr>
        <w:noBreakHyphen/>
        <w:t>related tasks. Without accessible alternatives—such as assisted digital pathways or in</w:t>
      </w:r>
      <w:r w:rsidRPr="00D03C61">
        <w:rPr>
          <w:rFonts w:ascii="Arial" w:hAnsi="Arial" w:cs="Arial"/>
        </w:rPr>
        <w:noBreakHyphen/>
        <w:t>person support—AI risks excluding those already marginalised.</w:t>
      </w:r>
    </w:p>
    <w:p w14:paraId="1D3A736F" w14:textId="0213D345" w:rsidR="00886E8C" w:rsidRPr="00D03C61" w:rsidRDefault="00886E8C" w:rsidP="00886E8C">
      <w:pPr>
        <w:rPr>
          <w:rFonts w:ascii="Arial" w:hAnsi="Arial" w:cs="Arial"/>
        </w:rPr>
      </w:pPr>
      <w:r w:rsidRPr="00D03C61">
        <w:rPr>
          <w:rFonts w:ascii="Arial" w:hAnsi="Arial" w:cs="Arial"/>
        </w:rPr>
        <w:t xml:space="preserve">Finally, fairness of access is influenced by geographical variation. </w:t>
      </w:r>
      <w:r w:rsidR="00C501B8" w:rsidRPr="00D03C61">
        <w:rPr>
          <w:rFonts w:ascii="Arial" w:hAnsi="Arial" w:cs="Arial"/>
        </w:rPr>
        <w:t>Well</w:t>
      </w:r>
      <w:r w:rsidR="00C501B8" w:rsidRPr="00D03C61">
        <w:rPr>
          <w:rFonts w:ascii="Arial" w:hAnsi="Arial" w:cs="Arial"/>
        </w:rPr>
        <w:noBreakHyphen/>
      </w:r>
      <w:r w:rsidRPr="00D03C61">
        <w:rPr>
          <w:rFonts w:ascii="Arial" w:hAnsi="Arial" w:cs="Arial"/>
        </w:rPr>
        <w:t xml:space="preserve">resourced urban trusts are more likely to adopt AI tools, while rural or underfunded regions may </w:t>
      </w:r>
      <w:r w:rsidR="00792EDE" w:rsidRPr="00D03C61">
        <w:rPr>
          <w:rFonts w:ascii="Arial" w:hAnsi="Arial" w:cs="Arial"/>
        </w:rPr>
        <w:t>lag</w:t>
      </w:r>
      <w:r w:rsidRPr="00D03C61">
        <w:rPr>
          <w:rFonts w:ascii="Arial" w:hAnsi="Arial" w:cs="Arial"/>
        </w:rPr>
        <w:t>, creating potential “postcode lotteries” in diagnostic quality and waiting times. Patient perspectives reflect this unevenness: some describe AI</w:t>
      </w:r>
      <w:r w:rsidRPr="00D03C61">
        <w:rPr>
          <w:rFonts w:ascii="Arial" w:hAnsi="Arial" w:cs="Arial"/>
        </w:rPr>
        <w:noBreakHyphen/>
        <w:t xml:space="preserve">enabled care as faster and more modern, while others worry about depersonalisation, lack of transparency, and uncertainty about how AI decisions are made. Trust improves </w:t>
      </w:r>
      <w:r w:rsidRPr="00D03C61">
        <w:rPr>
          <w:rFonts w:ascii="Arial" w:hAnsi="Arial" w:cs="Arial"/>
        </w:rPr>
        <w:lastRenderedPageBreak/>
        <w:t>when AI is clearly explained as supporting—not replacing—clinicians, reinforcing the importance of transparency and human oversight.</w:t>
      </w:r>
    </w:p>
    <w:p w14:paraId="70ECFE48" w14:textId="60FC990B" w:rsidR="007304FF" w:rsidRPr="00A56421" w:rsidRDefault="00A56421" w:rsidP="007304FF">
      <w:pPr>
        <w:rPr>
          <w:rFonts w:ascii="Algerian" w:hAnsi="Algerian" w:cs="Arial"/>
          <w:b/>
          <w:bCs/>
          <w:sz w:val="28"/>
          <w:szCs w:val="28"/>
        </w:rPr>
      </w:pPr>
      <w:r>
        <w:rPr>
          <w:noProof/>
        </w:rPr>
        <mc:AlternateContent>
          <mc:Choice Requires="wpi">
            <w:drawing>
              <wp:anchor distT="0" distB="0" distL="114300" distR="114300" simplePos="0" relativeHeight="251677696" behindDoc="0" locked="0" layoutInCell="1" allowOverlap="1" wp14:anchorId="10398492" wp14:editId="5FAA05AD">
                <wp:simplePos x="0" y="0"/>
                <wp:positionH relativeFrom="column">
                  <wp:posOffset>1143000</wp:posOffset>
                </wp:positionH>
                <wp:positionV relativeFrom="paragraph">
                  <wp:posOffset>139065</wp:posOffset>
                </wp:positionV>
                <wp:extent cx="4819650" cy="360"/>
                <wp:effectExtent l="57150" t="76200" r="57150" b="76200"/>
                <wp:wrapNone/>
                <wp:docPr id="49806255"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4819650" cy="360"/>
                      </w14:xfrm>
                    </w14:contentPart>
                  </a:graphicData>
                </a:graphic>
                <wp14:sizeRelH relativeFrom="margin">
                  <wp14:pctWidth>0</wp14:pctWidth>
                </wp14:sizeRelH>
              </wp:anchor>
            </w:drawing>
          </mc:Choice>
          <mc:Fallback>
            <w:pict>
              <v:shape w14:anchorId="4E445FC2" id="Ink 4" o:spid="_x0000_s1026" type="#_x0000_t75" style="position:absolute;margin-left:88.85pt;margin-top:8.7pt;width:381.7pt;height:4.5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">
                <v:imagedata r:id="rId20" o:title=""/>
              </v:shape>
            </w:pict>
          </mc:Fallback>
        </mc:AlternateContent>
      </w:r>
      <w:r w:rsidR="007304FF" w:rsidRPr="00A56421">
        <w:rPr>
          <w:rFonts w:ascii="Algerian" w:hAnsi="Algerian" w:cs="Arial"/>
          <w:b/>
          <w:bCs/>
          <w:sz w:val="28"/>
          <w:szCs w:val="28"/>
        </w:rPr>
        <w:t>Conclusion</w:t>
      </w:r>
    </w:p>
    <w:p w14:paraId="67D4B8A7" w14:textId="77777777" w:rsidR="00120B0D" w:rsidRDefault="00120B0D" w:rsidP="00482005">
      <w:pPr>
        <w:rPr>
          <w:rFonts w:ascii="Arial" w:hAnsi="Arial" w:cs="Arial"/>
        </w:rPr>
      </w:pPr>
      <w:r w:rsidRPr="00120B0D">
        <w:rPr>
          <w:rFonts w:ascii="Arial" w:hAnsi="Arial" w:cs="Arial"/>
        </w:rPr>
        <w:t>This report shows that computer vision and AI diagnostics significantly reshape workforce roles, service delivery, and patient experience, offering faster, more consistent care but also introducing risks around bias, accountability, and digital exclusion. Using a digital innovation from the last decade is essential because contemporary tools reflect current NHS pressures, data infrastructures, and ethical challenges. To ensure safe adoption, services should invest in continuous digital</w:t>
      </w:r>
      <w:r w:rsidRPr="00120B0D">
        <w:rPr>
          <w:rFonts w:ascii="Arial" w:hAnsi="Arial" w:cs="Arial"/>
        </w:rPr>
        <w:noBreakHyphen/>
        <w:t>skills training, strengthen governance to address bias and accountability, and provide assisted</w:t>
      </w:r>
      <w:r w:rsidRPr="00120B0D">
        <w:rPr>
          <w:rFonts w:ascii="Arial" w:hAnsi="Arial" w:cs="Arial"/>
        </w:rPr>
        <w:noBreakHyphen/>
        <w:t>digital pathways for excluded groups. Barriers such as cost, resistance, and integration complexity require phased implementation, co</w:t>
      </w:r>
      <w:r w:rsidRPr="00120B0D">
        <w:rPr>
          <w:rFonts w:ascii="Arial" w:hAnsi="Arial" w:cs="Arial"/>
        </w:rPr>
        <w:noBreakHyphen/>
        <w:t>design with users, and robust evaluation frameworks.</w:t>
      </w:r>
    </w:p>
    <w:p w14:paraId="047D4230" w14:textId="1464531A" w:rsidR="000B2DCD" w:rsidRPr="00A56421" w:rsidRDefault="00A56421" w:rsidP="00482005">
      <w:pPr>
        <w:rPr>
          <w:rFonts w:ascii="Algerian" w:hAnsi="Algerian" w:cs="Arial"/>
          <w:b/>
          <w:bCs/>
          <w:sz w:val="28"/>
          <w:szCs w:val="28"/>
        </w:rPr>
      </w:pPr>
      <w:r>
        <w:rPr>
          <w:noProof/>
        </w:rPr>
        <mc:AlternateContent>
          <mc:Choice Requires="wpi">
            <w:drawing>
              <wp:anchor distT="0" distB="0" distL="114300" distR="114300" simplePos="0" relativeHeight="251679744" behindDoc="0" locked="0" layoutInCell="1" allowOverlap="1" wp14:anchorId="16FB2AAC" wp14:editId="6F505C1D">
                <wp:simplePos x="0" y="0"/>
                <wp:positionH relativeFrom="column">
                  <wp:posOffset>1174750</wp:posOffset>
                </wp:positionH>
                <wp:positionV relativeFrom="paragraph">
                  <wp:posOffset>126365</wp:posOffset>
                </wp:positionV>
                <wp:extent cx="4660900" cy="360"/>
                <wp:effectExtent l="57150" t="76200" r="63500" b="76200"/>
                <wp:wrapNone/>
                <wp:docPr id="1181654298" name="Ink 4"/>
                <wp:cNvGraphicFramePr/>
                <a:graphic xmlns:a="http://schemas.openxmlformats.org/drawingml/2006/main">
                  <a:graphicData uri="http://schemas.microsoft.com/office/word/2010/wordprocessingInk">
                    <w14:contentPart bwMode="auto" r:id="rId21">
                      <w14:nvContentPartPr>
                        <w14:cNvContentPartPr/>
                      </w14:nvContentPartPr>
                      <w14:xfrm>
                        <a:off x="0" y="0"/>
                        <a:ext cx="4660900" cy="360"/>
                      </w14:xfrm>
                    </w14:contentPart>
                  </a:graphicData>
                </a:graphic>
                <wp14:sizeRelH relativeFrom="margin">
                  <wp14:pctWidth>0</wp14:pctWidth>
                </wp14:sizeRelH>
              </wp:anchor>
            </w:drawing>
          </mc:Choice>
          <mc:Fallback>
            <w:pict>
              <v:shape w14:anchorId="77574CDA" id="Ink 4" o:spid="_x0000_s1026" type="#_x0000_t75" style="position:absolute;margin-left:91.35pt;margin-top:7.7pt;width:369.2pt;height:4.5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">
                <v:imagedata r:id="rId12" o:title=""/>
              </v:shape>
            </w:pict>
          </mc:Fallback>
        </mc:AlternateContent>
      </w:r>
      <w:r w:rsidR="008B2A31" w:rsidRPr="00A56421">
        <w:rPr>
          <w:rFonts w:ascii="Algerian" w:hAnsi="Algerian" w:cs="Arial"/>
          <w:b/>
          <w:bCs/>
          <w:sz w:val="28"/>
          <w:szCs w:val="28"/>
        </w:rPr>
        <w:t xml:space="preserve">References </w:t>
      </w:r>
    </w:p>
    <w:p w14:paraId="36F45C20" w14:textId="519D32F0" w:rsidR="001324E5" w:rsidRPr="001324E5" w:rsidRDefault="006118D4" w:rsidP="001324E5">
      <w:pPr>
        <w:pStyle w:val="ListParagraph"/>
        <w:numPr>
          <w:ilvl w:val="0"/>
          <w:numId w:val="8"/>
        </w:numPr>
        <w:rPr>
          <w:rFonts w:ascii="Arial" w:hAnsi="Arial" w:cs="Arial"/>
        </w:rPr>
      </w:pPr>
      <w:hyperlink r:id="rId22" w:history="1">
        <w:proofErr w:type="spellStart"/>
        <w:r w:rsidRPr="001324E5">
          <w:rPr>
            <w:rStyle w:val="Hyperlink"/>
            <w:rFonts w:ascii="Arial" w:hAnsi="Arial" w:cs="Arial"/>
            <w:u w:val="none"/>
          </w:rPr>
          <w:t>Rajpurkar</w:t>
        </w:r>
        <w:proofErr w:type="spellEnd"/>
        <w:r w:rsidRPr="001324E5">
          <w:rPr>
            <w:rStyle w:val="Hyperlink"/>
            <w:rFonts w:ascii="Arial" w:hAnsi="Arial" w:cs="Arial"/>
            <w:u w:val="none"/>
          </w:rPr>
          <w:t xml:space="preserve">, P., Chen, E., Banerjee, O. and Topol, E. (2022) ‘AI in health and medicine’, </w:t>
        </w:r>
        <w:r w:rsidRPr="001324E5">
          <w:rPr>
            <w:rStyle w:val="Hyperlink"/>
            <w:rFonts w:ascii="Arial" w:hAnsi="Arial" w:cs="Arial"/>
            <w:i/>
            <w:iCs/>
            <w:u w:val="none"/>
          </w:rPr>
          <w:t>Nature Medicine</w:t>
        </w:r>
        <w:r w:rsidRPr="001324E5">
          <w:rPr>
            <w:rStyle w:val="Hyperlink"/>
            <w:rFonts w:ascii="Arial" w:hAnsi="Arial" w:cs="Arial"/>
            <w:u w:val="none"/>
          </w:rPr>
          <w:t>, 28(1), pp. 31–38.</w:t>
        </w:r>
      </w:hyperlink>
    </w:p>
    <w:p w14:paraId="38B43D22" w14:textId="6B1BDF38" w:rsidR="006118D4" w:rsidRPr="001324E5" w:rsidRDefault="006118D4" w:rsidP="001324E5">
      <w:pPr>
        <w:pStyle w:val="ListParagraph"/>
        <w:numPr>
          <w:ilvl w:val="0"/>
          <w:numId w:val="8"/>
        </w:numPr>
        <w:rPr>
          <w:rFonts w:ascii="Arial" w:hAnsi="Arial" w:cs="Arial"/>
        </w:rPr>
      </w:pPr>
      <w:hyperlink r:id="rId23" w:history="1">
        <w:r w:rsidRPr="001324E5">
          <w:rPr>
            <w:rStyle w:val="Hyperlink"/>
            <w:rFonts w:ascii="Arial" w:hAnsi="Arial" w:cs="Arial"/>
            <w:u w:val="none"/>
          </w:rPr>
          <w:t xml:space="preserve">Kelly, C.J., </w:t>
        </w:r>
        <w:proofErr w:type="spellStart"/>
        <w:r w:rsidRPr="001324E5">
          <w:rPr>
            <w:rStyle w:val="Hyperlink"/>
            <w:rFonts w:ascii="Arial" w:hAnsi="Arial" w:cs="Arial"/>
            <w:u w:val="none"/>
          </w:rPr>
          <w:t>Karthikesalingam</w:t>
        </w:r>
        <w:proofErr w:type="spellEnd"/>
        <w:r w:rsidRPr="001324E5">
          <w:rPr>
            <w:rStyle w:val="Hyperlink"/>
            <w:rFonts w:ascii="Arial" w:hAnsi="Arial" w:cs="Arial"/>
            <w:u w:val="none"/>
          </w:rPr>
          <w:t xml:space="preserve">, A., Suleyman, M., Corrado, G. and King, D. (2019) ‘Key challenges for delivering clinical impact with artificial intelligence’, </w:t>
        </w:r>
        <w:r w:rsidRPr="001324E5">
          <w:rPr>
            <w:rStyle w:val="Hyperlink"/>
            <w:rFonts w:ascii="Arial" w:hAnsi="Arial" w:cs="Arial"/>
            <w:i/>
            <w:iCs/>
            <w:u w:val="none"/>
          </w:rPr>
          <w:t>BMC Medicine</w:t>
        </w:r>
        <w:r w:rsidRPr="001324E5">
          <w:rPr>
            <w:rStyle w:val="Hyperlink"/>
            <w:rFonts w:ascii="Arial" w:hAnsi="Arial" w:cs="Arial"/>
            <w:u w:val="none"/>
          </w:rPr>
          <w:t>, 17(1), pp. 1–9.</w:t>
        </w:r>
      </w:hyperlink>
    </w:p>
    <w:p w14:paraId="759A19FD" w14:textId="3B42AC89" w:rsidR="006118D4" w:rsidRPr="001324E5" w:rsidRDefault="006118D4" w:rsidP="001324E5">
      <w:pPr>
        <w:pStyle w:val="ListParagraph"/>
        <w:numPr>
          <w:ilvl w:val="0"/>
          <w:numId w:val="8"/>
        </w:numPr>
        <w:rPr>
          <w:rFonts w:ascii="Arial" w:hAnsi="Arial" w:cs="Arial"/>
        </w:rPr>
      </w:pPr>
      <w:hyperlink r:id="rId24" w:history="1">
        <w:r w:rsidRPr="001324E5">
          <w:rPr>
            <w:rStyle w:val="Hyperlink"/>
            <w:rFonts w:ascii="Arial" w:hAnsi="Arial" w:cs="Arial"/>
            <w:u w:val="none"/>
          </w:rPr>
          <w:t xml:space="preserve">Esteva, A. et al. (2017) ‘Dermatologist-level classification of skin cancer with deep neural networks’, </w:t>
        </w:r>
        <w:r w:rsidRPr="001324E5">
          <w:rPr>
            <w:rStyle w:val="Hyperlink"/>
            <w:rFonts w:ascii="Arial" w:hAnsi="Arial" w:cs="Arial"/>
            <w:i/>
            <w:iCs/>
            <w:u w:val="none"/>
          </w:rPr>
          <w:t>Nature</w:t>
        </w:r>
        <w:r w:rsidRPr="001324E5">
          <w:rPr>
            <w:rStyle w:val="Hyperlink"/>
            <w:rFonts w:ascii="Arial" w:hAnsi="Arial" w:cs="Arial"/>
            <w:u w:val="none"/>
          </w:rPr>
          <w:t>, 542(7639), pp. 115–118.</w:t>
        </w:r>
      </w:hyperlink>
    </w:p>
    <w:p w14:paraId="4C0F753F" w14:textId="620E57F3" w:rsidR="006118D4" w:rsidRPr="001324E5" w:rsidRDefault="006118D4" w:rsidP="001324E5">
      <w:pPr>
        <w:pStyle w:val="ListParagraph"/>
        <w:numPr>
          <w:ilvl w:val="0"/>
          <w:numId w:val="8"/>
        </w:numPr>
        <w:rPr>
          <w:rFonts w:ascii="Arial" w:hAnsi="Arial" w:cs="Arial"/>
        </w:rPr>
      </w:pPr>
      <w:hyperlink r:id="rId25" w:history="1">
        <w:r w:rsidRPr="001324E5">
          <w:rPr>
            <w:rStyle w:val="Hyperlink"/>
            <w:rFonts w:ascii="Arial" w:hAnsi="Arial" w:cs="Arial"/>
            <w:u w:val="none"/>
          </w:rPr>
          <w:t xml:space="preserve">NHS England (2023) </w:t>
        </w:r>
        <w:r w:rsidRPr="001324E5">
          <w:rPr>
            <w:rStyle w:val="Hyperlink"/>
            <w:rFonts w:ascii="Arial" w:hAnsi="Arial" w:cs="Arial"/>
            <w:i/>
            <w:iCs/>
            <w:u w:val="none"/>
          </w:rPr>
          <w:t>Artificial Intelligence in the NHS: Opportunities, risks and implementation guidance</w:t>
        </w:r>
        <w:r w:rsidRPr="001324E5">
          <w:rPr>
            <w:rStyle w:val="Hyperlink"/>
            <w:rFonts w:ascii="Arial" w:hAnsi="Arial" w:cs="Arial"/>
            <w:u w:val="none"/>
          </w:rPr>
          <w:t>.</w:t>
        </w:r>
      </w:hyperlink>
      <w:r w:rsidRPr="001324E5">
        <w:rPr>
          <w:rFonts w:ascii="Arial" w:hAnsi="Arial" w:cs="Arial"/>
        </w:rPr>
        <w:t xml:space="preserve"> </w:t>
      </w:r>
    </w:p>
    <w:p w14:paraId="0811C80F" w14:textId="63309500" w:rsidR="006118D4" w:rsidRPr="001324E5" w:rsidRDefault="006118D4" w:rsidP="001324E5">
      <w:pPr>
        <w:pStyle w:val="ListParagraph"/>
        <w:numPr>
          <w:ilvl w:val="0"/>
          <w:numId w:val="8"/>
        </w:numPr>
        <w:rPr>
          <w:rFonts w:ascii="Arial" w:hAnsi="Arial" w:cs="Arial"/>
        </w:rPr>
      </w:pPr>
      <w:hyperlink r:id="rId26" w:history="1">
        <w:r w:rsidRPr="001324E5">
          <w:rPr>
            <w:rStyle w:val="Hyperlink"/>
            <w:rFonts w:ascii="Arial" w:hAnsi="Arial" w:cs="Arial"/>
            <w:u w:val="none"/>
          </w:rPr>
          <w:t xml:space="preserve">NHS Digital (2022) </w:t>
        </w:r>
        <w:r w:rsidRPr="001324E5">
          <w:rPr>
            <w:rStyle w:val="Hyperlink"/>
            <w:rFonts w:ascii="Arial" w:hAnsi="Arial" w:cs="Arial"/>
            <w:i/>
            <w:iCs/>
            <w:u w:val="none"/>
          </w:rPr>
          <w:t>Digital inclusion and health inequalities</w:t>
        </w:r>
        <w:r w:rsidRPr="001324E5">
          <w:rPr>
            <w:rStyle w:val="Hyperlink"/>
            <w:rFonts w:ascii="Arial" w:hAnsi="Arial" w:cs="Arial"/>
            <w:u w:val="none"/>
          </w:rPr>
          <w:t>.</w:t>
        </w:r>
      </w:hyperlink>
      <w:r w:rsidRPr="001324E5">
        <w:rPr>
          <w:rFonts w:ascii="Arial" w:hAnsi="Arial" w:cs="Arial"/>
        </w:rPr>
        <w:t xml:space="preserve"> </w:t>
      </w:r>
    </w:p>
    <w:p w14:paraId="2D349695" w14:textId="4F3A9B45" w:rsidR="006118D4" w:rsidRPr="001324E5" w:rsidRDefault="006118D4" w:rsidP="001324E5">
      <w:pPr>
        <w:pStyle w:val="ListParagraph"/>
        <w:numPr>
          <w:ilvl w:val="0"/>
          <w:numId w:val="8"/>
        </w:numPr>
        <w:rPr>
          <w:rFonts w:ascii="Arial" w:hAnsi="Arial" w:cs="Arial"/>
        </w:rPr>
      </w:pPr>
      <w:hyperlink r:id="rId27" w:history="1">
        <w:r w:rsidRPr="001324E5">
          <w:rPr>
            <w:rStyle w:val="Hyperlink"/>
            <w:rFonts w:ascii="Arial" w:hAnsi="Arial" w:cs="Arial"/>
            <w:u w:val="none"/>
          </w:rPr>
          <w:t xml:space="preserve">Department of Health and Social Care (2021) </w:t>
        </w:r>
        <w:r w:rsidRPr="001324E5">
          <w:rPr>
            <w:rStyle w:val="Hyperlink"/>
            <w:rFonts w:ascii="Arial" w:hAnsi="Arial" w:cs="Arial"/>
            <w:i/>
            <w:iCs/>
            <w:u w:val="none"/>
          </w:rPr>
          <w:t>Data saves lives: reshaping health and social care with data</w:t>
        </w:r>
        <w:r w:rsidRPr="001324E5">
          <w:rPr>
            <w:rStyle w:val="Hyperlink"/>
            <w:rFonts w:ascii="Arial" w:hAnsi="Arial" w:cs="Arial"/>
            <w:u w:val="none"/>
          </w:rPr>
          <w:t>. London: DHSC.</w:t>
        </w:r>
      </w:hyperlink>
    </w:p>
    <w:p w14:paraId="55818F45" w14:textId="6CF88FB9" w:rsidR="006118D4" w:rsidRPr="001324E5" w:rsidRDefault="006118D4" w:rsidP="001324E5">
      <w:pPr>
        <w:pStyle w:val="ListParagraph"/>
        <w:numPr>
          <w:ilvl w:val="0"/>
          <w:numId w:val="8"/>
        </w:numPr>
        <w:rPr>
          <w:rFonts w:ascii="Arial" w:hAnsi="Arial" w:cs="Arial"/>
        </w:rPr>
      </w:pPr>
      <w:hyperlink r:id="rId28" w:history="1">
        <w:r w:rsidRPr="001324E5">
          <w:rPr>
            <w:rStyle w:val="Hyperlink"/>
            <w:rFonts w:ascii="Arial" w:hAnsi="Arial" w:cs="Arial"/>
            <w:u w:val="none"/>
          </w:rPr>
          <w:t xml:space="preserve">Care Quality Commission (2023) </w:t>
        </w:r>
        <w:r w:rsidRPr="001324E5">
          <w:rPr>
            <w:rStyle w:val="Hyperlink"/>
            <w:rFonts w:ascii="Arial" w:hAnsi="Arial" w:cs="Arial"/>
            <w:i/>
            <w:iCs/>
            <w:u w:val="none"/>
          </w:rPr>
          <w:t>How AI is being used in health and social care</w:t>
        </w:r>
        <w:r w:rsidRPr="001324E5">
          <w:rPr>
            <w:rStyle w:val="Hyperlink"/>
            <w:rFonts w:ascii="Arial" w:hAnsi="Arial" w:cs="Arial"/>
            <w:u w:val="none"/>
          </w:rPr>
          <w:t>.</w:t>
        </w:r>
      </w:hyperlink>
      <w:r w:rsidRPr="001324E5">
        <w:rPr>
          <w:rFonts w:ascii="Arial" w:hAnsi="Arial" w:cs="Arial"/>
        </w:rPr>
        <w:t xml:space="preserve"> </w:t>
      </w:r>
    </w:p>
    <w:p w14:paraId="66622C4C" w14:textId="462B8C22" w:rsidR="006118D4" w:rsidRPr="001324E5" w:rsidRDefault="006118D4" w:rsidP="001324E5">
      <w:pPr>
        <w:pStyle w:val="ListParagraph"/>
        <w:numPr>
          <w:ilvl w:val="0"/>
          <w:numId w:val="8"/>
        </w:numPr>
        <w:rPr>
          <w:rFonts w:ascii="Arial" w:hAnsi="Arial" w:cs="Arial"/>
        </w:rPr>
      </w:pPr>
      <w:hyperlink r:id="rId29" w:history="1">
        <w:r w:rsidRPr="001324E5">
          <w:rPr>
            <w:rStyle w:val="Hyperlink"/>
            <w:rFonts w:ascii="Arial" w:hAnsi="Arial" w:cs="Arial"/>
            <w:u w:val="none"/>
          </w:rPr>
          <w:t xml:space="preserve">Health Education England (2019) </w:t>
        </w:r>
        <w:r w:rsidRPr="001324E5">
          <w:rPr>
            <w:rStyle w:val="Hyperlink"/>
            <w:rFonts w:ascii="Arial" w:hAnsi="Arial" w:cs="Arial"/>
            <w:i/>
            <w:iCs/>
            <w:u w:val="none"/>
          </w:rPr>
          <w:t>The Topol Review: Preparing the healthcare workforce to deliver the digital future</w:t>
        </w:r>
        <w:r w:rsidRPr="001324E5">
          <w:rPr>
            <w:rStyle w:val="Hyperlink"/>
            <w:rFonts w:ascii="Arial" w:hAnsi="Arial" w:cs="Arial"/>
            <w:u w:val="none"/>
          </w:rPr>
          <w:t>. London: HEE.</w:t>
        </w:r>
      </w:hyperlink>
    </w:p>
    <w:p w14:paraId="3E4B59C9" w14:textId="62A1BE22" w:rsidR="006118D4" w:rsidRPr="001324E5" w:rsidRDefault="006118D4" w:rsidP="001324E5">
      <w:pPr>
        <w:pStyle w:val="ListParagraph"/>
        <w:numPr>
          <w:ilvl w:val="0"/>
          <w:numId w:val="8"/>
        </w:numPr>
        <w:rPr>
          <w:rFonts w:ascii="Arial" w:hAnsi="Arial" w:cs="Arial"/>
        </w:rPr>
      </w:pPr>
      <w:hyperlink r:id="rId30" w:history="1">
        <w:r w:rsidRPr="001324E5">
          <w:rPr>
            <w:rStyle w:val="Hyperlink"/>
            <w:rFonts w:ascii="Arial" w:hAnsi="Arial" w:cs="Arial"/>
            <w:u w:val="none"/>
          </w:rPr>
          <w:t xml:space="preserve">Moorfields Eye Hospital NHS Foundation Trust (2020) </w:t>
        </w:r>
        <w:r w:rsidRPr="001324E5">
          <w:rPr>
            <w:rStyle w:val="Hyperlink"/>
            <w:rFonts w:ascii="Arial" w:hAnsi="Arial" w:cs="Arial"/>
            <w:i/>
            <w:iCs/>
            <w:u w:val="none"/>
          </w:rPr>
          <w:t>AI and retinal disease detection: Clinical evaluation report</w:t>
        </w:r>
        <w:r w:rsidRPr="001324E5">
          <w:rPr>
            <w:rStyle w:val="Hyperlink"/>
            <w:rFonts w:ascii="Arial" w:hAnsi="Arial" w:cs="Arial"/>
            <w:u w:val="none"/>
          </w:rPr>
          <w:t>.</w:t>
        </w:r>
      </w:hyperlink>
      <w:r w:rsidRPr="001324E5">
        <w:rPr>
          <w:rFonts w:ascii="Arial" w:hAnsi="Arial" w:cs="Arial"/>
        </w:rPr>
        <w:t xml:space="preserve"> </w:t>
      </w:r>
    </w:p>
    <w:p w14:paraId="4A44306E" w14:textId="12A21DCD" w:rsidR="006118D4" w:rsidRPr="001324E5" w:rsidRDefault="006118D4" w:rsidP="001324E5">
      <w:pPr>
        <w:pStyle w:val="ListParagraph"/>
        <w:numPr>
          <w:ilvl w:val="0"/>
          <w:numId w:val="8"/>
        </w:numPr>
        <w:rPr>
          <w:rFonts w:ascii="Arial" w:hAnsi="Arial" w:cs="Arial"/>
        </w:rPr>
      </w:pPr>
      <w:hyperlink r:id="rId31" w:history="1">
        <w:r w:rsidRPr="001324E5">
          <w:rPr>
            <w:rStyle w:val="Hyperlink"/>
            <w:rFonts w:ascii="Arial" w:hAnsi="Arial" w:cs="Arial"/>
            <w:u w:val="none"/>
          </w:rPr>
          <w:t xml:space="preserve">The King’s Fund (2022) </w:t>
        </w:r>
        <w:r w:rsidRPr="001324E5">
          <w:rPr>
            <w:rStyle w:val="Hyperlink"/>
            <w:rFonts w:ascii="Arial" w:hAnsi="Arial" w:cs="Arial"/>
            <w:i/>
            <w:iCs/>
            <w:u w:val="none"/>
          </w:rPr>
          <w:t>Digital transformation in the NHS: Progress and challenges</w:t>
        </w:r>
        <w:r w:rsidRPr="001324E5">
          <w:rPr>
            <w:rStyle w:val="Hyperlink"/>
            <w:rFonts w:ascii="Arial" w:hAnsi="Arial" w:cs="Arial"/>
            <w:u w:val="none"/>
          </w:rPr>
          <w:t>.</w:t>
        </w:r>
      </w:hyperlink>
      <w:r w:rsidRPr="001324E5">
        <w:rPr>
          <w:rFonts w:ascii="Arial" w:hAnsi="Arial" w:cs="Arial"/>
        </w:rPr>
        <w:t xml:space="preserve"> </w:t>
      </w:r>
    </w:p>
    <w:p w14:paraId="3502D862" w14:textId="7A78E221" w:rsidR="006118D4" w:rsidRPr="001324E5" w:rsidRDefault="006118D4" w:rsidP="001324E5">
      <w:pPr>
        <w:pStyle w:val="ListParagraph"/>
        <w:numPr>
          <w:ilvl w:val="0"/>
          <w:numId w:val="8"/>
        </w:numPr>
        <w:rPr>
          <w:rFonts w:ascii="Arial" w:hAnsi="Arial" w:cs="Arial"/>
        </w:rPr>
      </w:pPr>
      <w:hyperlink r:id="rId32" w:history="1">
        <w:r w:rsidRPr="001324E5">
          <w:rPr>
            <w:rStyle w:val="Hyperlink"/>
            <w:rFonts w:ascii="Arial" w:hAnsi="Arial" w:cs="Arial"/>
            <w:u w:val="none"/>
          </w:rPr>
          <w:t xml:space="preserve">World Health Organization (2021) </w:t>
        </w:r>
        <w:r w:rsidRPr="001324E5">
          <w:rPr>
            <w:rStyle w:val="Hyperlink"/>
            <w:rFonts w:ascii="Arial" w:hAnsi="Arial" w:cs="Arial"/>
            <w:i/>
            <w:iCs/>
            <w:u w:val="none"/>
          </w:rPr>
          <w:t>Ethics and governance of artificial intelligence for health</w:t>
        </w:r>
        <w:r w:rsidRPr="001324E5">
          <w:rPr>
            <w:rStyle w:val="Hyperlink"/>
            <w:rFonts w:ascii="Arial" w:hAnsi="Arial" w:cs="Arial"/>
            <w:u w:val="none"/>
          </w:rPr>
          <w:t>. Geneva: WHO.</w:t>
        </w:r>
      </w:hyperlink>
    </w:p>
    <w:p w14:paraId="6BECFD3F" w14:textId="77777777" w:rsidR="006C5EA1" w:rsidRPr="00EC0152" w:rsidRDefault="006C5EA1" w:rsidP="006C5EA1">
      <w:pPr>
        <w:pStyle w:val="ListParagraph"/>
        <w:numPr>
          <w:ilvl w:val="0"/>
          <w:numId w:val="2"/>
        </w:numPr>
        <w:rPr>
          <w:rFonts w:ascii="Arial" w:hAnsi="Arial" w:cs="Arial"/>
        </w:rPr>
      </w:pPr>
    </w:p>
    <w:sectPr w:rsidR="006C5EA1" w:rsidRPr="00EC0152" w:rsidSect="000D5A73">
      <w:footerReference w:type="default" r:id="rId33"/>
      <w:pgSz w:w="11906" w:h="16838"/>
      <w:pgMar w:top="1440" w:right="1440" w:bottom="1440" w:left="1440" w:header="708" w:footer="708" w:gutter="0"/>
      <w:pgBorders w:offsetFrom="page">
        <w:top w:val="thinThickThinMediumGap" w:sz="24" w:space="24" w:color="215E99" w:themeColor="text2" w:themeTint="BF"/>
        <w:left w:val="thinThickThinMediumGap" w:sz="24" w:space="24" w:color="215E99" w:themeColor="text2" w:themeTint="BF"/>
        <w:bottom w:val="thinThickThinMediumGap" w:sz="24" w:space="24" w:color="215E99" w:themeColor="text2" w:themeTint="BF"/>
        <w:right w:val="thinThickThinMediumGap" w:sz="24" w:space="24" w:color="215E99" w:themeColor="text2" w:themeTint="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92AB3" w14:textId="77777777" w:rsidR="0089726F" w:rsidRDefault="0089726F" w:rsidP="009A176E">
      <w:pPr>
        <w:spacing w:after="0" w:line="240" w:lineRule="auto"/>
      </w:pPr>
      <w:r>
        <w:separator/>
      </w:r>
    </w:p>
  </w:endnote>
  <w:endnote w:type="continuationSeparator" w:id="0">
    <w:p w14:paraId="69E8534D" w14:textId="77777777" w:rsidR="0089726F" w:rsidRDefault="0089726F" w:rsidP="009A17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9191616"/>
      <w:docPartObj>
        <w:docPartGallery w:val="Page Numbers (Bottom of Page)"/>
        <w:docPartUnique/>
      </w:docPartObj>
    </w:sdtPr>
    <w:sdtContent>
      <w:p w14:paraId="78E6B11C" w14:textId="1E3038B8" w:rsidR="00BD348F" w:rsidRDefault="00BD348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E240720" w14:textId="12DE6573" w:rsidR="009A176E" w:rsidRDefault="009A17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C7545" w14:textId="77777777" w:rsidR="0089726F" w:rsidRDefault="0089726F" w:rsidP="009A176E">
      <w:pPr>
        <w:spacing w:after="0" w:line="240" w:lineRule="auto"/>
      </w:pPr>
      <w:r>
        <w:separator/>
      </w:r>
    </w:p>
  </w:footnote>
  <w:footnote w:type="continuationSeparator" w:id="0">
    <w:p w14:paraId="3641EC61" w14:textId="77777777" w:rsidR="0089726F" w:rsidRDefault="0089726F" w:rsidP="009A17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408BB"/>
    <w:multiLevelType w:val="multilevel"/>
    <w:tmpl w:val="1F46021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4E31DB"/>
    <w:multiLevelType w:val="multilevel"/>
    <w:tmpl w:val="B824C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D43B42"/>
    <w:multiLevelType w:val="hybridMultilevel"/>
    <w:tmpl w:val="AE2C6D8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2076304"/>
    <w:multiLevelType w:val="multilevel"/>
    <w:tmpl w:val="A56CA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1D135F"/>
    <w:multiLevelType w:val="hybridMultilevel"/>
    <w:tmpl w:val="0A8C1D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4328F6"/>
    <w:multiLevelType w:val="hybridMultilevel"/>
    <w:tmpl w:val="60CCCE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2F3068"/>
    <w:multiLevelType w:val="multilevel"/>
    <w:tmpl w:val="A6E8BF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917076"/>
    <w:multiLevelType w:val="hybridMultilevel"/>
    <w:tmpl w:val="6096F3E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862089334">
    <w:abstractNumId w:val="4"/>
  </w:num>
  <w:num w:numId="2" w16cid:durableId="950237720">
    <w:abstractNumId w:val="5"/>
  </w:num>
  <w:num w:numId="3" w16cid:durableId="518661511">
    <w:abstractNumId w:val="1"/>
  </w:num>
  <w:num w:numId="4" w16cid:durableId="35549364">
    <w:abstractNumId w:val="6"/>
  </w:num>
  <w:num w:numId="5" w16cid:durableId="1889417771">
    <w:abstractNumId w:val="0"/>
  </w:num>
  <w:num w:numId="6" w16cid:durableId="1728453159">
    <w:abstractNumId w:val="3"/>
  </w:num>
  <w:num w:numId="7" w16cid:durableId="195392408">
    <w:abstractNumId w:val="2"/>
  </w:num>
  <w:num w:numId="8" w16cid:durableId="20286322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4FB"/>
    <w:rsid w:val="00001B40"/>
    <w:rsid w:val="000219BB"/>
    <w:rsid w:val="00022723"/>
    <w:rsid w:val="00030D5F"/>
    <w:rsid w:val="0009648E"/>
    <w:rsid w:val="000B2DCD"/>
    <w:rsid w:val="000D5A73"/>
    <w:rsid w:val="000D7AD1"/>
    <w:rsid w:val="000E2C92"/>
    <w:rsid w:val="001037CC"/>
    <w:rsid w:val="00120B0D"/>
    <w:rsid w:val="001324E5"/>
    <w:rsid w:val="0015627C"/>
    <w:rsid w:val="001652A9"/>
    <w:rsid w:val="001B34BE"/>
    <w:rsid w:val="001E0E4B"/>
    <w:rsid w:val="001E4009"/>
    <w:rsid w:val="001F0248"/>
    <w:rsid w:val="0021720D"/>
    <w:rsid w:val="00225DF6"/>
    <w:rsid w:val="00253F12"/>
    <w:rsid w:val="00260D2B"/>
    <w:rsid w:val="0027431F"/>
    <w:rsid w:val="002E5351"/>
    <w:rsid w:val="002F6ABD"/>
    <w:rsid w:val="00312C87"/>
    <w:rsid w:val="00325D19"/>
    <w:rsid w:val="00331DD8"/>
    <w:rsid w:val="0036677B"/>
    <w:rsid w:val="00377259"/>
    <w:rsid w:val="003B437B"/>
    <w:rsid w:val="003B7DF4"/>
    <w:rsid w:val="003E61E9"/>
    <w:rsid w:val="0044611A"/>
    <w:rsid w:val="004471A8"/>
    <w:rsid w:val="00482005"/>
    <w:rsid w:val="004E47B9"/>
    <w:rsid w:val="00542D26"/>
    <w:rsid w:val="00543915"/>
    <w:rsid w:val="00575CF9"/>
    <w:rsid w:val="005E31C6"/>
    <w:rsid w:val="005E7D7E"/>
    <w:rsid w:val="005F0CDE"/>
    <w:rsid w:val="006118D4"/>
    <w:rsid w:val="00652C7E"/>
    <w:rsid w:val="006C22A2"/>
    <w:rsid w:val="006C5EA1"/>
    <w:rsid w:val="006D3E1E"/>
    <w:rsid w:val="00702979"/>
    <w:rsid w:val="0072258E"/>
    <w:rsid w:val="007304FF"/>
    <w:rsid w:val="00756DFC"/>
    <w:rsid w:val="00792EDE"/>
    <w:rsid w:val="007969AF"/>
    <w:rsid w:val="007E7B60"/>
    <w:rsid w:val="00801E29"/>
    <w:rsid w:val="00805988"/>
    <w:rsid w:val="008261E3"/>
    <w:rsid w:val="00853EC0"/>
    <w:rsid w:val="00854484"/>
    <w:rsid w:val="008762C9"/>
    <w:rsid w:val="00886E8C"/>
    <w:rsid w:val="0089726F"/>
    <w:rsid w:val="008B2A31"/>
    <w:rsid w:val="008C08C3"/>
    <w:rsid w:val="008C77AD"/>
    <w:rsid w:val="008F64FB"/>
    <w:rsid w:val="008F6F18"/>
    <w:rsid w:val="009A176E"/>
    <w:rsid w:val="009D4C52"/>
    <w:rsid w:val="009E1415"/>
    <w:rsid w:val="009E7F2F"/>
    <w:rsid w:val="009F0295"/>
    <w:rsid w:val="00A3068A"/>
    <w:rsid w:val="00A32B26"/>
    <w:rsid w:val="00A33E68"/>
    <w:rsid w:val="00A56421"/>
    <w:rsid w:val="00A85CB6"/>
    <w:rsid w:val="00A90E66"/>
    <w:rsid w:val="00AA0CFA"/>
    <w:rsid w:val="00AD6DA1"/>
    <w:rsid w:val="00AF3326"/>
    <w:rsid w:val="00B268EF"/>
    <w:rsid w:val="00B367C1"/>
    <w:rsid w:val="00B636B6"/>
    <w:rsid w:val="00B82557"/>
    <w:rsid w:val="00BD348F"/>
    <w:rsid w:val="00C501B8"/>
    <w:rsid w:val="00C66594"/>
    <w:rsid w:val="00D03C61"/>
    <w:rsid w:val="00D04F57"/>
    <w:rsid w:val="00D30984"/>
    <w:rsid w:val="00D93E17"/>
    <w:rsid w:val="00DE7D26"/>
    <w:rsid w:val="00E3794E"/>
    <w:rsid w:val="00EC0152"/>
    <w:rsid w:val="00ED0391"/>
    <w:rsid w:val="00F02C5A"/>
    <w:rsid w:val="00F03693"/>
    <w:rsid w:val="00F0458F"/>
    <w:rsid w:val="00F1044C"/>
    <w:rsid w:val="00F17467"/>
    <w:rsid w:val="00F236CB"/>
    <w:rsid w:val="00F53F71"/>
    <w:rsid w:val="00F76A3F"/>
    <w:rsid w:val="00FB087D"/>
    <w:rsid w:val="00FD0391"/>
    <w:rsid w:val="00FE2C7C"/>
    <w:rsid w:val="00FE3CD8"/>
    <w:rsid w:val="00FF7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6ED0DA"/>
  <w15:chartTrackingRefBased/>
  <w15:docId w15:val="{70616B38-13E7-4591-90A3-32A463194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F12"/>
  </w:style>
  <w:style w:type="paragraph" w:styleId="Heading1">
    <w:name w:val="heading 1"/>
    <w:basedOn w:val="Normal"/>
    <w:next w:val="Normal"/>
    <w:link w:val="Heading1Char"/>
    <w:uiPriority w:val="9"/>
    <w:qFormat/>
    <w:rsid w:val="008F64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64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4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4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4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4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4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4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4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4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64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4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4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4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4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4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4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4FB"/>
    <w:rPr>
      <w:rFonts w:eastAsiaTheme="majorEastAsia" w:cstheme="majorBidi"/>
      <w:color w:val="272727" w:themeColor="text1" w:themeTint="D8"/>
    </w:rPr>
  </w:style>
  <w:style w:type="paragraph" w:styleId="Title">
    <w:name w:val="Title"/>
    <w:basedOn w:val="Normal"/>
    <w:next w:val="Normal"/>
    <w:link w:val="TitleChar"/>
    <w:uiPriority w:val="10"/>
    <w:qFormat/>
    <w:rsid w:val="008F64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4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4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4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4FB"/>
    <w:pPr>
      <w:spacing w:before="160"/>
      <w:jc w:val="center"/>
    </w:pPr>
    <w:rPr>
      <w:i/>
      <w:iCs/>
      <w:color w:val="404040" w:themeColor="text1" w:themeTint="BF"/>
    </w:rPr>
  </w:style>
  <w:style w:type="character" w:customStyle="1" w:styleId="QuoteChar">
    <w:name w:val="Quote Char"/>
    <w:basedOn w:val="DefaultParagraphFont"/>
    <w:link w:val="Quote"/>
    <w:uiPriority w:val="29"/>
    <w:rsid w:val="008F64FB"/>
    <w:rPr>
      <w:i/>
      <w:iCs/>
      <w:color w:val="404040" w:themeColor="text1" w:themeTint="BF"/>
    </w:rPr>
  </w:style>
  <w:style w:type="paragraph" w:styleId="ListParagraph">
    <w:name w:val="List Paragraph"/>
    <w:basedOn w:val="Normal"/>
    <w:uiPriority w:val="34"/>
    <w:qFormat/>
    <w:rsid w:val="008F64FB"/>
    <w:pPr>
      <w:ind w:left="720"/>
      <w:contextualSpacing/>
    </w:pPr>
  </w:style>
  <w:style w:type="character" w:styleId="IntenseEmphasis">
    <w:name w:val="Intense Emphasis"/>
    <w:basedOn w:val="DefaultParagraphFont"/>
    <w:uiPriority w:val="21"/>
    <w:qFormat/>
    <w:rsid w:val="008F64FB"/>
    <w:rPr>
      <w:i/>
      <w:iCs/>
      <w:color w:val="0F4761" w:themeColor="accent1" w:themeShade="BF"/>
    </w:rPr>
  </w:style>
  <w:style w:type="paragraph" w:styleId="IntenseQuote">
    <w:name w:val="Intense Quote"/>
    <w:basedOn w:val="Normal"/>
    <w:next w:val="Normal"/>
    <w:link w:val="IntenseQuoteChar"/>
    <w:uiPriority w:val="30"/>
    <w:qFormat/>
    <w:rsid w:val="008F64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4FB"/>
    <w:rPr>
      <w:i/>
      <w:iCs/>
      <w:color w:val="0F4761" w:themeColor="accent1" w:themeShade="BF"/>
    </w:rPr>
  </w:style>
  <w:style w:type="character" w:styleId="IntenseReference">
    <w:name w:val="Intense Reference"/>
    <w:basedOn w:val="DefaultParagraphFont"/>
    <w:uiPriority w:val="32"/>
    <w:qFormat/>
    <w:rsid w:val="008F64FB"/>
    <w:rPr>
      <w:b/>
      <w:bCs/>
      <w:smallCaps/>
      <w:color w:val="0F4761" w:themeColor="accent1" w:themeShade="BF"/>
      <w:spacing w:val="5"/>
    </w:rPr>
  </w:style>
  <w:style w:type="character" w:styleId="Hyperlink">
    <w:name w:val="Hyperlink"/>
    <w:basedOn w:val="DefaultParagraphFont"/>
    <w:uiPriority w:val="99"/>
    <w:unhideWhenUsed/>
    <w:rsid w:val="00A85CB6"/>
    <w:rPr>
      <w:color w:val="467886" w:themeColor="hyperlink"/>
      <w:u w:val="single"/>
    </w:rPr>
  </w:style>
  <w:style w:type="character" w:styleId="UnresolvedMention">
    <w:name w:val="Unresolved Mention"/>
    <w:basedOn w:val="DefaultParagraphFont"/>
    <w:uiPriority w:val="99"/>
    <w:semiHidden/>
    <w:unhideWhenUsed/>
    <w:rsid w:val="00A85CB6"/>
    <w:rPr>
      <w:color w:val="605E5C"/>
      <w:shd w:val="clear" w:color="auto" w:fill="E1DFDD"/>
    </w:rPr>
  </w:style>
  <w:style w:type="character" w:styleId="FollowedHyperlink">
    <w:name w:val="FollowedHyperlink"/>
    <w:basedOn w:val="DefaultParagraphFont"/>
    <w:uiPriority w:val="99"/>
    <w:semiHidden/>
    <w:unhideWhenUsed/>
    <w:rsid w:val="00A33E68"/>
    <w:rPr>
      <w:color w:val="96607D" w:themeColor="followedHyperlink"/>
      <w:u w:val="single"/>
    </w:rPr>
  </w:style>
  <w:style w:type="paragraph" w:styleId="Header">
    <w:name w:val="header"/>
    <w:basedOn w:val="Normal"/>
    <w:link w:val="HeaderChar"/>
    <w:uiPriority w:val="99"/>
    <w:unhideWhenUsed/>
    <w:rsid w:val="009A17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76E"/>
  </w:style>
  <w:style w:type="paragraph" w:styleId="Footer">
    <w:name w:val="footer"/>
    <w:basedOn w:val="Normal"/>
    <w:link w:val="FooterChar"/>
    <w:uiPriority w:val="99"/>
    <w:unhideWhenUsed/>
    <w:rsid w:val="009A17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76E"/>
  </w:style>
  <w:style w:type="paragraph" w:styleId="NormalWeb">
    <w:name w:val="Normal (Web)"/>
    <w:basedOn w:val="Normal"/>
    <w:uiPriority w:val="99"/>
    <w:semiHidden/>
    <w:unhideWhenUsed/>
    <w:rsid w:val="00C6659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customXml" Target="ink/ink7.xml"/><Relationship Id="rId26" Type="http://schemas.openxmlformats.org/officeDocument/2006/relationships/hyperlink" Target="https://digital.nhs.uk/" TargetMode="External"/><Relationship Id="rId3" Type="http://schemas.openxmlformats.org/officeDocument/2006/relationships/styles" Target="styles.xml"/><Relationship Id="rId21" Type="http://schemas.openxmlformats.org/officeDocument/2006/relationships/customXml" Target="ink/ink8.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4.emf"/><Relationship Id="rId25" Type="http://schemas.openxmlformats.org/officeDocument/2006/relationships/hyperlink" Target="https://www.england.nhs.uk/"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ustomXml" Target="ink/ink6.xml"/><Relationship Id="rId20" Type="http://schemas.openxmlformats.org/officeDocument/2006/relationships/image" Target="media/image5.emf"/><Relationship Id="rId29" Type="http://schemas.openxmlformats.org/officeDocument/2006/relationships/hyperlink" Target="https://topol.digitalacademy.nhs.uk/the-topol-revi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3.xml"/><Relationship Id="rId24" Type="http://schemas.openxmlformats.org/officeDocument/2006/relationships/hyperlink" Target="https://www.nature.com/articles/nature21056" TargetMode="External"/><Relationship Id="rId32" Type="http://schemas.openxmlformats.org/officeDocument/2006/relationships/hyperlink" Target="https://www.who.int/publications/i/item/9789240029200" TargetMode="Externa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hyperlink" Target="https://link.springer.com/article/10.1186/s12916-019-1426-2" TargetMode="External"/><Relationship Id="rId28" Type="http://schemas.openxmlformats.org/officeDocument/2006/relationships/hyperlink" Target="https://www.cqc.org.uk/" TargetMode="External"/><Relationship Id="rId10" Type="http://schemas.openxmlformats.org/officeDocument/2006/relationships/customXml" Target="ink/ink2.xml"/><Relationship Id="rId31" Type="http://schemas.openxmlformats.org/officeDocument/2006/relationships/hyperlink" Target="https://www.kingsfund.org.uk/" TargetMode="Externa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customXml" Target="ink/ink5.xml"/><Relationship Id="rId22" Type="http://schemas.openxmlformats.org/officeDocument/2006/relationships/hyperlink" Target="https://www.nature.com/articles/s41591-021-01614-0" TargetMode="External"/><Relationship Id="rId27" Type="http://schemas.openxmlformats.org/officeDocument/2006/relationships/hyperlink" Target="https://www.gov.uk/government/publications/data-saves-lives-reshaping-health-and-social-care-with-data" TargetMode="External"/><Relationship Id="rId30" Type="http://schemas.openxmlformats.org/officeDocument/2006/relationships/hyperlink" Target="https://www.moorfields.nhs.uk/" TargetMode="External"/><Relationship Id="rId35" Type="http://schemas.openxmlformats.org/officeDocument/2006/relationships/theme" Target="theme/theme1.xml"/><Relationship Id="rId8"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5-24T16:47:08.721"/>
    </inkml:context>
    <inkml:brush xml:id="br0">
      <inkml:brushProperty name="width" value="0.3" units="cm"/>
      <inkml:brushProperty name="height" value="0.6" units="cm"/>
      <inkml:brushProperty name="color" value="#A9D8FF"/>
      <inkml:brushProperty name="tip" value="rectangle"/>
      <inkml:brushProperty name="rasterOp" value="maskPen"/>
      <inkml:brushProperty name="ignorePressure" value="1"/>
    </inkml:brush>
  </inkml:definitions>
  <inkml:trace contextRef="#ctx0" brushRef="#br0">5434 1,'-5415'0,"5396"0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3:11.187"/>
    </inkml:context>
    <inkml:brush xml:id="br0">
      <inkml:brushProperty name="width" value="0.3" units="cm"/>
      <inkml:brushProperty name="height" value="0.6" units="cm"/>
      <inkml:brushProperty name="color" value="#A9D8FF"/>
      <inkml:brushProperty name="tip" value="rectangle"/>
      <inkml:brushProperty name="rasterOp" value="maskPen"/>
      <inkml:brushProperty name="ignorePressure" value="1"/>
    </inkml:brush>
  </inkml:definitions>
  <inkml:trace contextRef="#ctx0" brushRef="#br0">5434 1,'-5415'0,"5396"0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5-24T16:49:07.769"/>
    </inkml:context>
    <inkml:brush xml:id="br0">
      <inkml:brushProperty name="width" value="0.07938" units="cm"/>
      <inkml:brushProperty name="height" value="0.15875" units="cm"/>
      <inkml:brushProperty name="color" value="#A9D8FF"/>
      <inkml:brushProperty name="tip" value="rectangle"/>
      <inkml:brushProperty name="rasterOp" value="maskPen"/>
      <inkml:brushProperty name="ignorePressure" value="1"/>
    </inkml:brush>
  </inkml:definitions>
  <inkml:trace contextRef="#ctx0" brushRef="#br0">12946 1,'-12902'0,"12858"0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5-24T16:49:47.206"/>
    </inkml:context>
    <inkml:brush xml:id="br0">
      <inkml:brushProperty name="width" value="0.07938" units="cm"/>
      <inkml:brushProperty name="height" value="0.15875" units="cm"/>
      <inkml:brushProperty name="color" value="#A9D8FF"/>
      <inkml:brushProperty name="tip" value="rectangle"/>
      <inkml:brushProperty name="rasterOp" value="maskPen"/>
      <inkml:brushProperty name="ignorePressure" value="1"/>
    </inkml:brush>
  </inkml:definitions>
  <inkml:trace contextRef="#ctx0" brushRef="#br0">12946 1,'-12902'0,"12858"0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5-24T16:50:05.469"/>
    </inkml:context>
    <inkml:brush xml:id="br0">
      <inkml:brushProperty name="width" value="0.07938" units="cm"/>
      <inkml:brushProperty name="height" value="0.15875" units="cm"/>
      <inkml:brushProperty name="color" value="#A9D8FF"/>
      <inkml:brushProperty name="tip" value="rectangle"/>
      <inkml:brushProperty name="rasterOp" value="maskPen"/>
      <inkml:brushProperty name="ignorePressure" value="1"/>
    </inkml:brush>
  </inkml:definitions>
  <inkml:trace contextRef="#ctx0" brushRef="#br0">11535 1,'-11496'0,"11457"0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5-24T16:50:22.090"/>
    </inkml:context>
    <inkml:brush xml:id="br0">
      <inkml:brushProperty name="width" value="0.07938" units="cm"/>
      <inkml:brushProperty name="height" value="0.15875" units="cm"/>
      <inkml:brushProperty name="color" value="#A9D8FF"/>
      <inkml:brushProperty name="tip" value="rectangle"/>
      <inkml:brushProperty name="rasterOp" value="maskPen"/>
      <inkml:brushProperty name="ignorePressure" value="1"/>
    </inkml:brush>
  </inkml:definitions>
  <inkml:trace contextRef="#ctx0" brushRef="#br0">10089 1,'-10055'0,"10021"0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5-24T16:50:49.524"/>
    </inkml:context>
    <inkml:brush xml:id="br0">
      <inkml:brushProperty name="width" value="0.07938" units="cm"/>
      <inkml:brushProperty name="height" value="0.15875" units="cm"/>
      <inkml:brushProperty name="color" value="#A9D8FF"/>
      <inkml:brushProperty name="tip" value="rectangle"/>
      <inkml:brushProperty name="rasterOp" value="maskPen"/>
      <inkml:brushProperty name="ignorePressure" value="1"/>
    </inkml:brush>
  </inkml:definitions>
  <inkml:trace contextRef="#ctx0" brushRef="#br0">13387 1,'-13341'0,"13295"0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5-24T16:51:04.448"/>
    </inkml:context>
    <inkml:brush xml:id="br0">
      <inkml:brushProperty name="width" value="0.07938" units="cm"/>
      <inkml:brushProperty name="height" value="0.15875" units="cm"/>
      <inkml:brushProperty name="color" value="#A9D8FF"/>
      <inkml:brushProperty name="tip" value="rectangle"/>
      <inkml:brushProperty name="rasterOp" value="maskPen"/>
      <inkml:brushProperty name="ignorePressure" value="1"/>
    </inkml:brush>
  </inkml:definitions>
  <inkml:trace contextRef="#ctx0" brushRef="#br0">12946 1,'-12902'0,"12858"0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3911E-953C-4EFC-B4C0-FCE9CAED3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6</Pages>
  <Words>2617</Words>
  <Characters>14917</Characters>
  <Application>Microsoft Office Word</Application>
  <DocSecurity>0</DocSecurity>
  <Lines>124</Lines>
  <Paragraphs>34</Paragraphs>
  <ScaleCrop>false</ScaleCrop>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K</dc:creator>
  <cp:keywords/>
  <dc:description/>
  <cp:lastModifiedBy>S K</cp:lastModifiedBy>
  <cp:revision>96</cp:revision>
  <dcterms:created xsi:type="dcterms:W3CDTF">2026-05-23T20:12:00Z</dcterms:created>
  <dcterms:modified xsi:type="dcterms:W3CDTF">2026-06-27T21:31:00Z</dcterms:modified>
</cp:coreProperties>
</file>