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2114C" w14:textId="16F5FEB1" w:rsidR="30FBB23E" w:rsidRDefault="30FBB23E" w:rsidP="30FBB23E">
      <w:pPr>
        <w:spacing w:line="480" w:lineRule="auto"/>
        <w:rPr>
          <w:rFonts w:ascii="Times New Roman" w:eastAsia="Times New Roman" w:hAnsi="Times New Roman" w:cs="Times New Roman"/>
          <w:sz w:val="24"/>
          <w:szCs w:val="24"/>
        </w:rPr>
      </w:pPr>
    </w:p>
    <w:p w14:paraId="3FBEBBD7" w14:textId="7197A98F" w:rsidR="30FBB23E" w:rsidRDefault="30FBB23E" w:rsidP="30FBB23E">
      <w:pPr>
        <w:spacing w:line="480" w:lineRule="auto"/>
        <w:rPr>
          <w:rFonts w:ascii="Times New Roman" w:eastAsia="Times New Roman" w:hAnsi="Times New Roman" w:cs="Times New Roman"/>
          <w:sz w:val="24"/>
          <w:szCs w:val="24"/>
        </w:rPr>
      </w:pPr>
    </w:p>
    <w:p w14:paraId="339E1797" w14:textId="04BE50D6" w:rsidR="30FBB23E" w:rsidRPr="00EC4F28" w:rsidRDefault="00E123BC" w:rsidP="30FBB23E">
      <w:pPr>
        <w:spacing w:line="480" w:lineRule="auto"/>
        <w:jc w:val="center"/>
        <w:rPr>
          <w:rFonts w:ascii="Times New Roman" w:eastAsia="Times New Roman" w:hAnsi="Times New Roman" w:cs="Times New Roman"/>
          <w:sz w:val="72"/>
          <w:szCs w:val="72"/>
          <w:u w:val="single"/>
        </w:rPr>
      </w:pPr>
      <w:r w:rsidRPr="00EC4F28">
        <w:rPr>
          <w:rFonts w:ascii="Times New Roman" w:eastAsia="Times New Roman" w:hAnsi="Times New Roman" w:cs="Times New Roman"/>
          <w:b/>
          <w:bCs/>
          <w:sz w:val="72"/>
          <w:szCs w:val="72"/>
          <w:u w:val="single"/>
        </w:rPr>
        <w:t>W</w:t>
      </w:r>
      <w:r w:rsidR="00D43DAF" w:rsidRPr="00EC4F28">
        <w:rPr>
          <w:rFonts w:ascii="Times New Roman" w:eastAsia="Times New Roman" w:hAnsi="Times New Roman" w:cs="Times New Roman"/>
          <w:b/>
          <w:bCs/>
          <w:sz w:val="72"/>
          <w:szCs w:val="72"/>
          <w:u w:val="single"/>
        </w:rPr>
        <w:t>ritten report</w:t>
      </w:r>
    </w:p>
    <w:p w14:paraId="56528FBC" w14:textId="2BAF7211" w:rsidR="30FBB23E" w:rsidRDefault="30FBB23E" w:rsidP="30FBB23E">
      <w:pPr>
        <w:spacing w:line="480" w:lineRule="auto"/>
        <w:jc w:val="center"/>
        <w:rPr>
          <w:rFonts w:ascii="Times New Roman" w:eastAsia="Times New Roman" w:hAnsi="Times New Roman" w:cs="Times New Roman"/>
          <w:sz w:val="24"/>
          <w:szCs w:val="24"/>
        </w:rPr>
      </w:pPr>
    </w:p>
    <w:p w14:paraId="5B49ECDD" w14:textId="47A60A77" w:rsidR="30FBB23E" w:rsidRDefault="30FBB23E" w:rsidP="00EC4F28">
      <w:pPr>
        <w:spacing w:line="480" w:lineRule="auto"/>
        <w:rPr>
          <w:rFonts w:ascii="Times New Roman" w:eastAsia="Times New Roman" w:hAnsi="Times New Roman" w:cs="Times New Roman"/>
          <w:sz w:val="24"/>
          <w:szCs w:val="24"/>
        </w:rPr>
      </w:pPr>
    </w:p>
    <w:p w14:paraId="044F99CF" w14:textId="5D9C1825" w:rsidR="30FBB23E" w:rsidRDefault="30FBB23E" w:rsidP="30FBB23E">
      <w:pPr>
        <w:spacing w:line="480" w:lineRule="auto"/>
        <w:jc w:val="center"/>
        <w:rPr>
          <w:rFonts w:ascii="Times New Roman" w:eastAsia="Times New Roman" w:hAnsi="Times New Roman" w:cs="Times New Roman"/>
          <w:sz w:val="24"/>
          <w:szCs w:val="24"/>
        </w:rPr>
      </w:pPr>
    </w:p>
    <w:p w14:paraId="4CAF21EE" w14:textId="2C24E42D" w:rsidR="00914155" w:rsidRPr="00914155" w:rsidRDefault="00914155" w:rsidP="00914155">
      <w:pPr>
        <w:jc w:val="center"/>
        <w:rPr>
          <w:b/>
          <w:bCs/>
          <w:sz w:val="36"/>
          <w:szCs w:val="36"/>
        </w:rPr>
      </w:pPr>
      <w:r w:rsidRPr="00914155">
        <w:rPr>
          <w:b/>
          <w:bCs/>
          <w:sz w:val="36"/>
          <w:szCs w:val="36"/>
        </w:rPr>
        <w:t>Student name: Andreea-Florina Chiriac</w:t>
      </w:r>
    </w:p>
    <w:p w14:paraId="75B57A7B" w14:textId="15A6DFA0" w:rsidR="00914155" w:rsidRPr="00914155" w:rsidRDefault="00914155" w:rsidP="00914155">
      <w:pPr>
        <w:jc w:val="center"/>
        <w:rPr>
          <w:b/>
          <w:bCs/>
          <w:sz w:val="36"/>
          <w:szCs w:val="36"/>
        </w:rPr>
      </w:pPr>
      <w:r w:rsidRPr="00914155">
        <w:rPr>
          <w:b/>
          <w:bCs/>
          <w:sz w:val="36"/>
          <w:szCs w:val="36"/>
        </w:rPr>
        <w:t>Student ID: 2126260</w:t>
      </w:r>
    </w:p>
    <w:p w14:paraId="4E28A46A" w14:textId="77777777" w:rsidR="00914155" w:rsidRPr="00914155" w:rsidRDefault="00914155" w:rsidP="00914155">
      <w:pPr>
        <w:jc w:val="center"/>
        <w:rPr>
          <w:b/>
          <w:bCs/>
          <w:sz w:val="36"/>
          <w:szCs w:val="36"/>
        </w:rPr>
      </w:pPr>
      <w:r w:rsidRPr="00914155">
        <w:rPr>
          <w:b/>
          <w:bCs/>
          <w:sz w:val="36"/>
          <w:szCs w:val="36"/>
        </w:rPr>
        <w:t xml:space="preserve">Module: Management &amp; </w:t>
      </w:r>
      <w:proofErr w:type="spellStart"/>
      <w:r w:rsidRPr="00914155">
        <w:rPr>
          <w:b/>
          <w:bCs/>
          <w:sz w:val="36"/>
          <w:szCs w:val="36"/>
        </w:rPr>
        <w:t>Organisational</w:t>
      </w:r>
      <w:proofErr w:type="spellEnd"/>
      <w:r w:rsidRPr="00914155">
        <w:rPr>
          <w:b/>
          <w:bCs/>
          <w:sz w:val="36"/>
          <w:szCs w:val="36"/>
        </w:rPr>
        <w:t xml:space="preserve"> </w:t>
      </w:r>
      <w:proofErr w:type="spellStart"/>
      <w:r w:rsidRPr="00914155">
        <w:rPr>
          <w:b/>
          <w:bCs/>
          <w:sz w:val="36"/>
          <w:szCs w:val="36"/>
        </w:rPr>
        <w:t>Behaviour</w:t>
      </w:r>
      <w:proofErr w:type="spellEnd"/>
      <w:r w:rsidRPr="00914155">
        <w:rPr>
          <w:b/>
          <w:bCs/>
          <w:sz w:val="36"/>
          <w:szCs w:val="36"/>
        </w:rPr>
        <w:t xml:space="preserve"> (BMIH5004)</w:t>
      </w:r>
    </w:p>
    <w:p w14:paraId="0C1E0D2B" w14:textId="0838475C" w:rsidR="30FBB23E" w:rsidRPr="00914155" w:rsidRDefault="00914155" w:rsidP="00914155">
      <w:pPr>
        <w:jc w:val="center"/>
        <w:rPr>
          <w:b/>
          <w:bCs/>
          <w:sz w:val="36"/>
          <w:szCs w:val="36"/>
        </w:rPr>
      </w:pPr>
      <w:r w:rsidRPr="00914155">
        <w:rPr>
          <w:b/>
          <w:bCs/>
          <w:sz w:val="36"/>
          <w:szCs w:val="36"/>
        </w:rPr>
        <w:t xml:space="preserve">Lecturer: Charlotte </w:t>
      </w:r>
      <w:proofErr w:type="spellStart"/>
      <w:r w:rsidRPr="00914155">
        <w:rPr>
          <w:b/>
          <w:bCs/>
          <w:sz w:val="36"/>
          <w:szCs w:val="36"/>
        </w:rPr>
        <w:t>Joyhner</w:t>
      </w:r>
      <w:proofErr w:type="spellEnd"/>
    </w:p>
    <w:p w14:paraId="583E9F71" w14:textId="77777777" w:rsidR="00914155" w:rsidRDefault="00914155" w:rsidP="00914155"/>
    <w:p w14:paraId="055885DA" w14:textId="77777777" w:rsidR="00914155" w:rsidRDefault="00914155" w:rsidP="00914155"/>
    <w:p w14:paraId="7BE5C692" w14:textId="77777777" w:rsidR="00914155" w:rsidRDefault="00914155" w:rsidP="00914155"/>
    <w:p w14:paraId="475F9F0C" w14:textId="77777777" w:rsidR="00914155" w:rsidRDefault="00914155" w:rsidP="00914155"/>
    <w:p w14:paraId="6116E8F6" w14:textId="77777777" w:rsidR="00914155" w:rsidRDefault="00914155" w:rsidP="00914155"/>
    <w:p w14:paraId="1E694E30" w14:textId="77777777" w:rsidR="00914155" w:rsidRDefault="00914155" w:rsidP="00914155"/>
    <w:p w14:paraId="3A7CA707" w14:textId="77777777" w:rsidR="00914155" w:rsidRDefault="00914155" w:rsidP="00914155"/>
    <w:p w14:paraId="0BDAC9C0" w14:textId="77777777" w:rsidR="00914155" w:rsidRDefault="00914155" w:rsidP="00914155"/>
    <w:p w14:paraId="0B7DDFA8" w14:textId="77777777" w:rsidR="00EC4F28" w:rsidRDefault="00EC4F28" w:rsidP="00914155"/>
    <w:p w14:paraId="6E99999C" w14:textId="77777777" w:rsidR="00914155" w:rsidRDefault="00914155" w:rsidP="00914155"/>
    <w:sdt>
      <w:sdtPr>
        <w:rPr>
          <w:rFonts w:ascii="Times New Roman" w:eastAsiaTheme="minorHAnsi" w:hAnsi="Times New Roman" w:cs="Times New Roman"/>
          <w:color w:val="auto"/>
          <w:sz w:val="24"/>
          <w:szCs w:val="24"/>
        </w:rPr>
        <w:id w:val="1754314323"/>
        <w:docPartObj>
          <w:docPartGallery w:val="Table of Contents"/>
          <w:docPartUnique/>
        </w:docPartObj>
      </w:sdtPr>
      <w:sdtEndPr>
        <w:rPr>
          <w:b/>
          <w:bCs/>
          <w:noProof/>
        </w:rPr>
      </w:sdtEndPr>
      <w:sdtContent>
        <w:p w14:paraId="63F9F2FB" w14:textId="6DD32EA1" w:rsidR="008C0D39" w:rsidRPr="005670AB" w:rsidRDefault="00E2739D">
          <w:pPr>
            <w:pStyle w:val="TOCHeading"/>
            <w:rPr>
              <w:rFonts w:ascii="Times New Roman" w:hAnsi="Times New Roman" w:cs="Times New Roman"/>
              <w:sz w:val="24"/>
              <w:szCs w:val="24"/>
            </w:rPr>
          </w:pPr>
          <w:r>
            <w:rPr>
              <w:rFonts w:ascii="Times New Roman" w:hAnsi="Times New Roman" w:cs="Times New Roman"/>
              <w:sz w:val="24"/>
              <w:szCs w:val="24"/>
            </w:rPr>
            <w:t>Table of Contents</w:t>
          </w:r>
        </w:p>
        <w:p w14:paraId="221BA898" w14:textId="77777777" w:rsidR="00276C65" w:rsidRPr="005670AB" w:rsidRDefault="00276C65" w:rsidP="00276C65">
          <w:pPr>
            <w:rPr>
              <w:rFonts w:ascii="Times New Roman" w:hAnsi="Times New Roman" w:cs="Times New Roman"/>
              <w:sz w:val="24"/>
              <w:szCs w:val="24"/>
            </w:rPr>
          </w:pPr>
        </w:p>
        <w:p w14:paraId="346840A0" w14:textId="7E6A6CB2" w:rsidR="0075322F" w:rsidRPr="005670AB" w:rsidRDefault="00000000" w:rsidP="0075322F">
          <w:pPr>
            <w:pStyle w:val="TOC1"/>
            <w:tabs>
              <w:tab w:val="left" w:pos="440"/>
              <w:tab w:val="right" w:leader="dot" w:pos="9016"/>
            </w:tabs>
            <w:spacing w:after="0" w:line="360" w:lineRule="auto"/>
            <w:contextualSpacing/>
            <w:rPr>
              <w:rFonts w:ascii="Times New Roman" w:hAnsi="Times New Roman" w:cs="Times New Roman"/>
              <w:noProof/>
              <w:sz w:val="24"/>
              <w:szCs w:val="24"/>
            </w:rPr>
          </w:pPr>
          <w:hyperlink w:anchor="_Toc160105223" w:history="1">
            <w:r w:rsidR="00201EBF">
              <w:rPr>
                <w:rStyle w:val="Hyperlink"/>
                <w:rFonts w:ascii="Times New Roman" w:hAnsi="Times New Roman" w:cs="Times New Roman"/>
                <w:noProof/>
                <w:sz w:val="24"/>
                <w:szCs w:val="24"/>
              </w:rPr>
              <w:t>1</w:t>
            </w:r>
            <w:r w:rsidR="0075322F" w:rsidRPr="005670AB">
              <w:rPr>
                <w:rStyle w:val="Hyperlink"/>
                <w:rFonts w:ascii="Times New Roman" w:hAnsi="Times New Roman" w:cs="Times New Roman"/>
                <w:noProof/>
                <w:sz w:val="24"/>
                <w:szCs w:val="24"/>
              </w:rPr>
              <w:t>.</w:t>
            </w:r>
            <w:r w:rsidR="0075322F" w:rsidRPr="005670AB">
              <w:rPr>
                <w:rFonts w:ascii="Times New Roman" w:hAnsi="Times New Roman" w:cs="Times New Roman"/>
                <w:noProof/>
                <w:sz w:val="24"/>
                <w:szCs w:val="24"/>
              </w:rPr>
              <w:tab/>
            </w:r>
            <w:r w:rsidR="00201EBF">
              <w:rPr>
                <w:rStyle w:val="Hyperlink"/>
                <w:rFonts w:ascii="Times New Roman" w:hAnsi="Times New Roman" w:cs="Times New Roman"/>
                <w:noProof/>
                <w:sz w:val="24"/>
                <w:szCs w:val="24"/>
              </w:rPr>
              <w:t>Executive Summary</w:t>
            </w:r>
            <w:r w:rsidR="0075322F" w:rsidRPr="005670AB">
              <w:rPr>
                <w:rFonts w:ascii="Times New Roman" w:hAnsi="Times New Roman" w:cs="Times New Roman"/>
                <w:noProof/>
                <w:webHidden/>
                <w:sz w:val="24"/>
                <w:szCs w:val="24"/>
              </w:rPr>
              <w:tab/>
              <w:t>3</w:t>
            </w:r>
          </w:hyperlink>
        </w:p>
        <w:p w14:paraId="1E841876" w14:textId="139C7FCD" w:rsidR="0075322F" w:rsidRPr="005670AB" w:rsidRDefault="00000000" w:rsidP="0075322F">
          <w:pPr>
            <w:pStyle w:val="TOC1"/>
            <w:tabs>
              <w:tab w:val="left" w:pos="440"/>
              <w:tab w:val="right" w:leader="dot" w:pos="9016"/>
            </w:tabs>
            <w:spacing w:after="0" w:line="360" w:lineRule="auto"/>
            <w:contextualSpacing/>
            <w:rPr>
              <w:rFonts w:ascii="Times New Roman" w:hAnsi="Times New Roman" w:cs="Times New Roman"/>
              <w:noProof/>
              <w:sz w:val="24"/>
              <w:szCs w:val="24"/>
            </w:rPr>
          </w:pPr>
          <w:hyperlink w:anchor="_Toc160105224" w:history="1">
            <w:r w:rsidR="00201EBF">
              <w:rPr>
                <w:rStyle w:val="Hyperlink"/>
                <w:rFonts w:ascii="Times New Roman" w:hAnsi="Times New Roman" w:cs="Times New Roman"/>
                <w:noProof/>
                <w:sz w:val="24"/>
                <w:szCs w:val="24"/>
              </w:rPr>
              <w:t>2</w:t>
            </w:r>
            <w:r w:rsidR="0075322F" w:rsidRPr="005670AB">
              <w:rPr>
                <w:rStyle w:val="Hyperlink"/>
                <w:rFonts w:ascii="Times New Roman" w:hAnsi="Times New Roman" w:cs="Times New Roman"/>
                <w:noProof/>
                <w:sz w:val="24"/>
                <w:szCs w:val="24"/>
              </w:rPr>
              <w:t>.</w:t>
            </w:r>
            <w:r w:rsidR="0075322F" w:rsidRPr="005670AB">
              <w:rPr>
                <w:rFonts w:ascii="Times New Roman" w:hAnsi="Times New Roman" w:cs="Times New Roman"/>
                <w:noProof/>
                <w:sz w:val="24"/>
                <w:szCs w:val="24"/>
              </w:rPr>
              <w:tab/>
            </w:r>
            <w:r w:rsidR="00201EBF">
              <w:rPr>
                <w:rStyle w:val="Hyperlink"/>
                <w:rFonts w:ascii="Times New Roman" w:hAnsi="Times New Roman" w:cs="Times New Roman"/>
                <w:noProof/>
                <w:sz w:val="24"/>
                <w:szCs w:val="24"/>
              </w:rPr>
              <w:t>Introduction</w:t>
            </w:r>
            <w:r w:rsidR="0075322F" w:rsidRPr="005670AB">
              <w:rPr>
                <w:rFonts w:ascii="Times New Roman" w:hAnsi="Times New Roman" w:cs="Times New Roman"/>
                <w:noProof/>
                <w:webHidden/>
                <w:sz w:val="24"/>
                <w:szCs w:val="24"/>
              </w:rPr>
              <w:tab/>
            </w:r>
            <w:r w:rsidR="00337E18" w:rsidRPr="005670AB">
              <w:rPr>
                <w:rFonts w:ascii="Times New Roman" w:hAnsi="Times New Roman" w:cs="Times New Roman"/>
                <w:noProof/>
                <w:webHidden/>
                <w:sz w:val="24"/>
                <w:szCs w:val="24"/>
              </w:rPr>
              <w:t>4</w:t>
            </w:r>
          </w:hyperlink>
        </w:p>
        <w:p w14:paraId="4CAB34A4" w14:textId="1FB4CCD6" w:rsidR="0075322F" w:rsidRPr="005670AB" w:rsidRDefault="00000000" w:rsidP="0075322F">
          <w:pPr>
            <w:pStyle w:val="TOC1"/>
            <w:tabs>
              <w:tab w:val="left" w:pos="440"/>
              <w:tab w:val="right" w:leader="dot" w:pos="9016"/>
            </w:tabs>
            <w:spacing w:after="0" w:line="360" w:lineRule="auto"/>
            <w:contextualSpacing/>
            <w:rPr>
              <w:rFonts w:ascii="Times New Roman" w:hAnsi="Times New Roman" w:cs="Times New Roman"/>
              <w:noProof/>
              <w:sz w:val="24"/>
              <w:szCs w:val="24"/>
            </w:rPr>
          </w:pPr>
          <w:hyperlink w:anchor="_Toc160105225" w:history="1">
            <w:r w:rsidR="00201EBF">
              <w:rPr>
                <w:rStyle w:val="Hyperlink"/>
                <w:rFonts w:ascii="Times New Roman" w:hAnsi="Times New Roman" w:cs="Times New Roman"/>
                <w:noProof/>
                <w:sz w:val="24"/>
                <w:szCs w:val="24"/>
              </w:rPr>
              <w:t>3</w:t>
            </w:r>
            <w:r w:rsidR="0075322F" w:rsidRPr="005670AB">
              <w:rPr>
                <w:rStyle w:val="Hyperlink"/>
                <w:rFonts w:ascii="Times New Roman" w:hAnsi="Times New Roman" w:cs="Times New Roman"/>
                <w:noProof/>
                <w:sz w:val="24"/>
                <w:szCs w:val="24"/>
              </w:rPr>
              <w:t>.</w:t>
            </w:r>
            <w:r w:rsidR="0075322F" w:rsidRPr="005670AB">
              <w:rPr>
                <w:rFonts w:ascii="Times New Roman" w:hAnsi="Times New Roman" w:cs="Times New Roman"/>
                <w:noProof/>
                <w:sz w:val="24"/>
                <w:szCs w:val="24"/>
              </w:rPr>
              <w:tab/>
            </w:r>
            <w:r w:rsidR="00767109" w:rsidRPr="005670AB">
              <w:rPr>
                <w:rStyle w:val="Hyperlink"/>
                <w:rFonts w:ascii="Times New Roman" w:hAnsi="Times New Roman" w:cs="Times New Roman"/>
                <w:noProof/>
                <w:sz w:val="24"/>
                <w:szCs w:val="24"/>
              </w:rPr>
              <w:t>Corporate Overview</w:t>
            </w:r>
            <w:r w:rsidR="0075322F" w:rsidRPr="005670AB">
              <w:rPr>
                <w:rFonts w:ascii="Times New Roman" w:hAnsi="Times New Roman" w:cs="Times New Roman"/>
                <w:noProof/>
                <w:webHidden/>
                <w:sz w:val="24"/>
                <w:szCs w:val="24"/>
              </w:rPr>
              <w:tab/>
              <w:t>4</w:t>
            </w:r>
          </w:hyperlink>
        </w:p>
        <w:p w14:paraId="55C2E324" w14:textId="55DD042D" w:rsidR="00B54A42" w:rsidRPr="005670AB" w:rsidRDefault="00D27F95" w:rsidP="00B54A42">
          <w:pPr>
            <w:rPr>
              <w:rFonts w:ascii="Times New Roman" w:hAnsi="Times New Roman" w:cs="Times New Roman"/>
              <w:sz w:val="24"/>
              <w:szCs w:val="24"/>
            </w:rPr>
          </w:pPr>
          <w:r w:rsidRPr="005670AB">
            <w:rPr>
              <w:rFonts w:ascii="Times New Roman" w:hAnsi="Times New Roman" w:cs="Times New Roman"/>
              <w:sz w:val="24"/>
              <w:szCs w:val="24"/>
            </w:rPr>
            <w:t xml:space="preserve">     </w:t>
          </w:r>
          <w:r w:rsidR="00B54A42" w:rsidRPr="005670AB">
            <w:rPr>
              <w:rFonts w:ascii="Times New Roman" w:hAnsi="Times New Roman" w:cs="Times New Roman"/>
              <w:sz w:val="24"/>
              <w:szCs w:val="24"/>
            </w:rPr>
            <w:t xml:space="preserve">      </w:t>
          </w:r>
          <w:r w:rsidRPr="005670AB">
            <w:rPr>
              <w:rFonts w:ascii="Times New Roman" w:hAnsi="Times New Roman" w:cs="Times New Roman"/>
              <w:sz w:val="24"/>
              <w:szCs w:val="24"/>
            </w:rPr>
            <w:t xml:space="preserve"> </w:t>
          </w:r>
          <w:r w:rsidR="00201EBF">
            <w:rPr>
              <w:rFonts w:ascii="Times New Roman" w:hAnsi="Times New Roman" w:cs="Times New Roman"/>
              <w:sz w:val="24"/>
              <w:szCs w:val="24"/>
            </w:rPr>
            <w:t>3.1</w:t>
          </w:r>
          <w:r w:rsidR="00B54A42" w:rsidRPr="005670AB">
            <w:rPr>
              <w:rFonts w:ascii="Times New Roman" w:hAnsi="Times New Roman" w:cs="Times New Roman"/>
              <w:sz w:val="24"/>
              <w:szCs w:val="24"/>
            </w:rPr>
            <w:t xml:space="preserve"> Corporate Strategy and Brand Diversification</w:t>
          </w:r>
        </w:p>
        <w:p w14:paraId="3090C50E" w14:textId="377CAB02" w:rsidR="00B54A42" w:rsidRPr="005670AB" w:rsidRDefault="00B54A42" w:rsidP="00B54A42">
          <w:pPr>
            <w:rPr>
              <w:rFonts w:ascii="Times New Roman" w:hAnsi="Times New Roman" w:cs="Times New Roman"/>
              <w:sz w:val="24"/>
              <w:szCs w:val="24"/>
            </w:rPr>
          </w:pPr>
          <w:r w:rsidRPr="005670AB">
            <w:rPr>
              <w:rFonts w:ascii="Times New Roman" w:hAnsi="Times New Roman" w:cs="Times New Roman"/>
              <w:sz w:val="24"/>
              <w:szCs w:val="24"/>
            </w:rPr>
            <w:t xml:space="preserve">            3.2 Global Expansion and Market Leadership</w:t>
          </w:r>
        </w:p>
        <w:p w14:paraId="3CE46FEB" w14:textId="1A5F2B2F" w:rsidR="00B54A42" w:rsidRPr="005670AB" w:rsidRDefault="00B54A42" w:rsidP="00B54A42">
          <w:pPr>
            <w:rPr>
              <w:rFonts w:ascii="Times New Roman" w:hAnsi="Times New Roman" w:cs="Times New Roman"/>
              <w:sz w:val="24"/>
              <w:szCs w:val="24"/>
            </w:rPr>
          </w:pPr>
          <w:r w:rsidRPr="005670AB">
            <w:rPr>
              <w:rFonts w:ascii="Times New Roman" w:hAnsi="Times New Roman" w:cs="Times New Roman"/>
              <w:sz w:val="24"/>
              <w:szCs w:val="24"/>
            </w:rPr>
            <w:t xml:space="preserve">            3.3 Financial Performance and Resilience</w:t>
          </w:r>
        </w:p>
        <w:p w14:paraId="2143E5BA" w14:textId="4EDE1B1F" w:rsidR="00081A1D" w:rsidRPr="005670AB" w:rsidRDefault="00B54A42" w:rsidP="00B54A42">
          <w:pPr>
            <w:rPr>
              <w:rFonts w:ascii="Times New Roman" w:hAnsi="Times New Roman" w:cs="Times New Roman"/>
              <w:sz w:val="24"/>
              <w:szCs w:val="24"/>
            </w:rPr>
          </w:pPr>
          <w:r w:rsidRPr="005670AB">
            <w:rPr>
              <w:rFonts w:ascii="Times New Roman" w:hAnsi="Times New Roman" w:cs="Times New Roman"/>
              <w:sz w:val="24"/>
              <w:szCs w:val="24"/>
            </w:rPr>
            <w:t xml:space="preserve">            3.4 Sustainability Practices</w:t>
          </w:r>
        </w:p>
        <w:p w14:paraId="5F0F663F" w14:textId="4646BE19" w:rsidR="0075322F" w:rsidRPr="005670AB" w:rsidRDefault="00000000" w:rsidP="0075322F">
          <w:pPr>
            <w:pStyle w:val="TOC1"/>
            <w:tabs>
              <w:tab w:val="left" w:pos="440"/>
              <w:tab w:val="right" w:leader="dot" w:pos="9016"/>
            </w:tabs>
            <w:spacing w:after="0" w:line="360" w:lineRule="auto"/>
            <w:contextualSpacing/>
            <w:rPr>
              <w:rFonts w:ascii="Times New Roman" w:hAnsi="Times New Roman" w:cs="Times New Roman"/>
              <w:noProof/>
              <w:sz w:val="24"/>
              <w:szCs w:val="24"/>
            </w:rPr>
          </w:pPr>
          <w:hyperlink w:anchor="_Toc160105226" w:history="1">
            <w:r w:rsidR="0075322F" w:rsidRPr="005670AB">
              <w:rPr>
                <w:rStyle w:val="Hyperlink"/>
                <w:rFonts w:ascii="Times New Roman" w:hAnsi="Times New Roman" w:cs="Times New Roman"/>
                <w:noProof/>
                <w:sz w:val="24"/>
                <w:szCs w:val="24"/>
              </w:rPr>
              <w:t>4.</w:t>
            </w:r>
            <w:r w:rsidR="0075322F" w:rsidRPr="005670AB">
              <w:rPr>
                <w:rFonts w:ascii="Times New Roman" w:hAnsi="Times New Roman" w:cs="Times New Roman"/>
                <w:noProof/>
                <w:sz w:val="24"/>
                <w:szCs w:val="24"/>
              </w:rPr>
              <w:tab/>
            </w:r>
            <w:r w:rsidR="0023283F" w:rsidRPr="005670AB">
              <w:rPr>
                <w:rStyle w:val="Hyperlink"/>
                <w:rFonts w:ascii="Times New Roman" w:hAnsi="Times New Roman" w:cs="Times New Roman"/>
                <w:noProof/>
                <w:sz w:val="24"/>
                <w:szCs w:val="24"/>
              </w:rPr>
              <w:t>Teoretical Frameworks and Models</w:t>
            </w:r>
            <w:r w:rsidR="0075322F" w:rsidRPr="005670AB">
              <w:rPr>
                <w:rFonts w:ascii="Times New Roman" w:hAnsi="Times New Roman" w:cs="Times New Roman"/>
                <w:noProof/>
                <w:webHidden/>
                <w:sz w:val="24"/>
                <w:szCs w:val="24"/>
              </w:rPr>
              <w:tab/>
              <w:t>6</w:t>
            </w:r>
          </w:hyperlink>
        </w:p>
        <w:p w14:paraId="42CE4C2C" w14:textId="60A29169" w:rsidR="00AD25D4" w:rsidRPr="005670AB" w:rsidRDefault="00AD25D4" w:rsidP="00AD25D4">
          <w:pPr>
            <w:rPr>
              <w:rFonts w:ascii="Times New Roman" w:hAnsi="Times New Roman" w:cs="Times New Roman"/>
              <w:sz w:val="24"/>
              <w:szCs w:val="24"/>
            </w:rPr>
          </w:pPr>
          <w:r w:rsidRPr="005670AB">
            <w:rPr>
              <w:rFonts w:ascii="Times New Roman" w:hAnsi="Times New Roman" w:cs="Times New Roman"/>
              <w:sz w:val="24"/>
              <w:szCs w:val="24"/>
            </w:rPr>
            <w:t xml:space="preserve">            4.1 Porter's Five Forces Analysis</w:t>
          </w:r>
        </w:p>
        <w:p w14:paraId="7F4D061A" w14:textId="5C6B9A96" w:rsidR="00AD25D4" w:rsidRPr="005670AB" w:rsidRDefault="00AD25D4" w:rsidP="00AD25D4">
          <w:pPr>
            <w:rPr>
              <w:rFonts w:ascii="Times New Roman" w:hAnsi="Times New Roman" w:cs="Times New Roman"/>
              <w:sz w:val="24"/>
              <w:szCs w:val="24"/>
            </w:rPr>
          </w:pPr>
          <w:r w:rsidRPr="005670AB">
            <w:rPr>
              <w:rFonts w:ascii="Times New Roman" w:hAnsi="Times New Roman" w:cs="Times New Roman"/>
              <w:sz w:val="24"/>
              <w:szCs w:val="24"/>
            </w:rPr>
            <w:t xml:space="preserve">                     </w:t>
          </w:r>
          <w:r w:rsidR="00686C91">
            <w:rPr>
              <w:rFonts w:ascii="Times New Roman" w:hAnsi="Times New Roman" w:cs="Times New Roman"/>
              <w:sz w:val="24"/>
              <w:szCs w:val="24"/>
            </w:rPr>
            <w:t>Threat of New Entrants</w:t>
          </w:r>
        </w:p>
        <w:p w14:paraId="48F016A5" w14:textId="19E6655D" w:rsidR="00AD25D4" w:rsidRPr="005670AB" w:rsidRDefault="00AD25D4" w:rsidP="00AD25D4">
          <w:pPr>
            <w:rPr>
              <w:rFonts w:ascii="Times New Roman" w:hAnsi="Times New Roman" w:cs="Times New Roman"/>
              <w:sz w:val="24"/>
              <w:szCs w:val="24"/>
            </w:rPr>
          </w:pPr>
          <w:r w:rsidRPr="005670AB">
            <w:rPr>
              <w:rFonts w:ascii="Times New Roman" w:hAnsi="Times New Roman" w:cs="Times New Roman"/>
              <w:sz w:val="24"/>
              <w:szCs w:val="24"/>
            </w:rPr>
            <w:t xml:space="preserve">                     </w:t>
          </w:r>
          <w:r w:rsidR="00686C91">
            <w:rPr>
              <w:rFonts w:ascii="Times New Roman" w:hAnsi="Times New Roman" w:cs="Times New Roman"/>
              <w:sz w:val="24"/>
              <w:szCs w:val="24"/>
            </w:rPr>
            <w:t>Bargaining Power of Buyers</w:t>
          </w:r>
        </w:p>
        <w:p w14:paraId="3DA193E1" w14:textId="5597BD17" w:rsidR="00AD25D4" w:rsidRPr="005670AB" w:rsidRDefault="00AD25D4" w:rsidP="00AD25D4">
          <w:pPr>
            <w:rPr>
              <w:rFonts w:ascii="Times New Roman" w:hAnsi="Times New Roman" w:cs="Times New Roman"/>
              <w:sz w:val="24"/>
              <w:szCs w:val="24"/>
            </w:rPr>
          </w:pPr>
          <w:r w:rsidRPr="005670AB">
            <w:rPr>
              <w:rFonts w:ascii="Times New Roman" w:hAnsi="Times New Roman" w:cs="Times New Roman"/>
              <w:sz w:val="24"/>
              <w:szCs w:val="24"/>
            </w:rPr>
            <w:t xml:space="preserve">                     </w:t>
          </w:r>
          <w:r w:rsidR="00686C91">
            <w:rPr>
              <w:rFonts w:ascii="Times New Roman" w:hAnsi="Times New Roman" w:cs="Times New Roman"/>
              <w:sz w:val="24"/>
              <w:szCs w:val="24"/>
            </w:rPr>
            <w:t>Bargaining Power of Suppliers</w:t>
          </w:r>
        </w:p>
        <w:p w14:paraId="7AB2F3B4" w14:textId="1B816404" w:rsidR="00AD25D4" w:rsidRPr="005670AB" w:rsidRDefault="00AD25D4" w:rsidP="00AD25D4">
          <w:pPr>
            <w:rPr>
              <w:rFonts w:ascii="Times New Roman" w:hAnsi="Times New Roman" w:cs="Times New Roman"/>
              <w:sz w:val="24"/>
              <w:szCs w:val="24"/>
            </w:rPr>
          </w:pPr>
          <w:r w:rsidRPr="005670AB">
            <w:rPr>
              <w:rFonts w:ascii="Times New Roman" w:hAnsi="Times New Roman" w:cs="Times New Roman"/>
              <w:sz w:val="24"/>
              <w:szCs w:val="24"/>
            </w:rPr>
            <w:t xml:space="preserve">                     </w:t>
          </w:r>
          <w:r w:rsidR="00686C91">
            <w:rPr>
              <w:rFonts w:ascii="Times New Roman" w:hAnsi="Times New Roman" w:cs="Times New Roman"/>
              <w:sz w:val="24"/>
              <w:szCs w:val="24"/>
            </w:rPr>
            <w:t xml:space="preserve">Threat of Substitute Products </w:t>
          </w:r>
          <w:r w:rsidR="00881BDE">
            <w:rPr>
              <w:rFonts w:ascii="Times New Roman" w:hAnsi="Times New Roman" w:cs="Times New Roman"/>
              <w:sz w:val="24"/>
              <w:szCs w:val="24"/>
            </w:rPr>
            <w:t>or Services</w:t>
          </w:r>
        </w:p>
        <w:p w14:paraId="543B0EB8" w14:textId="58F0CF23" w:rsidR="00AD25D4" w:rsidRPr="005670AB" w:rsidRDefault="00AD25D4" w:rsidP="00AD25D4">
          <w:pPr>
            <w:rPr>
              <w:rFonts w:ascii="Times New Roman" w:hAnsi="Times New Roman" w:cs="Times New Roman"/>
              <w:sz w:val="24"/>
              <w:szCs w:val="24"/>
            </w:rPr>
          </w:pPr>
          <w:r w:rsidRPr="005670AB">
            <w:rPr>
              <w:rFonts w:ascii="Times New Roman" w:hAnsi="Times New Roman" w:cs="Times New Roman"/>
              <w:sz w:val="24"/>
              <w:szCs w:val="24"/>
            </w:rPr>
            <w:t xml:space="preserve">                     </w:t>
          </w:r>
          <w:r w:rsidR="00881BDE">
            <w:rPr>
              <w:rFonts w:ascii="Times New Roman" w:hAnsi="Times New Roman" w:cs="Times New Roman"/>
              <w:sz w:val="24"/>
              <w:szCs w:val="24"/>
            </w:rPr>
            <w:t xml:space="preserve">Intensity of Competitive </w:t>
          </w:r>
          <w:r w:rsidR="00201EBF">
            <w:rPr>
              <w:rFonts w:ascii="Times New Roman" w:hAnsi="Times New Roman" w:cs="Times New Roman"/>
              <w:sz w:val="24"/>
              <w:szCs w:val="24"/>
            </w:rPr>
            <w:t>Rivalry</w:t>
          </w:r>
        </w:p>
        <w:p w14:paraId="3473AA3E" w14:textId="0006136F" w:rsidR="00276C65" w:rsidRPr="005670AB" w:rsidRDefault="00276C65" w:rsidP="00276C65">
          <w:pPr>
            <w:rPr>
              <w:rFonts w:ascii="Times New Roman" w:hAnsi="Times New Roman" w:cs="Times New Roman"/>
              <w:sz w:val="24"/>
              <w:szCs w:val="24"/>
            </w:rPr>
          </w:pPr>
          <w:r w:rsidRPr="005670AB">
            <w:rPr>
              <w:rFonts w:ascii="Times New Roman" w:hAnsi="Times New Roman" w:cs="Times New Roman"/>
              <w:sz w:val="24"/>
              <w:szCs w:val="24"/>
            </w:rPr>
            <w:t xml:space="preserve">            4.2 </w:t>
          </w:r>
          <w:r w:rsidR="00686C91">
            <w:rPr>
              <w:rFonts w:ascii="Times New Roman" w:hAnsi="Times New Roman" w:cs="Times New Roman"/>
              <w:sz w:val="24"/>
              <w:szCs w:val="24"/>
            </w:rPr>
            <w:t xml:space="preserve">SWOT </w:t>
          </w:r>
          <w:r w:rsidR="001203F7">
            <w:rPr>
              <w:rFonts w:ascii="Times New Roman" w:hAnsi="Times New Roman" w:cs="Times New Roman"/>
              <w:sz w:val="24"/>
              <w:szCs w:val="24"/>
            </w:rPr>
            <w:t>Analysis</w:t>
          </w:r>
        </w:p>
        <w:p w14:paraId="5456E0E4" w14:textId="21EAD7FF" w:rsidR="00276C65" w:rsidRPr="005670AB" w:rsidRDefault="00276C65" w:rsidP="00276C65">
          <w:pPr>
            <w:rPr>
              <w:rFonts w:ascii="Times New Roman" w:hAnsi="Times New Roman" w:cs="Times New Roman"/>
              <w:sz w:val="24"/>
              <w:szCs w:val="24"/>
            </w:rPr>
          </w:pPr>
          <w:r w:rsidRPr="005670AB">
            <w:rPr>
              <w:rFonts w:ascii="Times New Roman" w:hAnsi="Times New Roman" w:cs="Times New Roman"/>
              <w:sz w:val="24"/>
              <w:szCs w:val="24"/>
            </w:rPr>
            <w:t xml:space="preserve">                     </w:t>
          </w:r>
          <w:r w:rsidR="001203F7">
            <w:rPr>
              <w:rFonts w:ascii="Times New Roman" w:hAnsi="Times New Roman" w:cs="Times New Roman"/>
              <w:sz w:val="24"/>
              <w:szCs w:val="24"/>
            </w:rPr>
            <w:t>Strengths</w:t>
          </w:r>
        </w:p>
        <w:p w14:paraId="23FE78E6" w14:textId="2CFBDF38" w:rsidR="00276C65" w:rsidRPr="005670AB" w:rsidRDefault="00276C65" w:rsidP="00276C65">
          <w:pPr>
            <w:rPr>
              <w:rFonts w:ascii="Times New Roman" w:hAnsi="Times New Roman" w:cs="Times New Roman"/>
              <w:sz w:val="24"/>
              <w:szCs w:val="24"/>
            </w:rPr>
          </w:pPr>
          <w:r w:rsidRPr="005670AB">
            <w:rPr>
              <w:rFonts w:ascii="Times New Roman" w:hAnsi="Times New Roman" w:cs="Times New Roman"/>
              <w:sz w:val="24"/>
              <w:szCs w:val="24"/>
            </w:rPr>
            <w:t xml:space="preserve">                     </w:t>
          </w:r>
          <w:r w:rsidR="001203F7">
            <w:rPr>
              <w:rFonts w:ascii="Times New Roman" w:hAnsi="Times New Roman" w:cs="Times New Roman"/>
              <w:sz w:val="24"/>
              <w:szCs w:val="24"/>
            </w:rPr>
            <w:t>Weaknesses</w:t>
          </w:r>
        </w:p>
        <w:p w14:paraId="7470E2DF" w14:textId="1C0B3D16" w:rsidR="00276C65" w:rsidRPr="005670AB" w:rsidRDefault="00276C65" w:rsidP="00276C65">
          <w:pPr>
            <w:rPr>
              <w:rFonts w:ascii="Times New Roman" w:hAnsi="Times New Roman" w:cs="Times New Roman"/>
              <w:sz w:val="24"/>
              <w:szCs w:val="24"/>
            </w:rPr>
          </w:pPr>
          <w:r w:rsidRPr="005670AB">
            <w:rPr>
              <w:rFonts w:ascii="Times New Roman" w:hAnsi="Times New Roman" w:cs="Times New Roman"/>
              <w:sz w:val="24"/>
              <w:szCs w:val="24"/>
            </w:rPr>
            <w:t xml:space="preserve">                     </w:t>
          </w:r>
          <w:r w:rsidR="00C0662D">
            <w:rPr>
              <w:rFonts w:ascii="Times New Roman" w:hAnsi="Times New Roman" w:cs="Times New Roman"/>
              <w:sz w:val="24"/>
              <w:szCs w:val="24"/>
            </w:rPr>
            <w:t>Opportunities</w:t>
          </w:r>
        </w:p>
        <w:p w14:paraId="7BCD53EE" w14:textId="0B2B25F9" w:rsidR="00276C65" w:rsidRPr="005670AB" w:rsidRDefault="00276C65" w:rsidP="00276C65">
          <w:pPr>
            <w:rPr>
              <w:rFonts w:ascii="Times New Roman" w:hAnsi="Times New Roman" w:cs="Times New Roman"/>
              <w:sz w:val="24"/>
              <w:szCs w:val="24"/>
            </w:rPr>
          </w:pPr>
          <w:r w:rsidRPr="005670AB">
            <w:rPr>
              <w:rFonts w:ascii="Times New Roman" w:hAnsi="Times New Roman" w:cs="Times New Roman"/>
              <w:sz w:val="24"/>
              <w:szCs w:val="24"/>
            </w:rPr>
            <w:t xml:space="preserve">                     </w:t>
          </w:r>
          <w:r w:rsidR="00C0662D">
            <w:rPr>
              <w:rFonts w:ascii="Times New Roman" w:hAnsi="Times New Roman" w:cs="Times New Roman"/>
              <w:sz w:val="24"/>
              <w:szCs w:val="24"/>
            </w:rPr>
            <w:t>Threats</w:t>
          </w:r>
        </w:p>
        <w:p w14:paraId="6CD26397" w14:textId="7C462144" w:rsidR="0075322F" w:rsidRPr="005670AB" w:rsidRDefault="00000000" w:rsidP="0075322F">
          <w:pPr>
            <w:pStyle w:val="TOC1"/>
            <w:tabs>
              <w:tab w:val="left" w:pos="440"/>
              <w:tab w:val="right" w:leader="dot" w:pos="9016"/>
            </w:tabs>
            <w:spacing w:after="0" w:line="360" w:lineRule="auto"/>
            <w:contextualSpacing/>
            <w:rPr>
              <w:rFonts w:ascii="Times New Roman" w:hAnsi="Times New Roman" w:cs="Times New Roman"/>
              <w:noProof/>
              <w:sz w:val="24"/>
              <w:szCs w:val="24"/>
            </w:rPr>
          </w:pPr>
          <w:hyperlink w:anchor="_Toc160105227" w:history="1">
            <w:r w:rsidR="00686C91">
              <w:rPr>
                <w:rStyle w:val="Hyperlink"/>
                <w:rFonts w:ascii="Times New Roman" w:hAnsi="Times New Roman" w:cs="Times New Roman"/>
                <w:noProof/>
                <w:sz w:val="24"/>
                <w:szCs w:val="24"/>
              </w:rPr>
              <w:t>5</w:t>
            </w:r>
            <w:r w:rsidR="0075322F" w:rsidRPr="005670AB">
              <w:rPr>
                <w:rStyle w:val="Hyperlink"/>
                <w:rFonts w:ascii="Times New Roman" w:hAnsi="Times New Roman" w:cs="Times New Roman"/>
                <w:noProof/>
                <w:sz w:val="24"/>
                <w:szCs w:val="24"/>
              </w:rPr>
              <w:t>.</w:t>
            </w:r>
            <w:r w:rsidR="0075322F" w:rsidRPr="005670AB">
              <w:rPr>
                <w:rFonts w:ascii="Times New Roman" w:hAnsi="Times New Roman" w:cs="Times New Roman"/>
                <w:noProof/>
                <w:sz w:val="24"/>
                <w:szCs w:val="24"/>
              </w:rPr>
              <w:tab/>
            </w:r>
            <w:r w:rsidR="00533F31" w:rsidRPr="005670AB">
              <w:rPr>
                <w:rStyle w:val="Hyperlink"/>
                <w:rFonts w:ascii="Times New Roman" w:hAnsi="Times New Roman" w:cs="Times New Roman"/>
                <w:noProof/>
                <w:sz w:val="24"/>
                <w:szCs w:val="24"/>
              </w:rPr>
              <w:t>Conclusion</w:t>
            </w:r>
            <w:r w:rsidR="0075322F" w:rsidRPr="005670AB">
              <w:rPr>
                <w:rFonts w:ascii="Times New Roman" w:hAnsi="Times New Roman" w:cs="Times New Roman"/>
                <w:noProof/>
                <w:webHidden/>
                <w:sz w:val="24"/>
                <w:szCs w:val="24"/>
              </w:rPr>
              <w:tab/>
            </w:r>
            <w:r w:rsidR="00C72DAF" w:rsidRPr="005670AB">
              <w:rPr>
                <w:rFonts w:ascii="Times New Roman" w:hAnsi="Times New Roman" w:cs="Times New Roman"/>
                <w:noProof/>
                <w:webHidden/>
                <w:sz w:val="24"/>
                <w:szCs w:val="24"/>
              </w:rPr>
              <w:t>9</w:t>
            </w:r>
          </w:hyperlink>
        </w:p>
        <w:p w14:paraId="5D258322" w14:textId="59C282BA" w:rsidR="0075322F" w:rsidRPr="005670AB" w:rsidRDefault="00000000" w:rsidP="0075322F">
          <w:pPr>
            <w:pStyle w:val="TOC1"/>
            <w:tabs>
              <w:tab w:val="left" w:pos="440"/>
              <w:tab w:val="right" w:leader="dot" w:pos="9016"/>
            </w:tabs>
            <w:spacing w:after="0" w:line="360" w:lineRule="auto"/>
            <w:contextualSpacing/>
            <w:rPr>
              <w:rFonts w:ascii="Times New Roman" w:hAnsi="Times New Roman" w:cs="Times New Roman"/>
              <w:noProof/>
              <w:sz w:val="24"/>
              <w:szCs w:val="24"/>
            </w:rPr>
          </w:pPr>
          <w:hyperlink w:anchor="_Toc160105228" w:history="1">
            <w:r w:rsidR="00686C91">
              <w:rPr>
                <w:rStyle w:val="Hyperlink"/>
                <w:rFonts w:ascii="Times New Roman" w:hAnsi="Times New Roman" w:cs="Times New Roman"/>
                <w:noProof/>
                <w:sz w:val="24"/>
                <w:szCs w:val="24"/>
              </w:rPr>
              <w:t>6</w:t>
            </w:r>
            <w:r w:rsidR="0075322F" w:rsidRPr="005670AB">
              <w:rPr>
                <w:rStyle w:val="Hyperlink"/>
                <w:rFonts w:ascii="Times New Roman" w:hAnsi="Times New Roman" w:cs="Times New Roman"/>
                <w:noProof/>
                <w:sz w:val="24"/>
                <w:szCs w:val="24"/>
              </w:rPr>
              <w:t>.</w:t>
            </w:r>
            <w:r w:rsidR="0075322F" w:rsidRPr="005670AB">
              <w:rPr>
                <w:rFonts w:ascii="Times New Roman" w:hAnsi="Times New Roman" w:cs="Times New Roman"/>
                <w:noProof/>
                <w:sz w:val="24"/>
                <w:szCs w:val="24"/>
              </w:rPr>
              <w:tab/>
            </w:r>
            <w:r w:rsidR="00533F31" w:rsidRPr="005670AB">
              <w:rPr>
                <w:rStyle w:val="Hyperlink"/>
                <w:rFonts w:ascii="Times New Roman" w:hAnsi="Times New Roman" w:cs="Times New Roman"/>
                <w:noProof/>
                <w:sz w:val="24"/>
                <w:szCs w:val="24"/>
                <w:shd w:val="clear" w:color="auto" w:fill="FFFFFF"/>
              </w:rPr>
              <w:t>Recom</w:t>
            </w:r>
            <w:r w:rsidR="000906DC" w:rsidRPr="005670AB">
              <w:rPr>
                <w:rStyle w:val="Hyperlink"/>
                <w:rFonts w:ascii="Times New Roman" w:hAnsi="Times New Roman" w:cs="Times New Roman"/>
                <w:noProof/>
                <w:sz w:val="24"/>
                <w:szCs w:val="24"/>
                <w:shd w:val="clear" w:color="auto" w:fill="FFFFFF"/>
              </w:rPr>
              <w:t>mendations</w:t>
            </w:r>
            <w:r w:rsidR="0075322F" w:rsidRPr="005670AB">
              <w:rPr>
                <w:rFonts w:ascii="Times New Roman" w:hAnsi="Times New Roman" w:cs="Times New Roman"/>
                <w:noProof/>
                <w:webHidden/>
                <w:sz w:val="24"/>
                <w:szCs w:val="24"/>
              </w:rPr>
              <w:tab/>
            </w:r>
            <w:r w:rsidR="00C72DAF" w:rsidRPr="005670AB">
              <w:rPr>
                <w:rFonts w:ascii="Times New Roman" w:hAnsi="Times New Roman" w:cs="Times New Roman"/>
                <w:noProof/>
                <w:webHidden/>
                <w:sz w:val="24"/>
                <w:szCs w:val="24"/>
              </w:rPr>
              <w:t>10</w:t>
            </w:r>
          </w:hyperlink>
        </w:p>
        <w:p w14:paraId="03249482" w14:textId="7049769E" w:rsidR="0075322F" w:rsidRPr="005670AB" w:rsidRDefault="00000000" w:rsidP="0075322F">
          <w:pPr>
            <w:pStyle w:val="TOC1"/>
            <w:tabs>
              <w:tab w:val="left" w:pos="440"/>
              <w:tab w:val="right" w:leader="dot" w:pos="9016"/>
            </w:tabs>
            <w:spacing w:after="0" w:line="360" w:lineRule="auto"/>
            <w:contextualSpacing/>
            <w:rPr>
              <w:rFonts w:ascii="Times New Roman" w:hAnsi="Times New Roman" w:cs="Times New Roman"/>
              <w:noProof/>
              <w:sz w:val="24"/>
              <w:szCs w:val="24"/>
            </w:rPr>
          </w:pPr>
          <w:hyperlink w:anchor="_Toc160105230" w:history="1">
            <w:r w:rsidR="0075322F" w:rsidRPr="005670AB">
              <w:rPr>
                <w:rStyle w:val="Hyperlink"/>
                <w:rFonts w:ascii="Times New Roman" w:hAnsi="Times New Roman" w:cs="Times New Roman"/>
                <w:noProof/>
                <w:sz w:val="24"/>
                <w:szCs w:val="24"/>
              </w:rPr>
              <w:t>8.</w:t>
            </w:r>
            <w:r w:rsidR="0075322F" w:rsidRPr="005670AB">
              <w:rPr>
                <w:rFonts w:ascii="Times New Roman" w:hAnsi="Times New Roman" w:cs="Times New Roman"/>
                <w:noProof/>
                <w:sz w:val="24"/>
                <w:szCs w:val="24"/>
              </w:rPr>
              <w:tab/>
            </w:r>
            <w:r w:rsidR="0075322F" w:rsidRPr="005670AB">
              <w:rPr>
                <w:rStyle w:val="Hyperlink"/>
                <w:rFonts w:ascii="Times New Roman" w:hAnsi="Times New Roman" w:cs="Times New Roman"/>
                <w:noProof/>
                <w:sz w:val="24"/>
                <w:szCs w:val="24"/>
              </w:rPr>
              <w:t>Reference</w:t>
            </w:r>
            <w:r w:rsidR="00D95E73" w:rsidRPr="005670AB">
              <w:rPr>
                <w:rStyle w:val="Hyperlink"/>
                <w:rFonts w:ascii="Times New Roman" w:hAnsi="Times New Roman" w:cs="Times New Roman"/>
                <w:noProof/>
                <w:sz w:val="24"/>
                <w:szCs w:val="24"/>
              </w:rPr>
              <w:t>s</w:t>
            </w:r>
            <w:r w:rsidR="0075322F" w:rsidRPr="005670AB">
              <w:rPr>
                <w:rFonts w:ascii="Times New Roman" w:hAnsi="Times New Roman" w:cs="Times New Roman"/>
                <w:noProof/>
                <w:webHidden/>
                <w:sz w:val="24"/>
                <w:szCs w:val="24"/>
              </w:rPr>
              <w:tab/>
            </w:r>
            <w:r w:rsidR="00D95E73" w:rsidRPr="005670AB">
              <w:rPr>
                <w:rFonts w:ascii="Times New Roman" w:hAnsi="Times New Roman" w:cs="Times New Roman"/>
                <w:noProof/>
                <w:webHidden/>
                <w:sz w:val="24"/>
                <w:szCs w:val="24"/>
              </w:rPr>
              <w:t>12</w:t>
            </w:r>
          </w:hyperlink>
        </w:p>
        <w:p w14:paraId="06EB715F" w14:textId="3D0BC712" w:rsidR="008C0D39" w:rsidRPr="005670AB" w:rsidRDefault="00000000">
          <w:pPr>
            <w:rPr>
              <w:rFonts w:ascii="Times New Roman" w:hAnsi="Times New Roman" w:cs="Times New Roman"/>
              <w:b/>
              <w:bCs/>
              <w:noProof/>
              <w:sz w:val="24"/>
              <w:szCs w:val="24"/>
            </w:rPr>
          </w:pPr>
        </w:p>
      </w:sdtContent>
    </w:sdt>
    <w:p w14:paraId="07E9AA6B" w14:textId="77777777" w:rsidR="00B264AA" w:rsidRDefault="00B264AA" w:rsidP="30FBB23E">
      <w:pPr>
        <w:spacing w:line="480" w:lineRule="auto"/>
        <w:rPr>
          <w:rFonts w:ascii="Times New Roman" w:eastAsia="Times New Roman" w:hAnsi="Times New Roman" w:cs="Times New Roman"/>
          <w:b/>
          <w:bCs/>
          <w:sz w:val="24"/>
          <w:szCs w:val="24"/>
        </w:rPr>
      </w:pPr>
    </w:p>
    <w:p w14:paraId="47DB08F6" w14:textId="77777777" w:rsidR="00B264AA" w:rsidRDefault="00B264AA" w:rsidP="30FBB23E">
      <w:pPr>
        <w:spacing w:line="480" w:lineRule="auto"/>
        <w:rPr>
          <w:rFonts w:ascii="Times New Roman" w:eastAsia="Times New Roman" w:hAnsi="Times New Roman" w:cs="Times New Roman"/>
          <w:b/>
          <w:bCs/>
          <w:sz w:val="24"/>
          <w:szCs w:val="24"/>
        </w:rPr>
      </w:pPr>
    </w:p>
    <w:p w14:paraId="7407733E" w14:textId="77777777" w:rsidR="00B264AA" w:rsidRDefault="00B264AA" w:rsidP="30FBB23E">
      <w:pPr>
        <w:spacing w:line="480" w:lineRule="auto"/>
        <w:rPr>
          <w:rFonts w:ascii="Times New Roman" w:eastAsia="Times New Roman" w:hAnsi="Times New Roman" w:cs="Times New Roman"/>
          <w:b/>
          <w:bCs/>
          <w:sz w:val="24"/>
          <w:szCs w:val="24"/>
        </w:rPr>
      </w:pPr>
    </w:p>
    <w:p w14:paraId="2C4DA8C0" w14:textId="38F3977D" w:rsidR="30FBB23E" w:rsidRDefault="30FBB23E" w:rsidP="30FBB23E">
      <w:pPr>
        <w:spacing w:line="480" w:lineRule="auto"/>
        <w:rPr>
          <w:rFonts w:ascii="Times New Roman" w:eastAsia="Times New Roman" w:hAnsi="Times New Roman" w:cs="Times New Roman"/>
          <w:b/>
          <w:bCs/>
          <w:sz w:val="24"/>
          <w:szCs w:val="24"/>
        </w:rPr>
      </w:pPr>
      <w:r w:rsidRPr="30FBB23E">
        <w:rPr>
          <w:rFonts w:ascii="Times New Roman" w:eastAsia="Times New Roman" w:hAnsi="Times New Roman" w:cs="Times New Roman"/>
          <w:b/>
          <w:bCs/>
          <w:sz w:val="24"/>
          <w:szCs w:val="24"/>
        </w:rPr>
        <w:lastRenderedPageBreak/>
        <w:t>Executive Summary</w:t>
      </w:r>
    </w:p>
    <w:p w14:paraId="0DECF898" w14:textId="039BF777" w:rsidR="30FBB23E" w:rsidRDefault="30FBB23E" w:rsidP="30FBB23E">
      <w:pPr>
        <w:spacing w:line="480" w:lineRule="auto"/>
        <w:ind w:firstLine="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This review is a refined audit report, which critically analyzes the position of Intercontinental Hotels Group (IHG) within the wider periphery of business and management theories. IHG, the global top hospitality industry supervisor gets corporate and individual unit level analysis. These are the strategic aspects, financial performance, environmental practice, and the organization’s response to COVID-19 that the report will primarily investigate. The study of IHG's corporate strategy, involving the brand diversification and the globalization principle, constitutes one of the key factors to examine it. The objective of this audit is to assess whether the current strategies play a role in the IHG's successful struggle to stay on schedule. Financial analysis is the key to that, as it measures the main metrics, thus showing the company's ability to withstand the existential threats coming from the pandemic and reveals its financial achievements.</w:t>
      </w:r>
    </w:p>
    <w:p w14:paraId="7039E73F" w14:textId="6681BD86" w:rsidR="30FBB23E" w:rsidRDefault="30FBB23E" w:rsidP="30FBB23E">
      <w:pPr>
        <w:spacing w:line="480" w:lineRule="auto"/>
        <w:ind w:firstLine="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 xml:space="preserve">The corporate philosophy of IHG, which emphasizes sustainability, is intensively examined for its conformity to the global trends and the commitment of its managerial team in its execution. In this report, the criterion focuses on individual units of a hotel, including guest satisfaction, loyalty programs, and crisis management during the pandemic. The theoretical framework tools like the Porte's Five Forces and SWOT analysis (Strength, Weakness, Opportunities, Threats) give depth to the audit. Porter's model evaluates IHG's competitive environment as well as internal strengths, weaknesses and external opportunities and threats, which are identified in SWOT analysis. Generally, the audit outlines the strategic strengths of IHG and its areas where further improvements can be made to give the readers a better understanding of the company's grand graphics (Tan and </w:t>
      </w:r>
      <w:proofErr w:type="spellStart"/>
      <w:r w:rsidRPr="30FBB23E">
        <w:rPr>
          <w:rFonts w:ascii="Times New Roman" w:eastAsia="Times New Roman" w:hAnsi="Times New Roman" w:cs="Times New Roman"/>
          <w:sz w:val="24"/>
          <w:szCs w:val="24"/>
        </w:rPr>
        <w:t>Despotis</w:t>
      </w:r>
      <w:proofErr w:type="spellEnd"/>
      <w:r w:rsidRPr="30FBB23E">
        <w:rPr>
          <w:rFonts w:ascii="Times New Roman" w:eastAsia="Times New Roman" w:hAnsi="Times New Roman" w:cs="Times New Roman"/>
          <w:sz w:val="24"/>
          <w:szCs w:val="24"/>
        </w:rPr>
        <w:t xml:space="preserve">, 2021). Recommendations are suggested to increase the financial stability, sustainability practices, and crisis plans to both </w:t>
      </w:r>
      <w:r w:rsidRPr="30FBB23E">
        <w:rPr>
          <w:rFonts w:ascii="Times New Roman" w:eastAsia="Times New Roman" w:hAnsi="Times New Roman" w:cs="Times New Roman"/>
          <w:sz w:val="24"/>
          <w:szCs w:val="24"/>
        </w:rPr>
        <w:lastRenderedPageBreak/>
        <w:t xml:space="preserve">corporate and micro levels. The report will offer an essential guide for the stakeholders who wish to have any information about the IHG's strategic positioning and </w:t>
      </w:r>
      <w:proofErr w:type="gramStart"/>
      <w:r w:rsidRPr="30FBB23E">
        <w:rPr>
          <w:rFonts w:ascii="Times New Roman" w:eastAsia="Times New Roman" w:hAnsi="Times New Roman" w:cs="Times New Roman"/>
          <w:sz w:val="24"/>
          <w:szCs w:val="24"/>
        </w:rPr>
        <w:t>future prospects</w:t>
      </w:r>
      <w:proofErr w:type="gramEnd"/>
      <w:r w:rsidRPr="30FBB23E">
        <w:rPr>
          <w:rFonts w:ascii="Times New Roman" w:eastAsia="Times New Roman" w:hAnsi="Times New Roman" w:cs="Times New Roman"/>
          <w:sz w:val="24"/>
          <w:szCs w:val="24"/>
        </w:rPr>
        <w:t>.</w:t>
      </w:r>
    </w:p>
    <w:p w14:paraId="77966DA0" w14:textId="4ED2A2E1" w:rsidR="30FBB23E" w:rsidRDefault="30FBB23E" w:rsidP="30FBB23E">
      <w:pPr>
        <w:spacing w:line="480" w:lineRule="auto"/>
        <w:rPr>
          <w:rFonts w:ascii="Times New Roman" w:eastAsia="Times New Roman" w:hAnsi="Times New Roman" w:cs="Times New Roman"/>
          <w:b/>
          <w:bCs/>
          <w:sz w:val="24"/>
          <w:szCs w:val="24"/>
        </w:rPr>
      </w:pPr>
      <w:r w:rsidRPr="30FBB23E">
        <w:rPr>
          <w:rFonts w:ascii="Times New Roman" w:eastAsia="Times New Roman" w:hAnsi="Times New Roman" w:cs="Times New Roman"/>
          <w:b/>
          <w:bCs/>
          <w:sz w:val="24"/>
          <w:szCs w:val="24"/>
        </w:rPr>
        <w:t>Introduction</w:t>
      </w:r>
    </w:p>
    <w:p w14:paraId="721D51FC" w14:textId="17ADDEF0" w:rsidR="30FBB23E" w:rsidRDefault="30FBB23E" w:rsidP="30FBB23E">
      <w:pPr>
        <w:spacing w:line="480" w:lineRule="auto"/>
        <w:ind w:firstLine="720"/>
        <w:rPr>
          <w:rFonts w:ascii="Times New Roman" w:eastAsia="Times New Roman" w:hAnsi="Times New Roman" w:cs="Times New Roman"/>
          <w:b/>
          <w:bCs/>
          <w:sz w:val="24"/>
          <w:szCs w:val="24"/>
        </w:rPr>
      </w:pPr>
      <w:r w:rsidRPr="30FBB23E">
        <w:rPr>
          <w:rFonts w:ascii="Times New Roman" w:eastAsia="Times New Roman" w:hAnsi="Times New Roman" w:cs="Times New Roman"/>
          <w:sz w:val="24"/>
          <w:szCs w:val="24"/>
        </w:rPr>
        <w:t>In the fast-paced business environment of the international hospitality market, where customer experience and brand image are vital, IHG has proven to be a towering figure. This study concentrates on carrying out a rigorous external audit and analysis of IHG, a top hospitality-bubble outfit, which aims to examine the firm's corporate performance, financial resilience, sustainability initiatives, and response of the company to the unpredictable challenges posed by the COVID-19 epidemic. IHG is impressively marked by its brands’ range and the fact that it is spread globally. IHG accomplished this by committing to a guest experience ethos and endured a variety of industry transformations, which resulted in the ability to bounce back and thrive during the time. The audit hereby is based on the well-tested business and management concepts, using instruments like SWOT analysis or Porter's Five Forces model to disentangle IHG's competitive advantage. Globally, the rise of COVID-19, which brought disruptions like no other, forced a re-evaluation of the previous norms. IHG through its operations offers the industry an excellent case study for the analysis of crisis management in the hospitality world. In the light of sustainability turning into the focal point of corporate strategies, this report inspects IHG's incentives created to promote environmental friendliness and ethical trade.</w:t>
      </w:r>
    </w:p>
    <w:p w14:paraId="3C5EB882" w14:textId="425ED157" w:rsidR="30FBB23E" w:rsidRDefault="30FBB23E" w:rsidP="30FBB23E">
      <w:pPr>
        <w:spacing w:line="480" w:lineRule="auto"/>
        <w:rPr>
          <w:rFonts w:ascii="Times New Roman" w:eastAsia="Times New Roman" w:hAnsi="Times New Roman" w:cs="Times New Roman"/>
          <w:sz w:val="24"/>
          <w:szCs w:val="24"/>
        </w:rPr>
      </w:pPr>
      <w:r w:rsidRPr="30FBB23E">
        <w:rPr>
          <w:rFonts w:ascii="Times New Roman" w:eastAsia="Times New Roman" w:hAnsi="Times New Roman" w:cs="Times New Roman"/>
          <w:b/>
          <w:bCs/>
          <w:sz w:val="24"/>
          <w:szCs w:val="24"/>
        </w:rPr>
        <w:t>Corporate Overview</w:t>
      </w:r>
    </w:p>
    <w:p w14:paraId="56D8992E" w14:textId="445CBAE1" w:rsidR="30FBB23E" w:rsidRDefault="30FBB23E" w:rsidP="30FBB23E">
      <w:pPr>
        <w:spacing w:line="480" w:lineRule="auto"/>
        <w:ind w:firstLine="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 xml:space="preserve">With its big name in international hospitality industry, Intercontinental Hotels Group (IHG) has marked its place as a leading player, which has a broad array of brands, remarkable global presence, and unshakable dedication to providing remarkable guest service (Lončar &amp; </w:t>
      </w:r>
      <w:r w:rsidRPr="30FBB23E">
        <w:rPr>
          <w:rFonts w:ascii="Times New Roman" w:eastAsia="Times New Roman" w:hAnsi="Times New Roman" w:cs="Times New Roman"/>
          <w:sz w:val="24"/>
          <w:szCs w:val="24"/>
        </w:rPr>
        <w:lastRenderedPageBreak/>
        <w:t>Knežević, 2023). Having its origin in 2003, following the fusion of UK hotel names, the organization has witnessed aggressive growth and domination of the hospitality industry and thus set standards for excellence.</w:t>
      </w:r>
    </w:p>
    <w:p w14:paraId="4A989730" w14:textId="1DBF91A8" w:rsidR="30FBB23E" w:rsidRDefault="30FBB23E" w:rsidP="30FBB23E">
      <w:pPr>
        <w:spacing w:line="480" w:lineRule="auto"/>
        <w:ind w:firstLine="720"/>
        <w:rPr>
          <w:rFonts w:ascii="Times New Roman" w:eastAsia="Times New Roman" w:hAnsi="Times New Roman" w:cs="Times New Roman"/>
          <w:b/>
          <w:bCs/>
          <w:sz w:val="24"/>
          <w:szCs w:val="24"/>
        </w:rPr>
      </w:pPr>
      <w:r w:rsidRPr="30FBB23E">
        <w:rPr>
          <w:rFonts w:ascii="Times New Roman" w:eastAsia="Times New Roman" w:hAnsi="Times New Roman" w:cs="Times New Roman"/>
          <w:b/>
          <w:bCs/>
          <w:sz w:val="24"/>
          <w:szCs w:val="24"/>
        </w:rPr>
        <w:t xml:space="preserve"> </w:t>
      </w:r>
      <w:proofErr w:type="spellStart"/>
      <w:r w:rsidRPr="30FBB23E">
        <w:rPr>
          <w:rFonts w:ascii="Times New Roman" w:eastAsia="Times New Roman" w:hAnsi="Times New Roman" w:cs="Times New Roman"/>
          <w:b/>
          <w:bCs/>
          <w:sz w:val="24"/>
          <w:szCs w:val="24"/>
        </w:rPr>
        <w:t>i</w:t>
      </w:r>
      <w:proofErr w:type="spellEnd"/>
      <w:r w:rsidRPr="30FBB23E">
        <w:rPr>
          <w:rFonts w:ascii="Times New Roman" w:eastAsia="Times New Roman" w:hAnsi="Times New Roman" w:cs="Times New Roman"/>
          <w:b/>
          <w:bCs/>
          <w:sz w:val="24"/>
          <w:szCs w:val="24"/>
        </w:rPr>
        <w:t>) Corporate Strategy and Brand Diversification:</w:t>
      </w:r>
    </w:p>
    <w:p w14:paraId="0CAD3398" w14:textId="641B57E5" w:rsidR="30FBB23E" w:rsidRDefault="30FBB23E" w:rsidP="30FBB23E">
      <w:pPr>
        <w:spacing w:line="480" w:lineRule="auto"/>
        <w:ind w:firstLine="720"/>
      </w:pPr>
      <w:r w:rsidRPr="30FBB23E">
        <w:rPr>
          <w:rFonts w:ascii="Times New Roman" w:eastAsia="Times New Roman" w:hAnsi="Times New Roman" w:cs="Times New Roman"/>
          <w:sz w:val="24"/>
          <w:szCs w:val="24"/>
        </w:rPr>
        <w:t>Brand diversification and global expansion provide the strength for the corporate strategy of IHG (Lončar &amp; Knežević 2023). A wealth of brands owned by the company occupy a prominent position in the market, including brands like Intercontinental, Crowne Plaza, Holiday Inn, and many others, each targeting specific customer segments. This diverse strategy acts as a strategic hedge enabling IHG to take in all kinds of travelers and to adapt a consistent change in consumers taste and choice (Michael 2021). The group, by the emphasis which it puts on preserving the distinctive character of each of the brands while using synergies, becomes more resistant in the rivalry market.</w:t>
      </w:r>
    </w:p>
    <w:p w14:paraId="553E7E0A" w14:textId="4DE85032" w:rsidR="30FBB23E" w:rsidRDefault="30FBB23E" w:rsidP="30FBB23E">
      <w:pPr>
        <w:spacing w:line="480" w:lineRule="auto"/>
        <w:ind w:firstLine="720"/>
        <w:rPr>
          <w:rFonts w:ascii="Times New Roman" w:eastAsia="Times New Roman" w:hAnsi="Times New Roman" w:cs="Times New Roman"/>
          <w:b/>
          <w:bCs/>
          <w:sz w:val="24"/>
          <w:szCs w:val="24"/>
        </w:rPr>
      </w:pPr>
      <w:r w:rsidRPr="30FBB23E">
        <w:rPr>
          <w:rFonts w:ascii="Times New Roman" w:eastAsia="Times New Roman" w:hAnsi="Times New Roman" w:cs="Times New Roman"/>
          <w:b/>
          <w:bCs/>
          <w:sz w:val="24"/>
          <w:szCs w:val="24"/>
        </w:rPr>
        <w:t xml:space="preserve"> ii) Global Expansion and Market Leadership:</w:t>
      </w:r>
    </w:p>
    <w:p w14:paraId="47343EF9" w14:textId="51C0BEF1" w:rsidR="30FBB23E" w:rsidRDefault="30FBB23E" w:rsidP="30FBB23E">
      <w:pPr>
        <w:spacing w:line="480" w:lineRule="auto"/>
        <w:ind w:firstLine="720"/>
      </w:pPr>
      <w:r w:rsidRPr="30FBB23E">
        <w:rPr>
          <w:rFonts w:ascii="Times New Roman" w:eastAsia="Times New Roman" w:hAnsi="Times New Roman" w:cs="Times New Roman"/>
          <w:sz w:val="24"/>
          <w:szCs w:val="24"/>
        </w:rPr>
        <w:t>Global network of IHGs is evidence of its strategic purpose to expand into international markets (Lončar &amp; Knežević, 2023). With this kind of establishment, this group has a robust network of hotels, drawing from diverse cultures and meeting the diverse needs of the global clientele (Michel, 2021). For the expansion plan, it includes entry into the emerging markets and utilizing the rise of the crowd of middle class who aspire to have mid-scale and premium accommodations. This global outreach ultimately places IHG as a market leader, constantly shaping the industry norms and setting a precedent for service excellence.</w:t>
      </w:r>
    </w:p>
    <w:p w14:paraId="51DB10ED" w14:textId="6D40EAAE" w:rsidR="30FBB23E" w:rsidRDefault="30FBB23E" w:rsidP="30FBB23E">
      <w:pPr>
        <w:spacing w:line="480" w:lineRule="auto"/>
        <w:ind w:firstLine="720"/>
        <w:rPr>
          <w:rFonts w:ascii="Times New Roman" w:eastAsia="Times New Roman" w:hAnsi="Times New Roman" w:cs="Times New Roman"/>
          <w:b/>
          <w:bCs/>
          <w:sz w:val="24"/>
          <w:szCs w:val="24"/>
        </w:rPr>
      </w:pPr>
      <w:r w:rsidRPr="30FBB23E">
        <w:rPr>
          <w:rFonts w:ascii="Times New Roman" w:eastAsia="Times New Roman" w:hAnsi="Times New Roman" w:cs="Times New Roman"/>
          <w:b/>
          <w:bCs/>
          <w:sz w:val="24"/>
          <w:szCs w:val="24"/>
        </w:rPr>
        <w:t xml:space="preserve"> iii)Financial Performance and Resilience:</w:t>
      </w:r>
    </w:p>
    <w:p w14:paraId="342280FE" w14:textId="1FF3BF3C" w:rsidR="30FBB23E" w:rsidRDefault="30FBB23E" w:rsidP="30FBB23E">
      <w:pPr>
        <w:spacing w:line="480" w:lineRule="auto"/>
        <w:ind w:firstLine="720"/>
      </w:pPr>
      <w:r w:rsidRPr="30FBB23E">
        <w:rPr>
          <w:rFonts w:ascii="Times New Roman" w:eastAsia="Times New Roman" w:hAnsi="Times New Roman" w:cs="Times New Roman"/>
          <w:sz w:val="24"/>
          <w:szCs w:val="24"/>
        </w:rPr>
        <w:lastRenderedPageBreak/>
        <w:t>The audit of financial performance of IHG is a current activity that reflects the strength of IHG in a time of economic uncertainty (Seruna, 2022). Based on the use of financial metrics like revenue, profitability, and liquidity as the main inputs, the analysis assesses IHG's capacity to navigate the creative disruptions in their industry, with a special consideration of the effect of the COVID-19 pandemic. The organization's monetary strength, demonstrated by its ability to withstand downturns and to respond flexibly to changing market conditions, clearly speaks to the strategic acumen of management and their commitment to long-term sustainability.</w:t>
      </w:r>
    </w:p>
    <w:p w14:paraId="04B8A8FA" w14:textId="4C636585" w:rsidR="30FBB23E" w:rsidRDefault="30FBB23E" w:rsidP="30FBB23E">
      <w:pPr>
        <w:spacing w:line="480" w:lineRule="auto"/>
        <w:ind w:firstLine="720"/>
        <w:rPr>
          <w:rFonts w:ascii="Times New Roman" w:eastAsia="Times New Roman" w:hAnsi="Times New Roman" w:cs="Times New Roman"/>
          <w:b/>
          <w:bCs/>
          <w:sz w:val="24"/>
          <w:szCs w:val="24"/>
        </w:rPr>
      </w:pPr>
      <w:r w:rsidRPr="30FBB23E">
        <w:rPr>
          <w:rFonts w:ascii="Times New Roman" w:eastAsia="Times New Roman" w:hAnsi="Times New Roman" w:cs="Times New Roman"/>
          <w:b/>
          <w:bCs/>
          <w:sz w:val="24"/>
          <w:szCs w:val="24"/>
        </w:rPr>
        <w:t xml:space="preserve">  iv)Sustainability Practices:</w:t>
      </w:r>
    </w:p>
    <w:p w14:paraId="599B0801" w14:textId="6CCA5029" w:rsidR="30FBB23E" w:rsidRDefault="30FBB23E" w:rsidP="30FBB23E">
      <w:pPr>
        <w:spacing w:line="480" w:lineRule="auto"/>
        <w:ind w:firstLine="720"/>
      </w:pPr>
      <w:r w:rsidRPr="30FBB23E">
        <w:rPr>
          <w:rFonts w:ascii="Times New Roman" w:eastAsia="Times New Roman" w:hAnsi="Times New Roman" w:cs="Times New Roman"/>
          <w:sz w:val="24"/>
          <w:szCs w:val="24"/>
        </w:rPr>
        <w:t xml:space="preserve">IHG has shown leadership in integrating sustainable practices into its operational framework, demonstrating the company's alignment with global perspectives of responsible </w:t>
      </w:r>
      <w:proofErr w:type="spellStart"/>
      <w:r w:rsidRPr="30FBB23E">
        <w:rPr>
          <w:rFonts w:ascii="Times New Roman" w:eastAsia="Times New Roman" w:hAnsi="Times New Roman" w:cs="Times New Roman"/>
          <w:sz w:val="24"/>
          <w:szCs w:val="24"/>
        </w:rPr>
        <w:t>behaviour</w:t>
      </w:r>
      <w:proofErr w:type="spellEnd"/>
      <w:r w:rsidRPr="30FBB23E">
        <w:rPr>
          <w:rFonts w:ascii="Times New Roman" w:eastAsia="Times New Roman" w:hAnsi="Times New Roman" w:cs="Times New Roman"/>
          <w:sz w:val="24"/>
          <w:szCs w:val="24"/>
        </w:rPr>
        <w:t xml:space="preserve"> (</w:t>
      </w:r>
      <w:proofErr w:type="spellStart"/>
      <w:r w:rsidRPr="30FBB23E">
        <w:rPr>
          <w:rFonts w:ascii="Times New Roman" w:eastAsia="Times New Roman" w:hAnsi="Times New Roman" w:cs="Times New Roman"/>
          <w:sz w:val="24"/>
          <w:szCs w:val="24"/>
        </w:rPr>
        <w:t>Stoimenov</w:t>
      </w:r>
      <w:proofErr w:type="spellEnd"/>
      <w:r w:rsidRPr="30FBB23E">
        <w:rPr>
          <w:rFonts w:ascii="Times New Roman" w:eastAsia="Times New Roman" w:hAnsi="Times New Roman" w:cs="Times New Roman"/>
          <w:sz w:val="24"/>
          <w:szCs w:val="24"/>
        </w:rPr>
        <w:t>, 2023). They have these three-fold commitments to environmental stewardship, ethical sourcing, and community engagement that characterize a mindful CSR (Voegeli, 2021). IHG Green Engage program encourages hotels to take charge of managing their environmental impacts, thereby showing a proactive action to the reduction of the ecological footprint of the organization. Sustainability is now a major part of IHG’s corporate identity, which is understandable since it is beneficial for all green-minded consumers and stakeholders.</w:t>
      </w:r>
    </w:p>
    <w:p w14:paraId="1D7EBFA1" w14:textId="1FAFBB08" w:rsidR="30FBB23E" w:rsidRDefault="30FBB23E" w:rsidP="30FBB23E">
      <w:pPr>
        <w:spacing w:line="480" w:lineRule="auto"/>
        <w:rPr>
          <w:rFonts w:ascii="Times New Roman" w:eastAsia="Times New Roman" w:hAnsi="Times New Roman" w:cs="Times New Roman"/>
          <w:b/>
          <w:bCs/>
          <w:sz w:val="24"/>
          <w:szCs w:val="24"/>
        </w:rPr>
      </w:pPr>
      <w:r w:rsidRPr="30FBB23E">
        <w:rPr>
          <w:rFonts w:ascii="Times New Roman" w:eastAsia="Times New Roman" w:hAnsi="Times New Roman" w:cs="Times New Roman"/>
          <w:b/>
          <w:bCs/>
          <w:sz w:val="24"/>
          <w:szCs w:val="24"/>
        </w:rPr>
        <w:t xml:space="preserve"> Theoretical Frameworks and Models</w:t>
      </w:r>
    </w:p>
    <w:p w14:paraId="6241AD62" w14:textId="5BF0A871" w:rsidR="30FBB23E" w:rsidRDefault="30FBB23E" w:rsidP="30FBB23E">
      <w:pPr>
        <w:spacing w:line="480" w:lineRule="auto"/>
        <w:ind w:firstLine="720"/>
        <w:rPr>
          <w:rFonts w:ascii="Times New Roman" w:eastAsia="Times New Roman" w:hAnsi="Times New Roman" w:cs="Times New Roman"/>
          <w:sz w:val="24"/>
          <w:szCs w:val="24"/>
        </w:rPr>
      </w:pPr>
      <w:r w:rsidRPr="30FBB23E">
        <w:rPr>
          <w:rFonts w:ascii="Times New Roman" w:eastAsia="Times New Roman" w:hAnsi="Times New Roman" w:cs="Times New Roman"/>
          <w:b/>
          <w:bCs/>
          <w:sz w:val="24"/>
          <w:szCs w:val="24"/>
        </w:rPr>
        <w:t>Porter's Five Forces Analysis</w:t>
      </w:r>
    </w:p>
    <w:p w14:paraId="5D53C7CA" w14:textId="327B20DE" w:rsidR="30FBB23E" w:rsidRDefault="30FBB23E" w:rsidP="30FBB23E">
      <w:pPr>
        <w:spacing w:line="480" w:lineRule="auto"/>
        <w:rPr>
          <w:rFonts w:ascii="Times New Roman" w:eastAsia="Times New Roman" w:hAnsi="Times New Roman" w:cs="Times New Roman"/>
          <w:sz w:val="24"/>
          <w:szCs w:val="24"/>
        </w:rPr>
      </w:pPr>
      <w:proofErr w:type="spellStart"/>
      <w:r w:rsidRPr="30FBB23E">
        <w:rPr>
          <w:rFonts w:ascii="Times New Roman" w:eastAsia="Times New Roman" w:hAnsi="Times New Roman" w:cs="Times New Roman"/>
          <w:sz w:val="24"/>
          <w:szCs w:val="24"/>
        </w:rPr>
        <w:t>i</w:t>
      </w:r>
      <w:proofErr w:type="spellEnd"/>
      <w:r w:rsidRPr="30FBB23E">
        <w:rPr>
          <w:rFonts w:ascii="Times New Roman" w:eastAsia="Times New Roman" w:hAnsi="Times New Roman" w:cs="Times New Roman"/>
          <w:sz w:val="24"/>
          <w:szCs w:val="24"/>
        </w:rPr>
        <w:t>)Threat of New Entrants:</w:t>
      </w:r>
    </w:p>
    <w:p w14:paraId="125D934B" w14:textId="0160D2B5" w:rsidR="30FBB23E" w:rsidRDefault="30FBB23E" w:rsidP="30FBB23E">
      <w:pPr>
        <w:spacing w:line="480" w:lineRule="auto"/>
        <w:ind w:firstLine="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 xml:space="preserve">Since IHG has a significant brand portfolio and operates globally, its entry barriers are wide. The capital-intensive nature of setting up a hotel chain, as well as the significant investment in marketing and brand development, exposes newcomers to the market to the risk of </w:t>
      </w:r>
      <w:r w:rsidRPr="30FBB23E">
        <w:rPr>
          <w:rFonts w:ascii="Times New Roman" w:eastAsia="Times New Roman" w:hAnsi="Times New Roman" w:cs="Times New Roman"/>
          <w:sz w:val="24"/>
          <w:szCs w:val="24"/>
        </w:rPr>
        <w:lastRenderedPageBreak/>
        <w:t>being disadvantaged by incumbents. Also, the selectiveness of existing customers towards the well-known brands such as Intercontinental and Holiday Inn creates an obstacle for the new entries.</w:t>
      </w:r>
    </w:p>
    <w:p w14:paraId="616EA7C5" w14:textId="43DD9562" w:rsidR="30FBB23E" w:rsidRDefault="30FBB23E" w:rsidP="30FBB23E">
      <w:pPr>
        <w:spacing w:line="480" w:lineRule="auto"/>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ii) Bargaining Power of Buyers:</w:t>
      </w:r>
    </w:p>
    <w:p w14:paraId="18138B9E" w14:textId="2E61493E" w:rsidR="30FBB23E" w:rsidRDefault="30FBB23E" w:rsidP="30FBB23E">
      <w:pPr>
        <w:spacing w:line="480" w:lineRule="auto"/>
        <w:ind w:firstLine="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 xml:space="preserve">The negotiating power of the buyers in the hospitality industry is affected by brand loyalty, price sensitivity and the existence of alternatives. The diverse brand portfolio of IHG provides a platform to address different customer groups, which is a good strategy to avoid excessive buyer power (Mousavi et al. 2021). The loyalty programs like the IHG Rewards Club increase customer retention, thereby, reducing the likelihood of guests to leave the company due to the price. </w:t>
      </w:r>
    </w:p>
    <w:p w14:paraId="1494536C" w14:textId="4188D8EC" w:rsidR="30FBB23E" w:rsidRDefault="30FBB23E" w:rsidP="30FBB23E">
      <w:pPr>
        <w:spacing w:line="480" w:lineRule="auto"/>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iii) Bargaining Power of Suppliers:</w:t>
      </w:r>
    </w:p>
    <w:p w14:paraId="43625BDD" w14:textId="0475AA2B" w:rsidR="30FBB23E" w:rsidRDefault="30FBB23E" w:rsidP="30FBB23E">
      <w:pPr>
        <w:spacing w:line="480" w:lineRule="auto"/>
        <w:ind w:firstLine="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On the other hand, supplier relationship is essential for IHG, as these might be its manufacturers of furnishing and amenities, or technology-solutions providers. It is these suppliers that help IHG to provide the guests with flawless experience. The number of people of the group and its global influence gives the group leverage, and it can negotiate with the suppliers in a manner favorable for the group (Reidhead, 2020). This is further enhanced by IHG’s focus on sustainability, provision of services with suppliers who have similar values and forming harmonious partnerships in the continuation of mutual benefit.</w:t>
      </w:r>
    </w:p>
    <w:p w14:paraId="00CF8B30" w14:textId="1B02DDBE" w:rsidR="30FBB23E" w:rsidRDefault="30FBB23E" w:rsidP="30FBB23E">
      <w:pPr>
        <w:spacing w:line="480" w:lineRule="auto"/>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iv) Threat of Substitute Products or Services:</w:t>
      </w:r>
    </w:p>
    <w:p w14:paraId="0A718D5E" w14:textId="3B2F9DAF" w:rsidR="30FBB23E" w:rsidRDefault="30FBB23E" w:rsidP="30FBB23E">
      <w:pPr>
        <w:spacing w:line="480" w:lineRule="auto"/>
        <w:ind w:firstLine="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 xml:space="preserve">The alternative lodging options represent a moderate threat in the hotel industry, as vacation rentals and OTAs have various options for travelers to consider. IHG strives to succeed in this field of challenge by continuously innovating its services providing new experiences to </w:t>
      </w:r>
      <w:r w:rsidRPr="30FBB23E">
        <w:rPr>
          <w:rFonts w:ascii="Times New Roman" w:eastAsia="Times New Roman" w:hAnsi="Times New Roman" w:cs="Times New Roman"/>
          <w:sz w:val="24"/>
          <w:szCs w:val="24"/>
        </w:rPr>
        <w:lastRenderedPageBreak/>
        <w:t>the guests and investing in digital platforms. The loyalty programs also bring back the key point of differentiation that drives the substitutes away.</w:t>
      </w:r>
    </w:p>
    <w:p w14:paraId="0C14C1EE" w14:textId="638921D9" w:rsidR="30FBB23E" w:rsidRDefault="30FBB23E" w:rsidP="30FBB23E">
      <w:pPr>
        <w:spacing w:line="480" w:lineRule="auto"/>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 xml:space="preserve"> v) Intensity of Competitive Rivalry:</w:t>
      </w:r>
    </w:p>
    <w:p w14:paraId="4EB162B8" w14:textId="404A8C3B" w:rsidR="30FBB23E" w:rsidRDefault="30FBB23E" w:rsidP="30FBB23E">
      <w:pPr>
        <w:spacing w:line="480" w:lineRule="auto"/>
        <w:ind w:firstLine="720"/>
      </w:pPr>
      <w:r w:rsidRPr="30FBB23E">
        <w:rPr>
          <w:rFonts w:ascii="Times New Roman" w:eastAsia="Times New Roman" w:hAnsi="Times New Roman" w:cs="Times New Roman"/>
          <w:sz w:val="24"/>
          <w:szCs w:val="24"/>
        </w:rPr>
        <w:t>The hospitality sector is known for its hard competition, as many leading companies are fighting each other for market share. As IHG offers different brands, this company can be distinguished from the competitors and address a wider audience. Connections with technology suppliers, unique marketing tools, and a view towards environmental sustainability are what separate IHG from crowded competitors.</w:t>
      </w:r>
    </w:p>
    <w:p w14:paraId="7F9BB617" w14:textId="0410D7AE" w:rsidR="30FBB23E" w:rsidRDefault="30FBB23E" w:rsidP="30FBB23E">
      <w:pPr>
        <w:spacing w:line="480" w:lineRule="auto"/>
        <w:ind w:firstLine="720"/>
        <w:rPr>
          <w:rFonts w:ascii="Times New Roman" w:eastAsia="Times New Roman" w:hAnsi="Times New Roman" w:cs="Times New Roman"/>
          <w:b/>
          <w:bCs/>
          <w:sz w:val="24"/>
          <w:szCs w:val="24"/>
        </w:rPr>
      </w:pPr>
      <w:r w:rsidRPr="30FBB23E">
        <w:rPr>
          <w:rFonts w:ascii="Times New Roman" w:eastAsia="Times New Roman" w:hAnsi="Times New Roman" w:cs="Times New Roman"/>
          <w:b/>
          <w:bCs/>
          <w:sz w:val="24"/>
          <w:szCs w:val="24"/>
        </w:rPr>
        <w:t>SWOT Analysis</w:t>
      </w:r>
    </w:p>
    <w:p w14:paraId="17C8B89C" w14:textId="7983A2FB" w:rsidR="30FBB23E" w:rsidRDefault="30FBB23E" w:rsidP="30FBB23E">
      <w:pPr>
        <w:pStyle w:val="ListParagraph"/>
        <w:numPr>
          <w:ilvl w:val="0"/>
          <w:numId w:val="1"/>
        </w:numPr>
        <w:spacing w:line="480" w:lineRule="auto"/>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Strengths:</w:t>
      </w:r>
    </w:p>
    <w:p w14:paraId="63CE91CC" w14:textId="3E02AA66" w:rsidR="30FBB23E" w:rsidRDefault="30FBB23E" w:rsidP="30FBB23E">
      <w:pPr>
        <w:spacing w:line="480" w:lineRule="auto"/>
        <w:ind w:firstLine="720"/>
      </w:pPr>
      <w:r w:rsidRPr="30FBB23E">
        <w:rPr>
          <w:rFonts w:ascii="Times New Roman" w:eastAsia="Times New Roman" w:hAnsi="Times New Roman" w:cs="Times New Roman"/>
          <w:sz w:val="24"/>
          <w:szCs w:val="24"/>
        </w:rPr>
        <w:t>IHG has the advantage of its diverse brand line-up, scale and widespread footprint, and attention to environmental issues. Expanding different brand markets enables IHG to cover a wide market range, and its worldwide reach facilities it as a global hospitality leader. The adoption of an aggressive approach towards sustainability reinforces the group's image, in turn simulating the consumers with a sustainable mindset.</w:t>
      </w:r>
    </w:p>
    <w:p w14:paraId="22C14BBF" w14:textId="74FBA031" w:rsidR="30FBB23E" w:rsidRDefault="30FBB23E" w:rsidP="30FBB23E">
      <w:pPr>
        <w:pStyle w:val="ListParagraph"/>
        <w:numPr>
          <w:ilvl w:val="0"/>
          <w:numId w:val="1"/>
        </w:numPr>
        <w:spacing w:line="480" w:lineRule="auto"/>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Weaknesses:</w:t>
      </w:r>
    </w:p>
    <w:p w14:paraId="5520F709" w14:textId="58D9910E" w:rsidR="30FBB23E" w:rsidRDefault="30FBB23E" w:rsidP="30FBB23E">
      <w:pPr>
        <w:spacing w:line="480" w:lineRule="auto"/>
        <w:ind w:firstLine="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Operational challenges, vulnerability to world economic conditions and being debuted, and potential unforeseen events like COVID-19 pandemic become the weaknesses of IHG. The cyclical economy of the hospitality industry builds up IHG as a victim of economic recession times that affects its revenue and profitability (Eid and Agag, 2020). The recent issues presented by the pandemic accentuate the requisite of resilient models to grapple with the ups and downs.</w:t>
      </w:r>
    </w:p>
    <w:p w14:paraId="29E452D0" w14:textId="0313BA7C" w:rsidR="30FBB23E" w:rsidRDefault="30FBB23E" w:rsidP="30FBB23E">
      <w:pPr>
        <w:pStyle w:val="ListParagraph"/>
        <w:numPr>
          <w:ilvl w:val="0"/>
          <w:numId w:val="1"/>
        </w:numPr>
        <w:spacing w:line="480" w:lineRule="auto"/>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lastRenderedPageBreak/>
        <w:t>Opportunities:</w:t>
      </w:r>
    </w:p>
    <w:p w14:paraId="2403093C" w14:textId="6BB4F52A" w:rsidR="30FBB23E" w:rsidRDefault="30FBB23E" w:rsidP="30FBB23E">
      <w:pPr>
        <w:spacing w:line="480" w:lineRule="auto"/>
        <w:ind w:firstLine="720"/>
      </w:pPr>
      <w:r w:rsidRPr="30FBB23E">
        <w:rPr>
          <w:rFonts w:ascii="Times New Roman" w:eastAsia="Times New Roman" w:hAnsi="Times New Roman" w:cs="Times New Roman"/>
          <w:sz w:val="24"/>
          <w:szCs w:val="24"/>
        </w:rPr>
        <w:t>IHG will be able to make use of the developments in the hospitality industry like the growth in experiential travel and the emergence of cost-effective technology driven solutions. Moreover, the rising popularity of wellness and sustainability gives IHG an opportunity to invent new services and become a frontrunner in adaptation to developing consumer tendencies (Duric and Potočnik, 2021). Moreover, penetrating non-existent marketplaces and in-depth strategic partnerships are also factors that spur growth.</w:t>
      </w:r>
    </w:p>
    <w:p w14:paraId="21E3F0A2" w14:textId="6833F8F0" w:rsidR="30FBB23E" w:rsidRDefault="30FBB23E" w:rsidP="30FBB23E">
      <w:pPr>
        <w:pStyle w:val="ListParagraph"/>
        <w:numPr>
          <w:ilvl w:val="0"/>
          <w:numId w:val="1"/>
        </w:numPr>
        <w:spacing w:line="480" w:lineRule="auto"/>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Threats:</w:t>
      </w:r>
    </w:p>
    <w:p w14:paraId="07F7B06A" w14:textId="5DB7C40B" w:rsidR="30FBB23E" w:rsidRDefault="30FBB23E" w:rsidP="30FBB23E">
      <w:pPr>
        <w:spacing w:line="480" w:lineRule="auto"/>
        <w:ind w:firstLine="720"/>
      </w:pPr>
      <w:r w:rsidRPr="30FBB23E">
        <w:rPr>
          <w:rFonts w:ascii="Times New Roman" w:eastAsia="Times New Roman" w:hAnsi="Times New Roman" w:cs="Times New Roman"/>
          <w:sz w:val="24"/>
          <w:szCs w:val="24"/>
        </w:rPr>
        <w:t>One external threat of IHG is frenetic competition, economics slumps and geopolitical uncertainties. The competitive environment sets the pace of innovation to maintain the current status quo. Economic stresses, such as shown by the impact of the pandemic, illustrate the need for resilience. Geopolitical factors play a part in the stability of the organization globally. These include changes in regulations or travel restrictions.</w:t>
      </w:r>
    </w:p>
    <w:p w14:paraId="1FCF96F1" w14:textId="7540171A" w:rsidR="30FBB23E" w:rsidRDefault="30FBB23E" w:rsidP="30FBB23E">
      <w:pPr>
        <w:spacing w:line="480" w:lineRule="auto"/>
        <w:rPr>
          <w:rFonts w:ascii="Times New Roman" w:eastAsia="Times New Roman" w:hAnsi="Times New Roman" w:cs="Times New Roman"/>
          <w:b/>
          <w:bCs/>
          <w:sz w:val="24"/>
          <w:szCs w:val="24"/>
        </w:rPr>
      </w:pPr>
      <w:r w:rsidRPr="30FBB23E">
        <w:rPr>
          <w:rFonts w:ascii="Times New Roman" w:eastAsia="Times New Roman" w:hAnsi="Times New Roman" w:cs="Times New Roman"/>
          <w:b/>
          <w:bCs/>
          <w:sz w:val="24"/>
          <w:szCs w:val="24"/>
        </w:rPr>
        <w:t>Conclusion</w:t>
      </w:r>
    </w:p>
    <w:p w14:paraId="74B53287" w14:textId="4332755D" w:rsidR="30FBB23E" w:rsidRDefault="30FBB23E" w:rsidP="00E55661">
      <w:pPr>
        <w:spacing w:line="480" w:lineRule="auto"/>
        <w:ind w:firstLine="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 xml:space="preserve">As per wrap, IHG Hotel Group is characterized by a strong operational system that has the main pillars of operation which are strengths and strategic areas for improvement. IHG's broad brand portfolio, presence around the world, and its sustainability initiatives serve as a benchmark for the hospitality industry. Through Porter's Five Forces and SWOT analyses approaches, internal strengths and weaknesses contrasted to external opportunities and threats offer great insights into the competitive environment of the group. The tactical proposals highlighted are intended to provide IHG with the direction necessary for long-term success and sustenance. Through innovation adoption, sustainability orientation, collaboration development </w:t>
      </w:r>
      <w:r w:rsidRPr="30FBB23E">
        <w:rPr>
          <w:rFonts w:ascii="Times New Roman" w:eastAsia="Times New Roman" w:hAnsi="Times New Roman" w:cs="Times New Roman"/>
          <w:sz w:val="24"/>
          <w:szCs w:val="24"/>
        </w:rPr>
        <w:lastRenderedPageBreak/>
        <w:t>and pragmatism, IHG can match the industry’s challenges and emerge as the leading innovator in the market. Although the market is competitive and changing constantly, it is the IHG’s steadfastness on quality in combination with strategic readjustment that will remain critical in guaranteeing the company’s success and relevance. With the change of global hospitality scene, IHG emerges as the leader to innovate and transform the industry with strategic vision and operational leadership.</w:t>
      </w:r>
    </w:p>
    <w:p w14:paraId="0EC92D48" w14:textId="77777777" w:rsidR="0087724D" w:rsidRPr="0087724D" w:rsidRDefault="0087724D" w:rsidP="009D5AED">
      <w:pPr>
        <w:spacing w:line="480" w:lineRule="auto"/>
        <w:rPr>
          <w:rFonts w:ascii="Times New Roman" w:eastAsia="Times New Roman" w:hAnsi="Times New Roman" w:cs="Times New Roman"/>
          <w:b/>
          <w:bCs/>
          <w:sz w:val="24"/>
          <w:szCs w:val="24"/>
        </w:rPr>
      </w:pPr>
      <w:r w:rsidRPr="0087724D">
        <w:rPr>
          <w:rFonts w:ascii="Times New Roman" w:eastAsia="Times New Roman" w:hAnsi="Times New Roman" w:cs="Times New Roman"/>
          <w:b/>
          <w:bCs/>
          <w:sz w:val="24"/>
          <w:szCs w:val="24"/>
        </w:rPr>
        <w:t>Recommendations</w:t>
      </w:r>
    </w:p>
    <w:p w14:paraId="56DAD32F" w14:textId="77777777" w:rsidR="0087724D" w:rsidRPr="0087724D" w:rsidRDefault="0087724D" w:rsidP="0087724D">
      <w:pPr>
        <w:spacing w:line="480" w:lineRule="auto"/>
        <w:ind w:firstLine="720"/>
        <w:rPr>
          <w:rFonts w:ascii="Times New Roman" w:eastAsia="Times New Roman" w:hAnsi="Times New Roman" w:cs="Times New Roman"/>
          <w:sz w:val="24"/>
          <w:szCs w:val="24"/>
        </w:rPr>
      </w:pPr>
      <w:r w:rsidRPr="0087724D">
        <w:rPr>
          <w:rFonts w:ascii="Times New Roman" w:eastAsia="Times New Roman" w:hAnsi="Times New Roman" w:cs="Times New Roman"/>
          <w:sz w:val="24"/>
          <w:szCs w:val="24"/>
        </w:rPr>
        <w:t>Numerous suggestions arise from the systematic review of the business and management operations of the IHG, which are geared toward making the organization more competitive and sustainable in the long run. Firstly, IHG should remain innovation-driven and digitally transformed (Leyva and Parra, 2021). While adopting emerging technologies like AI and improving the customer digital experience are two key areas where IHG can differentiate itself from the competition, operating in an ever-changing hospitality environment.</w:t>
      </w:r>
    </w:p>
    <w:p w14:paraId="4824D5DE" w14:textId="23E49C79" w:rsidR="0087724D" w:rsidRDefault="0087724D" w:rsidP="0087724D">
      <w:pPr>
        <w:spacing w:line="480" w:lineRule="auto"/>
        <w:ind w:firstLine="720"/>
        <w:rPr>
          <w:rFonts w:ascii="Times New Roman" w:eastAsia="Times New Roman" w:hAnsi="Times New Roman" w:cs="Times New Roman"/>
          <w:sz w:val="24"/>
          <w:szCs w:val="24"/>
        </w:rPr>
      </w:pPr>
      <w:r w:rsidRPr="0087724D">
        <w:rPr>
          <w:rFonts w:ascii="Times New Roman" w:eastAsia="Times New Roman" w:hAnsi="Times New Roman" w:cs="Times New Roman"/>
          <w:sz w:val="24"/>
          <w:szCs w:val="24"/>
        </w:rPr>
        <w:t xml:space="preserve"> </w:t>
      </w:r>
      <w:r w:rsidRPr="0087724D">
        <w:rPr>
          <w:rFonts w:ascii="Times New Roman" w:eastAsia="Times New Roman" w:hAnsi="Times New Roman" w:cs="Times New Roman"/>
          <w:sz w:val="24"/>
          <w:szCs w:val="24"/>
        </w:rPr>
        <w:tab/>
        <w:t xml:space="preserve">In addition to that, the group is advised to cultivate its drive to sustainability. The trend of environmental awareness among consumers and their tendency of supporting eco-activities provides IHG with an opportunity to reap its benefits by strengthening its stance on responsible business operations, thus incorporating sustainability more actively into its programs and marketing strategies. Furthermore, such partnerships and collaborations within the industry </w:t>
      </w:r>
      <w:proofErr w:type="gramStart"/>
      <w:r w:rsidRPr="0087724D">
        <w:rPr>
          <w:rFonts w:ascii="Times New Roman" w:eastAsia="Times New Roman" w:hAnsi="Times New Roman" w:cs="Times New Roman"/>
          <w:sz w:val="24"/>
          <w:szCs w:val="24"/>
        </w:rPr>
        <w:t>are able to</w:t>
      </w:r>
      <w:proofErr w:type="gramEnd"/>
      <w:r w:rsidRPr="0087724D">
        <w:rPr>
          <w:rFonts w:ascii="Times New Roman" w:eastAsia="Times New Roman" w:hAnsi="Times New Roman" w:cs="Times New Roman"/>
          <w:sz w:val="24"/>
          <w:szCs w:val="24"/>
        </w:rPr>
        <w:t xml:space="preserve"> unveil some new opportunities. IHG incorporates partnerships with technology companies, travel platforms or endemic businesses. This enhances IHG.s options and expands the reach of different customers (Zhang et al., 2020). Additionally, the post-COVID era recovery underlines a need to be responsive and to explore new opportunities. IHG shall maintain flexibility in managing moving market dynamics, using data analytics for real-time </w:t>
      </w:r>
      <w:proofErr w:type="gramStart"/>
      <w:r w:rsidRPr="0087724D">
        <w:rPr>
          <w:rFonts w:ascii="Times New Roman" w:eastAsia="Times New Roman" w:hAnsi="Times New Roman" w:cs="Times New Roman"/>
          <w:sz w:val="24"/>
          <w:szCs w:val="24"/>
        </w:rPr>
        <w:t>monitoring</w:t>
      </w:r>
      <w:proofErr w:type="gramEnd"/>
      <w:r w:rsidRPr="0087724D">
        <w:rPr>
          <w:rFonts w:ascii="Times New Roman" w:eastAsia="Times New Roman" w:hAnsi="Times New Roman" w:cs="Times New Roman"/>
          <w:sz w:val="24"/>
          <w:szCs w:val="24"/>
        </w:rPr>
        <w:t xml:space="preserve"> </w:t>
      </w:r>
      <w:r w:rsidRPr="0087724D">
        <w:rPr>
          <w:rFonts w:ascii="Times New Roman" w:eastAsia="Times New Roman" w:hAnsi="Times New Roman" w:cs="Times New Roman"/>
          <w:sz w:val="24"/>
          <w:szCs w:val="24"/>
        </w:rPr>
        <w:lastRenderedPageBreak/>
        <w:t>and adjusting strategies to accommodate evolving trends. These suggestions go hand in hand with the IHG brand promise of delivering world-class services and generating value amid fluctuating demands and supply factors in the hospitality sector.</w:t>
      </w:r>
    </w:p>
    <w:p w14:paraId="775F6705" w14:textId="056BF700" w:rsidR="30FBB23E" w:rsidRDefault="30FBB23E">
      <w:r>
        <w:br w:type="page"/>
      </w:r>
    </w:p>
    <w:p w14:paraId="2B4E5FA2" w14:textId="6D70796F" w:rsidR="30FBB23E" w:rsidRDefault="30FBB23E" w:rsidP="30FBB23E">
      <w:pPr>
        <w:spacing w:line="480" w:lineRule="auto"/>
        <w:ind w:firstLine="720"/>
        <w:jc w:val="center"/>
        <w:rPr>
          <w:rFonts w:ascii="Times New Roman" w:eastAsia="Times New Roman" w:hAnsi="Times New Roman" w:cs="Times New Roman"/>
          <w:b/>
          <w:bCs/>
          <w:sz w:val="24"/>
          <w:szCs w:val="24"/>
        </w:rPr>
      </w:pPr>
      <w:r w:rsidRPr="30FBB23E">
        <w:rPr>
          <w:rFonts w:ascii="Times New Roman" w:eastAsia="Times New Roman" w:hAnsi="Times New Roman" w:cs="Times New Roman"/>
          <w:b/>
          <w:bCs/>
          <w:sz w:val="24"/>
          <w:szCs w:val="24"/>
        </w:rPr>
        <w:lastRenderedPageBreak/>
        <w:t>Reference</w:t>
      </w:r>
      <w:r w:rsidR="00D95E73">
        <w:rPr>
          <w:rFonts w:ascii="Times New Roman" w:eastAsia="Times New Roman" w:hAnsi="Times New Roman" w:cs="Times New Roman"/>
          <w:b/>
          <w:bCs/>
          <w:sz w:val="24"/>
          <w:szCs w:val="24"/>
        </w:rPr>
        <w:t>s</w:t>
      </w:r>
      <w:r w:rsidRPr="30FBB23E">
        <w:rPr>
          <w:rFonts w:ascii="Times New Roman" w:eastAsia="Times New Roman" w:hAnsi="Times New Roman" w:cs="Times New Roman"/>
          <w:b/>
          <w:bCs/>
          <w:sz w:val="24"/>
          <w:szCs w:val="24"/>
        </w:rPr>
        <w:t xml:space="preserve"> </w:t>
      </w:r>
    </w:p>
    <w:p w14:paraId="6C706FA3" w14:textId="64302E8B" w:rsidR="30FBB23E" w:rsidRDefault="30FBB23E" w:rsidP="30FBB23E">
      <w:pPr>
        <w:spacing w:line="480" w:lineRule="auto"/>
        <w:ind w:left="720" w:hanging="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Duric, Z., &amp; Topler, J. (2021). The role of performance and environmental sustainability indicators in hotel competitiveness. Sustainability, 13(12), 6574.</w:t>
      </w:r>
    </w:p>
    <w:p w14:paraId="00043F18" w14:textId="23C2EA73" w:rsidR="30FBB23E" w:rsidRDefault="30FBB23E" w:rsidP="30FBB23E">
      <w:pPr>
        <w:spacing w:line="480" w:lineRule="auto"/>
        <w:ind w:left="720" w:hanging="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 xml:space="preserve">Eid, R. and Agag, G., 2020. Determinants of innovative </w:t>
      </w:r>
      <w:proofErr w:type="spellStart"/>
      <w:r w:rsidRPr="30FBB23E">
        <w:rPr>
          <w:rFonts w:ascii="Times New Roman" w:eastAsia="Times New Roman" w:hAnsi="Times New Roman" w:cs="Times New Roman"/>
          <w:sz w:val="24"/>
          <w:szCs w:val="24"/>
        </w:rPr>
        <w:t>behaviour</w:t>
      </w:r>
      <w:proofErr w:type="spellEnd"/>
      <w:r w:rsidRPr="30FBB23E">
        <w:rPr>
          <w:rFonts w:ascii="Times New Roman" w:eastAsia="Times New Roman" w:hAnsi="Times New Roman" w:cs="Times New Roman"/>
          <w:sz w:val="24"/>
          <w:szCs w:val="24"/>
        </w:rPr>
        <w:t xml:space="preserve"> in the hotel industry: a cross-cultural study. International Journal of Hospitality Management, 91, p.102642.</w:t>
      </w:r>
    </w:p>
    <w:p w14:paraId="4577D01E" w14:textId="1CB055C7" w:rsidR="30FBB23E" w:rsidRDefault="30FBB23E" w:rsidP="30FBB23E">
      <w:pPr>
        <w:spacing w:line="480" w:lineRule="auto"/>
        <w:ind w:left="720" w:hanging="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Fuchs, M. (2022). Crisis communication and corporate social responsibility: a case study on IHG Hotels &amp; Resorts and what organizations can learn from Covid-19. (Doctoral dissertation).</w:t>
      </w:r>
    </w:p>
    <w:p w14:paraId="4F5B7161" w14:textId="03AFB604" w:rsidR="30FBB23E" w:rsidRDefault="30FBB23E" w:rsidP="30FBB23E">
      <w:pPr>
        <w:spacing w:line="480" w:lineRule="auto"/>
        <w:ind w:left="720" w:hanging="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Leyva, E.S. and Parra, D.P., 2021. Environmental approach in the hotel industry: Riding the wave of change. Sustainable Futures, 3, p.100050.</w:t>
      </w:r>
    </w:p>
    <w:p w14:paraId="60D91A91" w14:textId="0E39EEED" w:rsidR="30FBB23E" w:rsidRDefault="30FBB23E" w:rsidP="30FBB23E">
      <w:pPr>
        <w:spacing w:line="480" w:lineRule="auto"/>
        <w:ind w:left="720" w:hanging="720"/>
      </w:pPr>
      <w:r w:rsidRPr="30FBB23E">
        <w:rPr>
          <w:rFonts w:ascii="Times New Roman" w:eastAsia="Times New Roman" w:hAnsi="Times New Roman" w:cs="Times New Roman"/>
          <w:sz w:val="24"/>
          <w:szCs w:val="24"/>
        </w:rPr>
        <w:t xml:space="preserve">Lončar, J., &amp; Knežević, M. (2023). The influence of hotel room experience and loyalty recognition of guests by employees on overall guest satisfaction in IHG hotels. </w:t>
      </w:r>
      <w:proofErr w:type="spellStart"/>
      <w:r w:rsidRPr="30FBB23E">
        <w:rPr>
          <w:rFonts w:ascii="Times New Roman" w:eastAsia="Times New Roman" w:hAnsi="Times New Roman" w:cs="Times New Roman"/>
          <w:sz w:val="24"/>
          <w:szCs w:val="24"/>
        </w:rPr>
        <w:t>Turističko</w:t>
      </w:r>
      <w:proofErr w:type="spellEnd"/>
      <w:r w:rsidRPr="30FBB23E">
        <w:rPr>
          <w:rFonts w:ascii="Times New Roman" w:eastAsia="Times New Roman" w:hAnsi="Times New Roman" w:cs="Times New Roman"/>
          <w:sz w:val="24"/>
          <w:szCs w:val="24"/>
        </w:rPr>
        <w:t xml:space="preserve"> </w:t>
      </w:r>
      <w:proofErr w:type="spellStart"/>
      <w:r w:rsidRPr="30FBB23E">
        <w:rPr>
          <w:rFonts w:ascii="Times New Roman" w:eastAsia="Times New Roman" w:hAnsi="Times New Roman" w:cs="Times New Roman"/>
          <w:sz w:val="24"/>
          <w:szCs w:val="24"/>
        </w:rPr>
        <w:t>poslovanje</w:t>
      </w:r>
      <w:proofErr w:type="spellEnd"/>
      <w:r w:rsidRPr="30FBB23E">
        <w:rPr>
          <w:rFonts w:ascii="Times New Roman" w:eastAsia="Times New Roman" w:hAnsi="Times New Roman" w:cs="Times New Roman"/>
          <w:sz w:val="24"/>
          <w:szCs w:val="24"/>
        </w:rPr>
        <w:t>, (31), 33-38.</w:t>
      </w:r>
    </w:p>
    <w:p w14:paraId="2047CC29" w14:textId="06DE21EB" w:rsidR="30FBB23E" w:rsidRDefault="30FBB23E" w:rsidP="30FBB23E">
      <w:pPr>
        <w:spacing w:line="480" w:lineRule="auto"/>
        <w:ind w:left="720" w:hanging="720"/>
      </w:pPr>
      <w:r w:rsidRPr="30FBB23E">
        <w:rPr>
          <w:rFonts w:ascii="Times New Roman" w:eastAsia="Times New Roman" w:hAnsi="Times New Roman" w:cs="Times New Roman"/>
          <w:sz w:val="24"/>
          <w:szCs w:val="24"/>
        </w:rPr>
        <w:t>Michel, P. (2021). Intercontinental hotels group: time to check-in? - valuation in times of a global pandemic. (Doctoral dissertation).</w:t>
      </w:r>
    </w:p>
    <w:p w14:paraId="5EB4E19C" w14:textId="6FE30AC9" w:rsidR="30FBB23E" w:rsidRDefault="30FBB23E" w:rsidP="30FBB23E">
      <w:pPr>
        <w:spacing w:line="480" w:lineRule="auto"/>
        <w:ind w:left="720" w:hanging="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 xml:space="preserve">Mousavi, E.S., </w:t>
      </w:r>
      <w:proofErr w:type="spellStart"/>
      <w:r w:rsidRPr="30FBB23E">
        <w:rPr>
          <w:rFonts w:ascii="Times New Roman" w:eastAsia="Times New Roman" w:hAnsi="Times New Roman" w:cs="Times New Roman"/>
          <w:sz w:val="24"/>
          <w:szCs w:val="24"/>
        </w:rPr>
        <w:t>Hafezalkotob</w:t>
      </w:r>
      <w:proofErr w:type="spellEnd"/>
      <w:r w:rsidRPr="30FBB23E">
        <w:rPr>
          <w:rFonts w:ascii="Times New Roman" w:eastAsia="Times New Roman" w:hAnsi="Times New Roman" w:cs="Times New Roman"/>
          <w:sz w:val="24"/>
          <w:szCs w:val="24"/>
        </w:rPr>
        <w:t xml:space="preserve">, A., </w:t>
      </w:r>
      <w:proofErr w:type="spellStart"/>
      <w:r w:rsidRPr="30FBB23E">
        <w:rPr>
          <w:rFonts w:ascii="Times New Roman" w:eastAsia="Times New Roman" w:hAnsi="Times New Roman" w:cs="Times New Roman"/>
          <w:sz w:val="24"/>
          <w:szCs w:val="24"/>
        </w:rPr>
        <w:t>Makui</w:t>
      </w:r>
      <w:proofErr w:type="spellEnd"/>
      <w:r w:rsidRPr="30FBB23E">
        <w:rPr>
          <w:rFonts w:ascii="Times New Roman" w:eastAsia="Times New Roman" w:hAnsi="Times New Roman" w:cs="Times New Roman"/>
          <w:sz w:val="24"/>
          <w:szCs w:val="24"/>
        </w:rPr>
        <w:t>, A. and Sayadi, M.K., 2021. Hotel pricing decision in a competitive market under government intervention: A game theory approach. International Journal of Management Science and Engineering Management, 16(2), pp.83-93.</w:t>
      </w:r>
    </w:p>
    <w:p w14:paraId="71B90C2E" w14:textId="18BDF136" w:rsidR="30FBB23E" w:rsidRDefault="30FBB23E" w:rsidP="30FBB23E">
      <w:pPr>
        <w:spacing w:line="480" w:lineRule="auto"/>
        <w:ind w:left="720" w:hanging="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Reidhead, C., 2020. Impact of organizational culture on employee satisfaction: A case of Hilton hotel, United Kingdom. Journal of Economics and Business, 3(1).</w:t>
      </w:r>
    </w:p>
    <w:p w14:paraId="140EDB6B" w14:textId="03D5FBE2" w:rsidR="30FBB23E" w:rsidRDefault="30FBB23E" w:rsidP="30FBB23E">
      <w:pPr>
        <w:spacing w:line="480" w:lineRule="auto"/>
        <w:ind w:left="720" w:hanging="720"/>
      </w:pPr>
      <w:r w:rsidRPr="30FBB23E">
        <w:rPr>
          <w:rFonts w:ascii="Times New Roman" w:eastAsia="Times New Roman" w:hAnsi="Times New Roman" w:cs="Times New Roman"/>
          <w:sz w:val="24"/>
          <w:szCs w:val="24"/>
        </w:rPr>
        <w:lastRenderedPageBreak/>
        <w:t xml:space="preserve">Ruiz Molina, M. E., Belda-Miquel, S., </w:t>
      </w:r>
      <w:proofErr w:type="spellStart"/>
      <w:r w:rsidRPr="30FBB23E">
        <w:rPr>
          <w:rFonts w:ascii="Times New Roman" w:eastAsia="Times New Roman" w:hAnsi="Times New Roman" w:cs="Times New Roman"/>
          <w:sz w:val="24"/>
          <w:szCs w:val="24"/>
        </w:rPr>
        <w:t>Hytti</w:t>
      </w:r>
      <w:proofErr w:type="spellEnd"/>
      <w:r w:rsidRPr="30FBB23E">
        <w:rPr>
          <w:rFonts w:ascii="Times New Roman" w:eastAsia="Times New Roman" w:hAnsi="Times New Roman" w:cs="Times New Roman"/>
          <w:sz w:val="24"/>
          <w:szCs w:val="24"/>
        </w:rPr>
        <w:t>, A., &amp; Gil-Saura, I. (2022). Addressing sustainable food management in hotels: proposing a framework and examining hotel groups. British Food Journal, 124(2), 462-492.</w:t>
      </w:r>
    </w:p>
    <w:p w14:paraId="76049014" w14:textId="0E85D635" w:rsidR="30FBB23E" w:rsidRDefault="30FBB23E" w:rsidP="30FBB23E">
      <w:pPr>
        <w:spacing w:line="480" w:lineRule="auto"/>
        <w:ind w:left="720" w:hanging="720"/>
      </w:pPr>
      <w:r w:rsidRPr="30FBB23E">
        <w:rPr>
          <w:rFonts w:ascii="Times New Roman" w:eastAsia="Times New Roman" w:hAnsi="Times New Roman" w:cs="Times New Roman"/>
          <w:sz w:val="24"/>
          <w:szCs w:val="24"/>
        </w:rPr>
        <w:t xml:space="preserve">Seruna, A. (2022). Equity research on Intercontinental Hotels Group Plc - enduring the implications of Covid-19. (Master's dissertation). </w:t>
      </w:r>
    </w:p>
    <w:p w14:paraId="65A83013" w14:textId="20E3F998" w:rsidR="30FBB23E" w:rsidRDefault="30FBB23E" w:rsidP="30FBB23E">
      <w:pPr>
        <w:spacing w:line="480" w:lineRule="auto"/>
        <w:ind w:left="720" w:hanging="720"/>
      </w:pPr>
      <w:proofErr w:type="spellStart"/>
      <w:r w:rsidRPr="30FBB23E">
        <w:rPr>
          <w:rFonts w:ascii="Times New Roman" w:eastAsia="Times New Roman" w:hAnsi="Times New Roman" w:cs="Times New Roman"/>
          <w:sz w:val="24"/>
          <w:szCs w:val="24"/>
        </w:rPr>
        <w:t>Stoimenov</w:t>
      </w:r>
      <w:proofErr w:type="spellEnd"/>
      <w:r w:rsidRPr="30FBB23E">
        <w:rPr>
          <w:rFonts w:ascii="Times New Roman" w:eastAsia="Times New Roman" w:hAnsi="Times New Roman" w:cs="Times New Roman"/>
          <w:sz w:val="24"/>
          <w:szCs w:val="24"/>
        </w:rPr>
        <w:t xml:space="preserve">, V. (2023). Good practices in hotel branding – sustainability trends of Intercontinental Hotel Group. </w:t>
      </w:r>
      <w:proofErr w:type="spellStart"/>
      <w:r w:rsidRPr="30FBB23E">
        <w:rPr>
          <w:rFonts w:ascii="Times New Roman" w:eastAsia="Times New Roman" w:hAnsi="Times New Roman" w:cs="Times New Roman"/>
          <w:sz w:val="24"/>
          <w:szCs w:val="24"/>
        </w:rPr>
        <w:t>Предприемачество</w:t>
      </w:r>
      <w:proofErr w:type="spellEnd"/>
      <w:r w:rsidRPr="30FBB23E">
        <w:rPr>
          <w:rFonts w:ascii="Times New Roman" w:eastAsia="Times New Roman" w:hAnsi="Times New Roman" w:cs="Times New Roman"/>
          <w:sz w:val="24"/>
          <w:szCs w:val="24"/>
        </w:rPr>
        <w:t>, 11(1), 108-131.</w:t>
      </w:r>
    </w:p>
    <w:p w14:paraId="032540F6" w14:textId="34B0C1B7" w:rsidR="30FBB23E" w:rsidRDefault="30FBB23E" w:rsidP="30FBB23E">
      <w:pPr>
        <w:spacing w:line="480" w:lineRule="auto"/>
        <w:ind w:left="720" w:hanging="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 xml:space="preserve">Tan, Y. and </w:t>
      </w:r>
      <w:proofErr w:type="spellStart"/>
      <w:r w:rsidRPr="30FBB23E">
        <w:rPr>
          <w:rFonts w:ascii="Times New Roman" w:eastAsia="Times New Roman" w:hAnsi="Times New Roman" w:cs="Times New Roman"/>
          <w:sz w:val="24"/>
          <w:szCs w:val="24"/>
        </w:rPr>
        <w:t>Despotis</w:t>
      </w:r>
      <w:proofErr w:type="spellEnd"/>
      <w:r w:rsidRPr="30FBB23E">
        <w:rPr>
          <w:rFonts w:ascii="Times New Roman" w:eastAsia="Times New Roman" w:hAnsi="Times New Roman" w:cs="Times New Roman"/>
          <w:sz w:val="24"/>
          <w:szCs w:val="24"/>
        </w:rPr>
        <w:t>, D., 2021. Investigation of efficiency in the UK hotel industry: a network data envelopment analysis approach. International Journal of Contemporary Hospitality Management, 33(3), pp.1080-1104.</w:t>
      </w:r>
    </w:p>
    <w:p w14:paraId="33B58789" w14:textId="122CFD82" w:rsidR="30FBB23E" w:rsidRDefault="30FBB23E" w:rsidP="30FBB23E">
      <w:pPr>
        <w:spacing w:line="480" w:lineRule="auto"/>
        <w:ind w:left="720" w:hanging="720"/>
      </w:pPr>
      <w:r w:rsidRPr="30FBB23E">
        <w:rPr>
          <w:rFonts w:ascii="Times New Roman" w:eastAsia="Times New Roman" w:hAnsi="Times New Roman" w:cs="Times New Roman"/>
          <w:sz w:val="24"/>
          <w:szCs w:val="24"/>
        </w:rPr>
        <w:t>Jones, P., &amp; Comfort, D. (2021). Modern Slavery Statements and Leading UK Hotel Companies. Athens Journal of Tourism, 8(3), 147-162.</w:t>
      </w:r>
    </w:p>
    <w:p w14:paraId="7BBCDEDB" w14:textId="597662E5" w:rsidR="30FBB23E" w:rsidRDefault="30FBB23E" w:rsidP="30FBB23E">
      <w:pPr>
        <w:spacing w:line="480" w:lineRule="auto"/>
        <w:ind w:left="720" w:hanging="720"/>
      </w:pPr>
      <w:r w:rsidRPr="30FBB23E">
        <w:rPr>
          <w:rFonts w:ascii="Times New Roman" w:eastAsia="Times New Roman" w:hAnsi="Times New Roman" w:cs="Times New Roman"/>
          <w:sz w:val="24"/>
          <w:szCs w:val="24"/>
        </w:rPr>
        <w:t xml:space="preserve"> University of Nova School of Business and Economics. (2022). Results of 2020 Annual General Meeting. Available at http://hdl.handle.net/10362/140333.</w:t>
      </w:r>
    </w:p>
    <w:p w14:paraId="116DF5B2" w14:textId="1E67FD36" w:rsidR="30FBB23E" w:rsidRDefault="30FBB23E" w:rsidP="30FBB23E">
      <w:pPr>
        <w:spacing w:line="480" w:lineRule="auto"/>
        <w:ind w:left="720" w:hanging="720"/>
      </w:pPr>
      <w:r w:rsidRPr="30FBB23E">
        <w:rPr>
          <w:rFonts w:ascii="Times New Roman" w:eastAsia="Times New Roman" w:hAnsi="Times New Roman" w:cs="Times New Roman"/>
          <w:sz w:val="24"/>
          <w:szCs w:val="24"/>
        </w:rPr>
        <w:t xml:space="preserve">University of Nova School of Business and Economics. (2022). Crisis communication and corporate social responsibility: a case study on IHG Hotels &amp; Resorts and what organizations can learn from Covid-19. Available at </w:t>
      </w:r>
      <w:hyperlink r:id="rId8">
        <w:r w:rsidRPr="30FBB23E">
          <w:rPr>
            <w:rStyle w:val="Hyperlink"/>
            <w:rFonts w:ascii="Times New Roman" w:eastAsia="Times New Roman" w:hAnsi="Times New Roman" w:cs="Times New Roman"/>
            <w:sz w:val="24"/>
            <w:szCs w:val="24"/>
          </w:rPr>
          <w:t>http://hdl.handle.net/10400.14/37093</w:t>
        </w:r>
      </w:hyperlink>
      <w:r w:rsidRPr="30FBB23E">
        <w:rPr>
          <w:rFonts w:ascii="Times New Roman" w:eastAsia="Times New Roman" w:hAnsi="Times New Roman" w:cs="Times New Roman"/>
          <w:sz w:val="24"/>
          <w:szCs w:val="24"/>
        </w:rPr>
        <w:t>.</w:t>
      </w:r>
    </w:p>
    <w:p w14:paraId="5E61E386" w14:textId="16498118" w:rsidR="30FBB23E" w:rsidRDefault="30FBB23E" w:rsidP="30FBB23E">
      <w:pPr>
        <w:spacing w:line="480" w:lineRule="auto"/>
        <w:ind w:left="720" w:hanging="720"/>
      </w:pPr>
      <w:r w:rsidRPr="30FBB23E">
        <w:rPr>
          <w:rFonts w:ascii="Times New Roman" w:eastAsia="Times New Roman" w:hAnsi="Times New Roman" w:cs="Times New Roman"/>
          <w:sz w:val="24"/>
          <w:szCs w:val="24"/>
        </w:rPr>
        <w:t xml:space="preserve">University of Nova School of Business and Economics. (2022). GOOD PRACTICES IN HOTEL BRANDING – SUSTAINABILITY TRENDS OF THE </w:t>
      </w:r>
      <w:r w:rsidRPr="30FBB23E">
        <w:rPr>
          <w:rFonts w:ascii="Times New Roman" w:eastAsia="Times New Roman" w:hAnsi="Times New Roman" w:cs="Times New Roman"/>
          <w:sz w:val="24"/>
          <w:szCs w:val="24"/>
        </w:rPr>
        <w:lastRenderedPageBreak/>
        <w:t xml:space="preserve">INTERCONTINENTAL HOTEL GROUP. Available at http://hdl.handle.net/10362/140444. </w:t>
      </w:r>
    </w:p>
    <w:p w14:paraId="653B3947" w14:textId="2C69991C" w:rsidR="30FBB23E" w:rsidRDefault="30FBB23E" w:rsidP="30FBB23E">
      <w:pPr>
        <w:spacing w:line="480" w:lineRule="auto"/>
        <w:ind w:left="720" w:hanging="720"/>
      </w:pPr>
      <w:r w:rsidRPr="30FBB23E">
        <w:rPr>
          <w:rFonts w:ascii="Times New Roman" w:eastAsia="Times New Roman" w:hAnsi="Times New Roman" w:cs="Times New Roman"/>
          <w:sz w:val="24"/>
          <w:szCs w:val="24"/>
        </w:rPr>
        <w:t xml:space="preserve">University of Nova School of Business and Economics. (2022). Equity research on Intercontinental Hotels Group Plc - enduring the implications of Covid-19. Available at http://hdl.handle.net/10362/140478. </w:t>
      </w:r>
    </w:p>
    <w:p w14:paraId="02609CF6" w14:textId="0ACCD844" w:rsidR="30FBB23E" w:rsidRDefault="30FBB23E" w:rsidP="30FBB23E">
      <w:pPr>
        <w:spacing w:line="480" w:lineRule="auto"/>
        <w:ind w:left="720" w:hanging="720"/>
      </w:pPr>
      <w:r w:rsidRPr="30FBB23E">
        <w:rPr>
          <w:rFonts w:ascii="Times New Roman" w:eastAsia="Times New Roman" w:hAnsi="Times New Roman" w:cs="Times New Roman"/>
          <w:sz w:val="24"/>
          <w:szCs w:val="24"/>
        </w:rPr>
        <w:t xml:space="preserve">University of Nova School of Business and Economics. (2022). A Case Study of Knowledge Management Practices at the Intercontinental Hotels’ Group. Available at </w:t>
      </w:r>
      <w:hyperlink r:id="rId9">
        <w:r w:rsidRPr="30FBB23E">
          <w:rPr>
            <w:rStyle w:val="Hyperlink"/>
            <w:rFonts w:ascii="Times New Roman" w:eastAsia="Times New Roman" w:hAnsi="Times New Roman" w:cs="Times New Roman"/>
            <w:sz w:val="24"/>
            <w:szCs w:val="24"/>
          </w:rPr>
          <w:t>http://hdl.handle.net/10400.14/37093</w:t>
        </w:r>
      </w:hyperlink>
      <w:r w:rsidRPr="30FBB23E">
        <w:rPr>
          <w:rFonts w:ascii="Times New Roman" w:eastAsia="Times New Roman" w:hAnsi="Times New Roman" w:cs="Times New Roman"/>
          <w:sz w:val="24"/>
          <w:szCs w:val="24"/>
        </w:rPr>
        <w:t>.</w:t>
      </w:r>
    </w:p>
    <w:p w14:paraId="5F04B756" w14:textId="3CF9D5E2" w:rsidR="30FBB23E" w:rsidRDefault="30FBB23E" w:rsidP="30FBB23E">
      <w:pPr>
        <w:spacing w:line="480" w:lineRule="auto"/>
        <w:ind w:left="720" w:hanging="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Voegeli, C. (2021). A Case Study of Knowledge Management Practices at the Intercontinental Hotels’ Group. Available at SSRN 3819409.</w:t>
      </w:r>
    </w:p>
    <w:p w14:paraId="64A57EAB" w14:textId="27C3CA19" w:rsidR="30FBB23E" w:rsidRDefault="30FBB23E" w:rsidP="30FBB23E">
      <w:pPr>
        <w:spacing w:line="480" w:lineRule="auto"/>
        <w:ind w:left="720" w:hanging="720"/>
        <w:rPr>
          <w:rFonts w:ascii="Times New Roman" w:eastAsia="Times New Roman" w:hAnsi="Times New Roman" w:cs="Times New Roman"/>
          <w:sz w:val="24"/>
          <w:szCs w:val="24"/>
        </w:rPr>
      </w:pPr>
      <w:r w:rsidRPr="30FBB23E">
        <w:rPr>
          <w:rFonts w:ascii="Times New Roman" w:eastAsia="Times New Roman" w:hAnsi="Times New Roman" w:cs="Times New Roman"/>
          <w:sz w:val="24"/>
          <w:szCs w:val="24"/>
        </w:rPr>
        <w:t>Zhang, F., Xiao, Q., Law, R. and Lee, S., 2020. Mergers and acquisitions in the hotel industry: A comprehensive review. International Journal of Hospitality Management, 91, p.102418.</w:t>
      </w:r>
    </w:p>
    <w:p w14:paraId="2D1E20E8" w14:textId="5E74FA6C" w:rsidR="30FBB23E" w:rsidRDefault="30FBB23E" w:rsidP="30FBB23E">
      <w:pPr>
        <w:spacing w:line="480" w:lineRule="auto"/>
        <w:ind w:left="720" w:hanging="720"/>
        <w:rPr>
          <w:rFonts w:ascii="Times New Roman" w:eastAsia="Times New Roman" w:hAnsi="Times New Roman" w:cs="Times New Roman"/>
          <w:b/>
          <w:bCs/>
          <w:sz w:val="24"/>
          <w:szCs w:val="24"/>
        </w:rPr>
      </w:pPr>
    </w:p>
    <w:p w14:paraId="0C03E7CC" w14:textId="78EF76CC" w:rsidR="30FBB23E" w:rsidRDefault="30FBB23E" w:rsidP="30FBB23E">
      <w:pPr>
        <w:spacing w:line="480" w:lineRule="auto"/>
        <w:ind w:left="720" w:hanging="720"/>
        <w:rPr>
          <w:rFonts w:ascii="Times New Roman" w:eastAsia="Times New Roman" w:hAnsi="Times New Roman" w:cs="Times New Roman"/>
          <w:b/>
          <w:bCs/>
          <w:sz w:val="24"/>
          <w:szCs w:val="24"/>
        </w:rPr>
      </w:pPr>
    </w:p>
    <w:p w14:paraId="1211D48A" w14:textId="30DD15B2" w:rsidR="30FBB23E" w:rsidRDefault="30FBB23E" w:rsidP="30FBB23E">
      <w:pPr>
        <w:spacing w:line="480" w:lineRule="auto"/>
        <w:ind w:left="720" w:hanging="720"/>
        <w:rPr>
          <w:rFonts w:ascii="Times New Roman" w:eastAsia="Times New Roman" w:hAnsi="Times New Roman" w:cs="Times New Roman"/>
          <w:sz w:val="24"/>
          <w:szCs w:val="24"/>
        </w:rPr>
      </w:pPr>
    </w:p>
    <w:p w14:paraId="73A7B25D" w14:textId="66803D96" w:rsidR="30FBB23E" w:rsidRDefault="30FBB23E" w:rsidP="30FBB23E">
      <w:pPr>
        <w:spacing w:line="480" w:lineRule="auto"/>
        <w:ind w:left="720" w:hanging="720"/>
        <w:rPr>
          <w:rFonts w:ascii="Times New Roman" w:eastAsia="Times New Roman" w:hAnsi="Times New Roman" w:cs="Times New Roman"/>
          <w:sz w:val="24"/>
          <w:szCs w:val="24"/>
        </w:rPr>
      </w:pPr>
    </w:p>
    <w:p w14:paraId="55C4F9F7" w14:textId="52B683CF" w:rsidR="30FBB23E" w:rsidRDefault="30FBB23E" w:rsidP="30FBB23E">
      <w:pPr>
        <w:spacing w:line="480" w:lineRule="auto"/>
        <w:rPr>
          <w:rFonts w:ascii="Times New Roman" w:eastAsia="Times New Roman" w:hAnsi="Times New Roman" w:cs="Times New Roman"/>
          <w:sz w:val="24"/>
          <w:szCs w:val="24"/>
        </w:rPr>
      </w:pPr>
    </w:p>
    <w:sectPr w:rsidR="30FBB23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03CDA" w14:textId="77777777" w:rsidR="00BE3B05" w:rsidRDefault="00BE3B05" w:rsidP="00B01A83">
      <w:pPr>
        <w:spacing w:after="0" w:line="240" w:lineRule="auto"/>
      </w:pPr>
      <w:r>
        <w:separator/>
      </w:r>
    </w:p>
  </w:endnote>
  <w:endnote w:type="continuationSeparator" w:id="0">
    <w:p w14:paraId="2BE1356E" w14:textId="77777777" w:rsidR="00BE3B05" w:rsidRDefault="00BE3B05" w:rsidP="00B01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524133"/>
      <w:docPartObj>
        <w:docPartGallery w:val="Page Numbers (Bottom of Page)"/>
        <w:docPartUnique/>
      </w:docPartObj>
    </w:sdtPr>
    <w:sdtEndPr>
      <w:rPr>
        <w:noProof/>
      </w:rPr>
    </w:sdtEndPr>
    <w:sdtContent>
      <w:p w14:paraId="7EC68C2D" w14:textId="1B433055" w:rsidR="00B01A83" w:rsidRDefault="00B01A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8A8FC0" w14:textId="77777777" w:rsidR="00B01A83" w:rsidRDefault="00B01A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4A6BF" w14:textId="77777777" w:rsidR="00BE3B05" w:rsidRDefault="00BE3B05" w:rsidP="00B01A83">
      <w:pPr>
        <w:spacing w:after="0" w:line="240" w:lineRule="auto"/>
      </w:pPr>
      <w:r>
        <w:separator/>
      </w:r>
    </w:p>
  </w:footnote>
  <w:footnote w:type="continuationSeparator" w:id="0">
    <w:p w14:paraId="65814E72" w14:textId="77777777" w:rsidR="00BE3B05" w:rsidRDefault="00BE3B05" w:rsidP="00B01A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955B35"/>
    <w:multiLevelType w:val="hybridMultilevel"/>
    <w:tmpl w:val="323448B6"/>
    <w:lvl w:ilvl="0" w:tplc="065AFB30">
      <w:start w:val="1"/>
      <w:numFmt w:val="lowerRoman"/>
      <w:lvlText w:val="%1)"/>
      <w:lvlJc w:val="left"/>
      <w:pPr>
        <w:ind w:left="720" w:hanging="360"/>
      </w:pPr>
    </w:lvl>
    <w:lvl w:ilvl="1" w:tplc="0CD49D48">
      <w:start w:val="1"/>
      <w:numFmt w:val="lowerLetter"/>
      <w:lvlText w:val="%2."/>
      <w:lvlJc w:val="left"/>
      <w:pPr>
        <w:ind w:left="1440" w:hanging="360"/>
      </w:pPr>
    </w:lvl>
    <w:lvl w:ilvl="2" w:tplc="6F3A7F9A">
      <w:start w:val="1"/>
      <w:numFmt w:val="lowerRoman"/>
      <w:lvlText w:val="%3."/>
      <w:lvlJc w:val="right"/>
      <w:pPr>
        <w:ind w:left="2160" w:hanging="180"/>
      </w:pPr>
    </w:lvl>
    <w:lvl w:ilvl="3" w:tplc="A57036AA">
      <w:start w:val="1"/>
      <w:numFmt w:val="decimal"/>
      <w:lvlText w:val="%4."/>
      <w:lvlJc w:val="left"/>
      <w:pPr>
        <w:ind w:left="2880" w:hanging="360"/>
      </w:pPr>
    </w:lvl>
    <w:lvl w:ilvl="4" w:tplc="939C4F6A">
      <w:start w:val="1"/>
      <w:numFmt w:val="lowerLetter"/>
      <w:lvlText w:val="%5."/>
      <w:lvlJc w:val="left"/>
      <w:pPr>
        <w:ind w:left="3600" w:hanging="360"/>
      </w:pPr>
    </w:lvl>
    <w:lvl w:ilvl="5" w:tplc="15A6CE20">
      <w:start w:val="1"/>
      <w:numFmt w:val="lowerRoman"/>
      <w:lvlText w:val="%6."/>
      <w:lvlJc w:val="right"/>
      <w:pPr>
        <w:ind w:left="4320" w:hanging="180"/>
      </w:pPr>
    </w:lvl>
    <w:lvl w:ilvl="6" w:tplc="486E0AA2">
      <w:start w:val="1"/>
      <w:numFmt w:val="decimal"/>
      <w:lvlText w:val="%7."/>
      <w:lvlJc w:val="left"/>
      <w:pPr>
        <w:ind w:left="5040" w:hanging="360"/>
      </w:pPr>
    </w:lvl>
    <w:lvl w:ilvl="7" w:tplc="53A4107E">
      <w:start w:val="1"/>
      <w:numFmt w:val="lowerLetter"/>
      <w:lvlText w:val="%8."/>
      <w:lvlJc w:val="left"/>
      <w:pPr>
        <w:ind w:left="5760" w:hanging="360"/>
      </w:pPr>
    </w:lvl>
    <w:lvl w:ilvl="8" w:tplc="2DAA58A4">
      <w:start w:val="1"/>
      <w:numFmt w:val="lowerRoman"/>
      <w:lvlText w:val="%9."/>
      <w:lvlJc w:val="right"/>
      <w:pPr>
        <w:ind w:left="6480" w:hanging="180"/>
      </w:pPr>
    </w:lvl>
  </w:abstractNum>
  <w:num w:numId="1" w16cid:durableId="2041974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47840E"/>
    <w:rsid w:val="00081A1D"/>
    <w:rsid w:val="000906DC"/>
    <w:rsid w:val="001203F7"/>
    <w:rsid w:val="001D757C"/>
    <w:rsid w:val="001E3C89"/>
    <w:rsid w:val="00201EBF"/>
    <w:rsid w:val="0023283F"/>
    <w:rsid w:val="00276C65"/>
    <w:rsid w:val="00337E18"/>
    <w:rsid w:val="00436FCD"/>
    <w:rsid w:val="0049050B"/>
    <w:rsid w:val="00533F31"/>
    <w:rsid w:val="005670AB"/>
    <w:rsid w:val="005C163A"/>
    <w:rsid w:val="00686C91"/>
    <w:rsid w:val="00704501"/>
    <w:rsid w:val="0075322F"/>
    <w:rsid w:val="00767109"/>
    <w:rsid w:val="007E5FC8"/>
    <w:rsid w:val="0087724D"/>
    <w:rsid w:val="00881BDE"/>
    <w:rsid w:val="008C0D39"/>
    <w:rsid w:val="00914155"/>
    <w:rsid w:val="009D5AED"/>
    <w:rsid w:val="00AD25D4"/>
    <w:rsid w:val="00B01A83"/>
    <w:rsid w:val="00B264AA"/>
    <w:rsid w:val="00B54A42"/>
    <w:rsid w:val="00BE3B05"/>
    <w:rsid w:val="00C0662D"/>
    <w:rsid w:val="00C72DAF"/>
    <w:rsid w:val="00D27F95"/>
    <w:rsid w:val="00D43DAF"/>
    <w:rsid w:val="00D95E73"/>
    <w:rsid w:val="00E123BC"/>
    <w:rsid w:val="00E2739D"/>
    <w:rsid w:val="00E55661"/>
    <w:rsid w:val="00EC4F28"/>
    <w:rsid w:val="00F0509A"/>
    <w:rsid w:val="30FBB23E"/>
    <w:rsid w:val="48478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6019B"/>
  <w15:chartTrackingRefBased/>
  <w15:docId w15:val="{80AD490C-FFBC-4EC2-90E9-9821B3F45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5F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B01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A83"/>
  </w:style>
  <w:style w:type="paragraph" w:styleId="Footer">
    <w:name w:val="footer"/>
    <w:basedOn w:val="Normal"/>
    <w:link w:val="FooterChar"/>
    <w:uiPriority w:val="99"/>
    <w:unhideWhenUsed/>
    <w:rsid w:val="00B01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A83"/>
  </w:style>
  <w:style w:type="character" w:customStyle="1" w:styleId="Heading1Char">
    <w:name w:val="Heading 1 Char"/>
    <w:basedOn w:val="DefaultParagraphFont"/>
    <w:link w:val="Heading1"/>
    <w:uiPriority w:val="9"/>
    <w:rsid w:val="007E5F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5FC8"/>
    <w:pPr>
      <w:outlineLvl w:val="9"/>
    </w:pPr>
  </w:style>
  <w:style w:type="paragraph" w:styleId="TOC1">
    <w:name w:val="toc 1"/>
    <w:basedOn w:val="Normal"/>
    <w:next w:val="Normal"/>
    <w:autoRedefine/>
    <w:uiPriority w:val="39"/>
    <w:unhideWhenUsed/>
    <w:rsid w:val="0075322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0400.14/3709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hdl.handle.net/10400.14/370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C50EB-2A0C-4D39-A68F-6C1B37644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2895</Words>
  <Characters>16502</Characters>
  <Application>Microsoft Office Word</Application>
  <DocSecurity>0</DocSecurity>
  <Lines>137</Lines>
  <Paragraphs>38</Paragraphs>
  <ScaleCrop>false</ScaleCrop>
  <Company/>
  <LinksUpToDate>false</LinksUpToDate>
  <CharactersWithSpaces>19359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Chiriac</cp:lastModifiedBy>
  <cp:revision>38</cp:revision>
  <dcterms:created xsi:type="dcterms:W3CDTF">2024-02-28T17:08:00Z</dcterms:created>
  <dcterms:modified xsi:type="dcterms:W3CDTF">2024-02-29T22:09:00Z</dcterms:modified>
</cp:coreProperties>
</file>