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A75B1" w14:textId="77777777" w:rsidR="00EC5B3C" w:rsidRPr="008D1938" w:rsidRDefault="00EC5B3C" w:rsidP="008D1938">
      <w:pPr>
        <w:jc w:val="left"/>
        <w:rPr>
          <w:rFonts w:cs="Arial"/>
          <w:b/>
          <w:sz w:val="24"/>
          <w:szCs w:val="24"/>
        </w:rPr>
      </w:pPr>
    </w:p>
    <w:p w14:paraId="265868E3" w14:textId="77777777" w:rsidR="00EC5B3C" w:rsidRPr="008D1938" w:rsidRDefault="00EC5B3C" w:rsidP="008D1938">
      <w:pPr>
        <w:jc w:val="left"/>
        <w:rPr>
          <w:rFonts w:cs="Arial"/>
          <w:b/>
          <w:sz w:val="24"/>
          <w:szCs w:val="24"/>
        </w:rPr>
      </w:pPr>
    </w:p>
    <w:p w14:paraId="0DC6A9E3" w14:textId="38EF9CB6" w:rsidR="00EC5B3C" w:rsidRPr="008D1938" w:rsidRDefault="00EC5B3C" w:rsidP="008D1938">
      <w:pPr>
        <w:jc w:val="center"/>
        <w:rPr>
          <w:rFonts w:cs="Arial"/>
          <w:sz w:val="24"/>
          <w:szCs w:val="24"/>
        </w:rPr>
      </w:pPr>
      <w:r w:rsidRPr="008D1938">
        <w:rPr>
          <w:rFonts w:cs="Arial"/>
          <w:b/>
          <w:sz w:val="24"/>
          <w:szCs w:val="24"/>
        </w:rPr>
        <w:t xml:space="preserve">Name: </w:t>
      </w:r>
      <w:r w:rsidRPr="008D1938">
        <w:rPr>
          <w:rFonts w:cs="Arial"/>
          <w:b/>
          <w:bCs/>
          <w:sz w:val="24"/>
          <w:szCs w:val="24"/>
        </w:rPr>
        <w:t>Jude Adimonye Ubanii</w:t>
      </w:r>
    </w:p>
    <w:p w14:paraId="19702316" w14:textId="0BB56CC0" w:rsidR="00EC5B3C" w:rsidRPr="008D1938" w:rsidRDefault="00EC5B3C" w:rsidP="008D1938">
      <w:pPr>
        <w:jc w:val="center"/>
        <w:rPr>
          <w:rFonts w:cs="Arial"/>
          <w:b/>
          <w:bCs/>
          <w:sz w:val="24"/>
          <w:szCs w:val="24"/>
        </w:rPr>
      </w:pPr>
      <w:r w:rsidRPr="008D1938">
        <w:rPr>
          <w:rFonts w:cs="Arial"/>
          <w:b/>
          <w:sz w:val="24"/>
          <w:szCs w:val="24"/>
        </w:rPr>
        <w:t xml:space="preserve">Student ID: </w:t>
      </w:r>
      <w:r w:rsidRPr="008D1938">
        <w:rPr>
          <w:rFonts w:cs="Arial"/>
          <w:b/>
          <w:bCs/>
          <w:sz w:val="24"/>
          <w:szCs w:val="24"/>
        </w:rPr>
        <w:t>23</w:t>
      </w:r>
      <w:r w:rsidRPr="008D1938">
        <w:rPr>
          <w:rFonts w:cs="Arial"/>
          <w:b/>
          <w:bCs/>
          <w:sz w:val="24"/>
          <w:szCs w:val="24"/>
        </w:rPr>
        <w:t>205</w:t>
      </w:r>
      <w:r w:rsidRPr="008D1938">
        <w:rPr>
          <w:rFonts w:cs="Arial"/>
          <w:b/>
          <w:bCs/>
          <w:sz w:val="24"/>
          <w:szCs w:val="24"/>
        </w:rPr>
        <w:t>39</w:t>
      </w:r>
    </w:p>
    <w:p w14:paraId="7DFED09D" w14:textId="77777777" w:rsidR="00EC5B3C" w:rsidRPr="008D1938" w:rsidRDefault="00EC5B3C" w:rsidP="008D1938">
      <w:pPr>
        <w:jc w:val="center"/>
        <w:rPr>
          <w:rFonts w:cs="Arial"/>
          <w:sz w:val="24"/>
          <w:szCs w:val="24"/>
        </w:rPr>
      </w:pPr>
      <w:proofErr w:type="spellStart"/>
      <w:r w:rsidRPr="008D1938">
        <w:rPr>
          <w:rFonts w:cs="Arial"/>
          <w:b/>
          <w:sz w:val="24"/>
          <w:szCs w:val="24"/>
        </w:rPr>
        <w:t>Programme</w:t>
      </w:r>
      <w:proofErr w:type="spellEnd"/>
      <w:r w:rsidRPr="008D1938">
        <w:rPr>
          <w:rFonts w:cs="Arial"/>
          <w:b/>
          <w:sz w:val="24"/>
          <w:szCs w:val="24"/>
        </w:rPr>
        <w:t xml:space="preserve">: </w:t>
      </w:r>
      <w:r w:rsidRPr="008D1938">
        <w:rPr>
          <w:rFonts w:cs="Arial"/>
          <w:b/>
          <w:bCs/>
          <w:sz w:val="24"/>
          <w:szCs w:val="24"/>
        </w:rPr>
        <w:t>BSc (Hons) Health and Social Care</w:t>
      </w:r>
    </w:p>
    <w:p w14:paraId="33961E22" w14:textId="2136B29D" w:rsidR="00EC5B3C" w:rsidRPr="008D1938" w:rsidRDefault="00EC5B3C" w:rsidP="008D1938">
      <w:pPr>
        <w:jc w:val="center"/>
        <w:rPr>
          <w:rFonts w:cs="Arial"/>
          <w:sz w:val="24"/>
          <w:szCs w:val="24"/>
        </w:rPr>
      </w:pPr>
      <w:r w:rsidRPr="008D1938">
        <w:rPr>
          <w:rFonts w:cs="Arial"/>
          <w:b/>
          <w:sz w:val="24"/>
          <w:szCs w:val="24"/>
        </w:rPr>
        <w:t xml:space="preserve">Module Code: </w:t>
      </w:r>
      <w:r w:rsidRPr="008D1938">
        <w:rPr>
          <w:rFonts w:cs="Arial"/>
          <w:b/>
          <w:bCs/>
          <w:sz w:val="24"/>
          <w:szCs w:val="24"/>
        </w:rPr>
        <w:t>BMHP60</w:t>
      </w:r>
      <w:r w:rsidRPr="008D1938">
        <w:rPr>
          <w:rFonts w:cs="Arial"/>
          <w:b/>
          <w:bCs/>
          <w:sz w:val="24"/>
          <w:szCs w:val="24"/>
        </w:rPr>
        <w:t>20</w:t>
      </w:r>
    </w:p>
    <w:p w14:paraId="210EC503" w14:textId="03DA01C6" w:rsidR="00EC5B3C" w:rsidRPr="008D1938" w:rsidRDefault="00EC5B3C" w:rsidP="008D1938">
      <w:pPr>
        <w:jc w:val="center"/>
        <w:rPr>
          <w:rFonts w:cs="Arial"/>
          <w:sz w:val="24"/>
          <w:szCs w:val="24"/>
        </w:rPr>
      </w:pPr>
      <w:r w:rsidRPr="008D1938">
        <w:rPr>
          <w:rFonts w:cs="Arial"/>
          <w:b/>
          <w:sz w:val="24"/>
          <w:szCs w:val="24"/>
        </w:rPr>
        <w:t xml:space="preserve">Module: </w:t>
      </w:r>
      <w:r w:rsidRPr="008D1938">
        <w:rPr>
          <w:rFonts w:cs="Arial"/>
          <w:b/>
          <w:sz w:val="24"/>
          <w:szCs w:val="24"/>
        </w:rPr>
        <w:t>Independent Project</w:t>
      </w:r>
    </w:p>
    <w:p w14:paraId="4EA8C294" w14:textId="381D3538" w:rsidR="00EC5B3C" w:rsidRPr="008D1938" w:rsidRDefault="00EC5B3C" w:rsidP="008D1938">
      <w:pPr>
        <w:jc w:val="center"/>
        <w:rPr>
          <w:rFonts w:cs="Arial"/>
          <w:sz w:val="24"/>
          <w:szCs w:val="24"/>
        </w:rPr>
      </w:pPr>
      <w:r w:rsidRPr="008D1938">
        <w:rPr>
          <w:rFonts w:cs="Arial"/>
          <w:b/>
          <w:sz w:val="24"/>
          <w:szCs w:val="24"/>
        </w:rPr>
        <w:t xml:space="preserve">Lecturer: </w:t>
      </w:r>
      <w:r w:rsidRPr="008D1938">
        <w:rPr>
          <w:rFonts w:cs="Arial"/>
          <w:b/>
          <w:sz w:val="24"/>
          <w:szCs w:val="24"/>
        </w:rPr>
        <w:t>Chloe Harries</w:t>
      </w:r>
    </w:p>
    <w:p w14:paraId="3B3D9456" w14:textId="66E16FB6" w:rsidR="00EC5B3C" w:rsidRPr="008D1938" w:rsidRDefault="00EC5B3C" w:rsidP="008D1938">
      <w:pPr>
        <w:jc w:val="center"/>
        <w:rPr>
          <w:rFonts w:cs="Arial"/>
          <w:sz w:val="24"/>
          <w:szCs w:val="24"/>
        </w:rPr>
      </w:pPr>
      <w:r w:rsidRPr="008D1938">
        <w:rPr>
          <w:rFonts w:cs="Arial"/>
          <w:b/>
          <w:sz w:val="24"/>
          <w:szCs w:val="24"/>
        </w:rPr>
        <w:t xml:space="preserve">Assignment: </w:t>
      </w:r>
      <w:r w:rsidRPr="008D1938">
        <w:rPr>
          <w:rFonts w:cs="Arial"/>
          <w:b/>
          <w:bCs/>
          <w:sz w:val="24"/>
          <w:szCs w:val="24"/>
        </w:rPr>
        <w:t>Dissertation</w:t>
      </w:r>
    </w:p>
    <w:p w14:paraId="7187974B" w14:textId="79C413F3" w:rsidR="00EC5B3C" w:rsidRPr="008D1938" w:rsidRDefault="00EC5B3C" w:rsidP="008D1938">
      <w:pPr>
        <w:jc w:val="center"/>
        <w:rPr>
          <w:rFonts w:cs="Arial"/>
          <w:sz w:val="24"/>
          <w:szCs w:val="24"/>
        </w:rPr>
      </w:pPr>
    </w:p>
    <w:p w14:paraId="723E4D48" w14:textId="5B27B4AC" w:rsidR="00EC5B3C" w:rsidRPr="008D1938" w:rsidRDefault="00EC5B3C" w:rsidP="008D1938">
      <w:pPr>
        <w:jc w:val="center"/>
        <w:rPr>
          <w:rFonts w:cs="Arial"/>
          <w:sz w:val="24"/>
          <w:szCs w:val="24"/>
        </w:rPr>
      </w:pPr>
    </w:p>
    <w:p w14:paraId="1D4B0B85" w14:textId="3909B3B8" w:rsidR="00EC5B3C" w:rsidRPr="008D1938" w:rsidRDefault="00EC5B3C" w:rsidP="008D1938">
      <w:pPr>
        <w:jc w:val="center"/>
        <w:rPr>
          <w:rFonts w:cs="Arial"/>
          <w:b/>
          <w:bCs/>
          <w:sz w:val="24"/>
          <w:szCs w:val="24"/>
        </w:rPr>
      </w:pPr>
      <w:r w:rsidRPr="008D1938">
        <w:rPr>
          <w:rFonts w:cs="Arial"/>
          <w:b/>
          <w:bCs/>
          <w:sz w:val="24"/>
          <w:szCs w:val="24"/>
        </w:rPr>
        <w:t>Topic:</w:t>
      </w:r>
      <w:r w:rsidRPr="008D1938">
        <w:rPr>
          <w:rFonts w:cs="Arial"/>
          <w:sz w:val="24"/>
          <w:szCs w:val="24"/>
        </w:rPr>
        <w:t xml:space="preserve"> </w:t>
      </w:r>
      <w:r w:rsidR="000B069E" w:rsidRPr="008D1938">
        <w:rPr>
          <w:rFonts w:cs="Arial"/>
          <w:b/>
          <w:bCs/>
          <w:sz w:val="24"/>
          <w:szCs w:val="24"/>
        </w:rPr>
        <w:t>Evaluating the Role of Person-Centred Care in Enhancing Outcome for Older Adults in residential Care Homes</w:t>
      </w:r>
    </w:p>
    <w:p w14:paraId="35D6BC15" w14:textId="77777777" w:rsidR="000B069E" w:rsidRPr="008D1938" w:rsidRDefault="000B069E" w:rsidP="008D1938">
      <w:pPr>
        <w:pStyle w:val="Heading1"/>
        <w:rPr>
          <w:rFonts w:ascii="Arial" w:hAnsi="Arial" w:cs="Arial"/>
          <w:sz w:val="24"/>
          <w:szCs w:val="24"/>
        </w:rPr>
      </w:pPr>
    </w:p>
    <w:p w14:paraId="5F0CFD24" w14:textId="7931424A" w:rsidR="00EC5B3C" w:rsidRPr="008D1938" w:rsidRDefault="000B069E" w:rsidP="008D1938">
      <w:pPr>
        <w:pStyle w:val="Heading1"/>
        <w:rPr>
          <w:rFonts w:ascii="Arial" w:hAnsi="Arial" w:cs="Arial"/>
          <w:color w:val="000000" w:themeColor="text1"/>
          <w:sz w:val="24"/>
          <w:szCs w:val="24"/>
        </w:rPr>
      </w:pPr>
      <w:r w:rsidRPr="008D1938">
        <w:rPr>
          <w:rFonts w:ascii="Arial" w:hAnsi="Arial" w:cs="Arial"/>
          <w:sz w:val="24"/>
          <w:szCs w:val="24"/>
        </w:rPr>
        <w:t xml:space="preserve">                           </w:t>
      </w:r>
      <w:r w:rsidRPr="008D1938">
        <w:rPr>
          <w:rFonts w:ascii="Arial" w:hAnsi="Arial" w:cs="Arial"/>
          <w:color w:val="000000" w:themeColor="text1"/>
          <w:sz w:val="24"/>
          <w:szCs w:val="24"/>
        </w:rPr>
        <w:t xml:space="preserve">    </w:t>
      </w:r>
      <w:r w:rsidR="00EC5B3C" w:rsidRPr="008D1938">
        <w:rPr>
          <w:rFonts w:ascii="Arial" w:hAnsi="Arial" w:cs="Arial"/>
          <w:color w:val="000000" w:themeColor="text1"/>
          <w:sz w:val="24"/>
          <w:szCs w:val="24"/>
        </w:rPr>
        <w:t>Chapter 3: Research Methodology</w:t>
      </w:r>
    </w:p>
    <w:p w14:paraId="10582CF1" w14:textId="77777777"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3.1 Introduction</w:t>
      </w:r>
    </w:p>
    <w:p w14:paraId="7B947B26" w14:textId="0136AB65" w:rsidR="009B5736" w:rsidRPr="008D1938" w:rsidRDefault="00EC5B3C" w:rsidP="008D1938">
      <w:pPr>
        <w:rPr>
          <w:rFonts w:eastAsia="Garamond" w:cs="Arial"/>
          <w:sz w:val="24"/>
          <w:szCs w:val="24"/>
        </w:rPr>
      </w:pPr>
      <w:r w:rsidRPr="008D1938">
        <w:rPr>
          <w:rFonts w:cs="Arial"/>
          <w:sz w:val="24"/>
          <w:szCs w:val="24"/>
        </w:rPr>
        <w:t>This</w:t>
      </w:r>
      <w:r w:rsidR="009B5736" w:rsidRPr="008D1938">
        <w:rPr>
          <w:rFonts w:cs="Arial"/>
          <w:sz w:val="24"/>
          <w:szCs w:val="24"/>
        </w:rPr>
        <w:t xml:space="preserve"> </w:t>
      </w:r>
      <w:r w:rsidR="009B5736" w:rsidRPr="008D1938">
        <w:rPr>
          <w:rFonts w:cs="Arial"/>
          <w:sz w:val="24"/>
          <w:szCs w:val="24"/>
        </w:rPr>
        <w:t xml:space="preserve">chapter outlines the methodological approach adopted to address the research question, namely the extent to which person-centred care (PCC) </w:t>
      </w:r>
      <w:r w:rsidR="009B5736" w:rsidRPr="008D1938">
        <w:rPr>
          <w:rFonts w:cs="Arial"/>
          <w:sz w:val="24"/>
          <w:szCs w:val="24"/>
        </w:rPr>
        <w:t>enhance</w:t>
      </w:r>
      <w:r w:rsidR="009B5736" w:rsidRPr="008D1938">
        <w:rPr>
          <w:rFonts w:cs="Arial"/>
          <w:sz w:val="24"/>
          <w:szCs w:val="24"/>
        </w:rPr>
        <w:t xml:space="preserve"> outcomes for older adults in residential care </w:t>
      </w:r>
      <w:r w:rsidR="009B5736" w:rsidRPr="008D1938">
        <w:rPr>
          <w:rFonts w:cs="Arial"/>
          <w:sz w:val="24"/>
          <w:szCs w:val="24"/>
        </w:rPr>
        <w:t>homes</w:t>
      </w:r>
      <w:r w:rsidR="009B5736" w:rsidRPr="008D1938">
        <w:rPr>
          <w:rFonts w:cs="Arial"/>
          <w:sz w:val="24"/>
          <w:szCs w:val="24"/>
        </w:rPr>
        <w:t>. As established in Chapter One, this study does not involve the collection of primary data from human participants; rather, it adopts a narrative, critical literature review design in order to synthesise and evaluate existing evidence on PCC. This chapter justifies the choice of methodology, describes the search strategy and selection criteria, outlines the approach to data analysis, and addresses the ethical considerations and limitations associated with this method.</w:t>
      </w:r>
    </w:p>
    <w:p w14:paraId="21C0CB61" w14:textId="0A4553C0" w:rsidR="00EC5B3C" w:rsidRPr="008D1938" w:rsidRDefault="00EC5B3C" w:rsidP="008D1938">
      <w:pPr>
        <w:rPr>
          <w:rFonts w:cs="Arial"/>
          <w:sz w:val="24"/>
          <w:szCs w:val="24"/>
        </w:rPr>
      </w:pPr>
    </w:p>
    <w:p w14:paraId="7C471A0E" w14:textId="77777777"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lastRenderedPageBreak/>
        <w:t>3.2 Research design</w:t>
      </w:r>
    </w:p>
    <w:p w14:paraId="4EBF98C6" w14:textId="4B2F94C6" w:rsidR="00EC5B3C" w:rsidRPr="008D1938" w:rsidRDefault="00EC5B3C" w:rsidP="008D1938">
      <w:pPr>
        <w:rPr>
          <w:rFonts w:cs="Arial"/>
          <w:sz w:val="24"/>
          <w:szCs w:val="24"/>
        </w:rPr>
      </w:pPr>
      <w:r w:rsidRPr="008D1938">
        <w:rPr>
          <w:rFonts w:cs="Arial"/>
          <w:sz w:val="24"/>
          <w:szCs w:val="24"/>
        </w:rPr>
        <w:t xml:space="preserve">A </w:t>
      </w:r>
      <w:r w:rsidR="002F2559" w:rsidRPr="008D1938">
        <w:rPr>
          <w:rFonts w:cs="Arial"/>
          <w:sz w:val="24"/>
          <w:szCs w:val="24"/>
        </w:rPr>
        <w:t>Craap Test</w:t>
      </w:r>
      <w:r w:rsidRPr="008D1938">
        <w:rPr>
          <w:rFonts w:cs="Arial"/>
          <w:sz w:val="24"/>
          <w:szCs w:val="24"/>
        </w:rPr>
        <w:t xml:space="preserve"> </w:t>
      </w:r>
      <w:r w:rsidR="002F2559" w:rsidRPr="008D1938">
        <w:rPr>
          <w:rFonts w:cs="Arial"/>
          <w:sz w:val="24"/>
          <w:szCs w:val="24"/>
        </w:rPr>
        <w:t>was used to</w:t>
      </w:r>
      <w:r w:rsidRPr="008D1938">
        <w:rPr>
          <w:rFonts w:cs="Arial"/>
          <w:sz w:val="24"/>
          <w:szCs w:val="24"/>
        </w:rPr>
        <w:t xml:space="preserve"> review </w:t>
      </w:r>
      <w:r w:rsidR="002F2559" w:rsidRPr="008D1938">
        <w:rPr>
          <w:rFonts w:cs="Arial"/>
          <w:sz w:val="24"/>
          <w:szCs w:val="24"/>
        </w:rPr>
        <w:t>literatures to</w:t>
      </w:r>
      <w:r w:rsidRPr="008D1938">
        <w:rPr>
          <w:rFonts w:cs="Arial"/>
          <w:sz w:val="24"/>
          <w:szCs w:val="24"/>
        </w:rPr>
        <w:t xml:space="preserve"> identify, compare and critically appraise existing literature</w:t>
      </w:r>
      <w:r w:rsidR="002F2559" w:rsidRPr="008D1938">
        <w:rPr>
          <w:rFonts w:cs="Arial"/>
          <w:sz w:val="24"/>
          <w:szCs w:val="24"/>
        </w:rPr>
        <w:t>s</w:t>
      </w:r>
      <w:r w:rsidRPr="008D1938">
        <w:rPr>
          <w:rFonts w:cs="Arial"/>
          <w:sz w:val="24"/>
          <w:szCs w:val="24"/>
        </w:rPr>
        <w:t xml:space="preserve"> relevant to defined questions (Aveyard, 2019). It is appropriate for a student project because it can bring together research articles, policy guidance and relevant legislation. However, a structured review should not be called a systematic review unless it meets the expected standards for comprehensive searching, reproducible screening, appraisal and reporting. Page et al. (2021) present PRISMA 2020 as a reporting guideline; following its checklist alone does not turn a review into a systematic review.</w:t>
      </w:r>
    </w:p>
    <w:p w14:paraId="2754D05A" w14:textId="77777777"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3.3 Search strategy</w:t>
      </w:r>
    </w:p>
    <w:p w14:paraId="7BC9E029" w14:textId="6CCD31B6" w:rsidR="00EC5B3C" w:rsidRPr="008D1938" w:rsidRDefault="002F2559" w:rsidP="008D1938">
      <w:pPr>
        <w:rPr>
          <w:rFonts w:cs="Arial"/>
          <w:sz w:val="24"/>
          <w:szCs w:val="24"/>
        </w:rPr>
      </w:pPr>
      <w:r w:rsidRPr="008D1938">
        <w:rPr>
          <w:rFonts w:cs="Arial"/>
          <w:sz w:val="24"/>
          <w:szCs w:val="24"/>
        </w:rPr>
        <w:t>A structured search was</w:t>
      </w:r>
      <w:r w:rsidR="00EC5B3C" w:rsidRPr="008D1938">
        <w:rPr>
          <w:rFonts w:cs="Arial"/>
          <w:sz w:val="24"/>
          <w:szCs w:val="24"/>
        </w:rPr>
        <w:t xml:space="preserve"> conducted through the UWTSD Online Library, CINAHL, PubMed and Google Scholar, with supplementary searches of relevant official sources such as NICE, the Care Quality Commission, NHS England and the World Health Organization. The search should use combinations of terms such as ‘person-centred care’, ‘person-centred practice’, ‘older adults’, ‘older people’, ‘residential care’, ‘care homes’, ‘wellbeing’, ‘quality of life’, ‘dignity’, ‘independence’, ‘barriers</w:t>
      </w:r>
      <w:r w:rsidRPr="008D1938">
        <w:rPr>
          <w:rFonts w:cs="Arial"/>
          <w:sz w:val="24"/>
          <w:szCs w:val="24"/>
        </w:rPr>
        <w:t>;</w:t>
      </w:r>
      <w:r w:rsidR="00EC5B3C" w:rsidRPr="008D1938">
        <w:rPr>
          <w:rFonts w:cs="Arial"/>
          <w:sz w:val="24"/>
          <w:szCs w:val="24"/>
        </w:rPr>
        <w:t xml:space="preserve"> and ‘staffing’.</w:t>
      </w:r>
    </w:p>
    <w:p w14:paraId="0AA99270" w14:textId="680009CA" w:rsidR="00EC5B3C" w:rsidRPr="008D1938" w:rsidRDefault="00466528" w:rsidP="008D1938">
      <w:pPr>
        <w:rPr>
          <w:rFonts w:cs="Arial"/>
          <w:sz w:val="24"/>
          <w:szCs w:val="24"/>
        </w:rPr>
      </w:pPr>
      <w:r w:rsidRPr="008D1938">
        <w:rPr>
          <w:rFonts w:cs="Arial"/>
          <w:sz w:val="24"/>
          <w:szCs w:val="24"/>
        </w:rPr>
        <w:t>Search terms were developed around the main concepts of the research question and combined using Boolean operators, including</w:t>
      </w:r>
      <w:r w:rsidR="000B6165" w:rsidRPr="008D1938">
        <w:rPr>
          <w:rFonts w:cs="Arial"/>
          <w:sz w:val="24"/>
          <w:szCs w:val="24"/>
        </w:rPr>
        <w:t xml:space="preserve"> </w:t>
      </w:r>
      <w:r w:rsidR="000B6165" w:rsidRPr="008D1938">
        <w:rPr>
          <w:rFonts w:cs="Arial"/>
          <w:sz w:val="24"/>
          <w:szCs w:val="24"/>
        </w:rPr>
        <w:t>"person-centred care", "older adults", "residential care", "care homes", "dementia care", "quality of life", and "wellbeing", for example: ("person-centred care" OR "person-centered care") AND ("older adults" OR "residential care" OR "care home\*") AND ("outcomes" OR "wellbeing</w:t>
      </w:r>
    </w:p>
    <w:p w14:paraId="0EED3401" w14:textId="77777777" w:rsidR="000B6165"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3.4 Inclusion and exclusion criteri</w:t>
      </w:r>
      <w:r w:rsidR="000B6165" w:rsidRPr="008D1938">
        <w:rPr>
          <w:rFonts w:ascii="Arial" w:hAnsi="Arial" w:cs="Arial"/>
          <w:color w:val="000000" w:themeColor="text1"/>
          <w:sz w:val="24"/>
          <w:szCs w:val="24"/>
        </w:rPr>
        <w:t>a</w:t>
      </w:r>
    </w:p>
    <w:p w14:paraId="0F2A07C5" w14:textId="3F0C2D62" w:rsidR="000B6165" w:rsidRPr="008D1938" w:rsidRDefault="000B6165" w:rsidP="008D1938">
      <w:pPr>
        <w:rPr>
          <w:rFonts w:eastAsia="Garamond" w:cs="Arial"/>
          <w:sz w:val="24"/>
          <w:szCs w:val="24"/>
        </w:rPr>
      </w:pPr>
      <w:r w:rsidRPr="008D1938">
        <w:rPr>
          <w:rFonts w:cs="Arial"/>
          <w:sz w:val="24"/>
          <w:szCs w:val="24"/>
        </w:rPr>
        <w:t>Literature was included if it: focused specifically on PCC within residential, long-term, or dementia care settings for older adults; was published in English; was published within approximately the last fifteen years, while allowing for foundational texts such as Kitwood (1997); was peer-reviewed or produced by a recognised governmental or professional body; and provided sufficient detail to allow critical appraisal.</w:t>
      </w:r>
    </w:p>
    <w:p w14:paraId="5A78CBD5" w14:textId="77777777" w:rsidR="000B6165" w:rsidRPr="008D1938" w:rsidRDefault="000B6165" w:rsidP="008D1938">
      <w:pPr>
        <w:rPr>
          <w:rFonts w:cs="Arial"/>
          <w:sz w:val="24"/>
          <w:szCs w:val="24"/>
        </w:rPr>
      </w:pPr>
      <w:r w:rsidRPr="008D1938">
        <w:rPr>
          <w:rFonts w:cs="Arial"/>
          <w:sz w:val="24"/>
          <w:szCs w:val="24"/>
        </w:rPr>
        <w:t>Literature was excluded if it: focused on PCC in unrelated populations, such as paediatric or acute hospital settings; was not available in full text; consisted of opinion pieces or commentary without an evidential basis; or duplicated findings already captured in more comprehensive or recent publications.</w:t>
      </w:r>
    </w:p>
    <w:p w14:paraId="67309E37" w14:textId="77777777" w:rsidR="000B6165" w:rsidRPr="008D1938" w:rsidRDefault="000B6165" w:rsidP="008D1938">
      <w:pPr>
        <w:rPr>
          <w:rFonts w:cs="Arial"/>
          <w:sz w:val="24"/>
          <w:szCs w:val="24"/>
        </w:rPr>
      </w:pPr>
      <w:r w:rsidRPr="008D1938">
        <w:rPr>
          <w:rFonts w:cs="Arial"/>
          <w:sz w:val="24"/>
          <w:szCs w:val="24"/>
        </w:rPr>
        <w:lastRenderedPageBreak/>
        <w:t>Applying these criteria, a body of literature was identified comprising empirical studies, systematic and narrative reviews, and policy and guidance documents. This forms the evidential basis for the critical analysis in Chapter Two, discussed further in Chapter Four.</w:t>
      </w:r>
    </w:p>
    <w:p w14:paraId="6F962877" w14:textId="4F329D24" w:rsidR="00EC5B3C" w:rsidRPr="008D1938" w:rsidRDefault="00EC5B3C" w:rsidP="008D1938">
      <w:pPr>
        <w:rPr>
          <w:rFonts w:cs="Arial"/>
          <w:color w:val="000000" w:themeColor="text1"/>
          <w:sz w:val="24"/>
          <w:szCs w:val="24"/>
        </w:rPr>
      </w:pPr>
    </w:p>
    <w:p w14:paraId="6E9B539D" w14:textId="77777777" w:rsidR="00EC5B3C" w:rsidRPr="008D1938" w:rsidRDefault="00EC5B3C" w:rsidP="008D1938">
      <w:pPr>
        <w:pStyle w:val="Heading2"/>
        <w:rPr>
          <w:rFonts w:ascii="Arial" w:hAnsi="Arial" w:cs="Arial"/>
          <w:sz w:val="24"/>
          <w:szCs w:val="24"/>
        </w:rPr>
      </w:pPr>
      <w:r w:rsidRPr="008D1938">
        <w:rPr>
          <w:rFonts w:ascii="Arial" w:hAnsi="Arial" w:cs="Arial"/>
          <w:color w:val="000000" w:themeColor="text1"/>
          <w:sz w:val="24"/>
          <w:szCs w:val="24"/>
        </w:rPr>
        <w:t>3.5 Screening and critical appraisal</w:t>
      </w:r>
    </w:p>
    <w:p w14:paraId="57E3ADF0" w14:textId="7415BC50" w:rsidR="00EC5B3C" w:rsidRPr="008D1938" w:rsidRDefault="00EC5B3C" w:rsidP="008D1938">
      <w:pPr>
        <w:rPr>
          <w:rFonts w:cs="Arial"/>
          <w:sz w:val="24"/>
          <w:szCs w:val="24"/>
        </w:rPr>
      </w:pPr>
      <w:r w:rsidRPr="008D1938">
        <w:rPr>
          <w:rFonts w:cs="Arial"/>
          <w:sz w:val="24"/>
          <w:szCs w:val="24"/>
        </w:rPr>
        <w:t xml:space="preserve">Duplicate records </w:t>
      </w:r>
      <w:r w:rsidR="000B6165" w:rsidRPr="008D1938">
        <w:rPr>
          <w:rFonts w:cs="Arial"/>
          <w:sz w:val="24"/>
          <w:szCs w:val="24"/>
        </w:rPr>
        <w:t>were</w:t>
      </w:r>
      <w:r w:rsidRPr="008D1938">
        <w:rPr>
          <w:rFonts w:cs="Arial"/>
          <w:sz w:val="24"/>
          <w:szCs w:val="24"/>
        </w:rPr>
        <w:t xml:space="preserve"> removed before screening titles and abstracts against the inclusion criteria. Potentially relevant full texts </w:t>
      </w:r>
      <w:r w:rsidR="009B5736" w:rsidRPr="008D1938">
        <w:rPr>
          <w:rFonts w:cs="Arial"/>
          <w:sz w:val="24"/>
          <w:szCs w:val="24"/>
        </w:rPr>
        <w:t>were</w:t>
      </w:r>
      <w:r w:rsidRPr="008D1938">
        <w:rPr>
          <w:rFonts w:cs="Arial"/>
          <w:sz w:val="24"/>
          <w:szCs w:val="24"/>
        </w:rPr>
        <w:t xml:space="preserve"> assessed, with reasons for exclusion recorded. A </w:t>
      </w:r>
      <w:r w:rsidR="003D6A0E" w:rsidRPr="008D1938">
        <w:rPr>
          <w:rFonts w:cs="Arial"/>
          <w:sz w:val="24"/>
          <w:szCs w:val="24"/>
        </w:rPr>
        <w:t>craap test</w:t>
      </w:r>
      <w:r w:rsidRPr="008D1938">
        <w:rPr>
          <w:rFonts w:cs="Arial"/>
          <w:sz w:val="24"/>
          <w:szCs w:val="24"/>
        </w:rPr>
        <w:t xml:space="preserve"> </w:t>
      </w:r>
      <w:r w:rsidR="009B5736" w:rsidRPr="008D1938">
        <w:rPr>
          <w:rFonts w:cs="Arial"/>
          <w:sz w:val="24"/>
          <w:szCs w:val="24"/>
        </w:rPr>
        <w:t>was</w:t>
      </w:r>
      <w:r w:rsidRPr="008D1938">
        <w:rPr>
          <w:rFonts w:cs="Arial"/>
          <w:sz w:val="24"/>
          <w:szCs w:val="24"/>
        </w:rPr>
        <w:t xml:space="preserve"> used to show the number of records at each stage</w:t>
      </w:r>
      <w:r w:rsidR="003D6A0E" w:rsidRPr="008D1938">
        <w:rPr>
          <w:rFonts w:cs="Arial"/>
          <w:sz w:val="24"/>
          <w:szCs w:val="24"/>
        </w:rPr>
        <w:t>.</w:t>
      </w:r>
      <w:r w:rsidRPr="008D1938">
        <w:rPr>
          <w:rFonts w:cs="Arial"/>
          <w:sz w:val="24"/>
          <w:szCs w:val="24"/>
        </w:rPr>
        <w:t xml:space="preserve"> </w:t>
      </w:r>
    </w:p>
    <w:p w14:paraId="5494AC6C" w14:textId="22170725" w:rsidR="00EC5B3C" w:rsidRPr="008D1938" w:rsidRDefault="003D6A0E" w:rsidP="008D1938">
      <w:pPr>
        <w:rPr>
          <w:rFonts w:cs="Arial"/>
          <w:sz w:val="24"/>
          <w:szCs w:val="24"/>
        </w:rPr>
      </w:pPr>
      <w:r w:rsidRPr="008D1938">
        <w:rPr>
          <w:rFonts w:cs="Arial"/>
          <w:sz w:val="24"/>
          <w:szCs w:val="24"/>
        </w:rPr>
        <w:t xml:space="preserve">Each </w:t>
      </w:r>
      <w:r w:rsidR="00EC5B3C" w:rsidRPr="008D1938">
        <w:rPr>
          <w:rFonts w:cs="Arial"/>
          <w:sz w:val="24"/>
          <w:szCs w:val="24"/>
        </w:rPr>
        <w:t xml:space="preserve">source has a clear research question, an appropriate design, a suitable sample or data source, transparent methods, credible analysis and conclusions that follow from the results </w:t>
      </w:r>
    </w:p>
    <w:p w14:paraId="66A79C13" w14:textId="77777777" w:rsidR="00EC5B3C" w:rsidRPr="008D1938" w:rsidRDefault="00EC5B3C" w:rsidP="008D1938">
      <w:pPr>
        <w:pStyle w:val="Heading2"/>
        <w:rPr>
          <w:rFonts w:ascii="Arial" w:hAnsi="Arial" w:cs="Arial"/>
          <w:sz w:val="24"/>
          <w:szCs w:val="24"/>
        </w:rPr>
      </w:pPr>
      <w:r w:rsidRPr="008D1938">
        <w:rPr>
          <w:rFonts w:ascii="Arial" w:hAnsi="Arial" w:cs="Arial"/>
          <w:color w:val="000000" w:themeColor="text1"/>
          <w:sz w:val="24"/>
          <w:szCs w:val="24"/>
        </w:rPr>
        <w:t>3.6 Data extraction</w:t>
      </w:r>
    </w:p>
    <w:p w14:paraId="726DE3E3" w14:textId="1D354D3D" w:rsidR="007B503A" w:rsidRPr="008D1938" w:rsidRDefault="007B503A" w:rsidP="008D1938">
      <w:pPr>
        <w:rPr>
          <w:rFonts w:eastAsia="Garamond" w:cs="Arial"/>
          <w:sz w:val="24"/>
          <w:szCs w:val="24"/>
        </w:rPr>
      </w:pPr>
      <w:r w:rsidRPr="008D1938">
        <w:rPr>
          <w:rFonts w:cs="Arial"/>
          <w:sz w:val="24"/>
          <w:szCs w:val="24"/>
        </w:rPr>
        <w:t xml:space="preserve">Each source was read critically, with key findings, arguments, and methodological characteristics recorded. Sources were then grouped according to recurring themes, including the conceptualisation of PCC, dignity and autonomy outcomes, </w:t>
      </w:r>
      <w:r w:rsidRPr="008D1938">
        <w:rPr>
          <w:rFonts w:cs="Arial"/>
          <w:sz w:val="24"/>
          <w:szCs w:val="24"/>
        </w:rPr>
        <w:t>wellbeing and quality of life</w:t>
      </w:r>
      <w:r w:rsidRPr="008D1938">
        <w:rPr>
          <w:rFonts w:cs="Arial"/>
          <w:sz w:val="24"/>
          <w:szCs w:val="24"/>
        </w:rPr>
        <w:t xml:space="preserve"> outcomes in dementia care, social interaction and quality of life, barriers to implementation, and the policy-practice gap. These themes structure the literature review in Chapter Two and are revisited in the discussion.</w:t>
      </w:r>
    </w:p>
    <w:p w14:paraId="7CCC7FB6" w14:textId="2BFD74DB" w:rsidR="007B503A" w:rsidRPr="008D1938" w:rsidRDefault="007B503A" w:rsidP="008D1938">
      <w:pPr>
        <w:rPr>
          <w:rFonts w:cs="Arial"/>
          <w:sz w:val="24"/>
          <w:szCs w:val="24"/>
        </w:rPr>
      </w:pPr>
      <w:r w:rsidRPr="008D1938">
        <w:rPr>
          <w:rFonts w:cs="Arial"/>
          <w:sz w:val="24"/>
          <w:szCs w:val="24"/>
        </w:rPr>
        <w:t>Within each theme, literature was critically compared</w:t>
      </w:r>
      <w:r w:rsidRPr="008D1938">
        <w:rPr>
          <w:rFonts w:cs="Arial"/>
          <w:sz w:val="24"/>
          <w:szCs w:val="24"/>
        </w:rPr>
        <w:t xml:space="preserve"> with craap test</w:t>
      </w:r>
      <w:r w:rsidRPr="008D1938">
        <w:rPr>
          <w:rFonts w:cs="Arial"/>
          <w:sz w:val="24"/>
          <w:szCs w:val="24"/>
        </w:rPr>
        <w:t xml:space="preserve"> in order to identify areas of consensus, contradiction, and uncertainty, with particular attention</w:t>
      </w:r>
      <w:r w:rsidRPr="008D1938">
        <w:rPr>
          <w:rFonts w:cs="Arial"/>
          <w:sz w:val="24"/>
          <w:szCs w:val="24"/>
        </w:rPr>
        <w:t xml:space="preserve"> </w:t>
      </w:r>
      <w:r w:rsidRPr="008D1938">
        <w:rPr>
          <w:rFonts w:cs="Arial"/>
          <w:sz w:val="24"/>
          <w:szCs w:val="24"/>
        </w:rPr>
        <w:t>paid to the methodological strength of the evidence underpinning specific claims, for example distinguishing robust mixed-methods evaluations from small-scale qualitative studies or expert opinion. This reflects established guidance that the value of a narrative review lies in the quality of synthesis and critique applied, rather than the volume of literature cited (Greenhalgh et al., 2018).</w:t>
      </w:r>
    </w:p>
    <w:p w14:paraId="471B73DF" w14:textId="4C4C59E2" w:rsidR="00EC5B3C" w:rsidRPr="008D1938" w:rsidRDefault="00EC5B3C" w:rsidP="008D1938">
      <w:pPr>
        <w:rPr>
          <w:rFonts w:cs="Arial"/>
          <w:sz w:val="24"/>
          <w:szCs w:val="24"/>
        </w:rPr>
      </w:pPr>
    </w:p>
    <w:p w14:paraId="1F3242FA" w14:textId="77777777"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3.7 Thematic analysis</w:t>
      </w:r>
    </w:p>
    <w:p w14:paraId="66402B7D" w14:textId="688BAAB1" w:rsidR="00EC5B3C" w:rsidRPr="008D1938" w:rsidRDefault="00670AFB" w:rsidP="008D1938">
      <w:pPr>
        <w:rPr>
          <w:rFonts w:cs="Arial"/>
          <w:sz w:val="24"/>
          <w:szCs w:val="24"/>
        </w:rPr>
      </w:pPr>
      <w:r w:rsidRPr="008D1938">
        <w:rPr>
          <w:rFonts w:cs="Arial"/>
          <w:sz w:val="24"/>
          <w:szCs w:val="24"/>
        </w:rPr>
        <w:t>CRAAP Test was used to</w:t>
      </w:r>
      <w:r w:rsidR="00EC5B3C" w:rsidRPr="008D1938">
        <w:rPr>
          <w:rFonts w:cs="Arial"/>
          <w:sz w:val="24"/>
          <w:szCs w:val="24"/>
        </w:rPr>
        <w:t xml:space="preserve"> synthesise </w:t>
      </w:r>
      <w:r w:rsidRPr="008D1938">
        <w:rPr>
          <w:rFonts w:cs="Arial"/>
          <w:sz w:val="24"/>
          <w:szCs w:val="24"/>
        </w:rPr>
        <w:t xml:space="preserve">relevant literatures </w:t>
      </w:r>
      <w:r w:rsidR="00EC5B3C" w:rsidRPr="008D1938">
        <w:rPr>
          <w:rFonts w:cs="Arial"/>
          <w:sz w:val="24"/>
          <w:szCs w:val="24"/>
        </w:rPr>
        <w:t>using thematic analysis. Braun and Clarke (2006) describe</w:t>
      </w:r>
      <w:r w:rsidRPr="008D1938">
        <w:rPr>
          <w:rFonts w:cs="Arial"/>
          <w:sz w:val="24"/>
          <w:szCs w:val="24"/>
        </w:rPr>
        <w:t>d</w:t>
      </w:r>
      <w:r w:rsidR="00EC5B3C" w:rsidRPr="008D1938">
        <w:rPr>
          <w:rFonts w:cs="Arial"/>
          <w:sz w:val="24"/>
          <w:szCs w:val="24"/>
        </w:rPr>
        <w:t xml:space="preserve"> six phases: familiarisation, initial coding, searching </w:t>
      </w:r>
      <w:r w:rsidR="00EC5B3C" w:rsidRPr="008D1938">
        <w:rPr>
          <w:rFonts w:cs="Arial"/>
          <w:sz w:val="24"/>
          <w:szCs w:val="24"/>
        </w:rPr>
        <w:lastRenderedPageBreak/>
        <w:t>for themes, reviewing themes, defining and naming themes, and producing the report. Although their method was developed for qualitative data, thematic approaches can help organise textual findings across a literature review when applied transparently.</w:t>
      </w:r>
    </w:p>
    <w:p w14:paraId="46D13CDE" w14:textId="624137DA" w:rsidR="00EC5B3C" w:rsidRPr="008D1938" w:rsidRDefault="00EC5B3C" w:rsidP="008D1938">
      <w:pPr>
        <w:rPr>
          <w:rFonts w:cs="Arial"/>
          <w:sz w:val="24"/>
          <w:szCs w:val="24"/>
        </w:rPr>
      </w:pPr>
      <w:r w:rsidRPr="008D1938">
        <w:rPr>
          <w:rFonts w:cs="Arial"/>
          <w:sz w:val="24"/>
          <w:szCs w:val="24"/>
        </w:rPr>
        <w:t xml:space="preserve">Initial codes include choice, dignity, independence, communication, quality of life, staffing, training and leadership. These codes </w:t>
      </w:r>
      <w:r w:rsidR="009B5736" w:rsidRPr="008D1938">
        <w:rPr>
          <w:rFonts w:cs="Arial"/>
          <w:sz w:val="24"/>
          <w:szCs w:val="24"/>
        </w:rPr>
        <w:t>were</w:t>
      </w:r>
      <w:r w:rsidRPr="008D1938">
        <w:rPr>
          <w:rFonts w:cs="Arial"/>
          <w:sz w:val="24"/>
          <w:szCs w:val="24"/>
        </w:rPr>
        <w:t xml:space="preserve"> grouped into broader themes, but the final themes emerge</w:t>
      </w:r>
      <w:r w:rsidR="009B5736" w:rsidRPr="008D1938">
        <w:rPr>
          <w:rFonts w:cs="Arial"/>
          <w:sz w:val="24"/>
          <w:szCs w:val="24"/>
        </w:rPr>
        <w:t>d</w:t>
      </w:r>
      <w:r w:rsidRPr="008D1938">
        <w:rPr>
          <w:rFonts w:cs="Arial"/>
          <w:sz w:val="24"/>
          <w:szCs w:val="24"/>
        </w:rPr>
        <w:t xml:space="preserve"> from the sources actually selected. (1) dignity and autonomy; (2) wellbeing and quality of life; (3) organisational barriers; and (4) strategies for improvement.</w:t>
      </w:r>
    </w:p>
    <w:p w14:paraId="6418DE0C" w14:textId="4A8DB015"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3.8 Ethic</w:t>
      </w:r>
      <w:r w:rsidR="007B503A" w:rsidRPr="008D1938">
        <w:rPr>
          <w:rFonts w:ascii="Arial" w:hAnsi="Arial" w:cs="Arial"/>
          <w:color w:val="000000" w:themeColor="text1"/>
          <w:sz w:val="24"/>
          <w:szCs w:val="24"/>
        </w:rPr>
        <w:t>al Considerations</w:t>
      </w:r>
    </w:p>
    <w:p w14:paraId="1FAF08AF" w14:textId="5B807BC0" w:rsidR="00670AFB" w:rsidRPr="008D1938" w:rsidRDefault="00670AFB" w:rsidP="008D1938">
      <w:pPr>
        <w:rPr>
          <w:rFonts w:eastAsia="Garamond" w:cs="Arial"/>
          <w:sz w:val="24"/>
          <w:szCs w:val="24"/>
        </w:rPr>
      </w:pPr>
      <w:r w:rsidRPr="008D1938">
        <w:rPr>
          <w:rFonts w:cs="Arial"/>
          <w:sz w:val="24"/>
          <w:szCs w:val="24"/>
        </w:rPr>
        <w:t xml:space="preserve"> </w:t>
      </w:r>
      <w:r w:rsidRPr="008D1938">
        <w:rPr>
          <w:rFonts w:cs="Arial"/>
          <w:sz w:val="24"/>
          <w:szCs w:val="24"/>
        </w:rPr>
        <w:t xml:space="preserve">As this study relies exclusively on previously published, publicly available literature and does not involve human participants, formal ethical approval was not required. Nevertheless, ethical principles remained relevant. Academic integrity was maintained through accurate representation of source material, avoidance of selective or distorted interpretation of findings, and consistent referencing of all sources using the UWTSD Harvard style, giving appropriate credit to original authors (British Educational Research Association, 2018). Particular care was taken to engage critically and even-handedly with literature that challenges or complicates the assumed benefits of PCC, rather than selectively citing only </w:t>
      </w:r>
      <w:proofErr w:type="spellStart"/>
      <w:r w:rsidRPr="008D1938">
        <w:rPr>
          <w:rFonts w:cs="Arial"/>
          <w:sz w:val="24"/>
          <w:szCs w:val="24"/>
        </w:rPr>
        <w:t>favourable</w:t>
      </w:r>
      <w:proofErr w:type="spellEnd"/>
      <w:r w:rsidRPr="008D1938">
        <w:rPr>
          <w:rFonts w:cs="Arial"/>
          <w:sz w:val="24"/>
          <w:szCs w:val="24"/>
        </w:rPr>
        <w:t xml:space="preserve"> studies, reflecting a broader commitment to balanced, intellectually honest research.</w:t>
      </w:r>
    </w:p>
    <w:p w14:paraId="290B648D" w14:textId="18ECE743" w:rsidR="00EC5B3C" w:rsidRPr="008D1938" w:rsidRDefault="00EC5B3C" w:rsidP="008D1938">
      <w:pPr>
        <w:rPr>
          <w:rFonts w:cs="Arial"/>
          <w:sz w:val="24"/>
          <w:szCs w:val="24"/>
        </w:rPr>
      </w:pPr>
      <w:r w:rsidRPr="008D1938">
        <w:rPr>
          <w:rFonts w:cs="Arial"/>
          <w:sz w:val="24"/>
          <w:szCs w:val="24"/>
        </w:rPr>
        <w:t>.</w:t>
      </w:r>
    </w:p>
    <w:p w14:paraId="351D482B" w14:textId="77777777" w:rsidR="00EC5B3C" w:rsidRPr="008D1938" w:rsidRDefault="00EC5B3C" w:rsidP="008D1938">
      <w:pPr>
        <w:pStyle w:val="Heading2"/>
        <w:rPr>
          <w:rFonts w:ascii="Arial" w:hAnsi="Arial" w:cs="Arial"/>
          <w:color w:val="000000" w:themeColor="text1"/>
          <w:sz w:val="24"/>
          <w:szCs w:val="24"/>
        </w:rPr>
      </w:pPr>
      <w:r w:rsidRPr="008D1938">
        <w:rPr>
          <w:rFonts w:ascii="Arial" w:hAnsi="Arial" w:cs="Arial"/>
          <w:color w:val="000000" w:themeColor="text1"/>
          <w:sz w:val="24"/>
          <w:szCs w:val="24"/>
        </w:rPr>
        <w:t>3.9 Limitations</w:t>
      </w:r>
    </w:p>
    <w:p w14:paraId="0F66551B" w14:textId="1AF1D7F8" w:rsidR="00670AFB" w:rsidRPr="008D1938" w:rsidRDefault="00670AFB" w:rsidP="008D1938">
      <w:pPr>
        <w:rPr>
          <w:rFonts w:eastAsia="Garamond" w:cs="Arial"/>
          <w:sz w:val="24"/>
          <w:szCs w:val="24"/>
        </w:rPr>
      </w:pPr>
      <w:r w:rsidRPr="008D1938">
        <w:rPr>
          <w:rFonts w:cs="Arial"/>
          <w:sz w:val="24"/>
          <w:szCs w:val="24"/>
        </w:rPr>
        <w:t xml:space="preserve">Several limitations should be acknowledged. First, as a narrative rather than systematic review, the search process, while structured, was not exhaustive, and relevant studies may not have been identified. Second, this study relies on secondary analysis, meaning conclusions are inherently constrained by the quality and </w:t>
      </w:r>
      <w:proofErr w:type="spellStart"/>
      <w:r w:rsidRPr="008D1938">
        <w:rPr>
          <w:rFonts w:cs="Arial"/>
          <w:sz w:val="24"/>
          <w:szCs w:val="24"/>
        </w:rPr>
        <w:t>rigour</w:t>
      </w:r>
      <w:proofErr w:type="spellEnd"/>
      <w:r w:rsidRPr="008D1938">
        <w:rPr>
          <w:rFonts w:cs="Arial"/>
          <w:sz w:val="24"/>
          <w:szCs w:val="24"/>
        </w:rPr>
        <w:t xml:space="preserve"> of the original studies; where primary research is limited or methodologically weak, this constrains the strength of conclusions drawn here. Third, the exclusive use of English-language sources may have excluded relevant literature published in other languages, despite PCC being an internationally recognised model. Finally, as with any single-researcher review, there is a risk of subjectivity in selection and interpretation; this was mitigated, though not eliminated, through explicit, consistently applied selection criteria.</w:t>
      </w:r>
    </w:p>
    <w:p w14:paraId="63DBB3EA" w14:textId="715A4708" w:rsidR="00670AFB" w:rsidRDefault="00670AFB" w:rsidP="008D1938">
      <w:pPr>
        <w:rPr>
          <w:rFonts w:cs="Arial"/>
          <w:sz w:val="24"/>
          <w:szCs w:val="24"/>
        </w:rPr>
      </w:pPr>
      <w:r w:rsidRPr="008D1938">
        <w:rPr>
          <w:rFonts w:cs="Arial"/>
          <w:sz w:val="24"/>
          <w:szCs w:val="24"/>
        </w:rPr>
        <w:lastRenderedPageBreak/>
        <w:t>Despite these limitations, the chosen methodology provided an appropriate and proportionate means of critically evaluating the existing evidence base on PCC effectiveness, providing a transparent basis for the findings and discussion presented in Chapter Four.</w:t>
      </w:r>
    </w:p>
    <w:p w14:paraId="2F63E5FC" w14:textId="267AB390" w:rsidR="00633214" w:rsidRDefault="00633214" w:rsidP="008D1938">
      <w:pPr>
        <w:rPr>
          <w:rFonts w:cs="Arial"/>
          <w:sz w:val="24"/>
          <w:szCs w:val="24"/>
        </w:rPr>
      </w:pPr>
    </w:p>
    <w:p w14:paraId="4C476BEF" w14:textId="1078BC8D" w:rsidR="00633214" w:rsidRPr="008D1938" w:rsidRDefault="00633214" w:rsidP="008D1938">
      <w:pPr>
        <w:rPr>
          <w:rFonts w:cs="Arial"/>
          <w:sz w:val="24"/>
          <w:szCs w:val="24"/>
        </w:rPr>
      </w:pPr>
      <w:r>
        <w:rPr>
          <w:rFonts w:cs="Arial"/>
          <w:sz w:val="24"/>
          <w:szCs w:val="24"/>
        </w:rPr>
        <w:t>NOTE:</w:t>
      </w:r>
    </w:p>
    <w:p w14:paraId="2DC15D7D" w14:textId="5C6A3403" w:rsidR="00C66747" w:rsidRPr="008D1938" w:rsidRDefault="00633214" w:rsidP="008D1938">
      <w:pPr>
        <w:rPr>
          <w:rFonts w:cs="Arial"/>
          <w:sz w:val="24"/>
          <w:szCs w:val="24"/>
        </w:rPr>
      </w:pPr>
      <w:r>
        <w:rPr>
          <w:rFonts w:cs="Arial"/>
          <w:sz w:val="24"/>
          <w:szCs w:val="24"/>
        </w:rPr>
        <w:t>Diagrams will be inserted later</w:t>
      </w:r>
    </w:p>
    <w:sectPr w:rsidR="00C66747" w:rsidRPr="008D19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B3C"/>
    <w:rsid w:val="000B069E"/>
    <w:rsid w:val="000B6165"/>
    <w:rsid w:val="001607E7"/>
    <w:rsid w:val="002F2559"/>
    <w:rsid w:val="003A2652"/>
    <w:rsid w:val="003D6A0E"/>
    <w:rsid w:val="00466528"/>
    <w:rsid w:val="00633214"/>
    <w:rsid w:val="00670AFB"/>
    <w:rsid w:val="007B503A"/>
    <w:rsid w:val="008D1938"/>
    <w:rsid w:val="009B5736"/>
    <w:rsid w:val="00C66747"/>
    <w:rsid w:val="00EC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616A0"/>
  <w15:chartTrackingRefBased/>
  <w15:docId w15:val="{CDBE1DF0-93F7-4214-924E-430AF2977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B3C"/>
    <w:pPr>
      <w:spacing w:after="120" w:line="360" w:lineRule="auto"/>
      <w:jc w:val="both"/>
    </w:pPr>
    <w:rPr>
      <w:rFonts w:ascii="Arial" w:eastAsia="Arial" w:hAnsi="Arial"/>
      <w:lang w:val="en-US"/>
    </w:rPr>
  </w:style>
  <w:style w:type="paragraph" w:styleId="Heading1">
    <w:name w:val="heading 1"/>
    <w:basedOn w:val="Normal"/>
    <w:next w:val="Normal"/>
    <w:link w:val="Heading1Char"/>
    <w:uiPriority w:val="9"/>
    <w:qFormat/>
    <w:rsid w:val="00EC5B3C"/>
    <w:pPr>
      <w:keepNext/>
      <w:keepLines/>
      <w:spacing w:before="480" w:after="0"/>
      <w:outlineLvl w:val="0"/>
    </w:pPr>
    <w:rPr>
      <w:rFonts w:asciiTheme="majorHAnsi" w:eastAsiaTheme="majorEastAsia" w:hAnsiTheme="majorHAnsi" w:cstheme="majorBidi"/>
      <w:b/>
      <w:bCs/>
      <w:color w:val="184370"/>
      <w:sz w:val="32"/>
      <w:szCs w:val="28"/>
    </w:rPr>
  </w:style>
  <w:style w:type="paragraph" w:styleId="Heading2">
    <w:name w:val="heading 2"/>
    <w:basedOn w:val="Normal"/>
    <w:next w:val="Normal"/>
    <w:link w:val="Heading2Char"/>
    <w:uiPriority w:val="9"/>
    <w:unhideWhenUsed/>
    <w:qFormat/>
    <w:rsid w:val="00EC5B3C"/>
    <w:pPr>
      <w:keepNext/>
      <w:keepLines/>
      <w:spacing w:before="200" w:after="0"/>
      <w:outlineLvl w:val="1"/>
    </w:pPr>
    <w:rPr>
      <w:rFonts w:asciiTheme="majorHAnsi" w:eastAsiaTheme="majorEastAsia" w:hAnsiTheme="majorHAnsi" w:cstheme="majorBidi"/>
      <w:b/>
      <w:bCs/>
      <w:color w:val="18437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B3C"/>
    <w:rPr>
      <w:rFonts w:asciiTheme="majorHAnsi" w:eastAsiaTheme="majorEastAsia" w:hAnsiTheme="majorHAnsi" w:cstheme="majorBidi"/>
      <w:b/>
      <w:bCs/>
      <w:color w:val="184370"/>
      <w:sz w:val="32"/>
      <w:szCs w:val="28"/>
      <w:lang w:val="en-US"/>
    </w:rPr>
  </w:style>
  <w:style w:type="character" w:customStyle="1" w:styleId="Heading2Char">
    <w:name w:val="Heading 2 Char"/>
    <w:basedOn w:val="DefaultParagraphFont"/>
    <w:link w:val="Heading2"/>
    <w:uiPriority w:val="9"/>
    <w:rsid w:val="00EC5B3C"/>
    <w:rPr>
      <w:rFonts w:asciiTheme="majorHAnsi" w:eastAsiaTheme="majorEastAsia" w:hAnsiTheme="majorHAnsi" w:cstheme="majorBidi"/>
      <w:b/>
      <w:bCs/>
      <w:color w:val="184370"/>
      <w:sz w:val="28"/>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55032">
      <w:bodyDiv w:val="1"/>
      <w:marLeft w:val="0"/>
      <w:marRight w:val="0"/>
      <w:marTop w:val="0"/>
      <w:marBottom w:val="0"/>
      <w:divBdr>
        <w:top w:val="none" w:sz="0" w:space="0" w:color="auto"/>
        <w:left w:val="none" w:sz="0" w:space="0" w:color="auto"/>
        <w:bottom w:val="none" w:sz="0" w:space="0" w:color="auto"/>
        <w:right w:val="none" w:sz="0" w:space="0" w:color="auto"/>
      </w:divBdr>
    </w:div>
    <w:div w:id="91051152">
      <w:bodyDiv w:val="1"/>
      <w:marLeft w:val="0"/>
      <w:marRight w:val="0"/>
      <w:marTop w:val="0"/>
      <w:marBottom w:val="0"/>
      <w:divBdr>
        <w:top w:val="none" w:sz="0" w:space="0" w:color="auto"/>
        <w:left w:val="none" w:sz="0" w:space="0" w:color="auto"/>
        <w:bottom w:val="none" w:sz="0" w:space="0" w:color="auto"/>
        <w:right w:val="none" w:sz="0" w:space="0" w:color="auto"/>
      </w:divBdr>
    </w:div>
    <w:div w:id="195460740">
      <w:bodyDiv w:val="1"/>
      <w:marLeft w:val="0"/>
      <w:marRight w:val="0"/>
      <w:marTop w:val="0"/>
      <w:marBottom w:val="0"/>
      <w:divBdr>
        <w:top w:val="none" w:sz="0" w:space="0" w:color="auto"/>
        <w:left w:val="none" w:sz="0" w:space="0" w:color="auto"/>
        <w:bottom w:val="none" w:sz="0" w:space="0" w:color="auto"/>
        <w:right w:val="none" w:sz="0" w:space="0" w:color="auto"/>
      </w:divBdr>
    </w:div>
    <w:div w:id="945623817">
      <w:bodyDiv w:val="1"/>
      <w:marLeft w:val="0"/>
      <w:marRight w:val="0"/>
      <w:marTop w:val="0"/>
      <w:marBottom w:val="0"/>
      <w:divBdr>
        <w:top w:val="none" w:sz="0" w:space="0" w:color="auto"/>
        <w:left w:val="none" w:sz="0" w:space="0" w:color="auto"/>
        <w:bottom w:val="none" w:sz="0" w:space="0" w:color="auto"/>
        <w:right w:val="none" w:sz="0" w:space="0" w:color="auto"/>
      </w:divBdr>
    </w:div>
    <w:div w:id="1093548365">
      <w:bodyDiv w:val="1"/>
      <w:marLeft w:val="0"/>
      <w:marRight w:val="0"/>
      <w:marTop w:val="0"/>
      <w:marBottom w:val="0"/>
      <w:divBdr>
        <w:top w:val="none" w:sz="0" w:space="0" w:color="auto"/>
        <w:left w:val="none" w:sz="0" w:space="0" w:color="auto"/>
        <w:bottom w:val="none" w:sz="0" w:space="0" w:color="auto"/>
        <w:right w:val="none" w:sz="0" w:space="0" w:color="auto"/>
      </w:divBdr>
    </w:div>
    <w:div w:id="1339847126">
      <w:bodyDiv w:val="1"/>
      <w:marLeft w:val="0"/>
      <w:marRight w:val="0"/>
      <w:marTop w:val="0"/>
      <w:marBottom w:val="0"/>
      <w:divBdr>
        <w:top w:val="none" w:sz="0" w:space="0" w:color="auto"/>
        <w:left w:val="none" w:sz="0" w:space="0" w:color="auto"/>
        <w:bottom w:val="none" w:sz="0" w:space="0" w:color="auto"/>
        <w:right w:val="none" w:sz="0" w:space="0" w:color="auto"/>
      </w:divBdr>
    </w:div>
    <w:div w:id="1695572053">
      <w:bodyDiv w:val="1"/>
      <w:marLeft w:val="0"/>
      <w:marRight w:val="0"/>
      <w:marTop w:val="0"/>
      <w:marBottom w:val="0"/>
      <w:divBdr>
        <w:top w:val="none" w:sz="0" w:space="0" w:color="auto"/>
        <w:left w:val="none" w:sz="0" w:space="0" w:color="auto"/>
        <w:bottom w:val="none" w:sz="0" w:space="0" w:color="auto"/>
        <w:right w:val="none" w:sz="0" w:space="0" w:color="auto"/>
      </w:divBdr>
    </w:div>
    <w:div w:id="1786345851">
      <w:bodyDiv w:val="1"/>
      <w:marLeft w:val="0"/>
      <w:marRight w:val="0"/>
      <w:marTop w:val="0"/>
      <w:marBottom w:val="0"/>
      <w:divBdr>
        <w:top w:val="none" w:sz="0" w:space="0" w:color="auto"/>
        <w:left w:val="none" w:sz="0" w:space="0" w:color="auto"/>
        <w:bottom w:val="none" w:sz="0" w:space="0" w:color="auto"/>
        <w:right w:val="none" w:sz="0" w:space="0" w:color="auto"/>
      </w:divBdr>
    </w:div>
    <w:div w:id="208930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1200</Words>
  <Characters>6842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2026-10-23T10:53:00Z</dcterms:created>
  <dcterms:modified xsi:type="dcterms:W3CDTF">2026-10-23T10:53:00Z</dcterms:modified>
</cp:coreProperties>
</file>