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3BA16" w14:textId="6F31A384" w:rsidR="612D2942" w:rsidRPr="00A250DC" w:rsidRDefault="612D2942" w:rsidP="612D2942">
      <w:pPr>
        <w:spacing w:before="240" w:after="240" w:line="360" w:lineRule="auto"/>
        <w:jc w:val="center"/>
        <w:rPr>
          <w:rFonts w:ascii="Arial" w:eastAsia="Times New Roman" w:hAnsi="Arial" w:cs="Arial"/>
          <w:sz w:val="24"/>
          <w:szCs w:val="24"/>
        </w:rPr>
      </w:pPr>
    </w:p>
    <w:p w14:paraId="398AE258" w14:textId="37475523" w:rsidR="612D2942" w:rsidRPr="00A250DC" w:rsidRDefault="612D2942" w:rsidP="612D2942">
      <w:pPr>
        <w:spacing w:before="240" w:after="240" w:line="360" w:lineRule="auto"/>
        <w:jc w:val="center"/>
        <w:rPr>
          <w:rFonts w:ascii="Arial" w:eastAsia="Times New Roman" w:hAnsi="Arial" w:cs="Arial"/>
          <w:sz w:val="24"/>
          <w:szCs w:val="24"/>
        </w:rPr>
      </w:pPr>
    </w:p>
    <w:p w14:paraId="6C06E962" w14:textId="5BB020CF" w:rsidR="612D2942" w:rsidRPr="00A250DC" w:rsidRDefault="612D2942" w:rsidP="612D2942">
      <w:pPr>
        <w:spacing w:before="240" w:after="240" w:line="360" w:lineRule="auto"/>
        <w:jc w:val="center"/>
        <w:rPr>
          <w:rFonts w:ascii="Arial" w:eastAsia="Times New Roman" w:hAnsi="Arial" w:cs="Arial"/>
          <w:sz w:val="24"/>
          <w:szCs w:val="24"/>
        </w:rPr>
      </w:pPr>
    </w:p>
    <w:p w14:paraId="5FF3A0C2" w14:textId="4856A347" w:rsidR="612D2942" w:rsidRPr="00A250DC" w:rsidRDefault="612D2942" w:rsidP="612D2942">
      <w:pPr>
        <w:spacing w:before="240" w:after="240" w:line="360" w:lineRule="auto"/>
        <w:jc w:val="center"/>
        <w:rPr>
          <w:rFonts w:ascii="Arial" w:eastAsia="Times New Roman" w:hAnsi="Arial" w:cs="Arial"/>
          <w:sz w:val="24"/>
          <w:szCs w:val="24"/>
        </w:rPr>
      </w:pPr>
    </w:p>
    <w:p w14:paraId="19FF483A" w14:textId="1D5340EE" w:rsidR="612D2942" w:rsidRDefault="612D2942" w:rsidP="612D2942">
      <w:pPr>
        <w:spacing w:before="240" w:after="240" w:line="360" w:lineRule="auto"/>
        <w:jc w:val="center"/>
        <w:rPr>
          <w:rFonts w:ascii="Arial" w:eastAsia="Times New Roman" w:hAnsi="Arial" w:cs="Arial"/>
          <w:b/>
          <w:bCs/>
          <w:sz w:val="24"/>
          <w:szCs w:val="24"/>
        </w:rPr>
      </w:pPr>
      <w:r w:rsidRPr="00A250DC">
        <w:rPr>
          <w:rFonts w:ascii="Arial" w:eastAsia="Times New Roman" w:hAnsi="Arial" w:cs="Arial"/>
          <w:b/>
          <w:bCs/>
          <w:sz w:val="24"/>
          <w:szCs w:val="24"/>
        </w:rPr>
        <w:t>The evolution of HRM facilitates the strategic development of an international hotel brand through workforce planning, recruitment and selection.</w:t>
      </w:r>
    </w:p>
    <w:p w14:paraId="7846A486" w14:textId="77777777" w:rsidR="00CF1E1C" w:rsidRPr="00A250DC" w:rsidRDefault="00CF1E1C" w:rsidP="612D2942">
      <w:pPr>
        <w:spacing w:before="240" w:after="240" w:line="360" w:lineRule="auto"/>
        <w:jc w:val="center"/>
        <w:rPr>
          <w:rFonts w:ascii="Arial" w:eastAsia="Times New Roman" w:hAnsi="Arial" w:cs="Arial"/>
          <w:b/>
          <w:bCs/>
          <w:sz w:val="24"/>
          <w:szCs w:val="24"/>
        </w:rPr>
      </w:pPr>
    </w:p>
    <w:p w14:paraId="384133A9" w14:textId="046714E9" w:rsidR="612D2942" w:rsidRPr="00A250DC" w:rsidRDefault="612D2942" w:rsidP="612D2942">
      <w:pPr>
        <w:spacing w:before="240" w:after="240" w:line="360" w:lineRule="auto"/>
        <w:jc w:val="center"/>
        <w:rPr>
          <w:rFonts w:ascii="Arial" w:eastAsia="Times New Roman" w:hAnsi="Arial" w:cs="Arial"/>
          <w:b/>
          <w:bCs/>
          <w:sz w:val="24"/>
          <w:szCs w:val="24"/>
        </w:rPr>
      </w:pPr>
      <w:r w:rsidRPr="00A250DC">
        <w:rPr>
          <w:rFonts w:ascii="Arial" w:eastAsia="Times New Roman" w:hAnsi="Arial" w:cs="Arial"/>
          <w:b/>
          <w:bCs/>
          <w:sz w:val="24"/>
          <w:szCs w:val="24"/>
        </w:rPr>
        <w:t>Students name:</w:t>
      </w:r>
      <w:r w:rsidR="008812BF">
        <w:rPr>
          <w:rFonts w:ascii="Arial" w:eastAsia="Times New Roman" w:hAnsi="Arial" w:cs="Arial"/>
          <w:b/>
          <w:bCs/>
          <w:sz w:val="24"/>
          <w:szCs w:val="24"/>
        </w:rPr>
        <w:t xml:space="preserve"> Aurelia Bogatu</w:t>
      </w:r>
    </w:p>
    <w:p w14:paraId="78C73F25" w14:textId="667AA755" w:rsidR="612D2942" w:rsidRDefault="612D2942" w:rsidP="612D2942">
      <w:pPr>
        <w:spacing w:before="240" w:after="240" w:line="360" w:lineRule="auto"/>
        <w:jc w:val="center"/>
        <w:rPr>
          <w:rFonts w:ascii="Arial" w:eastAsia="Times New Roman" w:hAnsi="Arial" w:cs="Arial"/>
          <w:b/>
          <w:bCs/>
          <w:sz w:val="24"/>
          <w:szCs w:val="24"/>
        </w:rPr>
      </w:pPr>
      <w:r w:rsidRPr="00A250DC">
        <w:rPr>
          <w:rFonts w:ascii="Arial" w:eastAsia="Times New Roman" w:hAnsi="Arial" w:cs="Arial"/>
          <w:b/>
          <w:bCs/>
          <w:sz w:val="24"/>
          <w:szCs w:val="24"/>
        </w:rPr>
        <w:t>Students ID number:</w:t>
      </w:r>
      <w:r w:rsidR="008812BF">
        <w:rPr>
          <w:rFonts w:ascii="Arial" w:eastAsia="Times New Roman" w:hAnsi="Arial" w:cs="Arial"/>
          <w:b/>
          <w:bCs/>
          <w:sz w:val="24"/>
          <w:szCs w:val="24"/>
        </w:rPr>
        <w:t>2231922</w:t>
      </w:r>
    </w:p>
    <w:p w14:paraId="1945E274" w14:textId="40EB1301" w:rsidR="00CF1E1C" w:rsidRDefault="00CF1E1C" w:rsidP="612D2942">
      <w:pPr>
        <w:spacing w:before="240" w:after="240" w:line="360" w:lineRule="auto"/>
        <w:jc w:val="center"/>
        <w:rPr>
          <w:rFonts w:ascii="Arial" w:eastAsia="Times New Roman" w:hAnsi="Arial" w:cs="Arial"/>
          <w:b/>
          <w:bCs/>
          <w:sz w:val="24"/>
          <w:szCs w:val="24"/>
        </w:rPr>
      </w:pPr>
      <w:r>
        <w:rPr>
          <w:rFonts w:ascii="Arial" w:eastAsia="Times New Roman" w:hAnsi="Arial" w:cs="Arial"/>
          <w:b/>
          <w:bCs/>
          <w:sz w:val="24"/>
          <w:szCs w:val="24"/>
        </w:rPr>
        <w:t>Module Title:</w:t>
      </w:r>
      <w:r w:rsidRPr="00CF1E1C">
        <w:t xml:space="preserve"> </w:t>
      </w:r>
      <w:r w:rsidRPr="00CF1E1C">
        <w:rPr>
          <w:rFonts w:ascii="Arial" w:eastAsia="Times New Roman" w:hAnsi="Arial" w:cs="Arial"/>
          <w:b/>
          <w:bCs/>
          <w:sz w:val="24"/>
          <w:szCs w:val="24"/>
        </w:rPr>
        <w:t>Personnel Resourcing &amp; Development (BMIH5005)</w:t>
      </w:r>
    </w:p>
    <w:p w14:paraId="190BB1E5" w14:textId="47705830" w:rsidR="00D858EB" w:rsidRDefault="00D858EB" w:rsidP="612D2942">
      <w:pPr>
        <w:spacing w:before="240" w:after="240" w:line="360" w:lineRule="auto"/>
        <w:jc w:val="center"/>
        <w:rPr>
          <w:rFonts w:ascii="Arial" w:eastAsia="Times New Roman" w:hAnsi="Arial" w:cs="Arial"/>
          <w:b/>
          <w:bCs/>
          <w:sz w:val="24"/>
          <w:szCs w:val="24"/>
        </w:rPr>
      </w:pPr>
      <w:r>
        <w:rPr>
          <w:rFonts w:ascii="Arial" w:eastAsia="Times New Roman" w:hAnsi="Arial" w:cs="Arial"/>
          <w:b/>
          <w:bCs/>
          <w:sz w:val="24"/>
          <w:szCs w:val="24"/>
        </w:rPr>
        <w:t>Lecture</w:t>
      </w:r>
      <w:r w:rsidR="00CF1E1C">
        <w:rPr>
          <w:rFonts w:ascii="Arial" w:eastAsia="Times New Roman" w:hAnsi="Arial" w:cs="Arial"/>
          <w:b/>
          <w:bCs/>
          <w:sz w:val="24"/>
          <w:szCs w:val="24"/>
        </w:rPr>
        <w:t>r</w:t>
      </w:r>
      <w:r>
        <w:rPr>
          <w:rFonts w:ascii="Arial" w:eastAsia="Times New Roman" w:hAnsi="Arial" w:cs="Arial"/>
          <w:b/>
          <w:bCs/>
          <w:sz w:val="24"/>
          <w:szCs w:val="24"/>
        </w:rPr>
        <w:t xml:space="preserve"> Name: </w:t>
      </w:r>
      <w:r w:rsidR="0059513E">
        <w:rPr>
          <w:rFonts w:ascii="Arial" w:eastAsia="Times New Roman" w:hAnsi="Arial" w:cs="Arial"/>
          <w:b/>
          <w:bCs/>
          <w:sz w:val="24"/>
          <w:szCs w:val="24"/>
        </w:rPr>
        <w:t>Helen Lee</w:t>
      </w:r>
    </w:p>
    <w:p w14:paraId="42828F57" w14:textId="4F99360E" w:rsidR="00D858EB" w:rsidRDefault="00D858EB" w:rsidP="612D2942">
      <w:pPr>
        <w:spacing w:before="240" w:after="240" w:line="360" w:lineRule="auto"/>
        <w:jc w:val="center"/>
        <w:rPr>
          <w:rFonts w:ascii="Arial" w:eastAsia="Times New Roman" w:hAnsi="Arial" w:cs="Arial"/>
          <w:b/>
          <w:bCs/>
          <w:sz w:val="24"/>
          <w:szCs w:val="24"/>
        </w:rPr>
      </w:pPr>
      <w:r>
        <w:rPr>
          <w:rFonts w:ascii="Arial" w:eastAsia="Times New Roman" w:hAnsi="Arial" w:cs="Arial"/>
          <w:b/>
          <w:bCs/>
          <w:sz w:val="24"/>
          <w:szCs w:val="24"/>
        </w:rPr>
        <w:t>Word count</w:t>
      </w:r>
      <w:r w:rsidR="0022544D">
        <w:rPr>
          <w:rFonts w:ascii="Arial" w:eastAsia="Times New Roman" w:hAnsi="Arial" w:cs="Arial"/>
          <w:b/>
          <w:bCs/>
          <w:sz w:val="24"/>
          <w:szCs w:val="24"/>
        </w:rPr>
        <w:t xml:space="preserve"> </w:t>
      </w:r>
      <w:r>
        <w:rPr>
          <w:rFonts w:ascii="Arial" w:eastAsia="Times New Roman" w:hAnsi="Arial" w:cs="Arial"/>
          <w:b/>
          <w:bCs/>
          <w:sz w:val="24"/>
          <w:szCs w:val="24"/>
        </w:rPr>
        <w:t>: 2006</w:t>
      </w:r>
    </w:p>
    <w:p w14:paraId="5C97DE48" w14:textId="77777777" w:rsidR="008812BF" w:rsidRPr="00A250DC" w:rsidRDefault="008812BF" w:rsidP="612D2942">
      <w:pPr>
        <w:spacing w:before="240" w:after="240" w:line="360" w:lineRule="auto"/>
        <w:jc w:val="center"/>
        <w:rPr>
          <w:rFonts w:ascii="Arial" w:eastAsia="Times New Roman" w:hAnsi="Arial" w:cs="Arial"/>
          <w:b/>
          <w:bCs/>
          <w:sz w:val="24"/>
          <w:szCs w:val="24"/>
        </w:rPr>
      </w:pPr>
    </w:p>
    <w:p w14:paraId="4D184A12" w14:textId="23CF0045" w:rsidR="612D2942" w:rsidRPr="00A250DC" w:rsidRDefault="612D2942" w:rsidP="612D2942">
      <w:pPr>
        <w:spacing w:before="240" w:after="240" w:line="360" w:lineRule="auto"/>
        <w:jc w:val="center"/>
        <w:rPr>
          <w:rFonts w:ascii="Arial" w:eastAsia="Times New Roman" w:hAnsi="Arial" w:cs="Arial"/>
          <w:sz w:val="24"/>
          <w:szCs w:val="24"/>
        </w:rPr>
      </w:pPr>
    </w:p>
    <w:p w14:paraId="07E4CB14" w14:textId="2BD6D221" w:rsidR="612D2942" w:rsidRPr="00A250DC" w:rsidRDefault="612D2942" w:rsidP="612D2942">
      <w:pPr>
        <w:spacing w:line="360" w:lineRule="auto"/>
        <w:rPr>
          <w:rFonts w:ascii="Arial" w:eastAsia="Times New Roman" w:hAnsi="Arial" w:cs="Arial"/>
          <w:sz w:val="24"/>
          <w:szCs w:val="24"/>
        </w:rPr>
      </w:pPr>
      <w:r w:rsidRPr="00A250DC">
        <w:rPr>
          <w:rFonts w:ascii="Arial" w:eastAsia="Times New Roman" w:hAnsi="Arial" w:cs="Arial"/>
          <w:sz w:val="24"/>
          <w:szCs w:val="24"/>
        </w:rPr>
        <w:br w:type="page"/>
      </w:r>
    </w:p>
    <w:p w14:paraId="1F2EB4D1" w14:textId="234EB2D9" w:rsidR="612D2942" w:rsidRPr="00A250DC" w:rsidRDefault="612D2942" w:rsidP="612D2942">
      <w:pPr>
        <w:spacing w:before="240" w:after="240" w:line="360" w:lineRule="auto"/>
        <w:rPr>
          <w:rFonts w:ascii="Arial" w:eastAsia="Times New Roman" w:hAnsi="Arial" w:cs="Arial"/>
          <w:sz w:val="24"/>
          <w:szCs w:val="24"/>
        </w:rPr>
      </w:pPr>
      <w:r w:rsidRPr="00A250DC">
        <w:rPr>
          <w:rFonts w:ascii="Arial" w:eastAsia="Times New Roman" w:hAnsi="Arial" w:cs="Arial"/>
          <w:sz w:val="24"/>
          <w:szCs w:val="24"/>
        </w:rPr>
        <w:lastRenderedPageBreak/>
        <w:t>When it comes a business sector such as hotels where service quality is also paramount, HRM becomes the key to execution of excellence. Human Resource Management (HRM) is central to the success in such a dynamic and competitive league as that of the hotel industry where HRM plays an important role right from work force planning, recruiting or selection (Magnini 2009). In the international environment where diverse markets and cultures meet, HRM for any organization is of strategic importance. Marriott International, representing the selected case study illustrates the significance of HRM practices in ensuring that a given workforce align with global goals associated with the brand. With a thorough review of the evolutionary attributes, strategic roles and planning features associated with HR practices, we will disentangle how Marriott makes strategically use HRM to ensure competitive advantage in global hospitality market (</w:t>
      </w:r>
      <w:proofErr w:type="spellStart"/>
      <w:r w:rsidRPr="00A250DC">
        <w:rPr>
          <w:rFonts w:ascii="Arial" w:eastAsia="Times New Roman" w:hAnsi="Arial" w:cs="Arial"/>
          <w:sz w:val="24"/>
          <w:szCs w:val="24"/>
        </w:rPr>
        <w:t>Boxallet</w:t>
      </w:r>
      <w:proofErr w:type="spellEnd"/>
      <w:r w:rsidRPr="00A250DC">
        <w:rPr>
          <w:rFonts w:ascii="Arial" w:eastAsia="Times New Roman" w:hAnsi="Arial" w:cs="Arial"/>
          <w:sz w:val="24"/>
          <w:szCs w:val="24"/>
        </w:rPr>
        <w:t xml:space="preserve"> al., 2011). We will demonstrate the ways how Marriott works to have a skilled, diversified and dynamic workforce through </w:t>
      </w:r>
      <w:proofErr w:type="spellStart"/>
      <w:r w:rsidRPr="00A250DC">
        <w:rPr>
          <w:rFonts w:ascii="Arial" w:eastAsia="Times New Roman" w:hAnsi="Arial" w:cs="Arial"/>
          <w:sz w:val="24"/>
          <w:szCs w:val="24"/>
        </w:rPr>
        <w:t>analyzing</w:t>
      </w:r>
      <w:proofErr w:type="spellEnd"/>
      <w:r w:rsidRPr="00A250DC">
        <w:rPr>
          <w:rFonts w:ascii="Arial" w:eastAsia="Times New Roman" w:hAnsi="Arial" w:cs="Arial"/>
          <w:sz w:val="24"/>
          <w:szCs w:val="24"/>
        </w:rPr>
        <w:t xml:space="preserve"> such stages of development as workforce planning, the process of recruitment and selection. This essay </w:t>
      </w:r>
      <w:proofErr w:type="spellStart"/>
      <w:r w:rsidRPr="00A250DC">
        <w:rPr>
          <w:rFonts w:ascii="Arial" w:eastAsia="Times New Roman" w:hAnsi="Arial" w:cs="Arial"/>
          <w:sz w:val="24"/>
          <w:szCs w:val="24"/>
        </w:rPr>
        <w:t>analyzes</w:t>
      </w:r>
      <w:proofErr w:type="spellEnd"/>
      <w:r w:rsidRPr="00A250DC">
        <w:rPr>
          <w:rFonts w:ascii="Arial" w:eastAsia="Times New Roman" w:hAnsi="Arial" w:cs="Arial"/>
          <w:sz w:val="24"/>
          <w:szCs w:val="24"/>
        </w:rPr>
        <w:t xml:space="preserve"> the role that changes in HRM play for a successful strategic development of an international hotel brand such as Marriott International.</w:t>
      </w:r>
    </w:p>
    <w:p w14:paraId="080868BD" w14:textId="1B1216A6" w:rsidR="612D2942" w:rsidRPr="00A250DC" w:rsidRDefault="612D2942" w:rsidP="612D2942">
      <w:pPr>
        <w:spacing w:before="240" w:after="240" w:line="360" w:lineRule="auto"/>
        <w:rPr>
          <w:rFonts w:ascii="Arial" w:eastAsia="Times New Roman" w:hAnsi="Arial" w:cs="Arial"/>
          <w:sz w:val="24"/>
          <w:szCs w:val="24"/>
        </w:rPr>
      </w:pPr>
      <w:r w:rsidRPr="00A250DC">
        <w:rPr>
          <w:rFonts w:ascii="Arial" w:eastAsia="Times New Roman" w:hAnsi="Arial" w:cs="Arial"/>
          <w:sz w:val="24"/>
          <w:szCs w:val="24"/>
        </w:rPr>
        <w:t xml:space="preserve">Human Resource Management HRM has moved from its traditional administrative origins to become a strategic and integrated contributing factor in organisational success. This evolution is especially noteworthy in the field of international hotel management. According to Armstrong 2006 the traditional HRM business model that was largely focused on fairly straightforward administrative tasks has grown into quite a dynamic strategic object which becomes one of these main factors contributing rather much to organizational effectiveness. So, with Marriott International, the development of HRM is reflected in its growth from a simple personnel department to an active strategic player that helps company achieve goals. Schuler et al 2008 stress that this evolution is characterized by moving to strategic human resource management SHRM, meaning HR practices are linked with overall organization strategies. This encompasses not only the daily management of HR activities but also long-term planning and decision making for Marriott. Another side of the development of HRM is in technology and data analytics. This means that there is a shift away from manual processes towards an automated method which aligns HRM with modern technological advancements. In </w:t>
      </w:r>
      <w:r w:rsidRPr="00A250DC">
        <w:rPr>
          <w:rFonts w:ascii="Arial" w:eastAsia="Times New Roman" w:hAnsi="Arial" w:cs="Arial"/>
          <w:sz w:val="24"/>
          <w:szCs w:val="24"/>
        </w:rPr>
        <w:lastRenderedPageBreak/>
        <w:t>addition, the development of HRM in the international hotel environment can be characterized by more attention to cultural diversity and inclusiveness. Briscoe et al (2012) contends that for global HRM practices to work, the models should change accordingly depending on different cultural contexts. Marriott’s HRM evolution includes plans to make embracing diversity in its global footprint and ensuring the harmony of a workplace environment.</w:t>
      </w:r>
    </w:p>
    <w:p w14:paraId="683B2D46" w14:textId="28BF9979" w:rsidR="612D2942" w:rsidRPr="00A250DC" w:rsidRDefault="612D2942" w:rsidP="612D2942">
      <w:pPr>
        <w:spacing w:before="240" w:after="240" w:line="360" w:lineRule="auto"/>
        <w:rPr>
          <w:rFonts w:ascii="Arial" w:eastAsia="Times New Roman" w:hAnsi="Arial" w:cs="Arial"/>
          <w:sz w:val="24"/>
          <w:szCs w:val="24"/>
        </w:rPr>
      </w:pPr>
      <w:r w:rsidRPr="00A250DC">
        <w:rPr>
          <w:rFonts w:ascii="Arial" w:eastAsia="Times New Roman" w:hAnsi="Arial" w:cs="Arial"/>
          <w:sz w:val="24"/>
          <w:szCs w:val="24"/>
        </w:rPr>
        <w:t>In the world of global hotel management, the role that Human Resource functions play is many-sided and essential to an organization’s prosperity (Armstrong 2020). It is important to say that talent management, as a part of this strategic position, implies identifying the best talents in efforts to attract and retain them worldwide with aiming for highly qualified and diverse staff. Talent management is crucial for ensuring continued competitiveness in the hospitality industry. According to Cascio (2015), talent management from a strategic perspective requires HR practices to be integrated with the overall business plan of an organization, which in turn creates workforce that has necessary skills and competencies. For Marriott International, this is not only about finding the outstanding person via tough recruitment practices but also building ways to develop and retain that talent. Marriott pays much attention to talent management, including diversity and inclusion. Diversity in the workforce is not only about legal and ethical requirements, but also a competitive edge. By adopting diversity, Marriott will be able to address an array of customer tastes and cultural differences thereby improving the guest experience (Rana et al., 2019). This embodies the strategic vision inherent in Marriott’s HR operations. Besides this, talent management in international hotel chains is an intrinsically global activity that needs a deep understanding of local markets and cultural nuances (Marchington et al., 2016). Marriott’s HR functions are planned in a way to enjoy and benefit from cultural diversity thus enabling them will an understanding tolerant group of people.</w:t>
      </w:r>
    </w:p>
    <w:p w14:paraId="2B640E02" w14:textId="73E79926" w:rsidR="612D2942" w:rsidRPr="00A250DC" w:rsidRDefault="612D2942" w:rsidP="612D2942">
      <w:pPr>
        <w:spacing w:before="240" w:after="240" w:line="360" w:lineRule="auto"/>
        <w:rPr>
          <w:rFonts w:ascii="Arial" w:eastAsia="Times New Roman" w:hAnsi="Arial" w:cs="Arial"/>
          <w:sz w:val="24"/>
          <w:szCs w:val="24"/>
        </w:rPr>
      </w:pPr>
      <w:r w:rsidRPr="00A250DC">
        <w:rPr>
          <w:rFonts w:ascii="Arial" w:eastAsia="Times New Roman" w:hAnsi="Arial" w:cs="Arial"/>
          <w:sz w:val="24"/>
          <w:szCs w:val="24"/>
        </w:rPr>
        <w:t xml:space="preserve">In addition, HR functions play another strategic role for employee development with focus on the investment in training and development programs to improve skills and capabilities according to brand’s strategic objectives. Employee development is an important feature of strategic HRM because it has a direct impact on the overall effectiveness and competitiveness of any organization. According to Mayhew, (2019), employee development programs play a key role in enhancing the skills of </w:t>
      </w:r>
      <w:r w:rsidRPr="00A250DC">
        <w:rPr>
          <w:rFonts w:ascii="Arial" w:eastAsia="Times New Roman" w:hAnsi="Arial" w:cs="Arial"/>
          <w:sz w:val="24"/>
          <w:szCs w:val="24"/>
        </w:rPr>
        <w:lastRenderedPageBreak/>
        <w:t>employees so as to come up with new ideas that would be very helpful whenever there are changes around them nowadays. In the case of Marriott International, it means constant learning and development in skills. This is evident in Marriott’s strategic approach to the development of employees, which has placed emphasis on training programs designed for alignment with brand-wide objectives. The company has a strong investment in training initiatives, from onboarding programs to leadership development courses (Kilburn, 2022). Through this approach, Marriott guarantees that its workforce acquires the pertinent skills and knowledge to offer high-quality service that answers guest expectations thereby helping in fostering overall success of brand. Additionally, Marriott concentrates not only on personal skill improvement but ensures that individual growth contributes to organizational goals. This strategic alignment is critical in order to optimize the sense of meaning and dedication among employees (Noe et al., 2019). Marriott’s decision to invest in employee development programs proves the company does not aim for a workforce that is simply competent but also one committed and focused on achieving long-term targets of the brand.</w:t>
      </w:r>
    </w:p>
    <w:p w14:paraId="021676CF" w14:textId="5519B453" w:rsidR="612D2942" w:rsidRPr="00A250DC" w:rsidRDefault="612D2942" w:rsidP="612D2942">
      <w:pPr>
        <w:spacing w:before="240" w:after="240" w:line="360" w:lineRule="auto"/>
        <w:rPr>
          <w:rFonts w:ascii="Arial" w:eastAsia="Times New Roman" w:hAnsi="Arial" w:cs="Arial"/>
          <w:sz w:val="24"/>
          <w:szCs w:val="24"/>
        </w:rPr>
      </w:pPr>
      <w:r w:rsidRPr="00A250DC">
        <w:rPr>
          <w:rFonts w:ascii="Arial" w:eastAsia="Times New Roman" w:hAnsi="Arial" w:cs="Arial"/>
          <w:sz w:val="24"/>
          <w:szCs w:val="24"/>
        </w:rPr>
        <w:t>In addition to this, the strategic role of HR functions also includes employee engagement that focuses on creation of a favourable workplace environment, where employees feel like they belong and are satisfied with their jobs. According to Banfield (2018), employee engagement has a positive role in achieving the success of any organization since it increases an individual’s productivity, minimizes turnover and adds to job satisfaction. Marriott International demonstrates a strategic approach to employee engagement. Human resources departments within the company are diligent in pursuing activities that promote a favourable working environment by emphasizing employees’ well-being and satisfaction with their jobs. Schaufeli et al. (2002) define employee engagement as a positive, satisfying and job-related mental state that results in heightened loyalty to organisational objectives. What Marriott does with employee engagement extends beyond traditional HR activities; it involves initiatives such as wellness programs, diversity and inclusion efforts, and reputation awards. Aiding in creating a sense of belonging and encouraging satisfaction, Marriott ensures that its human capital is driven to bring about the brand’s ideologies by deploying self-motivating employees who contribute effectively towards improved guest's experiences leading to sustained organisational prosperity.</w:t>
      </w:r>
    </w:p>
    <w:p w14:paraId="2DC1BFC8" w14:textId="1D7630FE" w:rsidR="612D2942" w:rsidRPr="00A250DC" w:rsidRDefault="612D2942" w:rsidP="612D2942">
      <w:pPr>
        <w:spacing w:before="240" w:after="240" w:line="360" w:lineRule="auto"/>
        <w:rPr>
          <w:rFonts w:ascii="Arial" w:eastAsia="Times New Roman" w:hAnsi="Arial" w:cs="Arial"/>
          <w:sz w:val="24"/>
          <w:szCs w:val="24"/>
        </w:rPr>
      </w:pPr>
      <w:r w:rsidRPr="00A250DC">
        <w:rPr>
          <w:rFonts w:ascii="Arial" w:eastAsia="Times New Roman" w:hAnsi="Arial" w:cs="Arial"/>
          <w:sz w:val="24"/>
          <w:szCs w:val="24"/>
        </w:rPr>
        <w:lastRenderedPageBreak/>
        <w:t xml:space="preserve"> The HR planning process is a key element in ensuring that an organization such as Marriott International can attract staff with the appropriate skills to achieve its goals. This process is prediction of labour demand and supply. Marriott International operates on a global scale so predicting labour demand and supply requires serious work. Forecasting is critical in anticipating future HR requirements (Mathis et al. 2017). Marriott does thorough studies taking into account such things as trends in the market, occupancy levels and future expansion to make predictions of demand for labour. At the same time, they evaluate current and potential talent base with an aim to determine any gaps that may exist. By adopting this proactive approach, Marriott can achieve effective alignment of its workforce with the everchanging demands within the hospitality industry so that they have access to appropriate talent in every location at any given time. Furthermore, a good strategic human resource planning involves coordination between HR and top management in ensuring that the objectives of HM are linked with overall organizational strategy. This partnership defines specific goals for talent acquisition, development and retention. According to Armstrong (2006), it is critical for HR goals that are matched up with the strategic objectives of an organization so as they realize competitive advantage. This means that at Marriott, HR initiatives are not limited only to addressing the pressing needs of the organization but also extend toward actions aimed at ensuring long-term sustainability and growth.</w:t>
      </w:r>
    </w:p>
    <w:p w14:paraId="589D1CDE" w14:textId="4E05EEC9" w:rsidR="612D2942" w:rsidRPr="00A250DC" w:rsidRDefault="612D2942" w:rsidP="612D2942">
      <w:pPr>
        <w:spacing w:before="240" w:after="240" w:line="360" w:lineRule="auto"/>
        <w:rPr>
          <w:rFonts w:ascii="Arial" w:eastAsia="Times New Roman" w:hAnsi="Arial" w:cs="Arial"/>
          <w:sz w:val="24"/>
          <w:szCs w:val="24"/>
        </w:rPr>
      </w:pPr>
      <w:r w:rsidRPr="00A250DC">
        <w:rPr>
          <w:rFonts w:ascii="Arial" w:eastAsia="Times New Roman" w:hAnsi="Arial" w:cs="Arial"/>
          <w:sz w:val="24"/>
          <w:szCs w:val="24"/>
        </w:rPr>
        <w:t>Additionally, Marriott will also show its dedication to making implementable HR plans with the development of HR programs that are aimed at achieving goals already set. Organizations like Marriott treat HR initiatives such as leadership development, diversity programs and employees’ well-being interventions. Research has shown that engaging in such programs boosts employee engagement and the success of an organization (Cascio, 2018). It is very important and necessary to continuously evaluate these programs so that they are not merely aligned with the strategic goals of the organization but also respond adequately to changing circumstances. Marriott conducts regular assessments of HR initiatives so that they remain effective enough in supporting the strategic goal; with this measure, the readjustment and enhancements can be identified.</w:t>
      </w:r>
      <w:r w:rsidRPr="00A250DC">
        <w:rPr>
          <w:rFonts w:ascii="Arial" w:hAnsi="Arial" w:cs="Arial"/>
        </w:rPr>
        <w:br/>
      </w:r>
      <w:r w:rsidRPr="00A250DC">
        <w:rPr>
          <w:rFonts w:ascii="Arial" w:eastAsia="Times New Roman" w:hAnsi="Arial" w:cs="Arial"/>
          <w:sz w:val="24"/>
          <w:szCs w:val="24"/>
        </w:rPr>
        <w:t xml:space="preserve">Recruitment and selection are integral parts of human resource management, and at Marriott International, these processes have been transformed into strategic </w:t>
      </w:r>
      <w:r w:rsidRPr="00A250DC">
        <w:rPr>
          <w:rFonts w:ascii="Arial" w:eastAsia="Times New Roman" w:hAnsi="Arial" w:cs="Arial"/>
          <w:sz w:val="24"/>
          <w:szCs w:val="24"/>
        </w:rPr>
        <w:lastRenderedPageBreak/>
        <w:t>initiatives targeting the identification attraction retention of the best talents within a fast-changing hotel industry (Argue,2015). There are a number of ways in which potential candidates can be identified including job portals, social media platforms and through internal referrals. This is in line with evolving best practices of recruitment advocating a wide, diverse talent pool (Dowling et al., 2017). By using these online channels strategically, Marriott can identify a vast pool of potential candidates and create an organization that represents the diversity in its global customer base. In the case of Marriott, it does not focus on short-term staffing needs but rather seeks out those who are a good fit to its values and long-term goals. According to Schuler et al (2008), this strategic talent identification is crucial in order for the firm to remain competitive within its industry.</w:t>
      </w:r>
    </w:p>
    <w:p w14:paraId="45BC9AC5" w14:textId="5C41A82E" w:rsidR="612D2942" w:rsidRPr="00A250DC" w:rsidRDefault="612D2942" w:rsidP="612D2942">
      <w:pPr>
        <w:spacing w:before="240" w:after="240" w:line="360" w:lineRule="auto"/>
        <w:rPr>
          <w:rFonts w:ascii="Arial" w:eastAsia="Times New Roman" w:hAnsi="Arial" w:cs="Arial"/>
          <w:sz w:val="24"/>
          <w:szCs w:val="24"/>
        </w:rPr>
      </w:pPr>
      <w:r w:rsidRPr="00A250DC">
        <w:rPr>
          <w:rFonts w:ascii="Arial" w:eastAsia="Times New Roman" w:hAnsi="Arial" w:cs="Arial"/>
          <w:sz w:val="24"/>
          <w:szCs w:val="24"/>
        </w:rPr>
        <w:t xml:space="preserve">Marriott International embraces a recruitment cycle beyond standard processes and adds thorough assessment </w:t>
      </w:r>
      <w:proofErr w:type="spellStart"/>
      <w:r w:rsidRPr="00A250DC">
        <w:rPr>
          <w:rFonts w:ascii="Arial" w:eastAsia="Times New Roman" w:hAnsi="Arial" w:cs="Arial"/>
          <w:sz w:val="24"/>
          <w:szCs w:val="24"/>
        </w:rPr>
        <w:t>centers</w:t>
      </w:r>
      <w:proofErr w:type="spellEnd"/>
      <w:r w:rsidRPr="00A250DC">
        <w:rPr>
          <w:rFonts w:ascii="Arial" w:eastAsia="Times New Roman" w:hAnsi="Arial" w:cs="Arial"/>
          <w:sz w:val="24"/>
          <w:szCs w:val="24"/>
        </w:rPr>
        <w:t xml:space="preserve"> to the job selection model. These assessment </w:t>
      </w:r>
      <w:proofErr w:type="spellStart"/>
      <w:r w:rsidRPr="00A250DC">
        <w:rPr>
          <w:rFonts w:ascii="Arial" w:eastAsia="Times New Roman" w:hAnsi="Arial" w:cs="Arial"/>
          <w:sz w:val="24"/>
          <w:szCs w:val="24"/>
        </w:rPr>
        <w:t>centers</w:t>
      </w:r>
      <w:proofErr w:type="spellEnd"/>
      <w:r w:rsidRPr="00A250DC">
        <w:rPr>
          <w:rFonts w:ascii="Arial" w:eastAsia="Times New Roman" w:hAnsi="Arial" w:cs="Arial"/>
          <w:sz w:val="24"/>
          <w:szCs w:val="24"/>
        </w:rPr>
        <w:t xml:space="preserve"> are structured to assess candidates in a wholesome manner not only on their tech skills but also values for cultural fit and alignment with brands’ value system. As stated by Cascio, (2018), such in-depth convictions are essential in ensuring that individuals chosen for appointment to the positions have all required skills and attributes needed when working within organizations. In particular, the importance of cultural fit is considerably pronounced in hospitality where high-quality service delivery largely depends on common values and customer-oriented mindset. The fact that Marriott values cultural fit assessment is connected with the idea of strategic human resource management, in which HR practices are designed to reinforce organizational objectives (</w:t>
      </w:r>
      <w:proofErr w:type="spellStart"/>
      <w:r w:rsidRPr="00A250DC">
        <w:rPr>
          <w:rFonts w:ascii="Arial" w:eastAsia="Times New Roman" w:hAnsi="Arial" w:cs="Arial"/>
          <w:sz w:val="24"/>
          <w:szCs w:val="24"/>
        </w:rPr>
        <w:t>Boella</w:t>
      </w:r>
      <w:proofErr w:type="spellEnd"/>
      <w:r w:rsidRPr="00A250DC">
        <w:rPr>
          <w:rFonts w:ascii="Arial" w:eastAsia="Times New Roman" w:hAnsi="Arial" w:cs="Arial"/>
          <w:sz w:val="24"/>
          <w:szCs w:val="24"/>
        </w:rPr>
        <w:t xml:space="preserve"> et al., 2013). Marriott International also acknowledges the fact that recruitment and selection landscape is always changing, influenced by changes in industries and new talents on demand. Therefore, the company has introduced a culture of continuous improvement in its recruitment and selection processes. These processes tend to be adaptive, efficient and effective aligning with organizational strategic objectives when conducted regularly by reviews at refinements (Bryson et al., 2012). This commitment to ongoing improvement is indicative of an innovative and proactive method in recruitment. There is need to adapt the recruitment strategies concurrently with changes in an industry so as not just to keep ahead but also stay always (Armstrong, 2006). </w:t>
      </w:r>
    </w:p>
    <w:p w14:paraId="6FA80B7B" w14:textId="5A95D658" w:rsidR="612D2942" w:rsidRPr="00A250DC" w:rsidRDefault="612D2942" w:rsidP="612D2942">
      <w:pPr>
        <w:spacing w:before="240" w:after="240" w:line="360" w:lineRule="auto"/>
        <w:rPr>
          <w:rFonts w:ascii="Arial" w:eastAsia="Times New Roman" w:hAnsi="Arial" w:cs="Arial"/>
          <w:sz w:val="24"/>
          <w:szCs w:val="24"/>
        </w:rPr>
      </w:pPr>
      <w:r w:rsidRPr="00A250DC">
        <w:rPr>
          <w:rFonts w:ascii="Arial" w:eastAsia="Times New Roman" w:hAnsi="Arial" w:cs="Arial"/>
          <w:sz w:val="24"/>
          <w:szCs w:val="24"/>
        </w:rPr>
        <w:lastRenderedPageBreak/>
        <w:t>In conclusion, HRM plays an instrumental role in the strategic growth of global hotel brands such as Marriott. The HR departments contribute to talent management, employee development, change management and also of an employee engagement by adopting a very strategic role in all these fields. The use of strategic HR planning in combination with effective and efficient recruitment procedures will ensure that the staff is aligned to those goals as well. One of the best proofs that human resources can provide their services to a global hotel chain like Marriott International with great success is making sure they dedicate themselves to these policies.</w:t>
      </w:r>
    </w:p>
    <w:p w14:paraId="0CFB1189" w14:textId="74FEF83C" w:rsidR="612D2942" w:rsidRPr="00A250DC" w:rsidRDefault="612D2942" w:rsidP="612D2942">
      <w:pPr>
        <w:spacing w:before="240" w:after="240" w:line="360" w:lineRule="auto"/>
        <w:rPr>
          <w:rFonts w:ascii="Arial" w:eastAsia="Times New Roman" w:hAnsi="Arial" w:cs="Arial"/>
          <w:sz w:val="24"/>
          <w:szCs w:val="24"/>
        </w:rPr>
      </w:pPr>
    </w:p>
    <w:p w14:paraId="23ABFC88" w14:textId="35B5E1F8" w:rsidR="612D2942" w:rsidRPr="00A250DC" w:rsidRDefault="612D2942" w:rsidP="612D2942">
      <w:pPr>
        <w:rPr>
          <w:rFonts w:ascii="Arial" w:eastAsia="Times New Roman" w:hAnsi="Arial" w:cs="Arial"/>
          <w:sz w:val="24"/>
          <w:szCs w:val="24"/>
        </w:rPr>
      </w:pPr>
      <w:r w:rsidRPr="00A250DC">
        <w:rPr>
          <w:rFonts w:ascii="Arial" w:eastAsia="Times New Roman" w:hAnsi="Arial" w:cs="Arial"/>
          <w:sz w:val="24"/>
          <w:szCs w:val="24"/>
        </w:rPr>
        <w:br w:type="page"/>
      </w:r>
    </w:p>
    <w:p w14:paraId="34A0009D" w14:textId="7CEBBD40" w:rsidR="612D2942" w:rsidRPr="00A250DC" w:rsidRDefault="612D2942" w:rsidP="612D2942">
      <w:pPr>
        <w:spacing w:line="360" w:lineRule="auto"/>
        <w:rPr>
          <w:rFonts w:ascii="Arial" w:eastAsia="Times New Roman" w:hAnsi="Arial" w:cs="Arial"/>
          <w:b/>
          <w:bCs/>
          <w:sz w:val="24"/>
          <w:szCs w:val="24"/>
        </w:rPr>
      </w:pPr>
      <w:r w:rsidRPr="00A250DC">
        <w:rPr>
          <w:rFonts w:ascii="Arial" w:eastAsia="Times New Roman" w:hAnsi="Arial" w:cs="Arial"/>
          <w:b/>
          <w:bCs/>
          <w:sz w:val="24"/>
          <w:szCs w:val="24"/>
        </w:rPr>
        <w:lastRenderedPageBreak/>
        <w:t>References</w:t>
      </w:r>
    </w:p>
    <w:p w14:paraId="2E2674A7" w14:textId="4944B93C"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Argue, M., 2015. </w:t>
      </w:r>
      <w:r w:rsidRPr="00A250DC">
        <w:rPr>
          <w:rFonts w:ascii="Arial" w:eastAsia="Times New Roman" w:hAnsi="Arial" w:cs="Arial"/>
          <w:i/>
          <w:iCs/>
          <w:sz w:val="24"/>
          <w:szCs w:val="24"/>
        </w:rPr>
        <w:t>The importance of the strategic recruitment and selection process on meeting an organisations objectives</w:t>
      </w:r>
      <w:r w:rsidRPr="00A250DC">
        <w:rPr>
          <w:rFonts w:ascii="Arial" w:eastAsia="Times New Roman" w:hAnsi="Arial" w:cs="Arial"/>
          <w:sz w:val="24"/>
          <w:szCs w:val="24"/>
        </w:rPr>
        <w:t xml:space="preserve"> (Doctoral dissertation, Dublin Business School). </w:t>
      </w:r>
    </w:p>
    <w:p w14:paraId="27E96A27" w14:textId="08928697"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Armstrong, M. and Taylor, S., 2020. </w:t>
      </w:r>
      <w:r w:rsidRPr="00A250DC">
        <w:rPr>
          <w:rFonts w:ascii="Arial" w:eastAsia="Times New Roman" w:hAnsi="Arial" w:cs="Arial"/>
          <w:i/>
          <w:iCs/>
          <w:sz w:val="24"/>
          <w:szCs w:val="24"/>
        </w:rPr>
        <w:t>Armstrong's handbook of human resource management practice</w:t>
      </w:r>
      <w:r w:rsidRPr="00A250DC">
        <w:rPr>
          <w:rFonts w:ascii="Arial" w:eastAsia="Times New Roman" w:hAnsi="Arial" w:cs="Arial"/>
          <w:sz w:val="24"/>
          <w:szCs w:val="24"/>
        </w:rPr>
        <w:t xml:space="preserve">. Kogan Page Publishers. </w:t>
      </w:r>
    </w:p>
    <w:p w14:paraId="19DF2EE4" w14:textId="40E6394A"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Armstrong, M., 2006. </w:t>
      </w:r>
      <w:r w:rsidRPr="00A250DC">
        <w:rPr>
          <w:rFonts w:ascii="Arial" w:eastAsia="Times New Roman" w:hAnsi="Arial" w:cs="Arial"/>
          <w:i/>
          <w:iCs/>
          <w:sz w:val="24"/>
          <w:szCs w:val="24"/>
        </w:rPr>
        <w:t>A handbook of human resource management practice</w:t>
      </w:r>
      <w:r w:rsidRPr="00A250DC">
        <w:rPr>
          <w:rFonts w:ascii="Arial" w:eastAsia="Times New Roman" w:hAnsi="Arial" w:cs="Arial"/>
          <w:sz w:val="24"/>
          <w:szCs w:val="24"/>
        </w:rPr>
        <w:t xml:space="preserve">. Kogan Page Publishers. </w:t>
      </w:r>
    </w:p>
    <w:p w14:paraId="3F8EE6E8" w14:textId="4BBBD275"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Banfield, P., Kay, R. and Royles, D., 2018. </w:t>
      </w:r>
      <w:r w:rsidRPr="00A250DC">
        <w:rPr>
          <w:rFonts w:ascii="Arial" w:eastAsia="Times New Roman" w:hAnsi="Arial" w:cs="Arial"/>
          <w:i/>
          <w:iCs/>
          <w:sz w:val="24"/>
          <w:szCs w:val="24"/>
        </w:rPr>
        <w:t>Introduction to human resource management</w:t>
      </w:r>
      <w:r w:rsidRPr="00A250DC">
        <w:rPr>
          <w:rFonts w:ascii="Arial" w:eastAsia="Times New Roman" w:hAnsi="Arial" w:cs="Arial"/>
          <w:sz w:val="24"/>
          <w:szCs w:val="24"/>
        </w:rPr>
        <w:t xml:space="preserve">. Oxford University Press. </w:t>
      </w:r>
    </w:p>
    <w:p w14:paraId="343B3E29" w14:textId="539FAAF6" w:rsidR="612D2942" w:rsidRPr="00A250DC" w:rsidRDefault="612D2942" w:rsidP="612D2942">
      <w:pPr>
        <w:spacing w:after="0" w:line="360" w:lineRule="auto"/>
        <w:ind w:left="1080" w:hanging="720"/>
        <w:rPr>
          <w:rFonts w:ascii="Arial" w:eastAsia="Times New Roman" w:hAnsi="Arial" w:cs="Arial"/>
          <w:sz w:val="24"/>
          <w:szCs w:val="24"/>
        </w:rPr>
      </w:pPr>
      <w:proofErr w:type="spellStart"/>
      <w:r w:rsidRPr="00A250DC">
        <w:rPr>
          <w:rFonts w:ascii="Arial" w:eastAsia="Times New Roman" w:hAnsi="Arial" w:cs="Arial"/>
          <w:sz w:val="24"/>
          <w:szCs w:val="24"/>
        </w:rPr>
        <w:t>Boella</w:t>
      </w:r>
      <w:proofErr w:type="spellEnd"/>
      <w:r w:rsidRPr="00A250DC">
        <w:rPr>
          <w:rFonts w:ascii="Arial" w:eastAsia="Times New Roman" w:hAnsi="Arial" w:cs="Arial"/>
          <w:sz w:val="24"/>
          <w:szCs w:val="24"/>
        </w:rPr>
        <w:t xml:space="preserve">, M.J. and Goss-Turner, S., 2013. </w:t>
      </w:r>
      <w:r w:rsidRPr="00A250DC">
        <w:rPr>
          <w:rFonts w:ascii="Arial" w:eastAsia="Times New Roman" w:hAnsi="Arial" w:cs="Arial"/>
          <w:i/>
          <w:iCs/>
          <w:sz w:val="24"/>
          <w:szCs w:val="24"/>
        </w:rPr>
        <w:t>Human resource management in the hospitality industry: A guide to best practice</w:t>
      </w:r>
      <w:r w:rsidRPr="00A250DC">
        <w:rPr>
          <w:rFonts w:ascii="Arial" w:eastAsia="Times New Roman" w:hAnsi="Arial" w:cs="Arial"/>
          <w:sz w:val="24"/>
          <w:szCs w:val="24"/>
        </w:rPr>
        <w:t xml:space="preserve">. Routledge. </w:t>
      </w:r>
    </w:p>
    <w:p w14:paraId="3117B8BD" w14:textId="2E5AE983"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Boxall, P. and Purcell, J., 2022. </w:t>
      </w:r>
      <w:r w:rsidRPr="00A250DC">
        <w:rPr>
          <w:rFonts w:ascii="Arial" w:eastAsia="Times New Roman" w:hAnsi="Arial" w:cs="Arial"/>
          <w:i/>
          <w:iCs/>
          <w:sz w:val="24"/>
          <w:szCs w:val="24"/>
        </w:rPr>
        <w:t>Strategy and human resource management</w:t>
      </w:r>
      <w:r w:rsidRPr="00A250DC">
        <w:rPr>
          <w:rFonts w:ascii="Arial" w:eastAsia="Times New Roman" w:hAnsi="Arial" w:cs="Arial"/>
          <w:sz w:val="24"/>
          <w:szCs w:val="24"/>
        </w:rPr>
        <w:t xml:space="preserve">. Bloomsbury Publishing. </w:t>
      </w:r>
    </w:p>
    <w:p w14:paraId="1B2A779E" w14:textId="3F4AD944"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Briscoe, D., Schuler, R. and Tarique, I., 2012. </w:t>
      </w:r>
      <w:r w:rsidRPr="00A250DC">
        <w:rPr>
          <w:rFonts w:ascii="Arial" w:eastAsia="Times New Roman" w:hAnsi="Arial" w:cs="Arial"/>
          <w:i/>
          <w:iCs/>
          <w:sz w:val="24"/>
          <w:szCs w:val="24"/>
        </w:rPr>
        <w:t>International human resource management: Policies and practices for multinational enterprises</w:t>
      </w:r>
      <w:r w:rsidRPr="00A250DC">
        <w:rPr>
          <w:rFonts w:ascii="Arial" w:eastAsia="Times New Roman" w:hAnsi="Arial" w:cs="Arial"/>
          <w:sz w:val="24"/>
          <w:szCs w:val="24"/>
        </w:rPr>
        <w:t xml:space="preserve">. Routledge. </w:t>
      </w:r>
    </w:p>
    <w:p w14:paraId="36CD2442" w14:textId="110A7D09"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Bryson, J., James, S. and Keep, E., 2012. Recruitment and selection. </w:t>
      </w:r>
      <w:r w:rsidRPr="00A250DC">
        <w:rPr>
          <w:rFonts w:ascii="Arial" w:eastAsia="Times New Roman" w:hAnsi="Arial" w:cs="Arial"/>
          <w:i/>
          <w:iCs/>
          <w:sz w:val="24"/>
          <w:szCs w:val="24"/>
        </w:rPr>
        <w:t>Managing Human Resources: Human Resource Management in Transition</w:t>
      </w:r>
      <w:r w:rsidRPr="00A250DC">
        <w:rPr>
          <w:rFonts w:ascii="Arial" w:eastAsia="Times New Roman" w:hAnsi="Arial" w:cs="Arial"/>
          <w:sz w:val="24"/>
          <w:szCs w:val="24"/>
        </w:rPr>
        <w:t xml:space="preserve">, pp.123-149. </w:t>
      </w:r>
    </w:p>
    <w:p w14:paraId="3A334C8E" w14:textId="7BE38022"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Cascio, W.F., 2015. </w:t>
      </w:r>
      <w:r w:rsidRPr="00A250DC">
        <w:rPr>
          <w:rFonts w:ascii="Arial" w:eastAsia="Times New Roman" w:hAnsi="Arial" w:cs="Arial"/>
          <w:i/>
          <w:iCs/>
          <w:sz w:val="24"/>
          <w:szCs w:val="24"/>
        </w:rPr>
        <w:t>Managing human resources</w:t>
      </w:r>
      <w:r w:rsidRPr="00A250DC">
        <w:rPr>
          <w:rFonts w:ascii="Arial" w:eastAsia="Times New Roman" w:hAnsi="Arial" w:cs="Arial"/>
          <w:sz w:val="24"/>
          <w:szCs w:val="24"/>
        </w:rPr>
        <w:t xml:space="preserve">. New York, NY, USA:: </w:t>
      </w:r>
      <w:proofErr w:type="spellStart"/>
      <w:r w:rsidRPr="00A250DC">
        <w:rPr>
          <w:rFonts w:ascii="Arial" w:eastAsia="Times New Roman" w:hAnsi="Arial" w:cs="Arial"/>
          <w:sz w:val="24"/>
          <w:szCs w:val="24"/>
        </w:rPr>
        <w:t>McGraw-hill</w:t>
      </w:r>
      <w:proofErr w:type="spellEnd"/>
      <w:r w:rsidRPr="00A250DC">
        <w:rPr>
          <w:rFonts w:ascii="Arial" w:eastAsia="Times New Roman" w:hAnsi="Arial" w:cs="Arial"/>
          <w:sz w:val="24"/>
          <w:szCs w:val="24"/>
        </w:rPr>
        <w:t xml:space="preserve">. </w:t>
      </w:r>
    </w:p>
    <w:p w14:paraId="27154720" w14:textId="62E60E50"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Dowling, P.J., </w:t>
      </w:r>
      <w:proofErr w:type="spellStart"/>
      <w:r w:rsidRPr="00A250DC">
        <w:rPr>
          <w:rFonts w:ascii="Arial" w:eastAsia="Times New Roman" w:hAnsi="Arial" w:cs="Arial"/>
          <w:sz w:val="24"/>
          <w:szCs w:val="24"/>
        </w:rPr>
        <w:t>Festing</w:t>
      </w:r>
      <w:proofErr w:type="spellEnd"/>
      <w:r w:rsidRPr="00A250DC">
        <w:rPr>
          <w:rFonts w:ascii="Arial" w:eastAsia="Times New Roman" w:hAnsi="Arial" w:cs="Arial"/>
          <w:sz w:val="24"/>
          <w:szCs w:val="24"/>
        </w:rPr>
        <w:t xml:space="preserve">, M. and Engle, A.D., 2017. </w:t>
      </w:r>
      <w:r w:rsidRPr="00A250DC">
        <w:rPr>
          <w:rFonts w:ascii="Arial" w:eastAsia="Times New Roman" w:hAnsi="Arial" w:cs="Arial"/>
          <w:i/>
          <w:iCs/>
          <w:sz w:val="24"/>
          <w:szCs w:val="24"/>
        </w:rPr>
        <w:t>International human resource management</w:t>
      </w:r>
      <w:r w:rsidRPr="00A250DC">
        <w:rPr>
          <w:rFonts w:ascii="Arial" w:eastAsia="Times New Roman" w:hAnsi="Arial" w:cs="Arial"/>
          <w:sz w:val="24"/>
          <w:szCs w:val="24"/>
        </w:rPr>
        <w:t xml:space="preserve">. Cengage learning. </w:t>
      </w:r>
    </w:p>
    <w:p w14:paraId="005E1DE0" w14:textId="66441CDB"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Kilburn, H. (2022, January 25). </w:t>
      </w:r>
      <w:r w:rsidRPr="00A250DC">
        <w:rPr>
          <w:rFonts w:ascii="Arial" w:eastAsia="Times New Roman" w:hAnsi="Arial" w:cs="Arial"/>
          <w:i/>
          <w:iCs/>
          <w:sz w:val="24"/>
          <w:szCs w:val="24"/>
        </w:rPr>
        <w:t>Marriott provides insight on 2022 hotel development • Hotel Designs</w:t>
      </w:r>
      <w:r w:rsidRPr="00A250DC">
        <w:rPr>
          <w:rFonts w:ascii="Arial" w:eastAsia="Times New Roman" w:hAnsi="Arial" w:cs="Arial"/>
          <w:sz w:val="24"/>
          <w:szCs w:val="24"/>
        </w:rPr>
        <w:t xml:space="preserve">. Hotel Designs. </w:t>
      </w:r>
      <w:hyperlink r:id="rId5">
        <w:r w:rsidRPr="00A250DC">
          <w:rPr>
            <w:rStyle w:val="Hyperlink"/>
            <w:rFonts w:ascii="Arial" w:eastAsia="Times New Roman" w:hAnsi="Arial" w:cs="Arial"/>
            <w:color w:val="auto"/>
            <w:sz w:val="24"/>
            <w:szCs w:val="24"/>
          </w:rPr>
          <w:t>https://hoteldesigns.net/industry-news/marriott-provides-insight-on-hotel-development-progress/</w:t>
        </w:r>
      </w:hyperlink>
      <w:r w:rsidRPr="00A250DC">
        <w:rPr>
          <w:rFonts w:ascii="Arial" w:eastAsia="Times New Roman" w:hAnsi="Arial" w:cs="Arial"/>
          <w:sz w:val="24"/>
          <w:szCs w:val="24"/>
        </w:rPr>
        <w:t xml:space="preserve"> </w:t>
      </w:r>
    </w:p>
    <w:p w14:paraId="11E43876" w14:textId="511C95DB"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Magnini, V.P., 2009. Journal of human resources in hospitality &amp; tourism. </w:t>
      </w:r>
      <w:r w:rsidRPr="00A250DC">
        <w:rPr>
          <w:rFonts w:ascii="Arial" w:eastAsia="Times New Roman" w:hAnsi="Arial" w:cs="Arial"/>
          <w:i/>
          <w:iCs/>
          <w:sz w:val="24"/>
          <w:szCs w:val="24"/>
        </w:rPr>
        <w:t>Journal of human resources in hospitality and tourism</w:t>
      </w:r>
      <w:r w:rsidRPr="00A250DC">
        <w:rPr>
          <w:rFonts w:ascii="Arial" w:eastAsia="Times New Roman" w:hAnsi="Arial" w:cs="Arial"/>
          <w:sz w:val="24"/>
          <w:szCs w:val="24"/>
        </w:rPr>
        <w:t xml:space="preserve">, </w:t>
      </w:r>
      <w:r w:rsidRPr="00A250DC">
        <w:rPr>
          <w:rFonts w:ascii="Arial" w:eastAsia="Times New Roman" w:hAnsi="Arial" w:cs="Arial"/>
          <w:i/>
          <w:iCs/>
          <w:sz w:val="24"/>
          <w:szCs w:val="24"/>
        </w:rPr>
        <w:t>8</w:t>
      </w:r>
      <w:r w:rsidRPr="00A250DC">
        <w:rPr>
          <w:rFonts w:ascii="Arial" w:eastAsia="Times New Roman" w:hAnsi="Arial" w:cs="Arial"/>
          <w:sz w:val="24"/>
          <w:szCs w:val="24"/>
        </w:rPr>
        <w:t xml:space="preserve">(2), pp.119-136. </w:t>
      </w:r>
    </w:p>
    <w:p w14:paraId="397631CC" w14:textId="728C920B"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Marchington, M., Wilkinson, A., Donnelly, R. and </w:t>
      </w:r>
      <w:proofErr w:type="spellStart"/>
      <w:r w:rsidRPr="00A250DC">
        <w:rPr>
          <w:rFonts w:ascii="Arial" w:eastAsia="Times New Roman" w:hAnsi="Arial" w:cs="Arial"/>
          <w:sz w:val="24"/>
          <w:szCs w:val="24"/>
        </w:rPr>
        <w:t>Kynighou</w:t>
      </w:r>
      <w:proofErr w:type="spellEnd"/>
      <w:r w:rsidRPr="00A250DC">
        <w:rPr>
          <w:rFonts w:ascii="Arial" w:eastAsia="Times New Roman" w:hAnsi="Arial" w:cs="Arial"/>
          <w:sz w:val="24"/>
          <w:szCs w:val="24"/>
        </w:rPr>
        <w:t xml:space="preserve">, A., 2016. </w:t>
      </w:r>
      <w:r w:rsidRPr="00A250DC">
        <w:rPr>
          <w:rFonts w:ascii="Arial" w:eastAsia="Times New Roman" w:hAnsi="Arial" w:cs="Arial"/>
          <w:i/>
          <w:iCs/>
          <w:sz w:val="24"/>
          <w:szCs w:val="24"/>
        </w:rPr>
        <w:t>Human resource management at work</w:t>
      </w:r>
      <w:r w:rsidRPr="00A250DC">
        <w:rPr>
          <w:rFonts w:ascii="Arial" w:eastAsia="Times New Roman" w:hAnsi="Arial" w:cs="Arial"/>
          <w:sz w:val="24"/>
          <w:szCs w:val="24"/>
        </w:rPr>
        <w:t xml:space="preserve">. Kogan Page Publishers. </w:t>
      </w:r>
    </w:p>
    <w:p w14:paraId="3F36B404" w14:textId="392A3DD9"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lastRenderedPageBreak/>
        <w:t xml:space="preserve">Mathis, R.L., Jackson, J.H., Valentine, S.R. an d Meglich, P.A., 2017. </w:t>
      </w:r>
      <w:r w:rsidRPr="00A250DC">
        <w:rPr>
          <w:rFonts w:ascii="Arial" w:eastAsia="Times New Roman" w:hAnsi="Arial" w:cs="Arial"/>
          <w:i/>
          <w:iCs/>
          <w:sz w:val="24"/>
          <w:szCs w:val="24"/>
        </w:rPr>
        <w:t>Human resource management</w:t>
      </w:r>
      <w:r w:rsidRPr="00A250DC">
        <w:rPr>
          <w:rFonts w:ascii="Arial" w:eastAsia="Times New Roman" w:hAnsi="Arial" w:cs="Arial"/>
          <w:sz w:val="24"/>
          <w:szCs w:val="24"/>
        </w:rPr>
        <w:t xml:space="preserve">. Cengage learning. </w:t>
      </w:r>
    </w:p>
    <w:p w14:paraId="15358A5E" w14:textId="5192479B"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Mayhew, R. (2019, February 6). </w:t>
      </w:r>
      <w:r w:rsidRPr="00A250DC">
        <w:rPr>
          <w:rFonts w:ascii="Arial" w:eastAsia="Times New Roman" w:hAnsi="Arial" w:cs="Arial"/>
          <w:i/>
          <w:iCs/>
          <w:sz w:val="24"/>
          <w:szCs w:val="24"/>
        </w:rPr>
        <w:t>The Strategic Role of Human Resource Managers</w:t>
      </w:r>
      <w:r w:rsidRPr="00A250DC">
        <w:rPr>
          <w:rFonts w:ascii="Arial" w:eastAsia="Times New Roman" w:hAnsi="Arial" w:cs="Arial"/>
          <w:sz w:val="24"/>
          <w:szCs w:val="24"/>
        </w:rPr>
        <w:t xml:space="preserve">. Chron.com. </w:t>
      </w:r>
      <w:hyperlink r:id="rId6">
        <w:r w:rsidRPr="00A250DC">
          <w:rPr>
            <w:rStyle w:val="Hyperlink"/>
            <w:rFonts w:ascii="Arial" w:eastAsia="Times New Roman" w:hAnsi="Arial" w:cs="Arial"/>
            <w:color w:val="auto"/>
            <w:sz w:val="24"/>
            <w:szCs w:val="24"/>
          </w:rPr>
          <w:t>https://smallbusiness.chron.com/strategic-role-human-resource-managers-11782.html</w:t>
        </w:r>
      </w:hyperlink>
      <w:r w:rsidRPr="00A250DC">
        <w:rPr>
          <w:rFonts w:ascii="Arial" w:eastAsia="Times New Roman" w:hAnsi="Arial" w:cs="Arial"/>
          <w:sz w:val="24"/>
          <w:szCs w:val="24"/>
        </w:rPr>
        <w:t xml:space="preserve"> </w:t>
      </w:r>
    </w:p>
    <w:p w14:paraId="6FD528FA" w14:textId="54C4190D"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Noe, R., Hollenbeck, J., Gerhart, B. and Wright, P., 2006. </w:t>
      </w:r>
      <w:r w:rsidRPr="00A250DC">
        <w:rPr>
          <w:rFonts w:ascii="Arial" w:eastAsia="Times New Roman" w:hAnsi="Arial" w:cs="Arial"/>
          <w:i/>
          <w:iCs/>
          <w:sz w:val="24"/>
          <w:szCs w:val="24"/>
        </w:rPr>
        <w:t>Human Resources Management: Gaining a Competitive Advantage, Tenth Global Edition</w:t>
      </w:r>
      <w:r w:rsidRPr="00A250DC">
        <w:rPr>
          <w:rFonts w:ascii="Arial" w:eastAsia="Times New Roman" w:hAnsi="Arial" w:cs="Arial"/>
          <w:sz w:val="24"/>
          <w:szCs w:val="24"/>
        </w:rPr>
        <w:t xml:space="preserve">. New York, MA: McGraw-Hill Education. </w:t>
      </w:r>
    </w:p>
    <w:p w14:paraId="54A31580" w14:textId="14CDC43E"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Rana, S. and Chopra, P., 2019. Developing and sustaining employee engagement: the strategic perspective in telecom company. In </w:t>
      </w:r>
      <w:r w:rsidRPr="00A250DC">
        <w:rPr>
          <w:rFonts w:ascii="Arial" w:eastAsia="Times New Roman" w:hAnsi="Arial" w:cs="Arial"/>
          <w:i/>
          <w:iCs/>
          <w:sz w:val="24"/>
          <w:szCs w:val="24"/>
        </w:rPr>
        <w:t>Management Techniques for Employee Engagement in Contemporary Organizations</w:t>
      </w:r>
      <w:r w:rsidRPr="00A250DC">
        <w:rPr>
          <w:rFonts w:ascii="Arial" w:eastAsia="Times New Roman" w:hAnsi="Arial" w:cs="Arial"/>
          <w:sz w:val="24"/>
          <w:szCs w:val="24"/>
        </w:rPr>
        <w:t xml:space="preserve"> (pp. 142-164). IGI Global. </w:t>
      </w:r>
    </w:p>
    <w:p w14:paraId="100AC30A" w14:textId="1E36AEB2"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Schaufeli, W.B., </w:t>
      </w:r>
      <w:proofErr w:type="spellStart"/>
      <w:r w:rsidRPr="00A250DC">
        <w:rPr>
          <w:rFonts w:ascii="Arial" w:eastAsia="Times New Roman" w:hAnsi="Arial" w:cs="Arial"/>
          <w:sz w:val="24"/>
          <w:szCs w:val="24"/>
        </w:rPr>
        <w:t>Salanova</w:t>
      </w:r>
      <w:proofErr w:type="spellEnd"/>
      <w:r w:rsidRPr="00A250DC">
        <w:rPr>
          <w:rFonts w:ascii="Arial" w:eastAsia="Times New Roman" w:hAnsi="Arial" w:cs="Arial"/>
          <w:sz w:val="24"/>
          <w:szCs w:val="24"/>
        </w:rPr>
        <w:t>, M., González-</w:t>
      </w:r>
      <w:proofErr w:type="spellStart"/>
      <w:r w:rsidRPr="00A250DC">
        <w:rPr>
          <w:rFonts w:ascii="Arial" w:eastAsia="Times New Roman" w:hAnsi="Arial" w:cs="Arial"/>
          <w:sz w:val="24"/>
          <w:szCs w:val="24"/>
        </w:rPr>
        <w:t>Romá</w:t>
      </w:r>
      <w:proofErr w:type="spellEnd"/>
      <w:r w:rsidRPr="00A250DC">
        <w:rPr>
          <w:rFonts w:ascii="Arial" w:eastAsia="Times New Roman" w:hAnsi="Arial" w:cs="Arial"/>
          <w:sz w:val="24"/>
          <w:szCs w:val="24"/>
        </w:rPr>
        <w:t xml:space="preserve">, V. and Bakker, A.B., 2002. The measurement of engagement and burnout: A two sample confirmatory factor analytic approach. </w:t>
      </w:r>
      <w:r w:rsidRPr="00A250DC">
        <w:rPr>
          <w:rFonts w:ascii="Arial" w:eastAsia="Times New Roman" w:hAnsi="Arial" w:cs="Arial"/>
          <w:i/>
          <w:iCs/>
          <w:sz w:val="24"/>
          <w:szCs w:val="24"/>
        </w:rPr>
        <w:t>Journal of Happiness studies</w:t>
      </w:r>
      <w:r w:rsidRPr="00A250DC">
        <w:rPr>
          <w:rFonts w:ascii="Arial" w:eastAsia="Times New Roman" w:hAnsi="Arial" w:cs="Arial"/>
          <w:sz w:val="24"/>
          <w:szCs w:val="24"/>
        </w:rPr>
        <w:t xml:space="preserve">, </w:t>
      </w:r>
      <w:r w:rsidRPr="00A250DC">
        <w:rPr>
          <w:rFonts w:ascii="Arial" w:eastAsia="Times New Roman" w:hAnsi="Arial" w:cs="Arial"/>
          <w:i/>
          <w:iCs/>
          <w:sz w:val="24"/>
          <w:szCs w:val="24"/>
        </w:rPr>
        <w:t>3</w:t>
      </w:r>
      <w:r w:rsidRPr="00A250DC">
        <w:rPr>
          <w:rFonts w:ascii="Arial" w:eastAsia="Times New Roman" w:hAnsi="Arial" w:cs="Arial"/>
          <w:sz w:val="24"/>
          <w:szCs w:val="24"/>
        </w:rPr>
        <w:t xml:space="preserve">, pp.71-92. </w:t>
      </w:r>
    </w:p>
    <w:p w14:paraId="22C41720" w14:textId="51B9909A" w:rsidR="612D2942" w:rsidRPr="00A250DC" w:rsidRDefault="612D2942" w:rsidP="612D2942">
      <w:pPr>
        <w:spacing w:after="0" w:line="360" w:lineRule="auto"/>
        <w:ind w:left="1080" w:hanging="720"/>
        <w:rPr>
          <w:rFonts w:ascii="Arial" w:eastAsia="Times New Roman" w:hAnsi="Arial" w:cs="Arial"/>
          <w:sz w:val="24"/>
          <w:szCs w:val="24"/>
        </w:rPr>
      </w:pPr>
      <w:r w:rsidRPr="00A250DC">
        <w:rPr>
          <w:rFonts w:ascii="Arial" w:eastAsia="Times New Roman" w:hAnsi="Arial" w:cs="Arial"/>
          <w:sz w:val="24"/>
          <w:szCs w:val="24"/>
        </w:rPr>
        <w:t xml:space="preserve">Schuler, R.S. and Jackson, S.E., 2008. </w:t>
      </w:r>
      <w:r w:rsidRPr="00A250DC">
        <w:rPr>
          <w:rFonts w:ascii="Arial" w:eastAsia="Times New Roman" w:hAnsi="Arial" w:cs="Arial"/>
          <w:i/>
          <w:iCs/>
          <w:sz w:val="24"/>
          <w:szCs w:val="24"/>
        </w:rPr>
        <w:t>Strategic human resource management</w:t>
      </w:r>
      <w:r w:rsidRPr="00A250DC">
        <w:rPr>
          <w:rFonts w:ascii="Arial" w:eastAsia="Times New Roman" w:hAnsi="Arial" w:cs="Arial"/>
          <w:sz w:val="24"/>
          <w:szCs w:val="24"/>
        </w:rPr>
        <w:t>. John Wiley &amp; Sons.</w:t>
      </w:r>
    </w:p>
    <w:p w14:paraId="0FFF878B" w14:textId="2DB46CDD" w:rsidR="612D2942" w:rsidRPr="00A250DC" w:rsidRDefault="612D2942" w:rsidP="612D2942">
      <w:pPr>
        <w:spacing w:line="360" w:lineRule="auto"/>
        <w:rPr>
          <w:rFonts w:ascii="Arial" w:eastAsia="Times New Roman" w:hAnsi="Arial" w:cs="Arial"/>
          <w:sz w:val="24"/>
          <w:szCs w:val="24"/>
        </w:rPr>
      </w:pPr>
    </w:p>
    <w:sectPr w:rsidR="612D2942" w:rsidRPr="00A250D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06AA0"/>
    <w:multiLevelType w:val="hybridMultilevel"/>
    <w:tmpl w:val="94B4208C"/>
    <w:lvl w:ilvl="0" w:tplc="24261CA0">
      <w:start w:val="1"/>
      <w:numFmt w:val="bullet"/>
      <w:lvlText w:val=""/>
      <w:lvlJc w:val="left"/>
      <w:pPr>
        <w:ind w:left="720" w:hanging="360"/>
      </w:pPr>
      <w:rPr>
        <w:rFonts w:ascii="Symbol" w:hAnsi="Symbol" w:hint="default"/>
      </w:rPr>
    </w:lvl>
    <w:lvl w:ilvl="1" w:tplc="8A88214A">
      <w:start w:val="1"/>
      <w:numFmt w:val="bullet"/>
      <w:lvlText w:val="o"/>
      <w:lvlJc w:val="left"/>
      <w:pPr>
        <w:ind w:left="1440" w:hanging="360"/>
      </w:pPr>
      <w:rPr>
        <w:rFonts w:ascii="Courier New" w:hAnsi="Courier New" w:hint="default"/>
      </w:rPr>
    </w:lvl>
    <w:lvl w:ilvl="2" w:tplc="57B671EA">
      <w:start w:val="1"/>
      <w:numFmt w:val="bullet"/>
      <w:lvlText w:val=""/>
      <w:lvlJc w:val="left"/>
      <w:pPr>
        <w:ind w:left="2160" w:hanging="360"/>
      </w:pPr>
      <w:rPr>
        <w:rFonts w:ascii="Wingdings" w:hAnsi="Wingdings" w:hint="default"/>
      </w:rPr>
    </w:lvl>
    <w:lvl w:ilvl="3" w:tplc="83F6070C">
      <w:start w:val="1"/>
      <w:numFmt w:val="bullet"/>
      <w:lvlText w:val=""/>
      <w:lvlJc w:val="left"/>
      <w:pPr>
        <w:ind w:left="2880" w:hanging="360"/>
      </w:pPr>
      <w:rPr>
        <w:rFonts w:ascii="Symbol" w:hAnsi="Symbol" w:hint="default"/>
      </w:rPr>
    </w:lvl>
    <w:lvl w:ilvl="4" w:tplc="9B929FBE">
      <w:start w:val="1"/>
      <w:numFmt w:val="bullet"/>
      <w:lvlText w:val="o"/>
      <w:lvlJc w:val="left"/>
      <w:pPr>
        <w:ind w:left="3600" w:hanging="360"/>
      </w:pPr>
      <w:rPr>
        <w:rFonts w:ascii="Courier New" w:hAnsi="Courier New" w:hint="default"/>
      </w:rPr>
    </w:lvl>
    <w:lvl w:ilvl="5" w:tplc="D56E5574">
      <w:start w:val="1"/>
      <w:numFmt w:val="bullet"/>
      <w:lvlText w:val=""/>
      <w:lvlJc w:val="left"/>
      <w:pPr>
        <w:ind w:left="4320" w:hanging="360"/>
      </w:pPr>
      <w:rPr>
        <w:rFonts w:ascii="Wingdings" w:hAnsi="Wingdings" w:hint="default"/>
      </w:rPr>
    </w:lvl>
    <w:lvl w:ilvl="6" w:tplc="BBD0CBF2">
      <w:start w:val="1"/>
      <w:numFmt w:val="bullet"/>
      <w:lvlText w:val=""/>
      <w:lvlJc w:val="left"/>
      <w:pPr>
        <w:ind w:left="5040" w:hanging="360"/>
      </w:pPr>
      <w:rPr>
        <w:rFonts w:ascii="Symbol" w:hAnsi="Symbol" w:hint="default"/>
      </w:rPr>
    </w:lvl>
    <w:lvl w:ilvl="7" w:tplc="998E5E40">
      <w:start w:val="1"/>
      <w:numFmt w:val="bullet"/>
      <w:lvlText w:val="o"/>
      <w:lvlJc w:val="left"/>
      <w:pPr>
        <w:ind w:left="5760" w:hanging="360"/>
      </w:pPr>
      <w:rPr>
        <w:rFonts w:ascii="Courier New" w:hAnsi="Courier New" w:hint="default"/>
      </w:rPr>
    </w:lvl>
    <w:lvl w:ilvl="8" w:tplc="4CA27AF8">
      <w:start w:val="1"/>
      <w:numFmt w:val="bullet"/>
      <w:lvlText w:val=""/>
      <w:lvlJc w:val="left"/>
      <w:pPr>
        <w:ind w:left="6480" w:hanging="360"/>
      </w:pPr>
      <w:rPr>
        <w:rFonts w:ascii="Wingdings" w:hAnsi="Wingdings" w:hint="default"/>
      </w:rPr>
    </w:lvl>
  </w:abstractNum>
  <w:abstractNum w:abstractNumId="1" w15:restartNumberingAfterBreak="0">
    <w:nsid w:val="2B34CBF0"/>
    <w:multiLevelType w:val="hybridMultilevel"/>
    <w:tmpl w:val="808CF9E2"/>
    <w:lvl w:ilvl="0" w:tplc="EF484ABC">
      <w:start w:val="1"/>
      <w:numFmt w:val="bullet"/>
      <w:lvlText w:val=""/>
      <w:lvlJc w:val="left"/>
      <w:pPr>
        <w:ind w:left="720" w:hanging="360"/>
      </w:pPr>
      <w:rPr>
        <w:rFonts w:ascii="Symbol" w:hAnsi="Symbol" w:hint="default"/>
      </w:rPr>
    </w:lvl>
    <w:lvl w:ilvl="1" w:tplc="835A8736">
      <w:start w:val="1"/>
      <w:numFmt w:val="bullet"/>
      <w:lvlText w:val="o"/>
      <w:lvlJc w:val="left"/>
      <w:pPr>
        <w:ind w:left="1440" w:hanging="360"/>
      </w:pPr>
      <w:rPr>
        <w:rFonts w:ascii="Courier New" w:hAnsi="Courier New" w:hint="default"/>
      </w:rPr>
    </w:lvl>
    <w:lvl w:ilvl="2" w:tplc="9E9A18E2">
      <w:start w:val="1"/>
      <w:numFmt w:val="bullet"/>
      <w:lvlText w:val=""/>
      <w:lvlJc w:val="left"/>
      <w:pPr>
        <w:ind w:left="2160" w:hanging="360"/>
      </w:pPr>
      <w:rPr>
        <w:rFonts w:ascii="Wingdings" w:hAnsi="Wingdings" w:hint="default"/>
      </w:rPr>
    </w:lvl>
    <w:lvl w:ilvl="3" w:tplc="03EE12A6">
      <w:start w:val="1"/>
      <w:numFmt w:val="bullet"/>
      <w:lvlText w:val=""/>
      <w:lvlJc w:val="left"/>
      <w:pPr>
        <w:ind w:left="2880" w:hanging="360"/>
      </w:pPr>
      <w:rPr>
        <w:rFonts w:ascii="Symbol" w:hAnsi="Symbol" w:hint="default"/>
      </w:rPr>
    </w:lvl>
    <w:lvl w:ilvl="4" w:tplc="D8525446">
      <w:start w:val="1"/>
      <w:numFmt w:val="bullet"/>
      <w:lvlText w:val="o"/>
      <w:lvlJc w:val="left"/>
      <w:pPr>
        <w:ind w:left="3600" w:hanging="360"/>
      </w:pPr>
      <w:rPr>
        <w:rFonts w:ascii="Courier New" w:hAnsi="Courier New" w:hint="default"/>
      </w:rPr>
    </w:lvl>
    <w:lvl w:ilvl="5" w:tplc="6B64335E">
      <w:start w:val="1"/>
      <w:numFmt w:val="bullet"/>
      <w:lvlText w:val=""/>
      <w:lvlJc w:val="left"/>
      <w:pPr>
        <w:ind w:left="4320" w:hanging="360"/>
      </w:pPr>
      <w:rPr>
        <w:rFonts w:ascii="Wingdings" w:hAnsi="Wingdings" w:hint="default"/>
      </w:rPr>
    </w:lvl>
    <w:lvl w:ilvl="6" w:tplc="1B8E573E">
      <w:start w:val="1"/>
      <w:numFmt w:val="bullet"/>
      <w:lvlText w:val=""/>
      <w:lvlJc w:val="left"/>
      <w:pPr>
        <w:ind w:left="5040" w:hanging="360"/>
      </w:pPr>
      <w:rPr>
        <w:rFonts w:ascii="Symbol" w:hAnsi="Symbol" w:hint="default"/>
      </w:rPr>
    </w:lvl>
    <w:lvl w:ilvl="7" w:tplc="7E7CECC2">
      <w:start w:val="1"/>
      <w:numFmt w:val="bullet"/>
      <w:lvlText w:val="o"/>
      <w:lvlJc w:val="left"/>
      <w:pPr>
        <w:ind w:left="5760" w:hanging="360"/>
      </w:pPr>
      <w:rPr>
        <w:rFonts w:ascii="Courier New" w:hAnsi="Courier New" w:hint="default"/>
      </w:rPr>
    </w:lvl>
    <w:lvl w:ilvl="8" w:tplc="7C0A23E2">
      <w:start w:val="1"/>
      <w:numFmt w:val="bullet"/>
      <w:lvlText w:val=""/>
      <w:lvlJc w:val="left"/>
      <w:pPr>
        <w:ind w:left="6480" w:hanging="360"/>
      </w:pPr>
      <w:rPr>
        <w:rFonts w:ascii="Wingdings" w:hAnsi="Wingdings" w:hint="default"/>
      </w:rPr>
    </w:lvl>
  </w:abstractNum>
  <w:abstractNum w:abstractNumId="2" w15:restartNumberingAfterBreak="0">
    <w:nsid w:val="2C8D16DA"/>
    <w:multiLevelType w:val="hybridMultilevel"/>
    <w:tmpl w:val="A09CEB02"/>
    <w:lvl w:ilvl="0" w:tplc="39F01BE8">
      <w:start w:val="1"/>
      <w:numFmt w:val="bullet"/>
      <w:lvlText w:val=""/>
      <w:lvlJc w:val="left"/>
      <w:pPr>
        <w:ind w:left="720" w:hanging="360"/>
      </w:pPr>
      <w:rPr>
        <w:rFonts w:ascii="Symbol" w:hAnsi="Symbol" w:hint="default"/>
      </w:rPr>
    </w:lvl>
    <w:lvl w:ilvl="1" w:tplc="06206BA2">
      <w:start w:val="1"/>
      <w:numFmt w:val="bullet"/>
      <w:lvlText w:val="o"/>
      <w:lvlJc w:val="left"/>
      <w:pPr>
        <w:ind w:left="1440" w:hanging="360"/>
      </w:pPr>
      <w:rPr>
        <w:rFonts w:ascii="Courier New" w:hAnsi="Courier New" w:hint="default"/>
      </w:rPr>
    </w:lvl>
    <w:lvl w:ilvl="2" w:tplc="AAB45D98">
      <w:start w:val="1"/>
      <w:numFmt w:val="bullet"/>
      <w:lvlText w:val=""/>
      <w:lvlJc w:val="left"/>
      <w:pPr>
        <w:ind w:left="2160" w:hanging="360"/>
      </w:pPr>
      <w:rPr>
        <w:rFonts w:ascii="Wingdings" w:hAnsi="Wingdings" w:hint="default"/>
      </w:rPr>
    </w:lvl>
    <w:lvl w:ilvl="3" w:tplc="2EE44038">
      <w:start w:val="1"/>
      <w:numFmt w:val="bullet"/>
      <w:lvlText w:val=""/>
      <w:lvlJc w:val="left"/>
      <w:pPr>
        <w:ind w:left="2880" w:hanging="360"/>
      </w:pPr>
      <w:rPr>
        <w:rFonts w:ascii="Symbol" w:hAnsi="Symbol" w:hint="default"/>
      </w:rPr>
    </w:lvl>
    <w:lvl w:ilvl="4" w:tplc="395045A4">
      <w:start w:val="1"/>
      <w:numFmt w:val="bullet"/>
      <w:lvlText w:val="o"/>
      <w:lvlJc w:val="left"/>
      <w:pPr>
        <w:ind w:left="3600" w:hanging="360"/>
      </w:pPr>
      <w:rPr>
        <w:rFonts w:ascii="Courier New" w:hAnsi="Courier New" w:hint="default"/>
      </w:rPr>
    </w:lvl>
    <w:lvl w:ilvl="5" w:tplc="00F4F438">
      <w:start w:val="1"/>
      <w:numFmt w:val="bullet"/>
      <w:lvlText w:val=""/>
      <w:lvlJc w:val="left"/>
      <w:pPr>
        <w:ind w:left="4320" w:hanging="360"/>
      </w:pPr>
      <w:rPr>
        <w:rFonts w:ascii="Wingdings" w:hAnsi="Wingdings" w:hint="default"/>
      </w:rPr>
    </w:lvl>
    <w:lvl w:ilvl="6" w:tplc="ACD03C82">
      <w:start w:val="1"/>
      <w:numFmt w:val="bullet"/>
      <w:lvlText w:val=""/>
      <w:lvlJc w:val="left"/>
      <w:pPr>
        <w:ind w:left="5040" w:hanging="360"/>
      </w:pPr>
      <w:rPr>
        <w:rFonts w:ascii="Symbol" w:hAnsi="Symbol" w:hint="default"/>
      </w:rPr>
    </w:lvl>
    <w:lvl w:ilvl="7" w:tplc="AE54701E">
      <w:start w:val="1"/>
      <w:numFmt w:val="bullet"/>
      <w:lvlText w:val="o"/>
      <w:lvlJc w:val="left"/>
      <w:pPr>
        <w:ind w:left="5760" w:hanging="360"/>
      </w:pPr>
      <w:rPr>
        <w:rFonts w:ascii="Courier New" w:hAnsi="Courier New" w:hint="default"/>
      </w:rPr>
    </w:lvl>
    <w:lvl w:ilvl="8" w:tplc="A4D285A6">
      <w:start w:val="1"/>
      <w:numFmt w:val="bullet"/>
      <w:lvlText w:val=""/>
      <w:lvlJc w:val="left"/>
      <w:pPr>
        <w:ind w:left="6480" w:hanging="360"/>
      </w:pPr>
      <w:rPr>
        <w:rFonts w:ascii="Wingdings" w:hAnsi="Wingdings" w:hint="default"/>
      </w:rPr>
    </w:lvl>
  </w:abstractNum>
  <w:abstractNum w:abstractNumId="3" w15:restartNumberingAfterBreak="0">
    <w:nsid w:val="54E9DB1B"/>
    <w:multiLevelType w:val="hybridMultilevel"/>
    <w:tmpl w:val="A9B655BE"/>
    <w:lvl w:ilvl="0" w:tplc="E56ACDDE">
      <w:start w:val="1"/>
      <w:numFmt w:val="decimal"/>
      <w:lvlText w:val="%1."/>
      <w:lvlJc w:val="left"/>
      <w:pPr>
        <w:ind w:left="720" w:hanging="360"/>
      </w:pPr>
    </w:lvl>
    <w:lvl w:ilvl="1" w:tplc="32CAE468">
      <w:start w:val="1"/>
      <w:numFmt w:val="lowerLetter"/>
      <w:lvlText w:val="%2."/>
      <w:lvlJc w:val="left"/>
      <w:pPr>
        <w:ind w:left="1440" w:hanging="360"/>
      </w:pPr>
    </w:lvl>
    <w:lvl w:ilvl="2" w:tplc="1DC8F07A">
      <w:start w:val="1"/>
      <w:numFmt w:val="lowerRoman"/>
      <w:lvlText w:val="%3."/>
      <w:lvlJc w:val="right"/>
      <w:pPr>
        <w:ind w:left="2160" w:hanging="180"/>
      </w:pPr>
    </w:lvl>
    <w:lvl w:ilvl="3" w:tplc="0862FCBC">
      <w:start w:val="1"/>
      <w:numFmt w:val="decimal"/>
      <w:lvlText w:val="%4."/>
      <w:lvlJc w:val="left"/>
      <w:pPr>
        <w:ind w:left="2880" w:hanging="360"/>
      </w:pPr>
    </w:lvl>
    <w:lvl w:ilvl="4" w:tplc="424E18B6">
      <w:start w:val="1"/>
      <w:numFmt w:val="lowerLetter"/>
      <w:lvlText w:val="%5."/>
      <w:lvlJc w:val="left"/>
      <w:pPr>
        <w:ind w:left="3600" w:hanging="360"/>
      </w:pPr>
    </w:lvl>
    <w:lvl w:ilvl="5" w:tplc="49EA07FC">
      <w:start w:val="1"/>
      <w:numFmt w:val="lowerRoman"/>
      <w:lvlText w:val="%6."/>
      <w:lvlJc w:val="right"/>
      <w:pPr>
        <w:ind w:left="4320" w:hanging="180"/>
      </w:pPr>
    </w:lvl>
    <w:lvl w:ilvl="6" w:tplc="C22A444E">
      <w:start w:val="1"/>
      <w:numFmt w:val="decimal"/>
      <w:lvlText w:val="%7."/>
      <w:lvlJc w:val="left"/>
      <w:pPr>
        <w:ind w:left="5040" w:hanging="360"/>
      </w:pPr>
    </w:lvl>
    <w:lvl w:ilvl="7" w:tplc="DC646BFA">
      <w:start w:val="1"/>
      <w:numFmt w:val="lowerLetter"/>
      <w:lvlText w:val="%8."/>
      <w:lvlJc w:val="left"/>
      <w:pPr>
        <w:ind w:left="5760" w:hanging="360"/>
      </w:pPr>
    </w:lvl>
    <w:lvl w:ilvl="8" w:tplc="E370F580">
      <w:start w:val="1"/>
      <w:numFmt w:val="lowerRoman"/>
      <w:lvlText w:val="%9."/>
      <w:lvlJc w:val="right"/>
      <w:pPr>
        <w:ind w:left="6480" w:hanging="180"/>
      </w:pPr>
    </w:lvl>
  </w:abstractNum>
  <w:abstractNum w:abstractNumId="4" w15:restartNumberingAfterBreak="0">
    <w:nsid w:val="6A3B27B6"/>
    <w:multiLevelType w:val="hybridMultilevel"/>
    <w:tmpl w:val="215ACA7E"/>
    <w:lvl w:ilvl="0" w:tplc="E4A2A620">
      <w:start w:val="1"/>
      <w:numFmt w:val="decimal"/>
      <w:lvlText w:val="%1."/>
      <w:lvlJc w:val="left"/>
      <w:pPr>
        <w:ind w:left="720" w:hanging="360"/>
      </w:pPr>
    </w:lvl>
    <w:lvl w:ilvl="1" w:tplc="87066F9E">
      <w:start w:val="1"/>
      <w:numFmt w:val="lowerLetter"/>
      <w:lvlText w:val="%2."/>
      <w:lvlJc w:val="left"/>
      <w:pPr>
        <w:ind w:left="1440" w:hanging="360"/>
      </w:pPr>
    </w:lvl>
    <w:lvl w:ilvl="2" w:tplc="7AD4A9F2">
      <w:start w:val="1"/>
      <w:numFmt w:val="lowerRoman"/>
      <w:lvlText w:val="%3."/>
      <w:lvlJc w:val="right"/>
      <w:pPr>
        <w:ind w:left="2160" w:hanging="180"/>
      </w:pPr>
    </w:lvl>
    <w:lvl w:ilvl="3" w:tplc="3C92380E">
      <w:start w:val="1"/>
      <w:numFmt w:val="decimal"/>
      <w:lvlText w:val="%4."/>
      <w:lvlJc w:val="left"/>
      <w:pPr>
        <w:ind w:left="2880" w:hanging="360"/>
      </w:pPr>
    </w:lvl>
    <w:lvl w:ilvl="4" w:tplc="ECE4A910">
      <w:start w:val="1"/>
      <w:numFmt w:val="lowerLetter"/>
      <w:lvlText w:val="%5."/>
      <w:lvlJc w:val="left"/>
      <w:pPr>
        <w:ind w:left="3600" w:hanging="360"/>
      </w:pPr>
    </w:lvl>
    <w:lvl w:ilvl="5" w:tplc="447215D2">
      <w:start w:val="1"/>
      <w:numFmt w:val="lowerRoman"/>
      <w:lvlText w:val="%6."/>
      <w:lvlJc w:val="right"/>
      <w:pPr>
        <w:ind w:left="4320" w:hanging="180"/>
      </w:pPr>
    </w:lvl>
    <w:lvl w:ilvl="6" w:tplc="57A4A4C8">
      <w:start w:val="1"/>
      <w:numFmt w:val="decimal"/>
      <w:lvlText w:val="%7."/>
      <w:lvlJc w:val="left"/>
      <w:pPr>
        <w:ind w:left="5040" w:hanging="360"/>
      </w:pPr>
    </w:lvl>
    <w:lvl w:ilvl="7" w:tplc="FDCE66E0">
      <w:start w:val="1"/>
      <w:numFmt w:val="lowerLetter"/>
      <w:lvlText w:val="%8."/>
      <w:lvlJc w:val="left"/>
      <w:pPr>
        <w:ind w:left="5760" w:hanging="360"/>
      </w:pPr>
    </w:lvl>
    <w:lvl w:ilvl="8" w:tplc="2FF8A3CE">
      <w:start w:val="1"/>
      <w:numFmt w:val="lowerRoman"/>
      <w:lvlText w:val="%9."/>
      <w:lvlJc w:val="right"/>
      <w:pPr>
        <w:ind w:left="6480" w:hanging="180"/>
      </w:pPr>
    </w:lvl>
  </w:abstractNum>
  <w:abstractNum w:abstractNumId="5" w15:restartNumberingAfterBreak="0">
    <w:nsid w:val="6E8515CD"/>
    <w:multiLevelType w:val="hybridMultilevel"/>
    <w:tmpl w:val="89F27B8C"/>
    <w:lvl w:ilvl="0" w:tplc="4D58B68E">
      <w:start w:val="1"/>
      <w:numFmt w:val="decimal"/>
      <w:lvlText w:val="%1."/>
      <w:lvlJc w:val="left"/>
      <w:pPr>
        <w:ind w:left="720" w:hanging="360"/>
      </w:pPr>
    </w:lvl>
    <w:lvl w:ilvl="1" w:tplc="1726872E">
      <w:start w:val="1"/>
      <w:numFmt w:val="lowerLetter"/>
      <w:lvlText w:val="%2."/>
      <w:lvlJc w:val="left"/>
      <w:pPr>
        <w:ind w:left="1440" w:hanging="360"/>
      </w:pPr>
    </w:lvl>
    <w:lvl w:ilvl="2" w:tplc="4FDAC98A">
      <w:start w:val="1"/>
      <w:numFmt w:val="lowerRoman"/>
      <w:lvlText w:val="%3."/>
      <w:lvlJc w:val="right"/>
      <w:pPr>
        <w:ind w:left="2160" w:hanging="180"/>
      </w:pPr>
    </w:lvl>
    <w:lvl w:ilvl="3" w:tplc="32D44F40">
      <w:start w:val="1"/>
      <w:numFmt w:val="decimal"/>
      <w:lvlText w:val="%4."/>
      <w:lvlJc w:val="left"/>
      <w:pPr>
        <w:ind w:left="2880" w:hanging="360"/>
      </w:pPr>
    </w:lvl>
    <w:lvl w:ilvl="4" w:tplc="B34CFAC6">
      <w:start w:val="1"/>
      <w:numFmt w:val="lowerLetter"/>
      <w:lvlText w:val="%5."/>
      <w:lvlJc w:val="left"/>
      <w:pPr>
        <w:ind w:left="3600" w:hanging="360"/>
      </w:pPr>
    </w:lvl>
    <w:lvl w:ilvl="5" w:tplc="00784E06">
      <w:start w:val="1"/>
      <w:numFmt w:val="lowerRoman"/>
      <w:lvlText w:val="%6."/>
      <w:lvlJc w:val="right"/>
      <w:pPr>
        <w:ind w:left="4320" w:hanging="180"/>
      </w:pPr>
    </w:lvl>
    <w:lvl w:ilvl="6" w:tplc="CF48AB10">
      <w:start w:val="1"/>
      <w:numFmt w:val="decimal"/>
      <w:lvlText w:val="%7."/>
      <w:lvlJc w:val="left"/>
      <w:pPr>
        <w:ind w:left="5040" w:hanging="360"/>
      </w:pPr>
    </w:lvl>
    <w:lvl w:ilvl="7" w:tplc="FC2CBA7C">
      <w:start w:val="1"/>
      <w:numFmt w:val="lowerLetter"/>
      <w:lvlText w:val="%8."/>
      <w:lvlJc w:val="left"/>
      <w:pPr>
        <w:ind w:left="5760" w:hanging="360"/>
      </w:pPr>
    </w:lvl>
    <w:lvl w:ilvl="8" w:tplc="B0088E20">
      <w:start w:val="1"/>
      <w:numFmt w:val="lowerRoman"/>
      <w:lvlText w:val="%9."/>
      <w:lvlJc w:val="right"/>
      <w:pPr>
        <w:ind w:left="6480" w:hanging="180"/>
      </w:pPr>
    </w:lvl>
  </w:abstractNum>
  <w:num w:numId="1" w16cid:durableId="507525416">
    <w:abstractNumId w:val="1"/>
  </w:num>
  <w:num w:numId="2" w16cid:durableId="1709257616">
    <w:abstractNumId w:val="3"/>
  </w:num>
  <w:num w:numId="3" w16cid:durableId="502281833">
    <w:abstractNumId w:val="2"/>
  </w:num>
  <w:num w:numId="4" w16cid:durableId="956760654">
    <w:abstractNumId w:val="0"/>
  </w:num>
  <w:num w:numId="5" w16cid:durableId="1953828535">
    <w:abstractNumId w:val="5"/>
  </w:num>
  <w:num w:numId="6" w16cid:durableId="1823238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63C773"/>
    <w:rsid w:val="0022544D"/>
    <w:rsid w:val="0059513E"/>
    <w:rsid w:val="008812BF"/>
    <w:rsid w:val="00A250DC"/>
    <w:rsid w:val="00CF1E1C"/>
    <w:rsid w:val="00D858EB"/>
    <w:rsid w:val="1963C773"/>
    <w:rsid w:val="2635C5B5"/>
    <w:rsid w:val="3560FDD8"/>
    <w:rsid w:val="612D2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5C5B5"/>
  <w15:chartTrackingRefBased/>
  <w15:docId w15:val="{242AF432-B865-4C5E-A3F4-1FF48A03D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mallbusiness.chron.com/strategic-role-human-resource-managers-11782.html" TargetMode="External"/><Relationship Id="rId5" Type="http://schemas.openxmlformats.org/officeDocument/2006/relationships/hyperlink" Target="https://hoteldesigns.net/industry-news/marriott-provides-insight-on-hotel-development-progr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2533</Words>
  <Characters>14443</Characters>
  <Application>Microsoft Office Word</Application>
  <DocSecurity>0</DocSecurity>
  <Lines>120</Lines>
  <Paragraphs>33</Paragraphs>
  <ScaleCrop>false</ScaleCrop>
  <Company/>
  <LinksUpToDate>false</LinksUpToDate>
  <CharactersWithSpaces>16943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dc:creator>
  <cp:keywords/>
  <dc:description/>
  <cp:lastModifiedBy>Aurelia Bogatu (2231922)</cp:lastModifiedBy>
  <cp:revision>10</cp:revision>
  <dcterms:created xsi:type="dcterms:W3CDTF">2024-01-12T06:51:00Z</dcterms:created>
  <dcterms:modified xsi:type="dcterms:W3CDTF">2024-01-24T10:03:00Z</dcterms:modified>
</cp:coreProperties>
</file>