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3A47E" w14:textId="68CF39F5" w:rsidR="003530DE" w:rsidRPr="00BA1649" w:rsidRDefault="003530DE" w:rsidP="00EB02C0">
      <w:pPr>
        <w:spacing w:line="360" w:lineRule="auto"/>
        <w:jc w:val="center"/>
        <w:rPr>
          <w:rFonts w:ascii="Arial" w:hAnsi="Arial" w:cs="Arial"/>
          <w:b/>
          <w:bCs/>
          <w:sz w:val="28"/>
          <w:szCs w:val="28"/>
        </w:rPr>
      </w:pPr>
      <w:r w:rsidRPr="00BA1649">
        <w:rPr>
          <w:rFonts w:ascii="Arial" w:hAnsi="Arial" w:cs="Arial"/>
          <w:b/>
          <w:bCs/>
          <w:sz w:val="28"/>
          <w:szCs w:val="28"/>
        </w:rPr>
        <w:t xml:space="preserve">BSc Health and social care </w:t>
      </w:r>
    </w:p>
    <w:p w14:paraId="5D32A617" w14:textId="226DE3B9" w:rsidR="003530DE" w:rsidRPr="00BA1649" w:rsidRDefault="00C1201E" w:rsidP="00AC4B68">
      <w:pPr>
        <w:spacing w:line="360" w:lineRule="auto"/>
        <w:jc w:val="center"/>
        <w:rPr>
          <w:rFonts w:ascii="Arial" w:hAnsi="Arial" w:cs="Arial"/>
          <w:b/>
          <w:bCs/>
          <w:sz w:val="28"/>
          <w:szCs w:val="28"/>
        </w:rPr>
      </w:pPr>
      <w:r w:rsidRPr="00BA1649">
        <w:rPr>
          <w:rFonts w:ascii="Arial" w:hAnsi="Arial" w:cs="Arial"/>
          <w:b/>
          <w:bCs/>
          <w:sz w:val="28"/>
          <w:szCs w:val="28"/>
        </w:rPr>
        <w:t xml:space="preserve">Digital Transformation </w:t>
      </w:r>
      <w:r w:rsidR="00194959" w:rsidRPr="00BA1649">
        <w:rPr>
          <w:rFonts w:ascii="Arial" w:hAnsi="Arial" w:cs="Arial"/>
          <w:b/>
          <w:bCs/>
          <w:sz w:val="28"/>
          <w:szCs w:val="28"/>
        </w:rPr>
        <w:t>in Health &amp; Care Profession</w:t>
      </w:r>
      <w:r w:rsidR="00AC4B68" w:rsidRPr="00BA1649">
        <w:rPr>
          <w:rFonts w:ascii="Arial" w:hAnsi="Arial" w:cs="Arial"/>
          <w:b/>
          <w:bCs/>
          <w:sz w:val="28"/>
          <w:szCs w:val="28"/>
        </w:rPr>
        <w:t>s</w:t>
      </w:r>
    </w:p>
    <w:p w14:paraId="18E5D1D5" w14:textId="4E6A4054" w:rsidR="00EB02C0" w:rsidRPr="00BA1649" w:rsidRDefault="00EB02C0" w:rsidP="00EB02C0">
      <w:pPr>
        <w:spacing w:line="360" w:lineRule="auto"/>
        <w:jc w:val="center"/>
        <w:rPr>
          <w:rFonts w:ascii="Arial" w:hAnsi="Arial" w:cs="Arial"/>
          <w:b/>
          <w:bCs/>
          <w:sz w:val="28"/>
          <w:szCs w:val="28"/>
        </w:rPr>
      </w:pPr>
      <w:r w:rsidRPr="00BA1649">
        <w:rPr>
          <w:rFonts w:ascii="Arial" w:hAnsi="Arial" w:cs="Arial"/>
          <w:b/>
          <w:bCs/>
          <w:sz w:val="28"/>
          <w:szCs w:val="28"/>
        </w:rPr>
        <w:t>BM</w:t>
      </w:r>
      <w:r w:rsidR="00395C2A" w:rsidRPr="00BA1649">
        <w:rPr>
          <w:rFonts w:ascii="Arial" w:hAnsi="Arial" w:cs="Arial"/>
          <w:b/>
          <w:bCs/>
          <w:sz w:val="28"/>
          <w:szCs w:val="28"/>
        </w:rPr>
        <w:t xml:space="preserve">HP6026 </w:t>
      </w:r>
    </w:p>
    <w:p w14:paraId="7EFE9F45" w14:textId="77777777" w:rsidR="00AC4B68" w:rsidRPr="00BA1649" w:rsidRDefault="00AC4B68" w:rsidP="00AC4B68">
      <w:pPr>
        <w:spacing w:line="360" w:lineRule="auto"/>
        <w:rPr>
          <w:rFonts w:ascii="Arial" w:hAnsi="Arial" w:cs="Arial"/>
          <w:b/>
          <w:bCs/>
          <w:sz w:val="28"/>
          <w:szCs w:val="28"/>
        </w:rPr>
      </w:pPr>
    </w:p>
    <w:p w14:paraId="39067AA1" w14:textId="58255174" w:rsidR="00AC4B68" w:rsidRPr="00BA1649" w:rsidRDefault="00AC4B68" w:rsidP="00AC4B68">
      <w:pPr>
        <w:spacing w:line="360" w:lineRule="auto"/>
        <w:rPr>
          <w:rFonts w:ascii="Arial" w:hAnsi="Arial" w:cs="Arial"/>
          <w:b/>
          <w:bCs/>
          <w:sz w:val="28"/>
          <w:szCs w:val="28"/>
        </w:rPr>
      </w:pPr>
      <w:r w:rsidRPr="00BA1649">
        <w:rPr>
          <w:rFonts w:ascii="Arial" w:hAnsi="Arial" w:cs="Arial"/>
          <w:b/>
          <w:bCs/>
          <w:sz w:val="28"/>
          <w:szCs w:val="28"/>
        </w:rPr>
        <w:t>Name:</w:t>
      </w:r>
      <w:r w:rsidR="00AE74C1" w:rsidRPr="00BA1649">
        <w:rPr>
          <w:rFonts w:ascii="Arial" w:hAnsi="Arial" w:cs="Arial"/>
          <w:b/>
          <w:bCs/>
          <w:sz w:val="28"/>
          <w:szCs w:val="28"/>
        </w:rPr>
        <w:t xml:space="preserve"> Misba Mahmood </w:t>
      </w:r>
    </w:p>
    <w:p w14:paraId="25765AEC" w14:textId="48609CD5" w:rsidR="00AE74C1" w:rsidRPr="00BA1649" w:rsidRDefault="00AE74C1" w:rsidP="00AC4B68">
      <w:pPr>
        <w:spacing w:line="360" w:lineRule="auto"/>
        <w:rPr>
          <w:rFonts w:ascii="Arial" w:hAnsi="Arial" w:cs="Arial"/>
          <w:b/>
          <w:bCs/>
          <w:sz w:val="28"/>
          <w:szCs w:val="28"/>
        </w:rPr>
      </w:pPr>
      <w:r w:rsidRPr="00BA1649">
        <w:rPr>
          <w:rFonts w:ascii="Arial" w:hAnsi="Arial" w:cs="Arial"/>
          <w:b/>
          <w:bCs/>
          <w:sz w:val="28"/>
          <w:szCs w:val="28"/>
        </w:rPr>
        <w:t>Student ID: 2413669</w:t>
      </w:r>
    </w:p>
    <w:p w14:paraId="2A1EC8B5" w14:textId="348E2FC9" w:rsidR="00AE74C1" w:rsidRPr="00BA1649" w:rsidRDefault="00AE74C1" w:rsidP="00AC4B68">
      <w:pPr>
        <w:spacing w:line="360" w:lineRule="auto"/>
        <w:rPr>
          <w:rFonts w:ascii="Arial" w:hAnsi="Arial" w:cs="Arial"/>
          <w:b/>
          <w:bCs/>
          <w:sz w:val="28"/>
          <w:szCs w:val="28"/>
        </w:rPr>
      </w:pPr>
      <w:r w:rsidRPr="00BA1649">
        <w:rPr>
          <w:rFonts w:ascii="Arial" w:hAnsi="Arial" w:cs="Arial"/>
          <w:b/>
          <w:bCs/>
          <w:sz w:val="28"/>
          <w:szCs w:val="28"/>
        </w:rPr>
        <w:t xml:space="preserve">Lecturer: Martin </w:t>
      </w:r>
      <w:r w:rsidR="00594F4A" w:rsidRPr="00BA1649">
        <w:rPr>
          <w:rFonts w:ascii="Arial" w:hAnsi="Arial" w:cs="Arial"/>
          <w:b/>
          <w:bCs/>
          <w:sz w:val="28"/>
          <w:szCs w:val="28"/>
        </w:rPr>
        <w:t xml:space="preserve">Svejda </w:t>
      </w:r>
    </w:p>
    <w:p w14:paraId="246EF0F2" w14:textId="005CD7D9" w:rsidR="00594F4A" w:rsidRPr="00BA1649" w:rsidRDefault="00C77D39" w:rsidP="00AC4B68">
      <w:pPr>
        <w:spacing w:line="360" w:lineRule="auto"/>
        <w:rPr>
          <w:rFonts w:ascii="Arial" w:hAnsi="Arial" w:cs="Arial"/>
          <w:b/>
          <w:bCs/>
          <w:sz w:val="28"/>
          <w:szCs w:val="28"/>
        </w:rPr>
      </w:pPr>
      <w:r w:rsidRPr="00BA1649">
        <w:rPr>
          <w:rFonts w:ascii="Arial" w:hAnsi="Arial" w:cs="Arial"/>
          <w:b/>
          <w:bCs/>
          <w:sz w:val="28"/>
          <w:szCs w:val="28"/>
        </w:rPr>
        <w:t>A</w:t>
      </w:r>
      <w:r w:rsidR="00594F4A" w:rsidRPr="00BA1649">
        <w:rPr>
          <w:rFonts w:ascii="Arial" w:hAnsi="Arial" w:cs="Arial"/>
          <w:b/>
          <w:bCs/>
          <w:sz w:val="28"/>
          <w:szCs w:val="28"/>
        </w:rPr>
        <w:t>ssig</w:t>
      </w:r>
      <w:r w:rsidRPr="00BA1649">
        <w:rPr>
          <w:rFonts w:ascii="Arial" w:hAnsi="Arial" w:cs="Arial"/>
          <w:b/>
          <w:bCs/>
          <w:sz w:val="28"/>
          <w:szCs w:val="28"/>
        </w:rPr>
        <w:t xml:space="preserve">nment Title: </w:t>
      </w:r>
      <w:r w:rsidR="007F1133" w:rsidRPr="00BA1649">
        <w:rPr>
          <w:rFonts w:ascii="Arial" w:hAnsi="Arial" w:cs="Arial"/>
          <w:b/>
          <w:bCs/>
          <w:sz w:val="28"/>
          <w:szCs w:val="28"/>
        </w:rPr>
        <w:t xml:space="preserve">Written Report </w:t>
      </w:r>
    </w:p>
    <w:p w14:paraId="6EF41E2B" w14:textId="07C2D020" w:rsidR="007F1133" w:rsidRPr="00BA1649" w:rsidRDefault="00962FC4" w:rsidP="00AC4B68">
      <w:pPr>
        <w:spacing w:line="360" w:lineRule="auto"/>
        <w:rPr>
          <w:rFonts w:ascii="Arial" w:hAnsi="Arial" w:cs="Arial"/>
          <w:b/>
          <w:bCs/>
          <w:sz w:val="28"/>
          <w:szCs w:val="28"/>
        </w:rPr>
      </w:pPr>
      <w:r w:rsidRPr="00BA1649">
        <w:rPr>
          <w:rFonts w:ascii="Arial" w:hAnsi="Arial" w:cs="Arial"/>
          <w:b/>
          <w:bCs/>
          <w:sz w:val="28"/>
          <w:szCs w:val="28"/>
        </w:rPr>
        <w:t>Submission Date: Monday 19</w:t>
      </w:r>
      <w:r w:rsidR="00134408" w:rsidRPr="00BA1649">
        <w:rPr>
          <w:rFonts w:ascii="Arial" w:hAnsi="Arial" w:cs="Arial"/>
          <w:b/>
          <w:bCs/>
          <w:sz w:val="28"/>
          <w:szCs w:val="28"/>
          <w:vertAlign w:val="superscript"/>
        </w:rPr>
        <w:t>th</w:t>
      </w:r>
      <w:r w:rsidR="00134408" w:rsidRPr="00BA1649">
        <w:rPr>
          <w:rFonts w:ascii="Arial" w:hAnsi="Arial" w:cs="Arial"/>
          <w:b/>
          <w:bCs/>
          <w:sz w:val="28"/>
          <w:szCs w:val="28"/>
        </w:rPr>
        <w:t xml:space="preserve"> October 2026</w:t>
      </w:r>
    </w:p>
    <w:p w14:paraId="234CDB52" w14:textId="77777777" w:rsidR="00134408" w:rsidRDefault="00134408" w:rsidP="00AC4B68">
      <w:pPr>
        <w:spacing w:line="360" w:lineRule="auto"/>
        <w:rPr>
          <w:rFonts w:ascii="Arial" w:hAnsi="Arial" w:cs="Arial"/>
          <w:b/>
          <w:bCs/>
          <w:sz w:val="22"/>
          <w:szCs w:val="22"/>
        </w:rPr>
      </w:pPr>
    </w:p>
    <w:p w14:paraId="4488F4B5" w14:textId="77777777" w:rsidR="00EB02C0" w:rsidRDefault="00EB02C0" w:rsidP="00910254">
      <w:pPr>
        <w:spacing w:line="360" w:lineRule="auto"/>
        <w:rPr>
          <w:rFonts w:ascii="Arial" w:hAnsi="Arial" w:cs="Arial"/>
          <w:b/>
          <w:bCs/>
          <w:sz w:val="22"/>
          <w:szCs w:val="22"/>
        </w:rPr>
      </w:pPr>
    </w:p>
    <w:p w14:paraId="41D94F8A" w14:textId="77777777" w:rsidR="00BA1649" w:rsidRDefault="00BA1649" w:rsidP="00910254">
      <w:pPr>
        <w:spacing w:line="360" w:lineRule="auto"/>
        <w:rPr>
          <w:rFonts w:ascii="Arial" w:hAnsi="Arial" w:cs="Arial"/>
          <w:b/>
          <w:bCs/>
          <w:sz w:val="22"/>
          <w:szCs w:val="22"/>
        </w:rPr>
      </w:pPr>
    </w:p>
    <w:p w14:paraId="06A699C0" w14:textId="77777777" w:rsidR="00BA1649" w:rsidRDefault="00BA1649" w:rsidP="00910254">
      <w:pPr>
        <w:spacing w:line="360" w:lineRule="auto"/>
        <w:rPr>
          <w:rFonts w:ascii="Arial" w:hAnsi="Arial" w:cs="Arial"/>
          <w:b/>
          <w:bCs/>
          <w:sz w:val="22"/>
          <w:szCs w:val="22"/>
        </w:rPr>
      </w:pPr>
    </w:p>
    <w:p w14:paraId="004CD3D5" w14:textId="77777777" w:rsidR="00BA1649" w:rsidRDefault="00BA1649" w:rsidP="00910254">
      <w:pPr>
        <w:spacing w:line="360" w:lineRule="auto"/>
        <w:rPr>
          <w:rFonts w:ascii="Arial" w:hAnsi="Arial" w:cs="Arial"/>
          <w:b/>
          <w:bCs/>
          <w:sz w:val="22"/>
          <w:szCs w:val="22"/>
        </w:rPr>
      </w:pPr>
    </w:p>
    <w:p w14:paraId="7A65BA70" w14:textId="77777777" w:rsidR="00BA1649" w:rsidRDefault="00BA1649" w:rsidP="00910254">
      <w:pPr>
        <w:spacing w:line="360" w:lineRule="auto"/>
        <w:rPr>
          <w:rFonts w:ascii="Arial" w:hAnsi="Arial" w:cs="Arial"/>
          <w:b/>
          <w:bCs/>
          <w:sz w:val="22"/>
          <w:szCs w:val="22"/>
        </w:rPr>
      </w:pPr>
    </w:p>
    <w:p w14:paraId="581E8E63" w14:textId="77777777" w:rsidR="00BA1649" w:rsidRDefault="00BA1649" w:rsidP="00910254">
      <w:pPr>
        <w:spacing w:line="360" w:lineRule="auto"/>
        <w:rPr>
          <w:rFonts w:ascii="Arial" w:hAnsi="Arial" w:cs="Arial"/>
          <w:b/>
          <w:bCs/>
          <w:sz w:val="22"/>
          <w:szCs w:val="22"/>
        </w:rPr>
      </w:pPr>
    </w:p>
    <w:p w14:paraId="44747A10" w14:textId="77777777" w:rsidR="00BA1649" w:rsidRDefault="00BA1649" w:rsidP="00910254">
      <w:pPr>
        <w:spacing w:line="360" w:lineRule="auto"/>
        <w:rPr>
          <w:rFonts w:ascii="Arial" w:hAnsi="Arial" w:cs="Arial"/>
          <w:b/>
          <w:bCs/>
          <w:sz w:val="22"/>
          <w:szCs w:val="22"/>
        </w:rPr>
      </w:pPr>
    </w:p>
    <w:p w14:paraId="77DA1677" w14:textId="77777777" w:rsidR="00BA1649" w:rsidRDefault="00BA1649" w:rsidP="00910254">
      <w:pPr>
        <w:spacing w:line="360" w:lineRule="auto"/>
        <w:rPr>
          <w:rFonts w:ascii="Arial" w:hAnsi="Arial" w:cs="Arial"/>
          <w:b/>
          <w:bCs/>
          <w:sz w:val="22"/>
          <w:szCs w:val="22"/>
        </w:rPr>
      </w:pPr>
    </w:p>
    <w:p w14:paraId="0D4E932F" w14:textId="77777777" w:rsidR="00BA1649" w:rsidRDefault="00BA1649" w:rsidP="00910254">
      <w:pPr>
        <w:spacing w:line="360" w:lineRule="auto"/>
        <w:rPr>
          <w:rFonts w:ascii="Arial" w:hAnsi="Arial" w:cs="Arial"/>
          <w:b/>
          <w:bCs/>
          <w:sz w:val="22"/>
          <w:szCs w:val="22"/>
        </w:rPr>
      </w:pPr>
    </w:p>
    <w:p w14:paraId="022A7EDB" w14:textId="77777777" w:rsidR="00BA1649" w:rsidRDefault="00BA1649" w:rsidP="00910254">
      <w:pPr>
        <w:spacing w:line="360" w:lineRule="auto"/>
        <w:rPr>
          <w:rFonts w:ascii="Arial" w:hAnsi="Arial" w:cs="Arial"/>
          <w:b/>
          <w:bCs/>
          <w:sz w:val="22"/>
          <w:szCs w:val="22"/>
        </w:rPr>
      </w:pPr>
    </w:p>
    <w:p w14:paraId="4F905743" w14:textId="77777777" w:rsidR="00BA1649" w:rsidRDefault="00BA1649" w:rsidP="00910254">
      <w:pPr>
        <w:spacing w:line="360" w:lineRule="auto"/>
        <w:rPr>
          <w:rFonts w:ascii="Arial" w:hAnsi="Arial" w:cs="Arial"/>
          <w:b/>
          <w:bCs/>
          <w:sz w:val="22"/>
          <w:szCs w:val="22"/>
        </w:rPr>
      </w:pPr>
    </w:p>
    <w:p w14:paraId="4D8BEE30" w14:textId="77777777" w:rsidR="00BA1649" w:rsidRDefault="00BA1649" w:rsidP="00910254">
      <w:pPr>
        <w:spacing w:line="360" w:lineRule="auto"/>
        <w:rPr>
          <w:rFonts w:ascii="Arial" w:hAnsi="Arial" w:cs="Arial"/>
          <w:b/>
          <w:bCs/>
          <w:sz w:val="22"/>
          <w:szCs w:val="22"/>
        </w:rPr>
      </w:pPr>
    </w:p>
    <w:p w14:paraId="2F364B39" w14:textId="77777777" w:rsidR="00BA1649" w:rsidRDefault="00BA1649" w:rsidP="00910254">
      <w:pPr>
        <w:spacing w:line="360" w:lineRule="auto"/>
        <w:rPr>
          <w:rFonts w:ascii="Arial" w:hAnsi="Arial" w:cs="Arial"/>
          <w:b/>
          <w:bCs/>
          <w:sz w:val="22"/>
          <w:szCs w:val="22"/>
        </w:rPr>
      </w:pPr>
    </w:p>
    <w:p w14:paraId="3A96C558" w14:textId="77777777" w:rsidR="00BA1649" w:rsidRDefault="00BA1649" w:rsidP="00910254">
      <w:pPr>
        <w:spacing w:line="360" w:lineRule="auto"/>
        <w:rPr>
          <w:rFonts w:ascii="Arial" w:hAnsi="Arial" w:cs="Arial"/>
          <w:b/>
          <w:bCs/>
          <w:sz w:val="22"/>
          <w:szCs w:val="22"/>
        </w:rPr>
      </w:pPr>
    </w:p>
    <w:p w14:paraId="18DD6A80" w14:textId="77777777" w:rsidR="00BA1649" w:rsidRDefault="00BA1649" w:rsidP="00910254">
      <w:pPr>
        <w:spacing w:line="360" w:lineRule="auto"/>
        <w:rPr>
          <w:rFonts w:ascii="Arial" w:hAnsi="Arial" w:cs="Arial"/>
          <w:b/>
          <w:bCs/>
          <w:sz w:val="22"/>
          <w:szCs w:val="22"/>
        </w:rPr>
      </w:pPr>
    </w:p>
    <w:p w14:paraId="22CCE512" w14:textId="77777777" w:rsidR="00B624F1" w:rsidRDefault="00B624F1" w:rsidP="00B624F1">
      <w:pPr>
        <w:pStyle w:val="Title"/>
        <w:rPr>
          <w:rFonts w:ascii="Arial" w:hAnsi="Arial" w:cs="Arial"/>
          <w:b/>
          <w:bCs/>
          <w:sz w:val="32"/>
          <w:szCs w:val="32"/>
        </w:rPr>
      </w:pPr>
      <w:r w:rsidRPr="00B624F1">
        <w:rPr>
          <w:rFonts w:ascii="Arial" w:hAnsi="Arial" w:cs="Arial"/>
          <w:b/>
          <w:bCs/>
          <w:sz w:val="32"/>
          <w:szCs w:val="32"/>
        </w:rPr>
        <w:t>Critical Evaluation of the NHS App as a Digital Innovation in Health and Social Care</w:t>
      </w:r>
    </w:p>
    <w:p w14:paraId="56DBBCA0" w14:textId="77777777" w:rsidR="00B624F1" w:rsidRPr="00B624F1" w:rsidRDefault="00B624F1" w:rsidP="00B624F1"/>
    <w:p w14:paraId="3BCAC4A1" w14:textId="77777777" w:rsidR="00BA1649" w:rsidRPr="0063590E" w:rsidRDefault="00BA1649" w:rsidP="00BA1649">
      <w:pPr>
        <w:spacing w:after="140" w:line="360" w:lineRule="auto"/>
        <w:jc w:val="both"/>
        <w:rPr>
          <w:sz w:val="22"/>
          <w:szCs w:val="22"/>
        </w:rPr>
      </w:pPr>
      <w:r w:rsidRPr="0063590E">
        <w:rPr>
          <w:b/>
          <w:bCs/>
          <w:sz w:val="22"/>
          <w:szCs w:val="22"/>
        </w:rPr>
        <w:t>1. Introduction</w:t>
      </w:r>
    </w:p>
    <w:p w14:paraId="6CE621BD" w14:textId="77777777" w:rsidR="00BA1649" w:rsidRDefault="00BA1649" w:rsidP="00BA1649">
      <w:pPr>
        <w:spacing w:line="360" w:lineRule="auto"/>
        <w:jc w:val="both"/>
        <w:rPr>
          <w:sz w:val="22"/>
        </w:rPr>
      </w:pPr>
      <w:r w:rsidRPr="0063590E">
        <w:rPr>
          <w:sz w:val="22"/>
          <w:szCs w:val="22"/>
        </w:rPr>
        <w:t>Digital transformation has become increasingly important in health and social care because of rising service demand, workforce pressures and expectations for accessible healthcare. The Department of Health and Social Care and NHS England (2022) identify digital technology as an opportunity to improve efficiency and patient involvement. One example is the NHS App, introduced nationally in England in 2019, allowing patients to request prescriptions, manage appointments and access medical information (NHS England, 2019). However, introducing technology does not automatically improve healthcare quality or reduce inequalities. Reidy et al. (2025) identified organisational challenges affecting NHS App implementation, suggesting that digital innovation requires changes in professional practice. Therefore, its effectiveness should be evaluated through practical outcomes rather than technological availability alone.</w:t>
      </w:r>
      <w:r>
        <w:rPr>
          <w:sz w:val="22"/>
        </w:rPr>
        <w:t xml:space="preserve"> </w:t>
      </w:r>
      <w:r w:rsidRPr="0063590E">
        <w:rPr>
          <w:sz w:val="22"/>
          <w:szCs w:val="22"/>
        </w:rPr>
        <w:t>This report critically evaluates the NHS App through two themes: its impact on the healthcare workforce and its impact on patients and service users. It examines administrative efficiency, organisational readiness, patient empowerment, accessibility and digital inequalities.</w:t>
      </w:r>
    </w:p>
    <w:p w14:paraId="53A933EA" w14:textId="77777777" w:rsidR="00BA1649" w:rsidRPr="0063590E" w:rsidRDefault="00BA1649" w:rsidP="00BA1649">
      <w:pPr>
        <w:spacing w:after="140" w:line="360" w:lineRule="auto"/>
        <w:jc w:val="both"/>
        <w:rPr>
          <w:sz w:val="22"/>
          <w:szCs w:val="22"/>
        </w:rPr>
      </w:pPr>
    </w:p>
    <w:p w14:paraId="1D397359" w14:textId="77777777" w:rsidR="00BA1649" w:rsidRPr="0063590E" w:rsidRDefault="00BA1649" w:rsidP="00BA1649">
      <w:pPr>
        <w:spacing w:after="140" w:line="360" w:lineRule="auto"/>
        <w:jc w:val="both"/>
        <w:rPr>
          <w:sz w:val="22"/>
          <w:szCs w:val="22"/>
        </w:rPr>
      </w:pPr>
      <w:r w:rsidRPr="0063590E">
        <w:rPr>
          <w:b/>
          <w:bCs/>
          <w:sz w:val="22"/>
          <w:szCs w:val="22"/>
        </w:rPr>
        <w:t>2. Overview of the Digital Innovation</w:t>
      </w:r>
    </w:p>
    <w:p w14:paraId="400AE0EB" w14:textId="77777777" w:rsidR="00BA1649" w:rsidRPr="0063590E" w:rsidRDefault="00BA1649" w:rsidP="00BA1649">
      <w:pPr>
        <w:spacing w:after="140" w:line="360" w:lineRule="auto"/>
        <w:jc w:val="both"/>
        <w:rPr>
          <w:sz w:val="22"/>
          <w:szCs w:val="22"/>
        </w:rPr>
      </w:pPr>
      <w:r w:rsidRPr="0063590E">
        <w:rPr>
          <w:sz w:val="22"/>
          <w:szCs w:val="22"/>
        </w:rPr>
        <w:t>The NHS App was developed to provide patients with convenient digital access to selected healthcare services. Its public rollout began in January 2019 following testing involving more than 3,000 patients across 30 GP practices (NHS England, 2019). The application initially supported appointment booking, repeat prescription requests and medical record access, with further functions introduced over time. Its development reflects national ambitions to increase digital healthcare provision and patient independence (Department of Health and Social Care and NHS England, 2022). The government's 10 Year Health Plan also identifies the transition from analogue to digital healthcare as a major priority (Department of Health and Social Care, 2025). However, expanding digital services does not necessarily demonstrate that patients receive better care. Consequently, the innovation should be assessed against its intended outcomes and the experiences of those using it.</w:t>
      </w:r>
    </w:p>
    <w:p w14:paraId="7C636B10" w14:textId="77777777" w:rsidR="00BA1649" w:rsidRDefault="00BA1649" w:rsidP="00BA1649">
      <w:pPr>
        <w:spacing w:line="360" w:lineRule="auto"/>
        <w:jc w:val="both"/>
        <w:rPr>
          <w:sz w:val="22"/>
        </w:rPr>
      </w:pPr>
      <w:r w:rsidRPr="0063590E">
        <w:rPr>
          <w:sz w:val="22"/>
          <w:szCs w:val="22"/>
        </w:rPr>
        <w:lastRenderedPageBreak/>
        <w:t>National statistics demonstrate substantial adoption of the NHS App, although their interpretation requires caution. NHS England Digital (2026) reported approximately 40.1 million completed registrations and 6.59 million prescription-order events during December 2025. These figures suggest that digital services have become an established part of routine healthcare access. Nevertheless, registrations do not establish whether individuals use the application regularly or experience improved outcomes. KC et al. (2023) identified inequalities in NHS App uptake across GP practice populations, challenging assumptions that national availability produces equal participation. Similarly, Reidy et al. (2025) found that organisational arrangements influenced how NHS App functions were implemented. Therefore, adoption statistics demonstrate engagement but provide insufficient evidence of consistent improvements in healthcare quality.</w:t>
      </w:r>
    </w:p>
    <w:p w14:paraId="0D0F40E6" w14:textId="77777777" w:rsidR="00BA1649" w:rsidRPr="0063590E" w:rsidRDefault="00BA1649" w:rsidP="00BA1649">
      <w:pPr>
        <w:spacing w:after="140" w:line="360" w:lineRule="auto"/>
        <w:jc w:val="both"/>
        <w:rPr>
          <w:sz w:val="22"/>
          <w:szCs w:val="22"/>
        </w:rPr>
      </w:pPr>
    </w:p>
    <w:p w14:paraId="1D39633E" w14:textId="77777777" w:rsidR="00BA1649" w:rsidRPr="0063590E" w:rsidRDefault="00BA1649" w:rsidP="00BA1649">
      <w:pPr>
        <w:spacing w:after="140" w:line="360" w:lineRule="auto"/>
        <w:jc w:val="both"/>
        <w:rPr>
          <w:sz w:val="22"/>
          <w:szCs w:val="22"/>
        </w:rPr>
      </w:pPr>
      <w:r w:rsidRPr="0063590E">
        <w:rPr>
          <w:b/>
          <w:bCs/>
          <w:sz w:val="22"/>
          <w:szCs w:val="22"/>
        </w:rPr>
        <w:t>3. Impact on the Healthcare Workforce</w:t>
      </w:r>
    </w:p>
    <w:p w14:paraId="3DA0F107" w14:textId="77777777" w:rsidR="00BA1649" w:rsidRPr="0063590E" w:rsidRDefault="00BA1649" w:rsidP="00BA1649">
      <w:pPr>
        <w:spacing w:after="140" w:line="360" w:lineRule="auto"/>
        <w:jc w:val="both"/>
        <w:rPr>
          <w:sz w:val="22"/>
          <w:szCs w:val="22"/>
        </w:rPr>
      </w:pPr>
      <w:r w:rsidRPr="0063590E">
        <w:rPr>
          <w:b/>
          <w:bCs/>
          <w:sz w:val="22"/>
          <w:szCs w:val="22"/>
        </w:rPr>
        <w:t>3.1 Administrative efficiency and workload</w:t>
      </w:r>
    </w:p>
    <w:p w14:paraId="624B7986" w14:textId="77777777" w:rsidR="00BA1649" w:rsidRPr="0063590E" w:rsidRDefault="00BA1649" w:rsidP="00BA1649">
      <w:pPr>
        <w:spacing w:after="140" w:line="360" w:lineRule="auto"/>
        <w:jc w:val="both"/>
        <w:rPr>
          <w:sz w:val="22"/>
          <w:szCs w:val="22"/>
        </w:rPr>
      </w:pPr>
      <w:r w:rsidRPr="0063590E">
        <w:rPr>
          <w:sz w:val="22"/>
          <w:szCs w:val="22"/>
        </w:rPr>
        <w:t>The NHS App has the potential to reduce routine administrative contact by allowing patients to manage selected healthcare activities independently. NHS England (2025a) reported that 67.8 million repeat prescriptions were ordered through the application during the twelve months ending November 2025. This substantial activity suggests opportunities to reduce telephone requests and reception-based transactions. However, digital requests may still require clinical authorisation and administrative processing before completion. Reidy et al. (2025) identified implementation challenges associated with integrating NHS App functions into existing general practice arrangements. Their findings suggest that digital innovation can redistribute responsibilities rather than eliminate workload. Therefore, increased digital transactions should not automatically be interpreted as evidence of improved staff productivity.</w:t>
      </w:r>
    </w:p>
    <w:p w14:paraId="0481FDAC" w14:textId="77777777" w:rsidR="00BA1649" w:rsidRPr="0063590E" w:rsidRDefault="00BA1649" w:rsidP="00BA1649">
      <w:pPr>
        <w:spacing w:after="140" w:line="360" w:lineRule="auto"/>
        <w:jc w:val="both"/>
        <w:rPr>
          <w:sz w:val="22"/>
          <w:szCs w:val="22"/>
        </w:rPr>
      </w:pPr>
      <w:r w:rsidRPr="0063590E">
        <w:rPr>
          <w:sz w:val="22"/>
          <w:szCs w:val="22"/>
        </w:rPr>
        <w:t xml:space="preserve">Research examining electronic health record access provides further insight into potential workforce pressures. Davidge et al. (2023) explored primary care staff experiences of patient online record access and identified concerns about additional communication and administrative responsibilities. Similarly, Blease et al. (2023) reported general practitioners' concerns about increased patient enquiries and the interpretation of clinical documentation. These findings challenge the assumption that digital access consistently reduces professional workload. However, both studies focused on electronic record access rather than every NHS App function, limiting their direct applicability. Furthermore, anticipated workload pressures do not necessarily demonstrate measurable increases across all healthcare organisations. </w:t>
      </w:r>
      <w:r w:rsidRPr="0063590E">
        <w:rPr>
          <w:sz w:val="22"/>
          <w:szCs w:val="22"/>
        </w:rPr>
        <w:lastRenderedPageBreak/>
        <w:t>Nevertheless, the evidence highlights the importance of evaluating unintended consequences alongside potential efficiency improvements.</w:t>
      </w:r>
    </w:p>
    <w:p w14:paraId="09ED69DB" w14:textId="77777777" w:rsidR="00BA1649" w:rsidRDefault="00BA1649" w:rsidP="00BA1649">
      <w:pPr>
        <w:spacing w:line="360" w:lineRule="auto"/>
        <w:jc w:val="both"/>
        <w:rPr>
          <w:sz w:val="22"/>
        </w:rPr>
      </w:pPr>
      <w:r w:rsidRPr="0063590E">
        <w:rPr>
          <w:sz w:val="22"/>
          <w:szCs w:val="22"/>
        </w:rPr>
        <w:t>An important consideration is whether the NHS App delivers long-term improvements in workforce efficiency rather than simply transferring administrative tasks to patients. Reidy et al. (2025) identified differences in organisational implementation, suggesting that the benefits of digital healthcare depend on existing practice arrangements. Although digital self-service may reduce telephone enquiries, it does not remove the need for professional oversight or administrative processing. Furthermore, Davidge et al. (2023) identified staff concerns surrounding online access to medical records, highlighting potential additional communication responsibilities. However, these findings cannot establish that all GP practices experience increased workloads. Therefore, evaluating efficiency requires evidence of actual staff time saved, rather than assuming that greater digital activity automatically improves productivity.</w:t>
      </w:r>
    </w:p>
    <w:p w14:paraId="7402BD23" w14:textId="77777777" w:rsidR="00BA1649" w:rsidRPr="0063590E" w:rsidRDefault="00BA1649" w:rsidP="00BA1649">
      <w:pPr>
        <w:spacing w:after="140" w:line="360" w:lineRule="auto"/>
        <w:jc w:val="both"/>
        <w:rPr>
          <w:sz w:val="22"/>
          <w:szCs w:val="22"/>
        </w:rPr>
      </w:pPr>
    </w:p>
    <w:p w14:paraId="281EEBF7" w14:textId="77777777" w:rsidR="00BA1649" w:rsidRPr="0063590E" w:rsidRDefault="00BA1649" w:rsidP="00BA1649">
      <w:pPr>
        <w:spacing w:after="140" w:line="360" w:lineRule="auto"/>
        <w:jc w:val="both"/>
        <w:rPr>
          <w:sz w:val="22"/>
          <w:szCs w:val="22"/>
        </w:rPr>
      </w:pPr>
      <w:r w:rsidRPr="0063590E">
        <w:rPr>
          <w:b/>
          <w:bCs/>
          <w:sz w:val="22"/>
          <w:szCs w:val="22"/>
        </w:rPr>
        <w:t>3.2 Digital competency and organisational readiness</w:t>
      </w:r>
    </w:p>
    <w:p w14:paraId="454F2D22" w14:textId="77777777" w:rsidR="00BA1649" w:rsidRPr="0063590E" w:rsidRDefault="00BA1649" w:rsidP="00BA1649">
      <w:pPr>
        <w:spacing w:after="140" w:line="360" w:lineRule="auto"/>
        <w:jc w:val="both"/>
        <w:rPr>
          <w:sz w:val="22"/>
          <w:szCs w:val="22"/>
        </w:rPr>
      </w:pPr>
      <w:r w:rsidRPr="0063590E">
        <w:rPr>
          <w:sz w:val="22"/>
          <w:szCs w:val="22"/>
        </w:rPr>
        <w:t>Successful digital transformation depends on staff competency, technical infrastructure and organisational support. Reidy et al. (2025) identified differences in how GP practices integrated NHS App functions into established working arrangements. This suggests that organisational readiness can influence whether technology improves healthcare delivery. Employees may require training to explain digital processes, assist patients and manage difficulties with online services. NHS England (2025b) recognises the importance of inclusive digital practice within general practice settings. However, additional training requires staff time and financial investment, potentially increasing pressures within organisations already experiencing limited resources. Consequently, implementing digital technology without adequate organisational support may create inefficiencies rather than resolve them.</w:t>
      </w:r>
    </w:p>
    <w:p w14:paraId="0983595B" w14:textId="6328C58C" w:rsidR="00BA1649" w:rsidRDefault="00BA1649" w:rsidP="00185D67">
      <w:pPr>
        <w:spacing w:line="360" w:lineRule="auto"/>
        <w:jc w:val="both"/>
        <w:rPr>
          <w:sz w:val="22"/>
        </w:rPr>
      </w:pPr>
      <w:r w:rsidRPr="0063590E">
        <w:rPr>
          <w:sz w:val="22"/>
          <w:szCs w:val="22"/>
        </w:rPr>
        <w:t xml:space="preserve">Information governance also introduces important professional responsibilities. NHS England (2026) explains how the NHS App processes personal information and sets out responsibilities for privacy and data protection. Healthcare professionals must therefore understand confidentiality, secure information handling and appropriate access to patient records. Blease et al. (2023) identified concerns among general practitioners about how patients might interpret information recorded in clinical notes. Although greater transparency can support patient involvement, unclear documentation may create misunderstanding and additional communication demands. However, professional concerns should not be treated as evidence </w:t>
      </w:r>
      <w:r w:rsidRPr="0063590E">
        <w:rPr>
          <w:sz w:val="22"/>
          <w:szCs w:val="22"/>
        </w:rPr>
        <w:lastRenderedPageBreak/>
        <w:t xml:space="preserve">that patients </w:t>
      </w:r>
      <w:r w:rsidR="00185D67" w:rsidRPr="0063590E">
        <w:rPr>
          <w:sz w:val="22"/>
          <w:szCs w:val="22"/>
        </w:rPr>
        <w:t>experience</w:t>
      </w:r>
      <w:r w:rsidRPr="0063590E">
        <w:rPr>
          <w:sz w:val="22"/>
          <w:szCs w:val="22"/>
        </w:rPr>
        <w:t xml:space="preserve"> negative outcomes. Therefore, digital competency must include ethical communication and information governance alongside technical skills.</w:t>
      </w:r>
    </w:p>
    <w:p w14:paraId="0F07B009" w14:textId="77777777" w:rsidR="00BA1649" w:rsidRPr="0063590E" w:rsidRDefault="00BA1649" w:rsidP="00BA1649">
      <w:pPr>
        <w:spacing w:after="140" w:line="360" w:lineRule="auto"/>
        <w:jc w:val="both"/>
        <w:rPr>
          <w:sz w:val="22"/>
          <w:szCs w:val="22"/>
        </w:rPr>
      </w:pPr>
    </w:p>
    <w:p w14:paraId="34F8F0AF" w14:textId="77777777" w:rsidR="00BA1649" w:rsidRPr="0063590E" w:rsidRDefault="00BA1649" w:rsidP="00BA1649">
      <w:pPr>
        <w:spacing w:after="140" w:line="360" w:lineRule="auto"/>
        <w:jc w:val="both"/>
        <w:rPr>
          <w:sz w:val="22"/>
          <w:szCs w:val="22"/>
        </w:rPr>
      </w:pPr>
      <w:r w:rsidRPr="0063590E">
        <w:rPr>
          <w:b/>
          <w:bCs/>
          <w:sz w:val="22"/>
          <w:szCs w:val="22"/>
        </w:rPr>
        <w:t>4. Impact on Patients and Service Users</w:t>
      </w:r>
    </w:p>
    <w:p w14:paraId="4D3631E1" w14:textId="77777777" w:rsidR="00BA1649" w:rsidRPr="0063590E" w:rsidRDefault="00BA1649" w:rsidP="00BA1649">
      <w:pPr>
        <w:spacing w:after="140" w:line="360" w:lineRule="auto"/>
        <w:jc w:val="both"/>
        <w:rPr>
          <w:sz w:val="22"/>
          <w:szCs w:val="22"/>
        </w:rPr>
      </w:pPr>
      <w:r w:rsidRPr="0063590E">
        <w:rPr>
          <w:b/>
          <w:bCs/>
          <w:sz w:val="22"/>
          <w:szCs w:val="22"/>
        </w:rPr>
        <w:t>4.1 Convenience and patient empowerment</w:t>
      </w:r>
    </w:p>
    <w:p w14:paraId="33246971" w14:textId="77777777" w:rsidR="00BA1649" w:rsidRDefault="00BA1649" w:rsidP="00BA1649">
      <w:pPr>
        <w:spacing w:line="360" w:lineRule="auto"/>
        <w:jc w:val="both"/>
        <w:rPr>
          <w:sz w:val="22"/>
        </w:rPr>
      </w:pPr>
      <w:r w:rsidRPr="0063590E">
        <w:rPr>
          <w:sz w:val="22"/>
          <w:szCs w:val="22"/>
        </w:rPr>
        <w:t>The NHS App provides opportunities for patients to manage aspects of their healthcare more independently. Functions such as prescription ordering, appointment management and medical record access may reduce unnecessary telephone contact and improve convenience (NHS England, 2025a). The Department of Health and Social Care and NHS England (2022) identify greater patient involvement as an important objective of digital transformation. For patients requiring regular prescriptions, digital access may provide flexibility when managing routine healthcare activities. However, convenience depends on the availability of local services and the patient's ability to use the application. Reidy et al. (2025) identified differences in how NHS App functions were implemented, suggesting that patients may experience inconsistent access. Consequently, digital availability does not necessarily guarantee meaningful independence or equal opportunities for participation.</w:t>
      </w:r>
      <w:r>
        <w:rPr>
          <w:sz w:val="22"/>
        </w:rPr>
        <w:t xml:space="preserve"> </w:t>
      </w:r>
      <w:r w:rsidRPr="0063590E">
        <w:rPr>
          <w:sz w:val="22"/>
          <w:szCs w:val="22"/>
        </w:rPr>
        <w:t>Access to medical records may improve transparency, but the information must be understandable to support informed decisions. Davidge et al. (2025) explored the needs of underserved patients and carers accessing simulated electronic records and identified difficulties understanding clinical language and abbreviations. This suggests that providing information digitally does not automatically improve health literacy. Blease et al. (2023) similarly identified professional concerns about confusion arising from online record access. However, these concerns should be distinguished from direct evidence of patient harm, while the qualitative design of Davidge et al. (2025) limits generalisability. Patients may benefit from transparency when information is clearly explained and professional support remains available. Therefore, patient empowerment requires understandable communication rather than access to information alone.</w:t>
      </w:r>
    </w:p>
    <w:p w14:paraId="01FC21E5" w14:textId="77777777" w:rsidR="00BA1649" w:rsidRPr="0063590E" w:rsidRDefault="00BA1649" w:rsidP="00BA1649">
      <w:pPr>
        <w:spacing w:after="140" w:line="360" w:lineRule="auto"/>
        <w:jc w:val="both"/>
        <w:rPr>
          <w:sz w:val="22"/>
          <w:szCs w:val="22"/>
        </w:rPr>
      </w:pPr>
    </w:p>
    <w:p w14:paraId="40AD0E08" w14:textId="77777777" w:rsidR="00BA1649" w:rsidRPr="0063590E" w:rsidRDefault="00BA1649" w:rsidP="00BA1649">
      <w:pPr>
        <w:spacing w:after="140" w:line="360" w:lineRule="auto"/>
        <w:jc w:val="both"/>
        <w:rPr>
          <w:sz w:val="22"/>
          <w:szCs w:val="22"/>
        </w:rPr>
      </w:pPr>
      <w:r w:rsidRPr="0063590E">
        <w:rPr>
          <w:b/>
          <w:bCs/>
          <w:sz w:val="22"/>
          <w:szCs w:val="22"/>
        </w:rPr>
        <w:t>4.2 Digital exclusion and healthcare inequalities</w:t>
      </w:r>
    </w:p>
    <w:p w14:paraId="00DD721A" w14:textId="230C6F9D" w:rsidR="00BA1649" w:rsidRPr="0063590E" w:rsidRDefault="00BA1649" w:rsidP="00BA1649">
      <w:pPr>
        <w:spacing w:after="140" w:line="360" w:lineRule="auto"/>
        <w:jc w:val="both"/>
        <w:rPr>
          <w:sz w:val="22"/>
          <w:szCs w:val="22"/>
        </w:rPr>
      </w:pPr>
      <w:r w:rsidRPr="0063590E">
        <w:rPr>
          <w:sz w:val="22"/>
          <w:szCs w:val="22"/>
        </w:rPr>
        <w:t xml:space="preserve">Digital exclusion is a significant limitation when evaluating whether the NHS App improves equitable healthcare access. KC et al. (2023) identified approximately 25% lower registration rates among GP practices serving the most deprived populations. This suggests that people experiencing socioeconomic disadvantage may be less likely to engage with digital healthcare. </w:t>
      </w:r>
      <w:r w:rsidRPr="0063590E">
        <w:rPr>
          <w:sz w:val="22"/>
          <w:szCs w:val="22"/>
        </w:rPr>
        <w:lastRenderedPageBreak/>
        <w:t>NHS England (2023) also identifies affordability, connectivity, disability and digital skills as important barriers to participation. However, KC et al. (2023) examined practice-level populations, meaning their findings cannot establish the individual reasons for lower registration. The association between deprivation and uptake should therefore not be interpreted as proof of direct causation. Nevertheless, these findings raise concerns that digital healthcare could reinforce existing inequalities if disadvantaged populations receive insufficient support.</w:t>
      </w:r>
      <w:r>
        <w:rPr>
          <w:sz w:val="22"/>
          <w:szCs w:val="22"/>
        </w:rPr>
        <w:t xml:space="preserve"> </w:t>
      </w:r>
      <w:r w:rsidRPr="0063590E">
        <w:rPr>
          <w:sz w:val="22"/>
          <w:szCs w:val="22"/>
        </w:rPr>
        <w:t>Digital health literacy further influences whether patients can benefit from healthcare technology. Estrela et al. (2023) examined sociodemographic determinants of digital health literacy through a systematic review and meta-analysis. Their findings support the importance of considering differences in people's ability to understand and use digital health information. However, the review included international evidence, limiting its direct applicability to the NHS App and the English healthcare system. NHS England (2023) recommends addressing barriers involving devices, connectivity, accessibility, skills and trust. This demonstrates that access to technology alone does not guarantee effective engagement with healthcare services. Consequently, digital inclusion requires support that reflects the needs and circumstances of different patient groups.</w:t>
      </w:r>
    </w:p>
    <w:p w14:paraId="203A44A0" w14:textId="6DFDF76F" w:rsidR="00BA1649" w:rsidRDefault="00BA1649" w:rsidP="00BA1649">
      <w:pPr>
        <w:spacing w:line="360" w:lineRule="auto"/>
        <w:jc w:val="both"/>
        <w:rPr>
          <w:sz w:val="22"/>
        </w:rPr>
      </w:pPr>
      <w:r w:rsidRPr="0063590E">
        <w:rPr>
          <w:sz w:val="22"/>
          <w:szCs w:val="22"/>
        </w:rPr>
        <w:t xml:space="preserve">Another </w:t>
      </w:r>
      <w:r w:rsidR="00185D67" w:rsidRPr="0063590E">
        <w:rPr>
          <w:sz w:val="22"/>
          <w:szCs w:val="22"/>
        </w:rPr>
        <w:t>prominent issue</w:t>
      </w:r>
      <w:r w:rsidRPr="0063590E">
        <w:rPr>
          <w:sz w:val="22"/>
          <w:szCs w:val="22"/>
        </w:rPr>
        <w:t xml:space="preserve"> is whether the NHS App benefits patients who already have better access to healthcare more than those experiencing disadvantage. KC et al. (2023) identified inequalities in registration associated with socioeconomic deprivation, raising concerns about unequal participation. Although digital services may improve convenience for confident users, individuals with limited digital skills may remain dependent on traditional healthcare access routes. NHS England (2023) recognises that digital exclusion involves overlapping barriers, including affordability, connectivity and accessibility. However, registration differences alone cannot demonstrate that digitally excluded patients experience poorer clinical outcomes. Nevertheless, these inequalities highlight the importance of maintaining alternative access routes to prevent digital transformation from creating additional barriers to care.</w:t>
      </w:r>
    </w:p>
    <w:p w14:paraId="49D7A6B0" w14:textId="77777777" w:rsidR="00BA1649" w:rsidRPr="00BA1649" w:rsidRDefault="00BA1649" w:rsidP="00BA1649">
      <w:pPr>
        <w:spacing w:line="360" w:lineRule="auto"/>
        <w:jc w:val="both"/>
        <w:rPr>
          <w:sz w:val="22"/>
        </w:rPr>
      </w:pPr>
    </w:p>
    <w:p w14:paraId="76676D96" w14:textId="77777777" w:rsidR="00BA1649" w:rsidRPr="0063590E" w:rsidRDefault="00BA1649" w:rsidP="00BA1649">
      <w:pPr>
        <w:spacing w:after="140" w:line="360" w:lineRule="auto"/>
        <w:jc w:val="both"/>
        <w:rPr>
          <w:sz w:val="22"/>
          <w:szCs w:val="22"/>
        </w:rPr>
      </w:pPr>
      <w:r w:rsidRPr="0063590E">
        <w:rPr>
          <w:b/>
          <w:bCs/>
          <w:sz w:val="22"/>
          <w:szCs w:val="22"/>
        </w:rPr>
        <w:t>4.3 Accessibility, patient safety and confidentiality</w:t>
      </w:r>
    </w:p>
    <w:p w14:paraId="78E40DEC" w14:textId="77777777" w:rsidR="00BA1649" w:rsidRPr="0063590E" w:rsidRDefault="00BA1649" w:rsidP="00BA1649">
      <w:pPr>
        <w:spacing w:after="140" w:line="360" w:lineRule="auto"/>
        <w:jc w:val="both"/>
        <w:rPr>
          <w:sz w:val="22"/>
          <w:szCs w:val="22"/>
        </w:rPr>
      </w:pPr>
      <w:r w:rsidRPr="0063590E">
        <w:rPr>
          <w:sz w:val="22"/>
          <w:szCs w:val="22"/>
        </w:rPr>
        <w:t xml:space="preserve">Accessibility is particularly important for disabled patients who may depend on assistive technology to access healthcare information. NHS England (2025c) acknowledges that some NHS App functions do not fully meet accessibility requirements, including issues affecting screen readers and text resizing. These limitations may restrict independent use despite the application's objective of improving access. NHS England (2025b) also emphasises the importance of considering equality and inclusion when developing digital primary care services. </w:t>
      </w:r>
      <w:r w:rsidRPr="0063590E">
        <w:rPr>
          <w:sz w:val="22"/>
          <w:szCs w:val="22"/>
        </w:rPr>
        <w:lastRenderedPageBreak/>
        <w:t>However, accessibility problems should not be interpreted as evidence that all disabled patients experience difficulties. Some individuals may benefit considerably from remote access, particularly where attending healthcare appointments presents practical challenges. Therefore, accessibility should be evaluated through diverse patient experiences rather than assuming that digital healthcare is either universally beneficial or inaccessible.</w:t>
      </w:r>
    </w:p>
    <w:p w14:paraId="56D73E04" w14:textId="527EB4F3" w:rsidR="00BA1649" w:rsidRPr="00BA1649" w:rsidRDefault="00BA1649" w:rsidP="00BA1649">
      <w:pPr>
        <w:spacing w:line="360" w:lineRule="auto"/>
        <w:jc w:val="both"/>
        <w:rPr>
          <w:sz w:val="22"/>
          <w:szCs w:val="22"/>
        </w:rPr>
      </w:pPr>
      <w:r w:rsidRPr="0063590E">
        <w:rPr>
          <w:sz w:val="22"/>
          <w:szCs w:val="22"/>
        </w:rPr>
        <w:t>Patient confidentiality is another essential consideration because the NHS App provides access to sensitive healthcare information. NHS England (2026) explains the NHS App's responsibilities for processing personal information and protecting patient privacy. Although digital records can improve convenience and transparency, security requirements may create difficulties for individuals with limited digital confidence. Davidge et al. (2025) demonstrate that underserved patients may already experience challenges understanding electronic healthcare information. These findings suggest that digital security and usability must be considered together rather than treated as separate concerns. Nevertheless, difficulties using digital services do not justify reducing essential confidentiality protections. Healthcare organisations must therefore balance patient independence, information security and accessible support.</w:t>
      </w:r>
    </w:p>
    <w:p w14:paraId="241853DE" w14:textId="77777777" w:rsidR="00BA1649" w:rsidRPr="0063590E" w:rsidRDefault="00BA1649" w:rsidP="00BA1649">
      <w:pPr>
        <w:spacing w:after="140" w:line="360" w:lineRule="auto"/>
        <w:jc w:val="both"/>
        <w:rPr>
          <w:sz w:val="22"/>
          <w:szCs w:val="22"/>
        </w:rPr>
      </w:pPr>
    </w:p>
    <w:p w14:paraId="5456421D" w14:textId="77777777" w:rsidR="00BA1649" w:rsidRPr="0063590E" w:rsidRDefault="00BA1649" w:rsidP="00BA1649">
      <w:pPr>
        <w:spacing w:after="140" w:line="360" w:lineRule="auto"/>
        <w:jc w:val="both"/>
        <w:rPr>
          <w:sz w:val="22"/>
          <w:szCs w:val="22"/>
        </w:rPr>
      </w:pPr>
      <w:r w:rsidRPr="0063590E">
        <w:rPr>
          <w:b/>
          <w:bCs/>
          <w:sz w:val="22"/>
          <w:szCs w:val="22"/>
        </w:rPr>
        <w:t>5. Conclusion and Recommendation</w:t>
      </w:r>
    </w:p>
    <w:p w14:paraId="0C3343E8" w14:textId="77777777" w:rsidR="00BA1649" w:rsidRPr="0063590E" w:rsidRDefault="00BA1649" w:rsidP="00BA1649">
      <w:pPr>
        <w:spacing w:after="140" w:line="360" w:lineRule="auto"/>
        <w:jc w:val="both"/>
        <w:rPr>
          <w:sz w:val="22"/>
          <w:szCs w:val="22"/>
        </w:rPr>
      </w:pPr>
      <w:r w:rsidRPr="0063590E">
        <w:rPr>
          <w:sz w:val="22"/>
          <w:szCs w:val="22"/>
        </w:rPr>
        <w:t>The NHS App represents a significant digital innovation within English healthcare, offering opportunities to improve administrative efficiency and patient independence. This report has identified benefits for both the workforce and patients. Digital self-service may reduce routine administrative demands, while patients can access prescriptions, appointments and medical information more conveniently. However, these benefits are not guaranteed. Reidy et al. (2025) identified organisational challenges affecting NHS App implementation, suggesting that digital technology does not automatically reduce staff workload. Similarly, KC et al. (2023) highlighted inequalities in registration, demonstrating that digital healthcare may not be equally accessible to all patients. Therefore, the effectiveness of the NHS App depends on organisational readiness, staff support, accessibility and patients' digital capabilities.</w:t>
      </w:r>
    </w:p>
    <w:p w14:paraId="25C0C7F1" w14:textId="77777777" w:rsidR="00BA1649" w:rsidRPr="0063590E" w:rsidRDefault="00BA1649" w:rsidP="00BA1649">
      <w:pPr>
        <w:spacing w:after="140" w:line="360" w:lineRule="auto"/>
        <w:jc w:val="both"/>
        <w:rPr>
          <w:sz w:val="22"/>
          <w:szCs w:val="22"/>
        </w:rPr>
      </w:pPr>
      <w:r w:rsidRPr="0063590E">
        <w:rPr>
          <w:sz w:val="22"/>
          <w:szCs w:val="22"/>
        </w:rPr>
        <w:t>The main recommendation is that NHS organisations should maintain accessible telephone and face-to-face services alongside the NHS App</w:t>
      </w:r>
      <w:r w:rsidRPr="0063590E">
        <w:rPr>
          <w:b/>
          <w:bCs/>
          <w:sz w:val="22"/>
          <w:szCs w:val="22"/>
        </w:rPr>
        <w:t>.</w:t>
      </w:r>
      <w:r w:rsidRPr="0063590E">
        <w:rPr>
          <w:sz w:val="22"/>
          <w:szCs w:val="22"/>
        </w:rPr>
        <w:t xml:space="preserve"> This would help prevent digital exclusion and ensure that patients who lack digital skills, suitable technology or confidence can continue accessing healthcare. Overall, the NHS App has the potential to improve healthcare delivery, but its long-term success depends on balancing technological innovation with equitable access and person-centred care.</w:t>
      </w:r>
    </w:p>
    <w:p w14:paraId="20D7C045" w14:textId="77777777" w:rsidR="00B25668" w:rsidRPr="00CA39C9" w:rsidRDefault="00B25668" w:rsidP="00CA39C9">
      <w:pPr>
        <w:spacing w:line="360" w:lineRule="auto"/>
        <w:rPr>
          <w:rFonts w:ascii="Arial" w:hAnsi="Arial" w:cs="Arial"/>
          <w:b/>
          <w:bCs/>
          <w:sz w:val="22"/>
          <w:szCs w:val="22"/>
        </w:rPr>
      </w:pPr>
      <w:r w:rsidRPr="00CA39C9">
        <w:rPr>
          <w:rFonts w:ascii="Arial" w:hAnsi="Arial" w:cs="Arial"/>
          <w:b/>
          <w:bCs/>
          <w:sz w:val="22"/>
          <w:szCs w:val="22"/>
        </w:rPr>
        <w:lastRenderedPageBreak/>
        <w:t>Reference List</w:t>
      </w:r>
    </w:p>
    <w:p w14:paraId="0FF7CCA5"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Blease, C., Torous, J., Dong, Z., Davidge, G., DesRoches, C., Kharko, A., Turner, A., Jones, R., Hägglund, M. and McMillan, B. (2023) 'Patient online record access in English primary care: qualitative survey study of general practitioners' views', Journal of Medical Internet Research, 25, e43496. Available at: </w:t>
      </w:r>
      <w:hyperlink r:id="rId6" w:history="1">
        <w:r w:rsidRPr="00CA39C9">
          <w:rPr>
            <w:rStyle w:val="Hyperlink"/>
            <w:rFonts w:ascii="Arial" w:hAnsi="Arial" w:cs="Arial"/>
            <w:sz w:val="22"/>
            <w:szCs w:val="22"/>
          </w:rPr>
          <w:t>https://doi.org/10.2196/43496</w:t>
        </w:r>
      </w:hyperlink>
    </w:p>
    <w:p w14:paraId="3072848C"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Davidge, G., Brown, L., Lyons, M., Blease, C., French, D., van Staa, T. and McMillan, B. (2023) 'Primary care staff's views and experience of patients' online access to their electronic health record: a qualitative exploration', British Journal of General Practice, 73(731), pp. e418–e426. Available at: </w:t>
      </w:r>
      <w:hyperlink r:id="rId7" w:history="1">
        <w:r w:rsidRPr="00CA39C9">
          <w:rPr>
            <w:rStyle w:val="Hyperlink"/>
            <w:rFonts w:ascii="Arial" w:hAnsi="Arial" w:cs="Arial"/>
            <w:sz w:val="22"/>
            <w:szCs w:val="22"/>
          </w:rPr>
          <w:t>https://doi.org/10.3399/BJGP.2022.0436</w:t>
        </w:r>
      </w:hyperlink>
    </w:p>
    <w:p w14:paraId="3453C7F3"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Davidge, G., Blease, C., Brown, L., Nenadic, G., Sanders, C. and McMillan, B. (2025) 'Getting it write in an era of online electronic health records access in primary care: a qualitative study exploring the needs and requirements of underserved patients and carers', Patient Education and Counseling, 138, 109192. Available at: </w:t>
      </w:r>
      <w:hyperlink r:id="rId8" w:history="1">
        <w:r w:rsidRPr="00CA39C9">
          <w:rPr>
            <w:rStyle w:val="Hyperlink"/>
            <w:rFonts w:ascii="Arial" w:hAnsi="Arial" w:cs="Arial"/>
            <w:sz w:val="22"/>
            <w:szCs w:val="22"/>
          </w:rPr>
          <w:t>https://doi.org/10.1016/j.pec.2025.109192</w:t>
        </w:r>
      </w:hyperlink>
    </w:p>
    <w:p w14:paraId="0D2A8DFF"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Department of Health and Social Care (2025) Fit for the future: 10 Year Health Plan for England. Available at: </w:t>
      </w:r>
      <w:hyperlink r:id="rId9" w:history="1">
        <w:r w:rsidRPr="00CA39C9">
          <w:rPr>
            <w:rStyle w:val="Hyperlink"/>
            <w:rFonts w:ascii="Arial" w:hAnsi="Arial" w:cs="Arial"/>
            <w:sz w:val="22"/>
            <w:szCs w:val="22"/>
          </w:rPr>
          <w:t>https://www.gov.uk/government/publications/10-year-health-plan-for-england-fit-for-the-future</w:t>
        </w:r>
      </w:hyperlink>
      <w:r w:rsidRPr="00CA39C9">
        <w:rPr>
          <w:rFonts w:ascii="Arial" w:hAnsi="Arial" w:cs="Arial"/>
          <w:sz w:val="22"/>
          <w:szCs w:val="22"/>
        </w:rPr>
        <w:t xml:space="preserve"> (Accessed: 12 October 2026).</w:t>
      </w:r>
    </w:p>
    <w:p w14:paraId="34962583"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Department of Health and Social Care and NHS England (2022) A plan for digital health and social care. Available at: </w:t>
      </w:r>
      <w:hyperlink r:id="rId10" w:history="1">
        <w:r w:rsidRPr="00CA39C9">
          <w:rPr>
            <w:rStyle w:val="Hyperlink"/>
            <w:rFonts w:ascii="Arial" w:hAnsi="Arial" w:cs="Arial"/>
            <w:sz w:val="22"/>
            <w:szCs w:val="22"/>
          </w:rPr>
          <w:t>https://www.gov.uk/government/publications/a-plan-for-digital-health-and-social-care</w:t>
        </w:r>
      </w:hyperlink>
      <w:r w:rsidRPr="00CA39C9">
        <w:rPr>
          <w:rFonts w:ascii="Arial" w:hAnsi="Arial" w:cs="Arial"/>
          <w:sz w:val="22"/>
          <w:szCs w:val="22"/>
        </w:rPr>
        <w:t xml:space="preserve"> (Accessed: 12 October 2026).</w:t>
      </w:r>
    </w:p>
    <w:p w14:paraId="7F29DD11"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Estrela, M., Semedo, G., Roque, F., Ferreira, P.L. and Herdeiro, M.T. (2023) 'Sociodemographic determinants of digital health literacy: a systematic review and meta-analysis', International Journal of Medical Informatics, 177, 105124. Available at: </w:t>
      </w:r>
      <w:hyperlink r:id="rId11" w:history="1">
        <w:r w:rsidRPr="00CA39C9">
          <w:rPr>
            <w:rStyle w:val="Hyperlink"/>
            <w:rFonts w:ascii="Arial" w:hAnsi="Arial" w:cs="Arial"/>
            <w:sz w:val="22"/>
            <w:szCs w:val="22"/>
          </w:rPr>
          <w:t>https://doi.org/10.1016/j.ijmedinf.2023.105124</w:t>
        </w:r>
      </w:hyperlink>
    </w:p>
    <w:p w14:paraId="0412C426"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Greaves, F., Papoutsi, C., KC, S., Tewolde, S., Reidy, C., Gudgin, B., Laverty, A.A., Majeed, A., Costelloe, C. and Powell, J. (2026) 'Evaluating the national rollout of the NHS App in England using qualitative and quantitative methods', Health and Social Care Delivery Research, 14(15), pp. 1–91. Available at: </w:t>
      </w:r>
      <w:hyperlink r:id="rId12" w:history="1">
        <w:r w:rsidRPr="00CA39C9">
          <w:rPr>
            <w:rStyle w:val="Hyperlink"/>
            <w:rFonts w:ascii="Arial" w:hAnsi="Arial" w:cs="Arial"/>
            <w:sz w:val="22"/>
            <w:szCs w:val="22"/>
          </w:rPr>
          <w:t>https://doi.org/10.3310/XYRV6485</w:t>
        </w:r>
      </w:hyperlink>
    </w:p>
    <w:p w14:paraId="5EFB99BA"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KC, S., Tewolde, S., Laverty, A.A., Costelloe, C., Papoutsi, C., Reidy, C., Gudgin, B., Shenton, C., Majeed, A., Powell, J. and Greaves, F. (2023) 'Uptake and adoption of the NHS App in England: an observational study', British Journal of General Practice, 73(737), pp. e932–e940. Available at: </w:t>
      </w:r>
      <w:hyperlink r:id="rId13" w:history="1">
        <w:r w:rsidRPr="00CA39C9">
          <w:rPr>
            <w:rStyle w:val="Hyperlink"/>
            <w:rFonts w:ascii="Arial" w:hAnsi="Arial" w:cs="Arial"/>
            <w:sz w:val="22"/>
            <w:szCs w:val="22"/>
          </w:rPr>
          <w:t>https://doi.org/10.3399/BJGP.2022.0150</w:t>
        </w:r>
      </w:hyperlink>
    </w:p>
    <w:p w14:paraId="7545700D"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lastRenderedPageBreak/>
        <w:t xml:space="preserve">NHS England (2019) NHS App begins public rollout. Available at: </w:t>
      </w:r>
      <w:hyperlink r:id="rId14" w:history="1">
        <w:r w:rsidRPr="00CA39C9">
          <w:rPr>
            <w:rStyle w:val="Hyperlink"/>
            <w:rFonts w:ascii="Arial" w:hAnsi="Arial" w:cs="Arial"/>
            <w:sz w:val="22"/>
            <w:szCs w:val="22"/>
          </w:rPr>
          <w:t>https://www.england.nhs.uk/2019/01/nhs-app-begins-public-rollout/</w:t>
        </w:r>
      </w:hyperlink>
      <w:r w:rsidRPr="00CA39C9">
        <w:rPr>
          <w:rFonts w:ascii="Arial" w:hAnsi="Arial" w:cs="Arial"/>
          <w:sz w:val="22"/>
          <w:szCs w:val="22"/>
        </w:rPr>
        <w:t xml:space="preserve"> (Accessed: 12 October 2026).</w:t>
      </w:r>
    </w:p>
    <w:p w14:paraId="03E889C1"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NHS England (2023) Inclusive digital healthcare: a framework for NHS action on digital inclusion. Available at: </w:t>
      </w:r>
      <w:hyperlink r:id="rId15" w:history="1">
        <w:r w:rsidRPr="00CA39C9">
          <w:rPr>
            <w:rStyle w:val="Hyperlink"/>
            <w:rFonts w:ascii="Arial" w:hAnsi="Arial" w:cs="Arial"/>
            <w:sz w:val="22"/>
            <w:szCs w:val="22"/>
          </w:rPr>
          <w:t>https://www.england.nhs.uk/long-read/inclusive-digital-healthcare-a-framework-for-nhs-action-on-digital-inclusion/</w:t>
        </w:r>
      </w:hyperlink>
      <w:r w:rsidRPr="00CA39C9">
        <w:rPr>
          <w:rFonts w:ascii="Arial" w:hAnsi="Arial" w:cs="Arial"/>
          <w:sz w:val="22"/>
          <w:szCs w:val="22"/>
        </w:rPr>
        <w:t xml:space="preserve"> (Accessed: 12 October 2026).</w:t>
      </w:r>
    </w:p>
    <w:p w14:paraId="0AF95B4D"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NHS England (2025a) Health equalities and digital inclusion. Available at: </w:t>
      </w:r>
      <w:hyperlink r:id="rId16" w:history="1">
        <w:r w:rsidRPr="00CA39C9">
          <w:rPr>
            <w:rStyle w:val="Hyperlink"/>
            <w:rFonts w:ascii="Arial" w:hAnsi="Arial" w:cs="Arial"/>
            <w:sz w:val="22"/>
            <w:szCs w:val="22"/>
          </w:rPr>
          <w:t>https://www.england.nhs.uk/long-read/health-equalities-and-digital-inclusion/</w:t>
        </w:r>
      </w:hyperlink>
      <w:r w:rsidRPr="00CA39C9">
        <w:rPr>
          <w:rFonts w:ascii="Arial" w:hAnsi="Arial" w:cs="Arial"/>
          <w:sz w:val="22"/>
          <w:szCs w:val="22"/>
        </w:rPr>
        <w:t xml:space="preserve"> (Accessed: 12 October 2026).</w:t>
      </w:r>
    </w:p>
    <w:p w14:paraId="1B305691"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NHS England (2025b) NHS App accessibility statement. Available at: </w:t>
      </w:r>
      <w:hyperlink r:id="rId17" w:history="1">
        <w:r w:rsidRPr="00CA39C9">
          <w:rPr>
            <w:rStyle w:val="Hyperlink"/>
            <w:rFonts w:ascii="Arial" w:hAnsi="Arial" w:cs="Arial"/>
            <w:sz w:val="22"/>
            <w:szCs w:val="22"/>
          </w:rPr>
          <w:t>https://www.nhs.uk/nhs-app/about/privacy-legal-information/nhs-app-accessibility-statement/</w:t>
        </w:r>
      </w:hyperlink>
      <w:r w:rsidRPr="00CA39C9">
        <w:rPr>
          <w:rFonts w:ascii="Arial" w:hAnsi="Arial" w:cs="Arial"/>
          <w:sz w:val="22"/>
          <w:szCs w:val="22"/>
        </w:rPr>
        <w:t xml:space="preserve"> (Accessed: 12 October 2026).</w:t>
      </w:r>
    </w:p>
    <w:p w14:paraId="2875B7FE"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NHS England (2025c) Record numbers using NHS App to manage health. Available at: </w:t>
      </w:r>
      <w:hyperlink r:id="rId18" w:history="1">
        <w:r w:rsidRPr="00CA39C9">
          <w:rPr>
            <w:rStyle w:val="Hyperlink"/>
            <w:rFonts w:ascii="Arial" w:hAnsi="Arial" w:cs="Arial"/>
            <w:sz w:val="22"/>
            <w:szCs w:val="22"/>
          </w:rPr>
          <w:t>https://www.england.nhs.uk/2025/12/record-numbers-using-nhs-app-to-manage-health/</w:t>
        </w:r>
      </w:hyperlink>
      <w:r w:rsidRPr="00CA39C9">
        <w:rPr>
          <w:rFonts w:ascii="Arial" w:hAnsi="Arial" w:cs="Arial"/>
          <w:sz w:val="22"/>
          <w:szCs w:val="22"/>
        </w:rPr>
        <w:t xml:space="preserve"> (Accessed: 12 October 2026).</w:t>
      </w:r>
    </w:p>
    <w:p w14:paraId="47205168"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NHS England (2026) NHS App full privacy notice. Available at: </w:t>
      </w:r>
      <w:hyperlink r:id="rId19" w:history="1">
        <w:r w:rsidRPr="00CA39C9">
          <w:rPr>
            <w:rStyle w:val="Hyperlink"/>
            <w:rFonts w:ascii="Arial" w:hAnsi="Arial" w:cs="Arial"/>
            <w:sz w:val="22"/>
            <w:szCs w:val="22"/>
          </w:rPr>
          <w:t>https://www.nhs.uk/nhs-app/about/privacy-legal-information/privacy-notices/full-notice/</w:t>
        </w:r>
      </w:hyperlink>
      <w:r w:rsidRPr="00CA39C9">
        <w:rPr>
          <w:rFonts w:ascii="Arial" w:hAnsi="Arial" w:cs="Arial"/>
          <w:sz w:val="22"/>
          <w:szCs w:val="22"/>
        </w:rPr>
        <w:t xml:space="preserve"> (Accessed: 12 October 2026).</w:t>
      </w:r>
    </w:p>
    <w:p w14:paraId="3DDFDD38"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NHS England Digital (2026) NHS App Management Information – December 2025. Available at: </w:t>
      </w:r>
      <w:hyperlink r:id="rId20" w:history="1">
        <w:r w:rsidRPr="00CA39C9">
          <w:rPr>
            <w:rStyle w:val="Hyperlink"/>
            <w:rFonts w:ascii="Arial" w:hAnsi="Arial" w:cs="Arial"/>
            <w:sz w:val="22"/>
            <w:szCs w:val="22"/>
          </w:rPr>
          <w:t>https://digital.nhs.uk/data-and-information/publications/statistical/nhs-app-statistics/december-2025</w:t>
        </w:r>
      </w:hyperlink>
      <w:r w:rsidRPr="00CA39C9">
        <w:rPr>
          <w:rFonts w:ascii="Arial" w:hAnsi="Arial" w:cs="Arial"/>
          <w:sz w:val="22"/>
          <w:szCs w:val="22"/>
        </w:rPr>
        <w:t xml:space="preserve"> (Accessed: 12 October 2026).</w:t>
      </w:r>
    </w:p>
    <w:p w14:paraId="50369066" w14:textId="77777777" w:rsidR="00B25668" w:rsidRPr="00CA39C9" w:rsidRDefault="00B25668" w:rsidP="00CA39C9">
      <w:pPr>
        <w:spacing w:line="360" w:lineRule="auto"/>
        <w:rPr>
          <w:rFonts w:ascii="Arial" w:hAnsi="Arial" w:cs="Arial"/>
          <w:sz w:val="22"/>
          <w:szCs w:val="22"/>
        </w:rPr>
      </w:pPr>
      <w:r w:rsidRPr="00CA39C9">
        <w:rPr>
          <w:rFonts w:ascii="Arial" w:hAnsi="Arial" w:cs="Arial"/>
          <w:sz w:val="22"/>
          <w:szCs w:val="22"/>
        </w:rPr>
        <w:t xml:space="preserve">Reidy, C., Papoutsi, C., KC, S., Gudgin, B., Laverty, A.A., Greaves, F. and Powell, J. (2025) 'Qualitative evaluation of the implementation and national roll-out of the NHS App in England', BMC Medicine, 23, article 20. Available at: </w:t>
      </w:r>
      <w:hyperlink r:id="rId21" w:history="1">
        <w:r w:rsidRPr="00CA39C9">
          <w:rPr>
            <w:rStyle w:val="Hyperlink"/>
            <w:rFonts w:ascii="Arial" w:hAnsi="Arial" w:cs="Arial"/>
            <w:sz w:val="22"/>
            <w:szCs w:val="22"/>
          </w:rPr>
          <w:t>https://doi.org/10.1186/s12916-024-03842-w</w:t>
        </w:r>
      </w:hyperlink>
    </w:p>
    <w:p w14:paraId="6FC325EA" w14:textId="77777777" w:rsidR="00BA1649" w:rsidRDefault="00BA1649" w:rsidP="00BA1649">
      <w:pPr>
        <w:jc w:val="both"/>
      </w:pPr>
    </w:p>
    <w:p w14:paraId="34AC77E1" w14:textId="77777777" w:rsidR="009746E3" w:rsidRPr="008E2ED8" w:rsidRDefault="009746E3" w:rsidP="005E15B6">
      <w:pPr>
        <w:spacing w:line="360" w:lineRule="auto"/>
        <w:rPr>
          <w:rFonts w:ascii="Arial" w:hAnsi="Arial" w:cs="Arial"/>
          <w:sz w:val="22"/>
          <w:szCs w:val="22"/>
        </w:rPr>
      </w:pPr>
    </w:p>
    <w:sectPr w:rsidR="009746E3" w:rsidRPr="008E2ED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8976C" w14:textId="77777777" w:rsidR="007369F3" w:rsidRDefault="007369F3" w:rsidP="00E10019">
      <w:pPr>
        <w:spacing w:after="0" w:line="240" w:lineRule="auto"/>
      </w:pPr>
      <w:r>
        <w:separator/>
      </w:r>
    </w:p>
  </w:endnote>
  <w:endnote w:type="continuationSeparator" w:id="0">
    <w:p w14:paraId="21DDD5EA" w14:textId="77777777" w:rsidR="007369F3" w:rsidRDefault="007369F3" w:rsidP="00E10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08162"/>
      <w:docPartObj>
        <w:docPartGallery w:val="Page Numbers (Bottom of Page)"/>
        <w:docPartUnique/>
      </w:docPartObj>
    </w:sdtPr>
    <w:sdtEndPr>
      <w:rPr>
        <w:noProof/>
      </w:rPr>
    </w:sdtEndPr>
    <w:sdtContent>
      <w:p w14:paraId="788E3CF4" w14:textId="45879C37" w:rsidR="00E10019" w:rsidRDefault="00E100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DE167" w14:textId="77777777" w:rsidR="00E10019" w:rsidRDefault="00E10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A4D06" w14:textId="77777777" w:rsidR="007369F3" w:rsidRDefault="007369F3" w:rsidP="00E10019">
      <w:pPr>
        <w:spacing w:after="0" w:line="240" w:lineRule="auto"/>
      </w:pPr>
      <w:r>
        <w:separator/>
      </w:r>
    </w:p>
  </w:footnote>
  <w:footnote w:type="continuationSeparator" w:id="0">
    <w:p w14:paraId="7C20CDC9" w14:textId="77777777" w:rsidR="007369F3" w:rsidRDefault="007369F3" w:rsidP="00E100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EB"/>
    <w:rsid w:val="00071F67"/>
    <w:rsid w:val="00094F47"/>
    <w:rsid w:val="000F20BD"/>
    <w:rsid w:val="00123CEB"/>
    <w:rsid w:val="00134408"/>
    <w:rsid w:val="001430B1"/>
    <w:rsid w:val="00151D61"/>
    <w:rsid w:val="00172460"/>
    <w:rsid w:val="0018225B"/>
    <w:rsid w:val="00185D67"/>
    <w:rsid w:val="00194959"/>
    <w:rsid w:val="00211DE5"/>
    <w:rsid w:val="003530DE"/>
    <w:rsid w:val="00354A67"/>
    <w:rsid w:val="003600B0"/>
    <w:rsid w:val="00370E2B"/>
    <w:rsid w:val="003805C4"/>
    <w:rsid w:val="0039348E"/>
    <w:rsid w:val="00395C2A"/>
    <w:rsid w:val="003A4CF4"/>
    <w:rsid w:val="004348A3"/>
    <w:rsid w:val="004A2B87"/>
    <w:rsid w:val="004A38C0"/>
    <w:rsid w:val="00573E54"/>
    <w:rsid w:val="00577DA0"/>
    <w:rsid w:val="00594F4A"/>
    <w:rsid w:val="005D54CC"/>
    <w:rsid w:val="005E15B6"/>
    <w:rsid w:val="0060591C"/>
    <w:rsid w:val="00615AC3"/>
    <w:rsid w:val="00682E88"/>
    <w:rsid w:val="006F7571"/>
    <w:rsid w:val="007369F3"/>
    <w:rsid w:val="007551FA"/>
    <w:rsid w:val="00790429"/>
    <w:rsid w:val="007D14C2"/>
    <w:rsid w:val="007F1133"/>
    <w:rsid w:val="008120B8"/>
    <w:rsid w:val="008E2ED8"/>
    <w:rsid w:val="00910254"/>
    <w:rsid w:val="00962FC4"/>
    <w:rsid w:val="009732FD"/>
    <w:rsid w:val="009746E3"/>
    <w:rsid w:val="00A42E6B"/>
    <w:rsid w:val="00A71074"/>
    <w:rsid w:val="00AC4B68"/>
    <w:rsid w:val="00AC7812"/>
    <w:rsid w:val="00AE74C1"/>
    <w:rsid w:val="00AF1271"/>
    <w:rsid w:val="00B25668"/>
    <w:rsid w:val="00B624F1"/>
    <w:rsid w:val="00BA1649"/>
    <w:rsid w:val="00BF651A"/>
    <w:rsid w:val="00C10F80"/>
    <w:rsid w:val="00C1201E"/>
    <w:rsid w:val="00C20E86"/>
    <w:rsid w:val="00C27FBC"/>
    <w:rsid w:val="00C77D39"/>
    <w:rsid w:val="00C86051"/>
    <w:rsid w:val="00CA39C9"/>
    <w:rsid w:val="00D44EA4"/>
    <w:rsid w:val="00D57F36"/>
    <w:rsid w:val="00DA3CA4"/>
    <w:rsid w:val="00DD49A5"/>
    <w:rsid w:val="00E10019"/>
    <w:rsid w:val="00E4091B"/>
    <w:rsid w:val="00EB02C0"/>
    <w:rsid w:val="00F47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A7188"/>
  <w15:chartTrackingRefBased/>
  <w15:docId w15:val="{FF9E13B1-04CD-4A53-BEA3-D030632A7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CEB"/>
    <w:rPr>
      <w:rFonts w:eastAsiaTheme="majorEastAsia" w:cstheme="majorBidi"/>
      <w:color w:val="272727" w:themeColor="text1" w:themeTint="D8"/>
    </w:rPr>
  </w:style>
  <w:style w:type="paragraph" w:styleId="Title">
    <w:name w:val="Title"/>
    <w:basedOn w:val="Normal"/>
    <w:next w:val="Normal"/>
    <w:link w:val="TitleChar"/>
    <w:uiPriority w:val="10"/>
    <w:qFormat/>
    <w:rsid w:val="00123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CEB"/>
    <w:pPr>
      <w:spacing w:before="160"/>
      <w:jc w:val="center"/>
    </w:pPr>
    <w:rPr>
      <w:i/>
      <w:iCs/>
      <w:color w:val="404040" w:themeColor="text1" w:themeTint="BF"/>
    </w:rPr>
  </w:style>
  <w:style w:type="character" w:customStyle="1" w:styleId="QuoteChar">
    <w:name w:val="Quote Char"/>
    <w:basedOn w:val="DefaultParagraphFont"/>
    <w:link w:val="Quote"/>
    <w:uiPriority w:val="29"/>
    <w:rsid w:val="00123CEB"/>
    <w:rPr>
      <w:i/>
      <w:iCs/>
      <w:color w:val="404040" w:themeColor="text1" w:themeTint="BF"/>
    </w:rPr>
  </w:style>
  <w:style w:type="paragraph" w:styleId="ListParagraph">
    <w:name w:val="List Paragraph"/>
    <w:basedOn w:val="Normal"/>
    <w:uiPriority w:val="34"/>
    <w:qFormat/>
    <w:rsid w:val="00123CEB"/>
    <w:pPr>
      <w:ind w:left="720"/>
      <w:contextualSpacing/>
    </w:pPr>
  </w:style>
  <w:style w:type="character" w:styleId="IntenseEmphasis">
    <w:name w:val="Intense Emphasis"/>
    <w:basedOn w:val="DefaultParagraphFont"/>
    <w:uiPriority w:val="21"/>
    <w:qFormat/>
    <w:rsid w:val="00123CEB"/>
    <w:rPr>
      <w:i/>
      <w:iCs/>
      <w:color w:val="0F4761" w:themeColor="accent1" w:themeShade="BF"/>
    </w:rPr>
  </w:style>
  <w:style w:type="paragraph" w:styleId="IntenseQuote">
    <w:name w:val="Intense Quote"/>
    <w:basedOn w:val="Normal"/>
    <w:next w:val="Normal"/>
    <w:link w:val="IntenseQuoteChar"/>
    <w:uiPriority w:val="30"/>
    <w:qFormat/>
    <w:rsid w:val="00123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CEB"/>
    <w:rPr>
      <w:i/>
      <w:iCs/>
      <w:color w:val="0F4761" w:themeColor="accent1" w:themeShade="BF"/>
    </w:rPr>
  </w:style>
  <w:style w:type="character" w:styleId="IntenseReference">
    <w:name w:val="Intense Reference"/>
    <w:basedOn w:val="DefaultParagraphFont"/>
    <w:uiPriority w:val="32"/>
    <w:qFormat/>
    <w:rsid w:val="00123CEB"/>
    <w:rPr>
      <w:b/>
      <w:bCs/>
      <w:smallCaps/>
      <w:color w:val="0F4761" w:themeColor="accent1" w:themeShade="BF"/>
      <w:spacing w:val="5"/>
    </w:rPr>
  </w:style>
  <w:style w:type="character" w:styleId="Hyperlink">
    <w:name w:val="Hyperlink"/>
    <w:basedOn w:val="DefaultParagraphFont"/>
    <w:uiPriority w:val="99"/>
    <w:unhideWhenUsed/>
    <w:rsid w:val="004348A3"/>
    <w:rPr>
      <w:color w:val="467886" w:themeColor="hyperlink"/>
      <w:u w:val="single"/>
    </w:rPr>
  </w:style>
  <w:style w:type="character" w:styleId="UnresolvedMention">
    <w:name w:val="Unresolved Mention"/>
    <w:basedOn w:val="DefaultParagraphFont"/>
    <w:uiPriority w:val="99"/>
    <w:semiHidden/>
    <w:unhideWhenUsed/>
    <w:rsid w:val="004348A3"/>
    <w:rPr>
      <w:color w:val="605E5C"/>
      <w:shd w:val="clear" w:color="auto" w:fill="E1DFDD"/>
    </w:rPr>
  </w:style>
  <w:style w:type="character" w:styleId="FollowedHyperlink">
    <w:name w:val="FollowedHyperlink"/>
    <w:basedOn w:val="DefaultParagraphFont"/>
    <w:uiPriority w:val="99"/>
    <w:semiHidden/>
    <w:unhideWhenUsed/>
    <w:rsid w:val="00EB02C0"/>
    <w:rPr>
      <w:color w:val="96607D" w:themeColor="followedHyperlink"/>
      <w:u w:val="single"/>
    </w:rPr>
  </w:style>
  <w:style w:type="paragraph" w:styleId="Header">
    <w:name w:val="header"/>
    <w:basedOn w:val="Normal"/>
    <w:link w:val="HeaderChar"/>
    <w:uiPriority w:val="99"/>
    <w:unhideWhenUsed/>
    <w:rsid w:val="00E100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019"/>
  </w:style>
  <w:style w:type="paragraph" w:styleId="Footer">
    <w:name w:val="footer"/>
    <w:basedOn w:val="Normal"/>
    <w:link w:val="FooterChar"/>
    <w:uiPriority w:val="99"/>
    <w:unhideWhenUsed/>
    <w:rsid w:val="00E100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ec.2025.109192" TargetMode="External"/><Relationship Id="rId13" Type="http://schemas.openxmlformats.org/officeDocument/2006/relationships/hyperlink" Target="https://doi.org/10.3399/BJGP.2022.0150" TargetMode="External"/><Relationship Id="rId18" Type="http://schemas.openxmlformats.org/officeDocument/2006/relationships/hyperlink" Target="https://www.england.nhs.uk/2025/12/record-numbers-using-nhs-app-to-manage-health/" TargetMode="External"/><Relationship Id="rId3" Type="http://schemas.openxmlformats.org/officeDocument/2006/relationships/webSettings" Target="webSettings.xml"/><Relationship Id="rId21" Type="http://schemas.openxmlformats.org/officeDocument/2006/relationships/hyperlink" Target="https://doi.org/10.1186/s12916-024-03842-w" TargetMode="External"/><Relationship Id="rId7" Type="http://schemas.openxmlformats.org/officeDocument/2006/relationships/hyperlink" Target="https://doi.org/10.3399/BJGP.2022.0436" TargetMode="External"/><Relationship Id="rId12" Type="http://schemas.openxmlformats.org/officeDocument/2006/relationships/hyperlink" Target="https://doi.org/10.3310/XYRV6485" TargetMode="External"/><Relationship Id="rId17" Type="http://schemas.openxmlformats.org/officeDocument/2006/relationships/hyperlink" Target="https://www.nhs.uk/nhs-app/about/privacy-legal-information/nhs-app-accessibility-statement/" TargetMode="External"/><Relationship Id="rId2" Type="http://schemas.openxmlformats.org/officeDocument/2006/relationships/settings" Target="settings.xml"/><Relationship Id="rId16" Type="http://schemas.openxmlformats.org/officeDocument/2006/relationships/hyperlink" Target="https://www.england.nhs.uk/long-read/health-equalities-and-digital-inclusion/" TargetMode="External"/><Relationship Id="rId20" Type="http://schemas.openxmlformats.org/officeDocument/2006/relationships/hyperlink" Target="https://digital.nhs.uk/data-and-information/publications/statistical/nhs-app-statistics/december-2025" TargetMode="External"/><Relationship Id="rId1" Type="http://schemas.openxmlformats.org/officeDocument/2006/relationships/styles" Target="styles.xml"/><Relationship Id="rId6" Type="http://schemas.openxmlformats.org/officeDocument/2006/relationships/hyperlink" Target="https://doi.org/10.2196/43496" TargetMode="External"/><Relationship Id="rId11" Type="http://schemas.openxmlformats.org/officeDocument/2006/relationships/hyperlink" Target="https://doi.org/10.1016/j.ijmedinf.2023.105124"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ngland.nhs.uk/long-read/inclusive-digital-healthcare-a-framework-for-nhs-action-on-digital-inclusion/" TargetMode="External"/><Relationship Id="rId23" Type="http://schemas.openxmlformats.org/officeDocument/2006/relationships/fontTable" Target="fontTable.xml"/><Relationship Id="rId10" Type="http://schemas.openxmlformats.org/officeDocument/2006/relationships/hyperlink" Target="https://www.gov.uk/government/publications/a-plan-for-digital-health-and-social-care" TargetMode="External"/><Relationship Id="rId19" Type="http://schemas.openxmlformats.org/officeDocument/2006/relationships/hyperlink" Target="https://www.nhs.uk/nhs-app/about/privacy-legal-information/privacy-notices/full-notice/" TargetMode="External"/><Relationship Id="rId4" Type="http://schemas.openxmlformats.org/officeDocument/2006/relationships/footnotes" Target="footnotes.xml"/><Relationship Id="rId9" Type="http://schemas.openxmlformats.org/officeDocument/2006/relationships/hyperlink" Target="https://www.gov.uk/government/publications/10-year-health-plan-for-england-fit-for-the-future" TargetMode="External"/><Relationship Id="rId14" Type="http://schemas.openxmlformats.org/officeDocument/2006/relationships/hyperlink" Target="https://www.england.nhs.uk/2019/01/nhs-app-begins-public-rollou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21C720-16E2-4CC8-9204-AA61FF9C8EB8}">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urrentFolder" value="{&quot;depth&quot;:0,&quot;id&quot;:&quot;all&quot;,&quot;name&quot;:&quot;All references&quot;,&quot;parentId&quot;:null,&quot;position&quot;:-2,&quot;isShared&quot;:false}"/>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w.subscriberId" value="&quot;0&quot;"/>
    <we:property name="rw.userId" value="&quot;user:6acd6d78f2069ef637ebbf10&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6101</TotalTime>
  <Pages>9</Pages>
  <Words>3255</Words>
  <Characters>18560</Characters>
  <Application>Microsoft Office Word</Application>
  <DocSecurity>0</DocSecurity>
  <Lines>154</Lines>
  <Paragraphs>43</Paragraphs>
  <ScaleCrop>false</ScaleCrop>
  <Company/>
  <LinksUpToDate>false</LinksUpToDate>
  <CharactersWithSpaces>21772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 Mahmood (2413669)</dc:creator>
  <cp:keywords/>
  <dc:description/>
  <cp:lastModifiedBy>Misba Mahmood (2413669)</cp:lastModifiedBy>
  <cp:revision>62</cp:revision>
  <dcterms:created xsi:type="dcterms:W3CDTF">2026-10-12T14:02:00Z</dcterms:created>
  <dcterms:modified xsi:type="dcterms:W3CDTF">2026-10-17T13:10:00Z</dcterms:modified>
</cp:coreProperties>
</file>