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F160C" w14:textId="77777777" w:rsidR="001C0A41" w:rsidRDefault="001C0A41">
      <w:pPr>
        <w:jc w:val="center"/>
        <w:rPr>
          <w:b/>
          <w:color w:val="000000"/>
          <w:sz w:val="32"/>
          <w:szCs w:val="32"/>
        </w:rPr>
      </w:pPr>
    </w:p>
    <w:p w14:paraId="4C6DC46B" w14:textId="6DB8606E" w:rsidR="001C0A41" w:rsidRDefault="00063313">
      <w:pPr>
        <w:jc w:val="center"/>
        <w:rPr>
          <w:b/>
          <w:color w:val="000000"/>
          <w:sz w:val="32"/>
          <w:szCs w:val="32"/>
        </w:rPr>
      </w:pPr>
      <w:r>
        <w:rPr>
          <w:noProof/>
        </w:rPr>
        <w:drawing>
          <wp:inline distT="0" distB="0" distL="0" distR="0" wp14:anchorId="5558581E" wp14:editId="022B5545">
            <wp:extent cx="2047875" cy="809625"/>
            <wp:effectExtent l="0" t="0" r="9525" b="9525"/>
            <wp:docPr id="3" name="image2.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A close-up of a sign&#10;&#10;Description automatically generated"/>
                    <pic:cNvPicPr/>
                  </pic:nvPicPr>
                  <pic:blipFill>
                    <a:blip r:embed="rId7"/>
                    <a:srcRect/>
                    <a:stretch>
                      <a:fillRect/>
                    </a:stretch>
                  </pic:blipFill>
                  <pic:spPr>
                    <a:xfrm>
                      <a:off x="0" y="0"/>
                      <a:ext cx="2047875" cy="809625"/>
                    </a:xfrm>
                    <a:prstGeom prst="rect">
                      <a:avLst/>
                    </a:prstGeom>
                    <a:ln/>
                  </pic:spPr>
                </pic:pic>
              </a:graphicData>
            </a:graphic>
          </wp:inline>
        </w:drawing>
      </w:r>
    </w:p>
    <w:p w14:paraId="2A1512AA" w14:textId="77777777" w:rsidR="001C0A41" w:rsidRDefault="001C0A41">
      <w:pPr>
        <w:jc w:val="center"/>
        <w:rPr>
          <w:b/>
          <w:color w:val="000000"/>
          <w:sz w:val="32"/>
          <w:szCs w:val="32"/>
        </w:rPr>
      </w:pPr>
    </w:p>
    <w:p w14:paraId="0579DCC7" w14:textId="77777777" w:rsidR="001C0A41" w:rsidRDefault="001C0A41">
      <w:pPr>
        <w:jc w:val="center"/>
        <w:rPr>
          <w:b/>
          <w:color w:val="000000"/>
          <w:sz w:val="32"/>
          <w:szCs w:val="32"/>
        </w:rPr>
      </w:pPr>
    </w:p>
    <w:p w14:paraId="2F1769AE" w14:textId="77777777" w:rsidR="001C0A41" w:rsidRDefault="001C0A41">
      <w:pPr>
        <w:jc w:val="center"/>
        <w:rPr>
          <w:b/>
          <w:color w:val="000000"/>
          <w:sz w:val="32"/>
          <w:szCs w:val="32"/>
        </w:rPr>
      </w:pPr>
    </w:p>
    <w:p w14:paraId="303DF235" w14:textId="77777777" w:rsidR="001C0A41" w:rsidRDefault="001C0A41">
      <w:pPr>
        <w:jc w:val="center"/>
        <w:rPr>
          <w:b/>
          <w:color w:val="000000"/>
          <w:sz w:val="32"/>
          <w:szCs w:val="32"/>
        </w:rPr>
      </w:pPr>
    </w:p>
    <w:p w14:paraId="5381A55B" w14:textId="77777777" w:rsidR="001C0A41" w:rsidRDefault="001C0A41">
      <w:pPr>
        <w:jc w:val="center"/>
        <w:rPr>
          <w:b/>
          <w:color w:val="000000"/>
          <w:sz w:val="32"/>
          <w:szCs w:val="32"/>
        </w:rPr>
      </w:pPr>
    </w:p>
    <w:p w14:paraId="2FB1868D" w14:textId="77777777" w:rsidR="001C0A41" w:rsidRDefault="001C0A41">
      <w:pPr>
        <w:jc w:val="center"/>
        <w:rPr>
          <w:b/>
          <w:color w:val="000000"/>
          <w:sz w:val="32"/>
          <w:szCs w:val="32"/>
        </w:rPr>
      </w:pPr>
    </w:p>
    <w:p w14:paraId="488397AE" w14:textId="77777777" w:rsidR="001C0A41" w:rsidRDefault="00AF5D59">
      <w:pPr>
        <w:jc w:val="center"/>
        <w:rPr>
          <w:b/>
          <w:color w:val="000000"/>
          <w:sz w:val="32"/>
          <w:szCs w:val="32"/>
        </w:rPr>
      </w:pPr>
      <w:r>
        <w:rPr>
          <w:b/>
          <w:color w:val="000000"/>
          <w:sz w:val="32"/>
          <w:szCs w:val="32"/>
        </w:rPr>
        <w:t>ASSIGNMENT TITLE: COMPONENT 1: INDIVIDUAL ESSAY</w:t>
      </w:r>
    </w:p>
    <w:p w14:paraId="7B5EBA7C" w14:textId="77777777" w:rsidR="001C0A41" w:rsidRDefault="00AF5D59">
      <w:pPr>
        <w:jc w:val="center"/>
        <w:rPr>
          <w:b/>
          <w:color w:val="000000"/>
          <w:sz w:val="32"/>
          <w:szCs w:val="32"/>
        </w:rPr>
      </w:pPr>
      <w:r>
        <w:rPr>
          <w:b/>
          <w:color w:val="000000"/>
          <w:sz w:val="32"/>
          <w:szCs w:val="32"/>
        </w:rPr>
        <w:t>MODULE NAME: INTERNATIONAL BUSINESS COMMUNICATIONS</w:t>
      </w:r>
    </w:p>
    <w:p w14:paraId="7C2523CD" w14:textId="77777777" w:rsidR="001C0A41" w:rsidRDefault="00AF5D59">
      <w:pPr>
        <w:jc w:val="center"/>
        <w:rPr>
          <w:b/>
          <w:color w:val="000000"/>
          <w:sz w:val="32"/>
          <w:szCs w:val="32"/>
        </w:rPr>
      </w:pPr>
      <w:r>
        <w:rPr>
          <w:b/>
          <w:color w:val="000000"/>
          <w:sz w:val="32"/>
          <w:szCs w:val="32"/>
        </w:rPr>
        <w:t>MODULE CODE: LCBB6001</w:t>
      </w:r>
    </w:p>
    <w:p w14:paraId="37DB59F2" w14:textId="095EC907" w:rsidR="001C0A41" w:rsidRDefault="00AF5D59">
      <w:pPr>
        <w:jc w:val="center"/>
        <w:rPr>
          <w:b/>
          <w:color w:val="000000"/>
          <w:sz w:val="32"/>
          <w:szCs w:val="32"/>
        </w:rPr>
      </w:pPr>
      <w:r>
        <w:rPr>
          <w:b/>
          <w:color w:val="000000"/>
          <w:sz w:val="32"/>
          <w:szCs w:val="32"/>
        </w:rPr>
        <w:t xml:space="preserve">STUDENT NAME: </w:t>
      </w:r>
      <w:r w:rsidR="00595BE6">
        <w:rPr>
          <w:b/>
          <w:color w:val="000000"/>
          <w:sz w:val="32"/>
          <w:szCs w:val="32"/>
        </w:rPr>
        <w:t>CRINA MIHUT</w:t>
      </w:r>
    </w:p>
    <w:p w14:paraId="75167719" w14:textId="1DF43CF0" w:rsidR="001C0A41" w:rsidRDefault="00AF5D59">
      <w:pPr>
        <w:jc w:val="center"/>
        <w:rPr>
          <w:b/>
          <w:color w:val="000000"/>
          <w:sz w:val="32"/>
          <w:szCs w:val="32"/>
        </w:rPr>
      </w:pPr>
      <w:r>
        <w:rPr>
          <w:b/>
          <w:color w:val="000000"/>
          <w:sz w:val="32"/>
          <w:szCs w:val="32"/>
        </w:rPr>
        <w:t>STUDENT ID:</w:t>
      </w:r>
      <w:r w:rsidR="00595BE6">
        <w:rPr>
          <w:b/>
          <w:color w:val="000000"/>
          <w:sz w:val="32"/>
          <w:szCs w:val="32"/>
        </w:rPr>
        <w:t xml:space="preserve"> 2218982</w:t>
      </w:r>
    </w:p>
    <w:p w14:paraId="4F137E70" w14:textId="30FFCCB2" w:rsidR="00595BE6" w:rsidRDefault="00595BE6">
      <w:pPr>
        <w:jc w:val="center"/>
        <w:rPr>
          <w:b/>
          <w:color w:val="000000"/>
          <w:sz w:val="32"/>
          <w:szCs w:val="32"/>
        </w:rPr>
      </w:pPr>
      <w:r>
        <w:rPr>
          <w:b/>
          <w:color w:val="000000"/>
          <w:sz w:val="32"/>
          <w:szCs w:val="32"/>
        </w:rPr>
        <w:t>LECTURER NAME : AFZAL MUNNA</w:t>
      </w:r>
    </w:p>
    <w:p w14:paraId="79E3E048" w14:textId="77777777" w:rsidR="001C0A41" w:rsidRDefault="00AF5D59">
      <w:pPr>
        <w:jc w:val="center"/>
        <w:rPr>
          <w:b/>
          <w:color w:val="000000"/>
          <w:sz w:val="32"/>
          <w:szCs w:val="32"/>
        </w:rPr>
      </w:pPr>
      <w:r>
        <w:br w:type="page"/>
      </w:r>
    </w:p>
    <w:p w14:paraId="36202112" w14:textId="77777777" w:rsidR="001C0A41" w:rsidRDefault="00AF5D59">
      <w:pPr>
        <w:rPr>
          <w:b/>
          <w:color w:val="000000"/>
          <w:sz w:val="28"/>
          <w:szCs w:val="28"/>
        </w:rPr>
      </w:pPr>
      <w:r>
        <w:rPr>
          <w:b/>
          <w:color w:val="000000"/>
          <w:sz w:val="28"/>
          <w:szCs w:val="28"/>
        </w:rPr>
        <w:lastRenderedPageBreak/>
        <w:t xml:space="preserve">Introduction </w:t>
      </w:r>
    </w:p>
    <w:p w14:paraId="09A16D35" w14:textId="77777777" w:rsidR="001C0A41" w:rsidRDefault="00AF5D59">
      <w:pPr>
        <w:rPr>
          <w:color w:val="000000"/>
        </w:rPr>
      </w:pPr>
      <w:r>
        <w:rPr>
          <w:color w:val="000000"/>
        </w:rPr>
        <w:t xml:space="preserve">The company which will be selected in this study is Sainsbury’s. The overview of this company will be discussed in the report.  The cultural differences between the UK and Japan using the Hofstede model will be evaluated in this report. The differences in the styles of communication in the UK and Japan will be analysed in the study. The implications of the cultural differences in communication will be evaluated here.  The cultural challenges faced by British business Sainsbury’s for expanding in Japan will be demonstrated in the report. The strategies to resolve communication challenges to initiate a positive work environment in Sainsbury’s will be analysed in the study. Lastly, Sainsbury’s will be recommended to expand in Japan. </w:t>
      </w:r>
    </w:p>
    <w:p w14:paraId="10E7508A" w14:textId="77777777" w:rsidR="001C0A41" w:rsidRDefault="00AF5D59">
      <w:pPr>
        <w:rPr>
          <w:b/>
          <w:color w:val="000000"/>
          <w:sz w:val="28"/>
          <w:szCs w:val="28"/>
        </w:rPr>
      </w:pPr>
      <w:r>
        <w:rPr>
          <w:b/>
          <w:color w:val="000000"/>
          <w:sz w:val="28"/>
          <w:szCs w:val="28"/>
        </w:rPr>
        <w:t>Discussion</w:t>
      </w:r>
    </w:p>
    <w:p w14:paraId="15098026" w14:textId="77777777" w:rsidR="001C0A41" w:rsidRPr="004753A8" w:rsidRDefault="00AF5D59">
      <w:pPr>
        <w:rPr>
          <w:b/>
          <w:iCs/>
          <w:color w:val="000000"/>
        </w:rPr>
      </w:pPr>
      <w:r w:rsidRPr="004753A8">
        <w:rPr>
          <w:b/>
          <w:iCs/>
          <w:color w:val="000000"/>
        </w:rPr>
        <w:t>Overview of company- Sainsbury’s</w:t>
      </w:r>
    </w:p>
    <w:p w14:paraId="780F6646" w14:textId="11B193B3" w:rsidR="001C0A41" w:rsidRPr="00AB499C" w:rsidRDefault="00AF5D59">
      <w:pPr>
        <w:rPr>
          <w:color w:val="000000"/>
        </w:rPr>
      </w:pPr>
      <w:r>
        <w:rPr>
          <w:color w:val="000000"/>
        </w:rPr>
        <w:t>Sainsbury’s company is considered to be a famous retail company which is situated in the UK. London is the headquarter location of Sainsbury's. This company is following the hierarchical structure and the market structure adhered to by Sainsbury’s is oligopolistic market structure. This company was established in the year 1869. The name of the founder of Sainsbury’s is John James Sainsbury’s. Currently this company has a total of 162000 workers who are working on the behalf of the company</w:t>
      </w:r>
      <w:r w:rsidR="00AB499C">
        <w:rPr>
          <w:color w:val="000000"/>
        </w:rPr>
        <w:t xml:space="preserve"> (sainsburys.co.uk, 2024)</w:t>
      </w:r>
      <w:r>
        <w:rPr>
          <w:color w:val="000000"/>
        </w:rPr>
        <w:t xml:space="preserve">. The present CEO of this Sainsbury’s is Simon Roberts. The mission of this company is to make good food accessible, easily affordable for the consumers. It has a vision statement which is to get a faithful retail company which provides better quality products at low cost. Some objectives associated with Sainsbury’s are to satisfy consumers, to satisfy staff, improve company performance, increase reputation and others. </w:t>
      </w:r>
    </w:p>
    <w:p w14:paraId="01D37E73" w14:textId="77777777" w:rsidR="001C0A41" w:rsidRPr="00AB499C" w:rsidRDefault="00AF5D59">
      <w:pPr>
        <w:rPr>
          <w:b/>
          <w:iCs/>
          <w:color w:val="000000"/>
        </w:rPr>
      </w:pPr>
      <w:r w:rsidRPr="00AB499C">
        <w:rPr>
          <w:b/>
          <w:iCs/>
          <w:color w:val="000000"/>
        </w:rPr>
        <w:t xml:space="preserve">Analysing cultural differences between UK and Japan using Hofstede’s Cultural Dimensions </w:t>
      </w:r>
    </w:p>
    <w:p w14:paraId="29A6AE5D" w14:textId="77777777" w:rsidR="001C0A41" w:rsidRDefault="00AF5D59">
      <w:pPr>
        <w:rPr>
          <w:color w:val="000000"/>
        </w:rPr>
      </w:pPr>
      <w:r>
        <w:rPr>
          <w:color w:val="000000"/>
        </w:rPr>
        <w:t>Sainsbury’s is trying to expand in Japan and the cultural difference between UK and Japan is evaluated through Hofstede's model. This model consisted of six dimensions. The Power Index model is showing the maintenance of equality in culture (</w:t>
      </w:r>
      <w:proofErr w:type="spellStart"/>
      <w:r>
        <w:rPr>
          <w:color w:val="000000"/>
        </w:rPr>
        <w:t>Lv</w:t>
      </w:r>
      <w:proofErr w:type="spellEnd"/>
      <w:r>
        <w:rPr>
          <w:color w:val="000000"/>
        </w:rPr>
        <w:t xml:space="preserve">, 2020). Japan has a hierarchical culture whose score is 54 while the UK has a democratic culture whose score is 35. In Japan the top authority of management can only take decisions which can cause certain inequality. Whereas in the UK the inequalities are reduced and a fair play is induced. Here, the employees are also included in the decision-making process (Jan, </w:t>
      </w:r>
      <w:proofErr w:type="spellStart"/>
      <w:r>
        <w:rPr>
          <w:color w:val="000000"/>
        </w:rPr>
        <w:t>Alshare</w:t>
      </w:r>
      <w:proofErr w:type="spellEnd"/>
      <w:r>
        <w:rPr>
          <w:color w:val="000000"/>
        </w:rPr>
        <w:t xml:space="preserve"> and Lane, 2024). The UK has a fast-decision-making process while in Japan the decision-making process is slow. Japan scored 62 on the dimension of individualism while in the UK this score is 76 (theculturefactor.com, </w:t>
      </w:r>
      <w:r>
        <w:rPr>
          <w:color w:val="000000"/>
        </w:rPr>
        <w:lastRenderedPageBreak/>
        <w:t xml:space="preserve">2024). The UK is more often adhering to the individualistic society and Japan is a paternalistic society where younger siblings had to leave their homeland to earn a living. In the UK children are taught to reflect on personal fulfilment and development. The children are taught about their personal values and about their life purpose. According to the score it can be said that the UK is having more individualism compared to Japan. The dimension of motivation towards success and achievement in Japan is 95 while for the UK is 66 (theculturefactor.com, 2024). Japan is motivated towards success and it is following a decisive culture. They are emphasising career growth more and they always prefer success. The preference is given to workaholism in Japan. The UK is following a culture of modesty and understatement where success is driven by a value system.  People of the UK are living for work and have a clear ambition (Shi </w:t>
      </w:r>
      <w:r>
        <w:rPr>
          <w:i/>
          <w:color w:val="000000"/>
        </w:rPr>
        <w:t>et al.,</w:t>
      </w:r>
      <w:r>
        <w:rPr>
          <w:color w:val="000000"/>
        </w:rPr>
        <w:t xml:space="preserve"> 2021). The score of motivation towards success in the UK is comparatively lower than Japan. </w:t>
      </w:r>
    </w:p>
    <w:p w14:paraId="7A7BDC2F" w14:textId="77777777" w:rsidR="001C0A41" w:rsidRDefault="00AF5D59">
      <w:pPr>
        <w:rPr>
          <w:color w:val="000000"/>
        </w:rPr>
      </w:pPr>
      <w:r>
        <w:rPr>
          <w:color w:val="000000"/>
        </w:rPr>
        <w:t xml:space="preserve">On the other hand, the score of uncertainty avoidance in Japan is 92 and this country is threatened by natural disasters (theculturefactor.com, 2024). Japan always prepares itself for any uncertain situations. In Japan there is a high preference for precautions and emergency plans to fight against any odd or uncertain circumstances. While the UK is having a very low score of uncertainty avoidance which is 35 hence the UK cannot initiate risk planning. They cannot manage the occurrence of sudden risky situations. The people of the UK face threat in case of sudden natural disasters (Oh and </w:t>
      </w:r>
      <w:proofErr w:type="spellStart"/>
      <w:r>
        <w:rPr>
          <w:color w:val="000000"/>
        </w:rPr>
        <w:t>Oetzel</w:t>
      </w:r>
      <w:proofErr w:type="spellEnd"/>
      <w:r>
        <w:rPr>
          <w:color w:val="000000"/>
        </w:rPr>
        <w:t>, 2022). The long-term orientation score of Japan is 100 and the people here live as per their virtues. The long-term orientation in corporate Japan is seen as a high rate of investment during tough times. The companies in Japan do not want to make money but they only want to serve stakeholders and society. The UK is having a pragmatic culture where the score is 60 in terms of long-term orientation and here people believe that the truth is dependable on context or situation. People in the UK can easily adapt to changing situations (</w:t>
      </w:r>
      <w:proofErr w:type="spellStart"/>
      <w:r>
        <w:rPr>
          <w:color w:val="000000"/>
        </w:rPr>
        <w:t>Tursunovich</w:t>
      </w:r>
      <w:proofErr w:type="spellEnd"/>
      <w:r>
        <w:rPr>
          <w:color w:val="000000"/>
        </w:rPr>
        <w:t xml:space="preserve">, 2022). Lastly, in terms of indulgence score if Japan is low which is 42. Japan has a culture of restraint where people do not give any priority to leisure time. People in Japan believe that their actions are restrained through social norms. While for the UK people have a high indulgence score of 69 where people have a positive attitude, optimistic in nature and give value to leisure time (theculturefactor.com, 2024). </w:t>
      </w:r>
    </w:p>
    <w:p w14:paraId="7CC280E8" w14:textId="77777777" w:rsidR="001C0A41" w:rsidRPr="00AB499C" w:rsidRDefault="00AF5D59">
      <w:pPr>
        <w:rPr>
          <w:b/>
          <w:iCs/>
        </w:rPr>
      </w:pPr>
      <w:r w:rsidRPr="00AB499C">
        <w:rPr>
          <w:b/>
          <w:iCs/>
          <w:color w:val="000000"/>
        </w:rPr>
        <w:t xml:space="preserve">Assessing Differences in Communication Styles in UK and Japan </w:t>
      </w:r>
    </w:p>
    <w:p w14:paraId="4CD82DB4" w14:textId="77777777" w:rsidR="001C0A41" w:rsidRDefault="00AF5D59">
      <w:r>
        <w:t>Cultural differences in communication basically can be defined as the variations in how individuals from multiple cultures interact with each other (</w:t>
      </w:r>
      <w:proofErr w:type="spellStart"/>
      <w:r>
        <w:t>Mariani</w:t>
      </w:r>
      <w:proofErr w:type="spellEnd"/>
      <w:r>
        <w:t xml:space="preserve">, </w:t>
      </w:r>
      <w:proofErr w:type="spellStart"/>
      <w:r>
        <w:t>Borghi</w:t>
      </w:r>
      <w:proofErr w:type="spellEnd"/>
      <w:r>
        <w:t xml:space="preserve"> and </w:t>
      </w:r>
      <w:proofErr w:type="spellStart"/>
      <w:r>
        <w:t>Okumus</w:t>
      </w:r>
      <w:proofErr w:type="spellEnd"/>
      <w:r>
        <w:t xml:space="preserve">, 2020). From many aspects, the differences can be taken. The UK belongs to a low context culture that focuses on direct communication. On the other hand, Japan comes from a high context culture where the communication processes are indirect. That is why people in the UK </w:t>
      </w:r>
      <w:r>
        <w:lastRenderedPageBreak/>
        <w:t>give space to other people regarding how they feel (Barnett</w:t>
      </w:r>
      <w:r>
        <w:rPr>
          <w:i/>
        </w:rPr>
        <w:t xml:space="preserve"> et al.,</w:t>
      </w:r>
      <w:r>
        <w:t xml:space="preserve"> 2021). Body language is another aspect of differentiation through which the communication differentiation can be well stated. Within Japan, individuals might break eye contact with other people without any reaction whereas people in the UK are not strict regarding their eye contact (</w:t>
      </w:r>
      <w:proofErr w:type="spellStart"/>
      <w:r>
        <w:t>Mariani</w:t>
      </w:r>
      <w:proofErr w:type="spellEnd"/>
      <w:r>
        <w:t xml:space="preserve">, </w:t>
      </w:r>
      <w:proofErr w:type="spellStart"/>
      <w:r>
        <w:t>Borghi</w:t>
      </w:r>
      <w:proofErr w:type="spellEnd"/>
      <w:r>
        <w:t xml:space="preserve"> and </w:t>
      </w:r>
      <w:proofErr w:type="spellStart"/>
      <w:r>
        <w:t>Okumus</w:t>
      </w:r>
      <w:proofErr w:type="spellEnd"/>
      <w:r>
        <w:t xml:space="preserve">, 2020). </w:t>
      </w:r>
    </w:p>
    <w:p w14:paraId="1C5E421C" w14:textId="048D3DB3" w:rsidR="001C0A41" w:rsidRDefault="00AF5D59">
      <w:r>
        <w:t xml:space="preserve">The gestures of Japan do not allow eye contact and they might be seen as a disrespectful act. Based on </w:t>
      </w:r>
      <w:r w:rsidR="00886778">
        <w:t>non-verbal</w:t>
      </w:r>
      <w:r>
        <w:t xml:space="preserve"> communication, the differences between UK and Japan can be well taken. Japan is such a country where people might depend on nonverbal communication. As Japan is a high context culture, individuals of the country are likely to observe the surroundings (Cortez, 2023). The UK has a low context culture where people depend on verbal communication on a straightforward basis. Not only that, UK people are more likely to avoid accusing evidence during a lying statement. However, Japanese people are less likely to neglect hesitations</w:t>
      </w:r>
      <w:r w:rsidR="00AB499C">
        <w:t xml:space="preserve"> </w:t>
      </w:r>
      <w:r w:rsidR="00AB499C" w:rsidRPr="00AB499C">
        <w:t>(</w:t>
      </w:r>
      <w:r w:rsidR="00AB499C" w:rsidRPr="00AB499C">
        <w:rPr>
          <w:color w:val="000000"/>
        </w:rPr>
        <w:t>theculturefactor.com, 2024)</w:t>
      </w:r>
      <w:r w:rsidRPr="00AB499C">
        <w:t>.</w:t>
      </w:r>
      <w:r>
        <w:t xml:space="preserve">   </w:t>
      </w:r>
    </w:p>
    <w:p w14:paraId="671AFF57" w14:textId="77777777" w:rsidR="001C0A41" w:rsidRPr="00AB499C" w:rsidRDefault="00AF5D59">
      <w:pPr>
        <w:rPr>
          <w:b/>
          <w:iCs/>
          <w:color w:val="000000"/>
        </w:rPr>
      </w:pPr>
      <w:r w:rsidRPr="00AB499C">
        <w:rPr>
          <w:b/>
          <w:iCs/>
          <w:color w:val="000000"/>
        </w:rPr>
        <w:t xml:space="preserve">Implication of Cultural Differences in Communication </w:t>
      </w:r>
    </w:p>
    <w:p w14:paraId="11C29E46" w14:textId="77777777" w:rsidR="001C0A41" w:rsidRDefault="00AF5D59">
      <w:r>
        <w:t>Cultural differences in communications can have a lot of implications like misunderstandings. This means if people might fail to get the understanding of cultural differences, the circumstances like misunderstanding, conflict or tension might occur (</w:t>
      </w:r>
      <w:proofErr w:type="spellStart"/>
      <w:r>
        <w:t>Mogea</w:t>
      </w:r>
      <w:proofErr w:type="spellEnd"/>
      <w:r>
        <w:t xml:space="preserve">, 2023). Differences in culture can also cause breakdowns in communications particularly in business settings. People might also fall into conditions like Inappropriate behaviour and assumptions. From the aspect of culture, the differences can also impact. Language has the potential to disclose cultural identity (Chu, Chen and Gan, 2020).   Moreover, it is a crucial part of communication and that is why people who express their feelings in various languages might face difficulty in expressing their meaning. From business perspectives, it might be taken as a serious cornering area as customers could be misinterpreted while discussing the products or services and this could restrict the business growth (Chu, Chen and Gan, 2020).  </w:t>
      </w:r>
    </w:p>
    <w:p w14:paraId="723EABF5" w14:textId="07F30B67" w:rsidR="001C0A41" w:rsidRDefault="00AF5D59">
      <w:r>
        <w:t xml:space="preserve">In this context, the business might also face the area of ineffective marketing strategies and that is not at all a healthy business strategy. Only external aspects are not here, the conflicts might occur between internal team members that might change the </w:t>
      </w:r>
      <w:r w:rsidR="00886778">
        <w:t>decision-making ability</w:t>
      </w:r>
      <w:r>
        <w:t xml:space="preserve"> and other relevant potentialities of team members (</w:t>
      </w:r>
      <w:proofErr w:type="spellStart"/>
      <w:r>
        <w:t>Mogea</w:t>
      </w:r>
      <w:proofErr w:type="spellEnd"/>
      <w:r>
        <w:t xml:space="preserve">, 2023). Finally, the brand image of the business might also be affected and here the accountability could lead towards poor cultural sensitivity and inappropriateness of cultural differences in </w:t>
      </w:r>
      <w:r w:rsidR="00886778">
        <w:t>communication (</w:t>
      </w:r>
      <w:r>
        <w:t>Barnett</w:t>
      </w:r>
      <w:r>
        <w:rPr>
          <w:i/>
        </w:rPr>
        <w:t xml:space="preserve"> et al.,</w:t>
      </w:r>
      <w:r>
        <w:t xml:space="preserve"> 2021). In this regard, future expansion might also be restricted. Therefore, this area of cultural differences must be concentrated with significant approach. </w:t>
      </w:r>
    </w:p>
    <w:p w14:paraId="782DE2EA" w14:textId="77777777" w:rsidR="00063313" w:rsidRDefault="00063313">
      <w:pPr>
        <w:rPr>
          <w:b/>
          <w:i/>
        </w:rPr>
      </w:pPr>
    </w:p>
    <w:p w14:paraId="6957CF9C" w14:textId="77777777" w:rsidR="001C0A41" w:rsidRPr="00AB499C" w:rsidRDefault="00AF5D59">
      <w:pPr>
        <w:rPr>
          <w:b/>
          <w:iCs/>
          <w:color w:val="000000"/>
        </w:rPr>
      </w:pPr>
      <w:r w:rsidRPr="00AB499C">
        <w:rPr>
          <w:b/>
          <w:iCs/>
          <w:color w:val="000000"/>
        </w:rPr>
        <w:lastRenderedPageBreak/>
        <w:t>Cultural Challenges to be faced by British Business for expansion in Japan</w:t>
      </w:r>
    </w:p>
    <w:p w14:paraId="68C48C61" w14:textId="51D2610B" w:rsidR="001C0A41" w:rsidRDefault="00AF5D59">
      <w:pPr>
        <w:rPr>
          <w:color w:val="000000"/>
        </w:rPr>
      </w:pPr>
      <w:r>
        <w:rPr>
          <w:color w:val="000000"/>
        </w:rPr>
        <w:t xml:space="preserve">As acknowledged by </w:t>
      </w:r>
      <w:proofErr w:type="spellStart"/>
      <w:r>
        <w:rPr>
          <w:color w:val="000000"/>
          <w:highlight w:val="white"/>
        </w:rPr>
        <w:t>Hallioui</w:t>
      </w:r>
      <w:proofErr w:type="spellEnd"/>
      <w:r>
        <w:rPr>
          <w:color w:val="000000"/>
          <w:highlight w:val="white"/>
        </w:rPr>
        <w:t xml:space="preserve"> </w:t>
      </w:r>
      <w:r>
        <w:rPr>
          <w:i/>
          <w:color w:val="000000"/>
          <w:highlight w:val="white"/>
        </w:rPr>
        <w:t>et al</w:t>
      </w:r>
      <w:r>
        <w:rPr>
          <w:color w:val="000000"/>
          <w:highlight w:val="white"/>
        </w:rPr>
        <w:t xml:space="preserve">. (2022), </w:t>
      </w:r>
      <w:r>
        <w:rPr>
          <w:color w:val="000000"/>
        </w:rPr>
        <w:t xml:space="preserve">while Sainsbury’s is entering into the Japan prime cultural barrier will be faced is the language barriers. This is all the consumers in Japan are well acquainted with the Japanese language but this Sainsbury’s company is not well acquainted with this language as this can create communication problems between the buyers and the marketers. The Japanese cannot understand the language of the marketers and thus a misunderstanding can be created which is completely problematic. Thus, from the language barriers the cultural barrier can be found in Sainsbury’s while expanding its business in Japan. Another cultural problem faced by this Sainsbury’s after </w:t>
      </w:r>
      <w:r w:rsidR="00886778">
        <w:rPr>
          <w:color w:val="000000"/>
        </w:rPr>
        <w:t>entering</w:t>
      </w:r>
      <w:r>
        <w:rPr>
          <w:color w:val="000000"/>
        </w:rPr>
        <w:t xml:space="preserve"> the market of Japan is the difference of opposition on account of the lack of cultural integration.  After entering the competitive market of Japan, Sainsbury's has to integrate all the employees of the UK and Japan. After integration difference of opinion can be found which is considered to be a cultural barrier by which the Sainsbury’s is implicated. Communication issues are seen to be found in this Sainsbury’s company while stepping into the market of Japan (</w:t>
      </w:r>
      <w:proofErr w:type="spellStart"/>
      <w:r>
        <w:rPr>
          <w:color w:val="000000"/>
          <w:highlight w:val="white"/>
        </w:rPr>
        <w:t>Soyibjonovich</w:t>
      </w:r>
      <w:proofErr w:type="spellEnd"/>
      <w:r>
        <w:rPr>
          <w:color w:val="000000"/>
          <w:highlight w:val="white"/>
        </w:rPr>
        <w:t xml:space="preserve"> and </w:t>
      </w:r>
      <w:proofErr w:type="spellStart"/>
      <w:r>
        <w:rPr>
          <w:color w:val="000000"/>
          <w:highlight w:val="white"/>
        </w:rPr>
        <w:t>Qutbiddinovich</w:t>
      </w:r>
      <w:proofErr w:type="spellEnd"/>
      <w:r>
        <w:rPr>
          <w:color w:val="000000"/>
          <w:highlight w:val="white"/>
        </w:rPr>
        <w:t>, 2022)</w:t>
      </w:r>
      <w:r>
        <w:rPr>
          <w:color w:val="000000"/>
        </w:rPr>
        <w:t xml:space="preserve">. After entering the market, a large number of employees of Japan are found to be hired and the business starts to be expanded but, in this case, the higher authority cannot communicate with all employees which is called the communication gap. This has been seen to be problematic from the cultural perspective. From the difference of opinion conflict can be created which is completely problematic for the growth of this Sainsbury’s. After entering the market of Japan, Sainsbury’s is completed to maintain the laws of Japan and from these legal complications can be found which is created from the perplexity between the law of the UK and the law of the Japan. As reported by </w:t>
      </w:r>
      <w:r>
        <w:rPr>
          <w:color w:val="000000"/>
          <w:highlight w:val="white"/>
        </w:rPr>
        <w:t xml:space="preserve">Nguyen and Jones (2022), </w:t>
      </w:r>
      <w:r>
        <w:rPr>
          <w:color w:val="000000"/>
        </w:rPr>
        <w:t xml:space="preserve">these specific legal compliances can create culture problems which are associated with the annihilation of the internal culture of the company which have been seen to be aversive. These all-culture barriers have a strong interlink which is significant as a whole. </w:t>
      </w:r>
    </w:p>
    <w:p w14:paraId="574A56FA" w14:textId="77777777" w:rsidR="001C0A41" w:rsidRPr="00AB499C" w:rsidRDefault="00AF5D59">
      <w:pPr>
        <w:rPr>
          <w:b/>
          <w:iCs/>
          <w:color w:val="000000"/>
        </w:rPr>
      </w:pPr>
      <w:r w:rsidRPr="00AB499C">
        <w:rPr>
          <w:b/>
          <w:iCs/>
          <w:color w:val="000000"/>
        </w:rPr>
        <w:t>Discussing strategies to alleviate the drawbacks of communication and evoking a good work environment</w:t>
      </w:r>
    </w:p>
    <w:p w14:paraId="59F7AAAE" w14:textId="77777777" w:rsidR="001C0A41" w:rsidRDefault="00AF5D59">
      <w:pPr>
        <w:rPr>
          <w:color w:val="000000"/>
        </w:rPr>
      </w:pPr>
      <w:r>
        <w:rPr>
          <w:color w:val="000000"/>
        </w:rPr>
        <w:t>After entering the market of Japan, Sainsbury’s has to mitigate the channels of communication by creating a strong relationship with the employees so that they can understand their job role. Making the employees of Japan aware of the goal and objectives the flaws associated with communication can be mitigated (</w:t>
      </w:r>
      <w:proofErr w:type="spellStart"/>
      <w:r>
        <w:rPr>
          <w:color w:val="000000"/>
          <w:highlight w:val="white"/>
        </w:rPr>
        <w:t>Setiady</w:t>
      </w:r>
      <w:proofErr w:type="spellEnd"/>
      <w:r>
        <w:rPr>
          <w:color w:val="000000"/>
          <w:highlight w:val="white"/>
        </w:rPr>
        <w:t xml:space="preserve"> and Razali, 2023)</w:t>
      </w:r>
      <w:r>
        <w:rPr>
          <w:color w:val="000000"/>
        </w:rPr>
        <w:t xml:space="preserve">. Collaborating with all staff to help them to complete the task which is important needs communication and this is a process to alleviate the changes associated with communication. Providing feedback to all the staff for their working performance is seen to be a method of communication and this method can </w:t>
      </w:r>
      <w:r>
        <w:rPr>
          <w:color w:val="000000"/>
        </w:rPr>
        <w:lastRenderedPageBreak/>
        <w:t xml:space="preserve">reduce the problem of drawbacks associated with the communication. As reported by </w:t>
      </w:r>
      <w:r>
        <w:rPr>
          <w:color w:val="000000"/>
          <w:highlight w:val="white"/>
        </w:rPr>
        <w:t xml:space="preserve">Zhou </w:t>
      </w:r>
      <w:r>
        <w:rPr>
          <w:i/>
          <w:color w:val="000000"/>
          <w:highlight w:val="white"/>
        </w:rPr>
        <w:t>et al</w:t>
      </w:r>
      <w:r>
        <w:rPr>
          <w:color w:val="000000"/>
          <w:highlight w:val="white"/>
        </w:rPr>
        <w:t xml:space="preserve">. (2020), </w:t>
      </w:r>
      <w:r>
        <w:rPr>
          <w:color w:val="000000"/>
        </w:rPr>
        <w:t xml:space="preserve">building consistency in the communication has been seen to be critical for mitigating the errors connected to the communication. These all have been considered to be some crucial strategies to mitigate communication which has been associated with the development of organisation just as Sainsbury’s specially while this company is getting into the new competitive market of Japan. </w:t>
      </w:r>
    </w:p>
    <w:p w14:paraId="0D5BCAB4" w14:textId="77777777" w:rsidR="001C0A41" w:rsidRDefault="00AF5D59">
      <w:pPr>
        <w:rPr>
          <w:b/>
          <w:i/>
          <w:color w:val="000000"/>
        </w:rPr>
      </w:pPr>
      <w:r>
        <w:rPr>
          <w:color w:val="000000"/>
        </w:rPr>
        <w:t>In order to make a good environment in this Sainsbury’s company after entering the market of Japan the primary strategy is to satisfy the staff by resolving internal conflict which is associated with the creation of a good environment in which all the staff can work hand in hand (</w:t>
      </w:r>
      <w:r>
        <w:rPr>
          <w:color w:val="000000"/>
          <w:highlight w:val="white"/>
        </w:rPr>
        <w:t xml:space="preserve">Lee </w:t>
      </w:r>
      <w:r>
        <w:rPr>
          <w:i/>
          <w:color w:val="000000"/>
          <w:highlight w:val="white"/>
        </w:rPr>
        <w:t>et al.</w:t>
      </w:r>
      <w:r>
        <w:rPr>
          <w:color w:val="000000"/>
          <w:highlight w:val="white"/>
        </w:rPr>
        <w:t>, 2021)</w:t>
      </w:r>
      <w:r>
        <w:rPr>
          <w:color w:val="000000"/>
        </w:rPr>
        <w:t xml:space="preserve">. Using technologies especially AI to protect the data of the staff and the consumers so that no employees can be the victim of cyber-fraud or cyber bullying. This is important and associated with the evocation of a better internal working ambience where all the employees can work in an amicable manner which is effective as a whole. Arrange for treatments if any employee is found to be sick can motivate the staff and thus a better working environment can be created which is seen to be completely important. As opined by </w:t>
      </w:r>
      <w:r>
        <w:rPr>
          <w:color w:val="000000"/>
          <w:highlight w:val="white"/>
        </w:rPr>
        <w:t xml:space="preserve">Felicita, </w:t>
      </w:r>
      <w:proofErr w:type="spellStart"/>
      <w:r>
        <w:rPr>
          <w:color w:val="000000"/>
          <w:highlight w:val="white"/>
        </w:rPr>
        <w:t>Rainanto</w:t>
      </w:r>
      <w:proofErr w:type="spellEnd"/>
      <w:r>
        <w:rPr>
          <w:color w:val="000000"/>
          <w:highlight w:val="white"/>
        </w:rPr>
        <w:t xml:space="preserve"> and </w:t>
      </w:r>
      <w:proofErr w:type="spellStart"/>
      <w:r>
        <w:rPr>
          <w:color w:val="000000"/>
          <w:highlight w:val="white"/>
        </w:rPr>
        <w:t>Saragi</w:t>
      </w:r>
      <w:proofErr w:type="spellEnd"/>
      <w:r>
        <w:rPr>
          <w:color w:val="000000"/>
          <w:highlight w:val="white"/>
        </w:rPr>
        <w:t xml:space="preserve"> (2024), </w:t>
      </w:r>
      <w:r>
        <w:rPr>
          <w:color w:val="000000"/>
        </w:rPr>
        <w:t xml:space="preserve">collaborating with all the staff can create a collaborative culture which is associated with the development of a fair and conflict free friendly working environment which is crucial. These all have appeared as some crucial strategies associated with the creation of a collaborative culture and the working environment which can mitigate all the conflict.  </w:t>
      </w:r>
    </w:p>
    <w:p w14:paraId="157C07AD" w14:textId="77777777" w:rsidR="001C0A41" w:rsidRPr="00AB499C" w:rsidRDefault="00AF5D59">
      <w:pPr>
        <w:rPr>
          <w:b/>
          <w:iCs/>
          <w:color w:val="000000"/>
        </w:rPr>
      </w:pPr>
      <w:r w:rsidRPr="00AB499C">
        <w:rPr>
          <w:b/>
          <w:iCs/>
          <w:color w:val="000000"/>
        </w:rPr>
        <w:t xml:space="preserve">Recommendation for expanding British business </w:t>
      </w:r>
    </w:p>
    <w:p w14:paraId="523F38BC" w14:textId="77777777" w:rsidR="001C0A41" w:rsidRDefault="00AF5D59">
      <w:pPr>
        <w:rPr>
          <w:color w:val="000000"/>
        </w:rPr>
      </w:pPr>
      <w:r>
        <w:rPr>
          <w:color w:val="000000"/>
        </w:rPr>
        <w:t xml:space="preserve">The company Sainsbury’s is recommended to expand in Japan because through this expansion the company can form new partnerships in its business. The navigation of the market gets easier in this company. The company Sainsbury’s in order to gain some insights they prefer to expand in markets of Japan. The company must expand in Japan to attract many customers and to expand their marketing strategy. Japan is offering incentives, grants, and public support hence this company prefers expanding its business operation to Japan. This will help this company to enhance their marketing strategies for attracting millions of customers from this country. Japan has economic growth and stability hence this company’s investors will find it smooth to set up their business operation in that country. Due to this economic growth in Japan the profitability of Sainsbury's might increase. The international expansion can result in a diversified customer base in the company. Japan has an expansive flexible market which is very ideal for innovation. If this company is wanting to expand its business operation in Japan, then it will earn more productivity and profits. Japan has high living standards and well-advanced technology. Thus, </w:t>
      </w:r>
      <w:r>
        <w:rPr>
          <w:color w:val="000000"/>
        </w:rPr>
        <w:lastRenderedPageBreak/>
        <w:t xml:space="preserve">for this company Sainsbury’s to make its expansion will be great in terms of earning revenue and sales. Due to the technological advancement in Japan this company Sainsbury’s will be boosting up its facilities for innovation which in turn will attract many business investors. </w:t>
      </w:r>
    </w:p>
    <w:p w14:paraId="5E7069AC" w14:textId="77777777" w:rsidR="001C0A41" w:rsidRDefault="00AF5D59">
      <w:pPr>
        <w:rPr>
          <w:b/>
          <w:color w:val="000000"/>
          <w:sz w:val="28"/>
          <w:szCs w:val="28"/>
        </w:rPr>
      </w:pPr>
      <w:r>
        <w:rPr>
          <w:b/>
          <w:color w:val="000000"/>
          <w:sz w:val="28"/>
          <w:szCs w:val="28"/>
        </w:rPr>
        <w:t xml:space="preserve">Conclusion </w:t>
      </w:r>
    </w:p>
    <w:p w14:paraId="1992E279" w14:textId="77777777" w:rsidR="001C0A41" w:rsidRDefault="00AF5D59">
      <w:pPr>
        <w:rPr>
          <w:color w:val="000000"/>
        </w:rPr>
      </w:pPr>
      <w:r>
        <w:rPr>
          <w:color w:val="000000"/>
        </w:rPr>
        <w:t xml:space="preserve">The above essay concluded that the Hofstede model of cultural dimensions between the UK and Japan will help in understanding the cultural differences of these countries. The model will help the business of Sainsbury’s to expand globally by avoiding all the cultural obstacles. It will help this business for adapting their products and marketing to various cultures. Moreover, the recommendations have been provided to the company Sainsbury’s to expand its business operations in Japan to increase economic stability and profitability. Sainsbury’s has followed the hierarchical structure and after entering the market of Japan this specific company has faced communication issues such as language barriers, the culture diversity problems which has been called as the cultural barriers.  The cultural barriers can be mitigated by using collaborating work which has a close connection to the alleviation of the communication barriers. The primary strategy associated with the development of the working environment is providing the staff physical protection and the data protection which has been connected to the development of the organisation. </w:t>
      </w:r>
      <w:r>
        <w:br w:type="page"/>
      </w:r>
    </w:p>
    <w:p w14:paraId="33070084" w14:textId="77777777" w:rsidR="001C0A41" w:rsidRDefault="00AF5D59">
      <w:pPr>
        <w:rPr>
          <w:b/>
          <w:color w:val="000000"/>
          <w:sz w:val="28"/>
          <w:szCs w:val="28"/>
        </w:rPr>
      </w:pPr>
      <w:r>
        <w:rPr>
          <w:b/>
          <w:color w:val="000000"/>
          <w:sz w:val="28"/>
          <w:szCs w:val="28"/>
        </w:rPr>
        <w:lastRenderedPageBreak/>
        <w:t>References</w:t>
      </w:r>
    </w:p>
    <w:p w14:paraId="2681BBD6" w14:textId="77777777" w:rsidR="00886778" w:rsidRDefault="00886778">
      <w:pPr>
        <w:rPr>
          <w:color w:val="222222"/>
          <w:highlight w:val="white"/>
        </w:rPr>
      </w:pPr>
      <w:r>
        <w:rPr>
          <w:color w:val="222222"/>
          <w:highlight w:val="white"/>
        </w:rPr>
        <w:t xml:space="preserve">Barnett, M.D., </w:t>
      </w:r>
      <w:proofErr w:type="spellStart"/>
      <w:r>
        <w:rPr>
          <w:color w:val="222222"/>
          <w:highlight w:val="white"/>
        </w:rPr>
        <w:t>Maciel</w:t>
      </w:r>
      <w:proofErr w:type="spellEnd"/>
      <w:r>
        <w:rPr>
          <w:color w:val="222222"/>
          <w:highlight w:val="white"/>
        </w:rPr>
        <w:t xml:space="preserve">, I.V., Johnson, D.M. and </w:t>
      </w:r>
      <w:proofErr w:type="spellStart"/>
      <w:r>
        <w:rPr>
          <w:color w:val="222222"/>
          <w:highlight w:val="white"/>
        </w:rPr>
        <w:t>Ciepluch</w:t>
      </w:r>
      <w:proofErr w:type="spellEnd"/>
      <w:r>
        <w:rPr>
          <w:color w:val="222222"/>
          <w:highlight w:val="white"/>
        </w:rPr>
        <w:t xml:space="preserve">, I., (2021). Social anxiety and perceived social support: Gender differences and the mediating role of communication styles. </w:t>
      </w:r>
      <w:r>
        <w:rPr>
          <w:i/>
          <w:color w:val="222222"/>
          <w:highlight w:val="white"/>
        </w:rPr>
        <w:t>Psychological reports</w:t>
      </w:r>
      <w:r>
        <w:rPr>
          <w:color w:val="222222"/>
          <w:highlight w:val="white"/>
        </w:rPr>
        <w:t xml:space="preserve">, </w:t>
      </w:r>
      <w:r>
        <w:rPr>
          <w:i/>
          <w:color w:val="222222"/>
          <w:highlight w:val="white"/>
        </w:rPr>
        <w:t>124</w:t>
      </w:r>
      <w:r>
        <w:rPr>
          <w:color w:val="222222"/>
          <w:highlight w:val="white"/>
        </w:rPr>
        <w:t>(1), pp.70-87.</w:t>
      </w:r>
    </w:p>
    <w:p w14:paraId="5A0FB9D6" w14:textId="77777777" w:rsidR="00886778" w:rsidRDefault="00886778">
      <w:pPr>
        <w:rPr>
          <w:color w:val="222222"/>
          <w:highlight w:val="white"/>
        </w:rPr>
      </w:pPr>
      <w:r>
        <w:rPr>
          <w:color w:val="222222"/>
          <w:highlight w:val="white"/>
        </w:rPr>
        <w:t xml:space="preserve">Chu, S.C., Chen, H.T. and Gan, C., (2020). Consumers’ engagement with corporate social responsibility (CSR) communication in social media: Evidence from China and the United States. </w:t>
      </w:r>
      <w:r>
        <w:rPr>
          <w:i/>
          <w:color w:val="222222"/>
          <w:highlight w:val="white"/>
        </w:rPr>
        <w:t>Journal of Business Research</w:t>
      </w:r>
      <w:r>
        <w:rPr>
          <w:color w:val="222222"/>
          <w:highlight w:val="white"/>
        </w:rPr>
        <w:t xml:space="preserve">, </w:t>
      </w:r>
      <w:r>
        <w:rPr>
          <w:i/>
          <w:color w:val="222222"/>
          <w:highlight w:val="white"/>
        </w:rPr>
        <w:t>110</w:t>
      </w:r>
      <w:r>
        <w:rPr>
          <w:color w:val="222222"/>
          <w:highlight w:val="white"/>
        </w:rPr>
        <w:t>, pp.260-271.</w:t>
      </w:r>
    </w:p>
    <w:p w14:paraId="28593051" w14:textId="77777777" w:rsidR="00886778" w:rsidRDefault="00886778">
      <w:pPr>
        <w:rPr>
          <w:color w:val="222222"/>
          <w:highlight w:val="white"/>
        </w:rPr>
      </w:pPr>
      <w:r>
        <w:rPr>
          <w:color w:val="222222"/>
          <w:highlight w:val="white"/>
        </w:rPr>
        <w:t xml:space="preserve">Cortez, J.R., (2023). Leadership Dynamics: Exploring Communication Styles of Student Leaders in One Campus of a State University and its Implications for Institutional Policies. </w:t>
      </w:r>
      <w:r>
        <w:rPr>
          <w:i/>
          <w:color w:val="222222"/>
          <w:highlight w:val="white"/>
        </w:rPr>
        <w:t>Remittances Review</w:t>
      </w:r>
      <w:r>
        <w:rPr>
          <w:color w:val="222222"/>
          <w:highlight w:val="white"/>
        </w:rPr>
        <w:t xml:space="preserve">, </w:t>
      </w:r>
      <w:r>
        <w:rPr>
          <w:i/>
          <w:color w:val="222222"/>
          <w:highlight w:val="white"/>
        </w:rPr>
        <w:t>8</w:t>
      </w:r>
      <w:r>
        <w:rPr>
          <w:color w:val="222222"/>
          <w:highlight w:val="white"/>
        </w:rPr>
        <w:t>(4).</w:t>
      </w:r>
    </w:p>
    <w:p w14:paraId="009F6AA6" w14:textId="77777777" w:rsidR="00886778" w:rsidRDefault="00886778">
      <w:pPr>
        <w:rPr>
          <w:color w:val="000000"/>
        </w:rPr>
      </w:pPr>
      <w:r>
        <w:rPr>
          <w:color w:val="000000"/>
          <w:highlight w:val="white"/>
        </w:rPr>
        <w:t xml:space="preserve">Felicita, V., </w:t>
      </w:r>
      <w:proofErr w:type="spellStart"/>
      <w:r>
        <w:rPr>
          <w:color w:val="000000"/>
          <w:highlight w:val="white"/>
        </w:rPr>
        <w:t>Rainanto</w:t>
      </w:r>
      <w:proofErr w:type="spellEnd"/>
      <w:r>
        <w:rPr>
          <w:color w:val="000000"/>
          <w:highlight w:val="white"/>
        </w:rPr>
        <w:t xml:space="preserve">, B.H. and </w:t>
      </w:r>
      <w:proofErr w:type="spellStart"/>
      <w:r>
        <w:rPr>
          <w:color w:val="000000"/>
          <w:highlight w:val="white"/>
        </w:rPr>
        <w:t>Saragi</w:t>
      </w:r>
      <w:proofErr w:type="spellEnd"/>
      <w:r>
        <w:rPr>
          <w:color w:val="000000"/>
          <w:highlight w:val="white"/>
        </w:rPr>
        <w:t>, C.P., (2024). THE ROLE OF AMBIANCE AND SERVICE QUALITY ON INTEREST IN VISITING ROTI BOEN CAFÉ.</w:t>
      </w:r>
    </w:p>
    <w:p w14:paraId="7ECAFFE6" w14:textId="77777777" w:rsidR="00886778" w:rsidRDefault="00886778">
      <w:pPr>
        <w:rPr>
          <w:color w:val="000000"/>
          <w:highlight w:val="white"/>
        </w:rPr>
      </w:pPr>
      <w:proofErr w:type="spellStart"/>
      <w:r>
        <w:rPr>
          <w:color w:val="000000"/>
          <w:highlight w:val="white"/>
        </w:rPr>
        <w:t>Hallioui</w:t>
      </w:r>
      <w:proofErr w:type="spellEnd"/>
      <w:r>
        <w:rPr>
          <w:color w:val="000000"/>
          <w:highlight w:val="white"/>
        </w:rPr>
        <w:t xml:space="preserve">, A., </w:t>
      </w:r>
      <w:proofErr w:type="spellStart"/>
      <w:r>
        <w:rPr>
          <w:color w:val="000000"/>
          <w:highlight w:val="white"/>
        </w:rPr>
        <w:t>Herrou</w:t>
      </w:r>
      <w:proofErr w:type="spellEnd"/>
      <w:r>
        <w:rPr>
          <w:color w:val="000000"/>
          <w:highlight w:val="white"/>
        </w:rPr>
        <w:t xml:space="preserve">, B., Santos, R.S., Katina, P.F. and </w:t>
      </w:r>
      <w:proofErr w:type="spellStart"/>
      <w:r>
        <w:rPr>
          <w:color w:val="000000"/>
          <w:highlight w:val="white"/>
        </w:rPr>
        <w:t>Egbue</w:t>
      </w:r>
      <w:proofErr w:type="spellEnd"/>
      <w:r>
        <w:rPr>
          <w:color w:val="000000"/>
          <w:highlight w:val="white"/>
        </w:rPr>
        <w:t xml:space="preserve">, O., (2022). Systems-based approach to contemporary business management: An enabler of business sustainability in a context of industry 4.0, circular economy, competitiveness and diverse stakeholders. </w:t>
      </w:r>
      <w:r>
        <w:rPr>
          <w:i/>
          <w:color w:val="000000"/>
          <w:highlight w:val="white"/>
        </w:rPr>
        <w:t>Journal of cleaner production</w:t>
      </w:r>
      <w:r>
        <w:rPr>
          <w:color w:val="000000"/>
          <w:highlight w:val="white"/>
        </w:rPr>
        <w:t xml:space="preserve">, </w:t>
      </w:r>
      <w:r>
        <w:rPr>
          <w:i/>
          <w:color w:val="000000"/>
          <w:highlight w:val="white"/>
        </w:rPr>
        <w:t>373</w:t>
      </w:r>
      <w:r>
        <w:rPr>
          <w:color w:val="000000"/>
          <w:highlight w:val="white"/>
        </w:rPr>
        <w:t>, p.133819.</w:t>
      </w:r>
    </w:p>
    <w:p w14:paraId="4CC81118" w14:textId="77777777" w:rsidR="00886778" w:rsidRDefault="00886778">
      <w:pPr>
        <w:rPr>
          <w:color w:val="000000"/>
        </w:rPr>
      </w:pPr>
      <w:r>
        <w:rPr>
          <w:color w:val="000000"/>
        </w:rPr>
        <w:t xml:space="preserve">Jan, J., </w:t>
      </w:r>
      <w:proofErr w:type="spellStart"/>
      <w:r>
        <w:rPr>
          <w:color w:val="000000"/>
        </w:rPr>
        <w:t>Alshare</w:t>
      </w:r>
      <w:proofErr w:type="spellEnd"/>
      <w:r>
        <w:rPr>
          <w:color w:val="000000"/>
        </w:rPr>
        <w:t>, K.A. and Lane, P.L., (2024). Hofstede’s cultural dimensions in technology acceptance models: a meta-analysis. Universal Access in the Information Society, 23(2), pp.717-741.</w:t>
      </w:r>
    </w:p>
    <w:p w14:paraId="3244925F" w14:textId="77777777" w:rsidR="00886778" w:rsidRDefault="00886778">
      <w:pPr>
        <w:rPr>
          <w:color w:val="000000"/>
          <w:highlight w:val="white"/>
        </w:rPr>
      </w:pPr>
      <w:r>
        <w:rPr>
          <w:color w:val="000000"/>
          <w:highlight w:val="white"/>
        </w:rPr>
        <w:t xml:space="preserve">Lee, Y., Chung, J.J.Y., Song, J.Y., Chang, M. and Kim, J., (2021), May. Personalizing ambience and illusionary presence: How people use “study with me” videos to create effective studying environments. In </w:t>
      </w:r>
      <w:r>
        <w:rPr>
          <w:i/>
          <w:color w:val="000000"/>
          <w:highlight w:val="white"/>
        </w:rPr>
        <w:t>Proceedings of the 2021 CHI Conference on Human Factors in Computing Systems</w:t>
      </w:r>
      <w:r>
        <w:rPr>
          <w:color w:val="000000"/>
          <w:highlight w:val="white"/>
        </w:rPr>
        <w:t xml:space="preserve"> (pp. 1-13).</w:t>
      </w:r>
    </w:p>
    <w:p w14:paraId="0BB01963" w14:textId="77777777" w:rsidR="00886778" w:rsidRDefault="00886778">
      <w:pPr>
        <w:rPr>
          <w:color w:val="000000"/>
        </w:rPr>
      </w:pPr>
      <w:proofErr w:type="spellStart"/>
      <w:r>
        <w:rPr>
          <w:color w:val="000000"/>
        </w:rPr>
        <w:t>Lv</w:t>
      </w:r>
      <w:proofErr w:type="spellEnd"/>
      <w:r>
        <w:rPr>
          <w:color w:val="000000"/>
        </w:rPr>
        <w:t>, J., (2020). Transient stability assessment in large-scale power systems based on the sparse single index model. Electric Power Systems Research, 184, p.106291.</w:t>
      </w:r>
    </w:p>
    <w:p w14:paraId="7DCA9A64" w14:textId="77777777" w:rsidR="00886778" w:rsidRDefault="00886778">
      <w:pPr>
        <w:rPr>
          <w:color w:val="222222"/>
          <w:highlight w:val="white"/>
        </w:rPr>
      </w:pPr>
      <w:proofErr w:type="spellStart"/>
      <w:r>
        <w:rPr>
          <w:color w:val="222222"/>
          <w:highlight w:val="white"/>
        </w:rPr>
        <w:t>Mariani</w:t>
      </w:r>
      <w:proofErr w:type="spellEnd"/>
      <w:r>
        <w:rPr>
          <w:color w:val="222222"/>
          <w:highlight w:val="white"/>
        </w:rPr>
        <w:t xml:space="preserve">, M.M., </w:t>
      </w:r>
      <w:proofErr w:type="spellStart"/>
      <w:r>
        <w:rPr>
          <w:color w:val="222222"/>
          <w:highlight w:val="white"/>
        </w:rPr>
        <w:t>Borghi</w:t>
      </w:r>
      <w:proofErr w:type="spellEnd"/>
      <w:r>
        <w:rPr>
          <w:color w:val="222222"/>
          <w:highlight w:val="white"/>
        </w:rPr>
        <w:t xml:space="preserve">, M. and </w:t>
      </w:r>
      <w:proofErr w:type="spellStart"/>
      <w:r>
        <w:rPr>
          <w:color w:val="222222"/>
          <w:highlight w:val="white"/>
        </w:rPr>
        <w:t>Okumus</w:t>
      </w:r>
      <w:proofErr w:type="spellEnd"/>
      <w:r>
        <w:rPr>
          <w:color w:val="222222"/>
          <w:highlight w:val="white"/>
        </w:rPr>
        <w:t xml:space="preserve">, F., (2020). Unravelling the effects of cultural differences in the online appraisal of hospitality and tourism services. </w:t>
      </w:r>
      <w:r>
        <w:rPr>
          <w:i/>
          <w:color w:val="222222"/>
          <w:highlight w:val="white"/>
        </w:rPr>
        <w:t>International Journal of Hospitality Management</w:t>
      </w:r>
      <w:r>
        <w:rPr>
          <w:color w:val="222222"/>
          <w:highlight w:val="white"/>
        </w:rPr>
        <w:t xml:space="preserve">, </w:t>
      </w:r>
      <w:r>
        <w:rPr>
          <w:i/>
          <w:color w:val="222222"/>
          <w:highlight w:val="white"/>
        </w:rPr>
        <w:t>90</w:t>
      </w:r>
      <w:r>
        <w:rPr>
          <w:color w:val="222222"/>
          <w:highlight w:val="white"/>
        </w:rPr>
        <w:t>, p.102606.</w:t>
      </w:r>
    </w:p>
    <w:p w14:paraId="6091EDB4" w14:textId="77777777" w:rsidR="00886778" w:rsidRDefault="00886778">
      <w:pPr>
        <w:rPr>
          <w:color w:val="222222"/>
          <w:highlight w:val="white"/>
        </w:rPr>
      </w:pPr>
      <w:proofErr w:type="spellStart"/>
      <w:r>
        <w:rPr>
          <w:color w:val="222222"/>
          <w:highlight w:val="white"/>
        </w:rPr>
        <w:t>Mogea</w:t>
      </w:r>
      <w:proofErr w:type="spellEnd"/>
      <w:r>
        <w:rPr>
          <w:color w:val="222222"/>
          <w:highlight w:val="white"/>
        </w:rPr>
        <w:t xml:space="preserve">, T., (2023). Cross-Cultural Communication Barriers in Organizations. </w:t>
      </w:r>
      <w:r>
        <w:rPr>
          <w:i/>
          <w:color w:val="222222"/>
          <w:highlight w:val="white"/>
        </w:rPr>
        <w:t xml:space="preserve">CENDEKIA: </w:t>
      </w:r>
      <w:proofErr w:type="spellStart"/>
      <w:r>
        <w:rPr>
          <w:i/>
          <w:color w:val="222222"/>
          <w:highlight w:val="white"/>
        </w:rPr>
        <w:t>Jurnal</w:t>
      </w:r>
      <w:proofErr w:type="spellEnd"/>
      <w:r>
        <w:rPr>
          <w:i/>
          <w:color w:val="222222"/>
          <w:highlight w:val="white"/>
        </w:rPr>
        <w:t xml:space="preserve"> </w:t>
      </w:r>
      <w:proofErr w:type="spellStart"/>
      <w:r>
        <w:rPr>
          <w:i/>
          <w:color w:val="222222"/>
          <w:highlight w:val="white"/>
        </w:rPr>
        <w:t>Ilmu</w:t>
      </w:r>
      <w:proofErr w:type="spellEnd"/>
      <w:r>
        <w:rPr>
          <w:i/>
          <w:color w:val="222222"/>
          <w:highlight w:val="white"/>
        </w:rPr>
        <w:t xml:space="preserve"> Sosial, Bahasa dan Pendidikan</w:t>
      </w:r>
      <w:r>
        <w:rPr>
          <w:color w:val="222222"/>
          <w:highlight w:val="white"/>
        </w:rPr>
        <w:t xml:space="preserve">, </w:t>
      </w:r>
      <w:r>
        <w:rPr>
          <w:i/>
          <w:color w:val="222222"/>
          <w:highlight w:val="white"/>
        </w:rPr>
        <w:t>3</w:t>
      </w:r>
      <w:r>
        <w:rPr>
          <w:color w:val="222222"/>
          <w:highlight w:val="white"/>
        </w:rPr>
        <w:t>(2), pp.20-33.</w:t>
      </w:r>
    </w:p>
    <w:p w14:paraId="59590A80" w14:textId="77777777" w:rsidR="00886778" w:rsidRDefault="00886778">
      <w:pPr>
        <w:rPr>
          <w:color w:val="000000"/>
          <w:highlight w:val="white"/>
        </w:rPr>
      </w:pPr>
      <w:r>
        <w:rPr>
          <w:color w:val="000000"/>
          <w:highlight w:val="white"/>
        </w:rPr>
        <w:t xml:space="preserve">Nguyen, M.H. and Jones, T.E., (2022). Building eco-surplus culture among urban residents as a novel strategy to improve finance for conservation in protected areas. </w:t>
      </w:r>
      <w:r>
        <w:rPr>
          <w:i/>
          <w:color w:val="000000"/>
          <w:highlight w:val="white"/>
        </w:rPr>
        <w:t>Humanities and Social Sciences Communications</w:t>
      </w:r>
      <w:r>
        <w:rPr>
          <w:color w:val="000000"/>
          <w:highlight w:val="white"/>
        </w:rPr>
        <w:t xml:space="preserve">, </w:t>
      </w:r>
      <w:r>
        <w:rPr>
          <w:i/>
          <w:color w:val="000000"/>
          <w:highlight w:val="white"/>
        </w:rPr>
        <w:t>9</w:t>
      </w:r>
      <w:r>
        <w:rPr>
          <w:color w:val="000000"/>
          <w:highlight w:val="white"/>
        </w:rPr>
        <w:t>(1), pp.1-15.</w:t>
      </w:r>
    </w:p>
    <w:p w14:paraId="47F4B0DC" w14:textId="77777777" w:rsidR="00886778" w:rsidRDefault="00886778">
      <w:pPr>
        <w:rPr>
          <w:color w:val="000000"/>
        </w:rPr>
      </w:pPr>
      <w:r>
        <w:rPr>
          <w:color w:val="000000"/>
        </w:rPr>
        <w:lastRenderedPageBreak/>
        <w:t xml:space="preserve">Oh, C.H. and </w:t>
      </w:r>
      <w:proofErr w:type="spellStart"/>
      <w:r>
        <w:rPr>
          <w:color w:val="000000"/>
        </w:rPr>
        <w:t>Oetzel</w:t>
      </w:r>
      <w:proofErr w:type="spellEnd"/>
      <w:r>
        <w:rPr>
          <w:color w:val="000000"/>
        </w:rPr>
        <w:t>, J., (2022). Multinational enterprises and natural disasters: Challenges and opportunities for IB research. Journal of International Business Studies, 53(2), p.231.</w:t>
      </w:r>
    </w:p>
    <w:p w14:paraId="1131B207" w14:textId="77777777" w:rsidR="00886778" w:rsidRDefault="00886778">
      <w:pPr>
        <w:rPr>
          <w:color w:val="000000"/>
        </w:rPr>
      </w:pPr>
      <w:r>
        <w:rPr>
          <w:color w:val="000000"/>
        </w:rPr>
        <w:t xml:space="preserve">sainsburys.co.uk. (2024). </w:t>
      </w:r>
      <w:r>
        <w:rPr>
          <w:i/>
          <w:color w:val="000000"/>
        </w:rPr>
        <w:t>About the company</w:t>
      </w:r>
      <w:r>
        <w:rPr>
          <w:color w:val="000000"/>
        </w:rPr>
        <w:t>.  Available at: https://www.sainsburys.co.uk/ [Accessed on: 28th October 2024]</w:t>
      </w:r>
    </w:p>
    <w:p w14:paraId="3A8782AC" w14:textId="77777777" w:rsidR="00886778" w:rsidRDefault="00886778">
      <w:pPr>
        <w:rPr>
          <w:color w:val="000000"/>
          <w:highlight w:val="white"/>
        </w:rPr>
      </w:pPr>
      <w:proofErr w:type="spellStart"/>
      <w:r>
        <w:rPr>
          <w:color w:val="000000"/>
          <w:highlight w:val="white"/>
        </w:rPr>
        <w:t>Setiady</w:t>
      </w:r>
      <w:proofErr w:type="spellEnd"/>
      <w:r>
        <w:rPr>
          <w:color w:val="000000"/>
          <w:highlight w:val="white"/>
        </w:rPr>
        <w:t xml:space="preserve">, A. and Razali, G., (2023). The Role of Volunteers in Communication Strategies to Mitigate Residential Fires in Sector VII </w:t>
      </w:r>
      <w:proofErr w:type="spellStart"/>
      <w:r>
        <w:rPr>
          <w:color w:val="000000"/>
          <w:highlight w:val="white"/>
        </w:rPr>
        <w:t>Setiabudi</w:t>
      </w:r>
      <w:proofErr w:type="spellEnd"/>
      <w:r>
        <w:rPr>
          <w:color w:val="000000"/>
          <w:highlight w:val="white"/>
        </w:rPr>
        <w:t xml:space="preserve">, South Jakarta City. </w:t>
      </w:r>
      <w:proofErr w:type="spellStart"/>
      <w:r>
        <w:rPr>
          <w:i/>
          <w:color w:val="000000"/>
          <w:highlight w:val="white"/>
        </w:rPr>
        <w:t>Digicommtive</w:t>
      </w:r>
      <w:proofErr w:type="spellEnd"/>
      <w:r>
        <w:rPr>
          <w:i/>
          <w:color w:val="000000"/>
          <w:highlight w:val="white"/>
        </w:rPr>
        <w:t xml:space="preserve">: </w:t>
      </w:r>
      <w:proofErr w:type="spellStart"/>
      <w:r>
        <w:rPr>
          <w:i/>
          <w:color w:val="000000"/>
          <w:highlight w:val="white"/>
        </w:rPr>
        <w:t>Jurnal</w:t>
      </w:r>
      <w:proofErr w:type="spellEnd"/>
      <w:r>
        <w:rPr>
          <w:i/>
          <w:color w:val="000000"/>
          <w:highlight w:val="white"/>
        </w:rPr>
        <w:t xml:space="preserve"> of Communication Creative Studies, and Digital Culture</w:t>
      </w:r>
      <w:r>
        <w:rPr>
          <w:color w:val="000000"/>
          <w:highlight w:val="white"/>
        </w:rPr>
        <w:t xml:space="preserve">, </w:t>
      </w:r>
      <w:r>
        <w:rPr>
          <w:i/>
          <w:color w:val="000000"/>
          <w:highlight w:val="white"/>
        </w:rPr>
        <w:t>1</w:t>
      </w:r>
      <w:r>
        <w:rPr>
          <w:color w:val="000000"/>
          <w:highlight w:val="white"/>
        </w:rPr>
        <w:t>(1), pp.82-96.</w:t>
      </w:r>
    </w:p>
    <w:p w14:paraId="7BACC8F0" w14:textId="77777777" w:rsidR="00886778" w:rsidRDefault="00886778">
      <w:pPr>
        <w:rPr>
          <w:color w:val="000000"/>
        </w:rPr>
      </w:pPr>
      <w:r>
        <w:rPr>
          <w:color w:val="000000"/>
        </w:rPr>
        <w:t>Shi, Y., Gregg, A.P., Sedikides, C. and Cai, H., (2021). Lay conceptions of modesty in China: A prototype approach. Journal of Cross-Cultural Psychology, 52(2), pp.155-177.</w:t>
      </w:r>
    </w:p>
    <w:p w14:paraId="2EA591D4" w14:textId="77777777" w:rsidR="00886778" w:rsidRDefault="00886778">
      <w:pPr>
        <w:rPr>
          <w:color w:val="000000"/>
          <w:highlight w:val="white"/>
        </w:rPr>
      </w:pPr>
      <w:proofErr w:type="spellStart"/>
      <w:r>
        <w:rPr>
          <w:color w:val="000000"/>
          <w:highlight w:val="white"/>
        </w:rPr>
        <w:t>Soyibjonovich</w:t>
      </w:r>
      <w:proofErr w:type="spellEnd"/>
      <w:r>
        <w:rPr>
          <w:color w:val="000000"/>
          <w:highlight w:val="white"/>
        </w:rPr>
        <w:t xml:space="preserve">, I.K. and </w:t>
      </w:r>
      <w:proofErr w:type="spellStart"/>
      <w:r>
        <w:rPr>
          <w:color w:val="000000"/>
          <w:highlight w:val="white"/>
        </w:rPr>
        <w:t>Qutbiddinovich</w:t>
      </w:r>
      <w:proofErr w:type="spellEnd"/>
      <w:r>
        <w:rPr>
          <w:color w:val="000000"/>
          <w:highlight w:val="white"/>
        </w:rPr>
        <w:t xml:space="preserve">, K.S., (2022). QUESTIONS OF FURTHER IMPROVEMENT OF THE BUSINESS MANAGEMENT SYSTEM. </w:t>
      </w:r>
      <w:r>
        <w:rPr>
          <w:i/>
          <w:color w:val="000000"/>
          <w:highlight w:val="white"/>
        </w:rPr>
        <w:t>World Economics and Finance Bulletin</w:t>
      </w:r>
      <w:r>
        <w:rPr>
          <w:color w:val="000000"/>
          <w:highlight w:val="white"/>
        </w:rPr>
        <w:t xml:space="preserve">, </w:t>
      </w:r>
      <w:r>
        <w:rPr>
          <w:i/>
          <w:color w:val="000000"/>
          <w:highlight w:val="white"/>
        </w:rPr>
        <w:t>9</w:t>
      </w:r>
      <w:r>
        <w:rPr>
          <w:color w:val="000000"/>
          <w:highlight w:val="white"/>
        </w:rPr>
        <w:t>, pp.112-124.</w:t>
      </w:r>
    </w:p>
    <w:p w14:paraId="20D8488F" w14:textId="77777777" w:rsidR="00886778" w:rsidRDefault="00886778">
      <w:pPr>
        <w:rPr>
          <w:color w:val="000000"/>
        </w:rPr>
      </w:pPr>
      <w:r>
        <w:rPr>
          <w:color w:val="000000"/>
        </w:rPr>
        <w:t xml:space="preserve">theculturefactor.com (2024) </w:t>
      </w:r>
      <w:r>
        <w:rPr>
          <w:i/>
          <w:color w:val="000000"/>
        </w:rPr>
        <w:t>Country Comparison Tool.</w:t>
      </w:r>
      <w:r>
        <w:rPr>
          <w:color w:val="000000"/>
        </w:rPr>
        <w:t xml:space="preserve"> Available at: https://www.theculturefactor.com/country-comparison-tool?countries=japan%2Cunited+kingdom [Accessed on 28th October 2024]</w:t>
      </w:r>
    </w:p>
    <w:p w14:paraId="246467EC" w14:textId="77777777" w:rsidR="00886778" w:rsidRDefault="00886778">
      <w:pPr>
        <w:rPr>
          <w:color w:val="000000"/>
        </w:rPr>
      </w:pPr>
      <w:proofErr w:type="spellStart"/>
      <w:r>
        <w:rPr>
          <w:color w:val="000000"/>
        </w:rPr>
        <w:t>Tursunovich</w:t>
      </w:r>
      <w:proofErr w:type="spellEnd"/>
      <w:r>
        <w:rPr>
          <w:color w:val="000000"/>
        </w:rPr>
        <w:t xml:space="preserve">, R.I., (2022), November. The Significance </w:t>
      </w:r>
      <w:proofErr w:type="gramStart"/>
      <w:r>
        <w:rPr>
          <w:color w:val="000000"/>
        </w:rPr>
        <w:t>Of</w:t>
      </w:r>
      <w:proofErr w:type="gramEnd"/>
      <w:r>
        <w:rPr>
          <w:color w:val="000000"/>
        </w:rPr>
        <w:t xml:space="preserve"> Pragmatic Appropriateness in ESL Culture. In Proceedings of Scientific Conference on Multidisciplinary Studies (Vol. 1, No. 2, pp. 157-160).</w:t>
      </w:r>
    </w:p>
    <w:p w14:paraId="3AF397A2" w14:textId="77777777" w:rsidR="00886778" w:rsidRDefault="00886778">
      <w:pPr>
        <w:rPr>
          <w:color w:val="000000"/>
          <w:highlight w:val="white"/>
        </w:rPr>
      </w:pPr>
      <w:r>
        <w:rPr>
          <w:color w:val="000000"/>
          <w:highlight w:val="white"/>
        </w:rPr>
        <w:t xml:space="preserve">Zhou, Q., </w:t>
      </w:r>
      <w:proofErr w:type="spellStart"/>
      <w:r>
        <w:rPr>
          <w:color w:val="000000"/>
          <w:highlight w:val="white"/>
        </w:rPr>
        <w:t>Shahidehpour</w:t>
      </w:r>
      <w:proofErr w:type="spellEnd"/>
      <w:r>
        <w:rPr>
          <w:color w:val="000000"/>
          <w:highlight w:val="white"/>
        </w:rPr>
        <w:t xml:space="preserve">, M., </w:t>
      </w:r>
      <w:proofErr w:type="spellStart"/>
      <w:r>
        <w:rPr>
          <w:color w:val="000000"/>
          <w:highlight w:val="white"/>
        </w:rPr>
        <w:t>Paaso</w:t>
      </w:r>
      <w:proofErr w:type="spellEnd"/>
      <w:r>
        <w:rPr>
          <w:color w:val="000000"/>
          <w:highlight w:val="white"/>
        </w:rPr>
        <w:t xml:space="preserve">, A., </w:t>
      </w:r>
      <w:proofErr w:type="spellStart"/>
      <w:r>
        <w:rPr>
          <w:color w:val="000000"/>
          <w:highlight w:val="white"/>
        </w:rPr>
        <w:t>Bahramirad</w:t>
      </w:r>
      <w:proofErr w:type="spellEnd"/>
      <w:r>
        <w:rPr>
          <w:color w:val="000000"/>
          <w:highlight w:val="white"/>
        </w:rPr>
        <w:t xml:space="preserve">, S., </w:t>
      </w:r>
      <w:proofErr w:type="spellStart"/>
      <w:r>
        <w:rPr>
          <w:color w:val="000000"/>
          <w:highlight w:val="white"/>
        </w:rPr>
        <w:t>Alabdulwahab</w:t>
      </w:r>
      <w:proofErr w:type="spellEnd"/>
      <w:r>
        <w:rPr>
          <w:color w:val="000000"/>
          <w:highlight w:val="white"/>
        </w:rPr>
        <w:t xml:space="preserve">, A. and </w:t>
      </w:r>
      <w:proofErr w:type="spellStart"/>
      <w:r>
        <w:rPr>
          <w:color w:val="000000"/>
          <w:highlight w:val="white"/>
        </w:rPr>
        <w:t>Abusorrah</w:t>
      </w:r>
      <w:proofErr w:type="spellEnd"/>
      <w:r>
        <w:rPr>
          <w:color w:val="000000"/>
          <w:highlight w:val="white"/>
        </w:rPr>
        <w:t xml:space="preserve">, A., (2020). Distributed control and communication strategies in networked microgrids. </w:t>
      </w:r>
      <w:r>
        <w:rPr>
          <w:i/>
          <w:color w:val="000000"/>
          <w:highlight w:val="white"/>
        </w:rPr>
        <w:t>IEEE Communications Surveys &amp; Tutorials</w:t>
      </w:r>
      <w:r>
        <w:rPr>
          <w:color w:val="000000"/>
          <w:highlight w:val="white"/>
        </w:rPr>
        <w:t xml:space="preserve">, </w:t>
      </w:r>
      <w:r>
        <w:rPr>
          <w:i/>
          <w:color w:val="000000"/>
          <w:highlight w:val="white"/>
        </w:rPr>
        <w:t>22</w:t>
      </w:r>
      <w:r>
        <w:rPr>
          <w:color w:val="000000"/>
          <w:highlight w:val="white"/>
        </w:rPr>
        <w:t>(4), pp.2586-2633.</w:t>
      </w:r>
    </w:p>
    <w:sectPr w:rsidR="0088677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50876" w14:textId="77777777" w:rsidR="00BB0C65" w:rsidRDefault="00BB0C65">
      <w:pPr>
        <w:spacing w:line="240" w:lineRule="auto"/>
      </w:pPr>
      <w:r>
        <w:separator/>
      </w:r>
    </w:p>
  </w:endnote>
  <w:endnote w:type="continuationSeparator" w:id="0">
    <w:p w14:paraId="325B6A6C" w14:textId="77777777" w:rsidR="00BB0C65" w:rsidRDefault="00BB0C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2EEBC" w14:textId="77777777" w:rsidR="001C0A41" w:rsidRDefault="00AF5D5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86778">
      <w:rPr>
        <w:noProof/>
        <w:color w:val="000000"/>
      </w:rPr>
      <w:t>1</w:t>
    </w:r>
    <w:r>
      <w:rPr>
        <w:color w:val="000000"/>
      </w:rPr>
      <w:fldChar w:fldCharType="end"/>
    </w:r>
  </w:p>
  <w:p w14:paraId="3A0D533A" w14:textId="77777777" w:rsidR="001C0A41" w:rsidRDefault="001C0A4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06665" w14:textId="77777777" w:rsidR="00BB0C65" w:rsidRDefault="00BB0C65">
      <w:pPr>
        <w:spacing w:line="240" w:lineRule="auto"/>
      </w:pPr>
      <w:r>
        <w:separator/>
      </w:r>
    </w:p>
  </w:footnote>
  <w:footnote w:type="continuationSeparator" w:id="0">
    <w:p w14:paraId="0EB52D14" w14:textId="77777777" w:rsidR="00BB0C65" w:rsidRDefault="00BB0C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0A41"/>
    <w:rsid w:val="00063313"/>
    <w:rsid w:val="001A38E4"/>
    <w:rsid w:val="001C0A41"/>
    <w:rsid w:val="003F0D39"/>
    <w:rsid w:val="004306D3"/>
    <w:rsid w:val="004753A8"/>
    <w:rsid w:val="00494DB1"/>
    <w:rsid w:val="00537DEC"/>
    <w:rsid w:val="00595BE6"/>
    <w:rsid w:val="007F7DE7"/>
    <w:rsid w:val="00886778"/>
    <w:rsid w:val="00AB499C"/>
    <w:rsid w:val="00AF5D59"/>
    <w:rsid w:val="00B06161"/>
    <w:rsid w:val="00BB0C65"/>
    <w:rsid w:val="00EC6F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2AE26"/>
  <w15:docId w15:val="{AE08AECC-623E-4061-BD62-01CBA24B9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43D99"/>
    <w:pPr>
      <w:tabs>
        <w:tab w:val="center" w:pos="4680"/>
        <w:tab w:val="right" w:pos="9360"/>
      </w:tabs>
      <w:spacing w:line="240" w:lineRule="auto"/>
    </w:pPr>
  </w:style>
  <w:style w:type="character" w:customStyle="1" w:styleId="HeaderChar">
    <w:name w:val="Header Char"/>
    <w:basedOn w:val="DefaultParagraphFont"/>
    <w:link w:val="Header"/>
    <w:uiPriority w:val="99"/>
    <w:rsid w:val="00143D99"/>
  </w:style>
  <w:style w:type="paragraph" w:styleId="Footer">
    <w:name w:val="footer"/>
    <w:basedOn w:val="Normal"/>
    <w:link w:val="FooterChar"/>
    <w:uiPriority w:val="99"/>
    <w:unhideWhenUsed/>
    <w:rsid w:val="00143D99"/>
    <w:pPr>
      <w:tabs>
        <w:tab w:val="center" w:pos="4680"/>
        <w:tab w:val="right" w:pos="9360"/>
      </w:tabs>
      <w:spacing w:line="240" w:lineRule="auto"/>
    </w:pPr>
  </w:style>
  <w:style w:type="character" w:customStyle="1" w:styleId="FooterChar">
    <w:name w:val="Footer Char"/>
    <w:basedOn w:val="DefaultParagraphFont"/>
    <w:link w:val="Footer"/>
    <w:uiPriority w:val="99"/>
    <w:rsid w:val="00143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xEcrqfymZjxCkyMbdVAY9XsIGQ==">CgMxLjA4AHIhMVVGWmNidDdQVklKT1R1MHRDS19vR2s5eG5XRE1TSzly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3004</Words>
  <Characters>17126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Madalina Nicolae</cp:lastModifiedBy>
  <cp:revision>2</cp:revision>
  <dcterms:created xsi:type="dcterms:W3CDTF">2024-11-07T05:59:00Z</dcterms:created>
  <dcterms:modified xsi:type="dcterms:W3CDTF">2024-11-22T19:05:00Z</dcterms:modified>
</cp:coreProperties>
</file>