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0E3B6" w14:textId="32E72E59" w:rsidR="0027227E" w:rsidRDefault="0027227E" w:rsidP="0027227E">
      <w:pPr>
        <w:spacing w:line="240" w:lineRule="auto"/>
        <w:rPr>
          <w:b/>
          <w:bCs/>
          <w:sz w:val="32"/>
          <w:szCs w:val="32"/>
          <w:lang w:val="en-GB"/>
        </w:rPr>
      </w:pPr>
      <w:r>
        <w:rPr>
          <w:rFonts w:ascii="Times New Roman"/>
          <w:noProof/>
          <w:sz w:val="20"/>
        </w:rPr>
        <w:drawing>
          <wp:inline distT="0" distB="0" distL="0" distR="0" wp14:anchorId="69E9E02D" wp14:editId="4C4A0200">
            <wp:extent cx="1816607" cy="637031"/>
            <wp:effectExtent l="0" t="0" r="0" b="0"/>
            <wp:docPr id="121798385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816607" cy="637031"/>
                    </a:xfrm>
                    <a:prstGeom prst="rect">
                      <a:avLst/>
                    </a:prstGeom>
                  </pic:spPr>
                </pic:pic>
              </a:graphicData>
            </a:graphic>
          </wp:inline>
        </w:drawing>
      </w:r>
    </w:p>
    <w:p w14:paraId="4B9DC150" w14:textId="77777777" w:rsidR="0027227E" w:rsidRDefault="0027227E" w:rsidP="0027227E">
      <w:pPr>
        <w:spacing w:line="240" w:lineRule="auto"/>
        <w:rPr>
          <w:b/>
          <w:bCs/>
          <w:sz w:val="32"/>
          <w:szCs w:val="32"/>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569"/>
        <w:gridCol w:w="3702"/>
        <w:gridCol w:w="1859"/>
        <w:gridCol w:w="2220"/>
      </w:tblGrid>
      <w:tr w:rsidR="0027227E" w:rsidRPr="0027227E" w14:paraId="34A9CF67" w14:textId="77777777" w:rsidTr="0027227E">
        <w:trPr>
          <w:trHeight w:val="746"/>
        </w:trPr>
        <w:tc>
          <w:tcPr>
            <w:tcW w:w="839" w:type="pct"/>
          </w:tcPr>
          <w:p w14:paraId="605E0178" w14:textId="77777777" w:rsidR="0027227E" w:rsidRPr="0027227E" w:rsidRDefault="0027227E" w:rsidP="0027227E">
            <w:pPr>
              <w:widowControl w:val="0"/>
              <w:autoSpaceDE w:val="0"/>
              <w:autoSpaceDN w:val="0"/>
              <w:spacing w:before="120" w:line="240" w:lineRule="auto"/>
              <w:ind w:left="107" w:right="647"/>
              <w:rPr>
                <w:rFonts w:eastAsia="Arial MT" w:hAnsi="Arial MT" w:cs="Arial MT"/>
                <w:b/>
                <w:lang w:val="en-US"/>
              </w:rPr>
            </w:pPr>
            <w:r w:rsidRPr="0027227E">
              <w:rPr>
                <w:rFonts w:eastAsia="Arial MT" w:hAnsi="Arial MT" w:cs="Arial MT"/>
                <w:b/>
                <w:spacing w:val="-2"/>
                <w:lang w:val="en-US"/>
              </w:rPr>
              <w:t>Student name:</w:t>
            </w:r>
          </w:p>
        </w:tc>
        <w:tc>
          <w:tcPr>
            <w:tcW w:w="1980" w:type="pct"/>
          </w:tcPr>
          <w:p w14:paraId="21D485D2" w14:textId="77777777" w:rsidR="0027227E" w:rsidRDefault="0027227E" w:rsidP="0027227E">
            <w:pPr>
              <w:widowControl w:val="0"/>
              <w:autoSpaceDE w:val="0"/>
              <w:autoSpaceDN w:val="0"/>
              <w:spacing w:line="240" w:lineRule="auto"/>
              <w:rPr>
                <w:rFonts w:ascii="Times New Roman" w:eastAsia="Arial MT" w:hAnsi="Arial MT" w:cs="Arial MT"/>
                <w:lang w:val="en-US"/>
              </w:rPr>
            </w:pPr>
          </w:p>
          <w:p w14:paraId="116B3E20" w14:textId="255CA6F5" w:rsidR="00E90192" w:rsidRPr="00865C44" w:rsidRDefault="00E90192" w:rsidP="0027227E">
            <w:pPr>
              <w:widowControl w:val="0"/>
              <w:autoSpaceDE w:val="0"/>
              <w:autoSpaceDN w:val="0"/>
              <w:spacing w:line="240" w:lineRule="auto"/>
              <w:rPr>
                <w:rFonts w:ascii="Times New Roman" w:eastAsia="Arial MT" w:hAnsi="Arial MT" w:cs="Arial MT"/>
                <w:b/>
                <w:bCs/>
                <w:lang w:val="en-US"/>
              </w:rPr>
            </w:pPr>
            <w:r>
              <w:rPr>
                <w:rFonts w:ascii="Times New Roman" w:eastAsia="Arial MT" w:hAnsi="Arial MT" w:cs="Arial MT"/>
                <w:lang w:val="en-US"/>
              </w:rPr>
              <w:t xml:space="preserve"> </w:t>
            </w:r>
            <w:proofErr w:type="spellStart"/>
            <w:r w:rsidRPr="00865C44">
              <w:rPr>
                <w:rFonts w:ascii="Times New Roman" w:eastAsia="Arial MT" w:hAnsi="Arial MT" w:cs="Arial MT"/>
                <w:b/>
                <w:bCs/>
                <w:lang w:val="en-US"/>
              </w:rPr>
              <w:t>Kaushal</w:t>
            </w:r>
            <w:proofErr w:type="spellEnd"/>
            <w:r w:rsidRPr="00865C44">
              <w:rPr>
                <w:rFonts w:ascii="Times New Roman" w:eastAsia="Arial MT" w:hAnsi="Arial MT" w:cs="Arial MT"/>
                <w:b/>
                <w:bCs/>
                <w:lang w:val="en-US"/>
              </w:rPr>
              <w:t xml:space="preserve"> </w:t>
            </w:r>
            <w:proofErr w:type="spellStart"/>
            <w:r w:rsidRPr="00865C44">
              <w:rPr>
                <w:rFonts w:ascii="Times New Roman" w:eastAsia="Arial MT" w:hAnsi="Arial MT" w:cs="Arial MT"/>
                <w:b/>
                <w:bCs/>
                <w:lang w:val="en-US"/>
              </w:rPr>
              <w:t>Prajapati</w:t>
            </w:r>
            <w:proofErr w:type="spellEnd"/>
            <w:r w:rsidRPr="00865C44">
              <w:rPr>
                <w:rFonts w:ascii="Times New Roman" w:eastAsia="Arial MT" w:hAnsi="Arial MT" w:cs="Arial MT"/>
                <w:b/>
                <w:bCs/>
                <w:lang w:val="en-US"/>
              </w:rPr>
              <w:t xml:space="preserve"> </w:t>
            </w:r>
          </w:p>
        </w:tc>
        <w:tc>
          <w:tcPr>
            <w:tcW w:w="994" w:type="pct"/>
            <w:shd w:val="clear" w:color="auto" w:fill="D8D8D8"/>
          </w:tcPr>
          <w:p w14:paraId="5A3B09D2" w14:textId="77777777" w:rsidR="0027227E" w:rsidRPr="0027227E" w:rsidRDefault="0027227E" w:rsidP="0027227E">
            <w:pPr>
              <w:widowControl w:val="0"/>
              <w:autoSpaceDE w:val="0"/>
              <w:autoSpaceDN w:val="0"/>
              <w:spacing w:before="120" w:line="240" w:lineRule="auto"/>
              <w:ind w:left="107"/>
              <w:rPr>
                <w:rFonts w:eastAsia="Arial MT" w:hAnsi="Arial MT" w:cs="Arial MT"/>
                <w:b/>
                <w:lang w:val="en-US"/>
              </w:rPr>
            </w:pPr>
            <w:r w:rsidRPr="0027227E">
              <w:rPr>
                <w:rFonts w:eastAsia="Arial MT" w:hAnsi="Arial MT" w:cs="Arial MT"/>
                <w:b/>
                <w:lang w:val="en-US"/>
              </w:rPr>
              <w:t>Student</w:t>
            </w:r>
            <w:r w:rsidRPr="0027227E">
              <w:rPr>
                <w:rFonts w:eastAsia="Arial MT" w:hAnsi="Arial MT" w:cs="Arial MT"/>
                <w:b/>
                <w:spacing w:val="-16"/>
                <w:lang w:val="en-US"/>
              </w:rPr>
              <w:t xml:space="preserve"> </w:t>
            </w:r>
            <w:r w:rsidRPr="0027227E">
              <w:rPr>
                <w:rFonts w:eastAsia="Arial MT" w:hAnsi="Arial MT" w:cs="Arial MT"/>
                <w:b/>
                <w:lang w:val="en-US"/>
              </w:rPr>
              <w:t xml:space="preserve">ID </w:t>
            </w:r>
            <w:r w:rsidRPr="0027227E">
              <w:rPr>
                <w:rFonts w:eastAsia="Arial MT" w:hAnsi="Arial MT" w:cs="Arial MT"/>
                <w:b/>
                <w:spacing w:val="-2"/>
                <w:lang w:val="en-US"/>
              </w:rPr>
              <w:t>number:</w:t>
            </w:r>
          </w:p>
        </w:tc>
        <w:tc>
          <w:tcPr>
            <w:tcW w:w="1187" w:type="pct"/>
          </w:tcPr>
          <w:p w14:paraId="37313F70" w14:textId="77777777" w:rsidR="0027227E" w:rsidRDefault="0027227E" w:rsidP="0027227E">
            <w:pPr>
              <w:widowControl w:val="0"/>
              <w:autoSpaceDE w:val="0"/>
              <w:autoSpaceDN w:val="0"/>
              <w:spacing w:line="240" w:lineRule="auto"/>
              <w:rPr>
                <w:rFonts w:ascii="Times New Roman" w:eastAsia="Arial MT" w:hAnsi="Arial MT" w:cs="Arial MT"/>
                <w:lang w:val="en-US"/>
              </w:rPr>
            </w:pPr>
          </w:p>
          <w:p w14:paraId="25F49FF9" w14:textId="6212A5E4" w:rsidR="00865C44" w:rsidRPr="00865C44" w:rsidRDefault="00865C44" w:rsidP="0027227E">
            <w:pPr>
              <w:widowControl w:val="0"/>
              <w:autoSpaceDE w:val="0"/>
              <w:autoSpaceDN w:val="0"/>
              <w:spacing w:line="240" w:lineRule="auto"/>
              <w:rPr>
                <w:rFonts w:ascii="Times New Roman" w:eastAsia="Arial MT" w:hAnsi="Arial MT" w:cs="Arial MT"/>
                <w:b/>
                <w:bCs/>
                <w:lang w:val="en-US"/>
              </w:rPr>
            </w:pPr>
            <w:r>
              <w:rPr>
                <w:rFonts w:ascii="Times New Roman" w:eastAsia="Arial MT" w:hAnsi="Arial MT" w:cs="Arial MT"/>
                <w:lang w:val="en-US"/>
              </w:rPr>
              <w:t xml:space="preserve"> </w:t>
            </w:r>
            <w:r w:rsidRPr="00865C44">
              <w:rPr>
                <w:rFonts w:ascii="Times New Roman" w:eastAsia="Arial MT" w:hAnsi="Arial MT" w:cs="Arial MT"/>
                <w:b/>
                <w:bCs/>
                <w:lang w:val="en-US"/>
              </w:rPr>
              <w:t>2531730</w:t>
            </w:r>
          </w:p>
        </w:tc>
      </w:tr>
      <w:tr w:rsidR="0027227E" w:rsidRPr="0027227E" w14:paraId="20953D55" w14:textId="77777777" w:rsidTr="0027227E">
        <w:trPr>
          <w:trHeight w:val="494"/>
        </w:trPr>
        <w:tc>
          <w:tcPr>
            <w:tcW w:w="839" w:type="pct"/>
          </w:tcPr>
          <w:p w14:paraId="718661E1" w14:textId="77777777" w:rsidR="0027227E" w:rsidRPr="0027227E" w:rsidRDefault="0027227E" w:rsidP="0027227E">
            <w:pPr>
              <w:widowControl w:val="0"/>
              <w:autoSpaceDE w:val="0"/>
              <w:autoSpaceDN w:val="0"/>
              <w:spacing w:before="120" w:line="240" w:lineRule="auto"/>
              <w:ind w:left="107"/>
              <w:rPr>
                <w:rFonts w:eastAsia="Arial MT" w:hAnsi="Arial MT" w:cs="Arial MT"/>
                <w:b/>
                <w:lang w:val="en-US"/>
              </w:rPr>
            </w:pPr>
            <w:r w:rsidRPr="0027227E">
              <w:rPr>
                <w:rFonts w:eastAsia="Arial MT" w:hAnsi="Arial MT" w:cs="Arial MT"/>
                <w:b/>
                <w:spacing w:val="-2"/>
                <w:lang w:val="en-US"/>
              </w:rPr>
              <w:t>Programme:</w:t>
            </w:r>
          </w:p>
        </w:tc>
        <w:tc>
          <w:tcPr>
            <w:tcW w:w="4161" w:type="pct"/>
            <w:gridSpan w:val="3"/>
          </w:tcPr>
          <w:p w14:paraId="4B65EF2C" w14:textId="77777777" w:rsidR="0027227E" w:rsidRPr="0027227E" w:rsidRDefault="0027227E" w:rsidP="0027227E">
            <w:pPr>
              <w:widowControl w:val="0"/>
              <w:autoSpaceDE w:val="0"/>
              <w:autoSpaceDN w:val="0"/>
              <w:spacing w:before="120" w:line="240" w:lineRule="auto"/>
              <w:ind w:left="107"/>
              <w:rPr>
                <w:rFonts w:eastAsia="Arial MT" w:hAnsi="Arial MT" w:cs="Arial MT"/>
                <w:b/>
                <w:lang w:val="en-US"/>
              </w:rPr>
            </w:pPr>
            <w:r w:rsidRPr="0027227E">
              <w:rPr>
                <w:rFonts w:eastAsia="Arial MT" w:hAnsi="Arial MT" w:cs="Arial MT"/>
                <w:b/>
                <w:lang w:val="en-US"/>
              </w:rPr>
              <w:t>Master</w:t>
            </w:r>
            <w:r w:rsidRPr="0027227E">
              <w:rPr>
                <w:rFonts w:eastAsia="Arial MT" w:hAnsi="Arial MT" w:cs="Arial MT"/>
                <w:b/>
                <w:spacing w:val="-4"/>
                <w:lang w:val="en-US"/>
              </w:rPr>
              <w:t xml:space="preserve"> </w:t>
            </w:r>
            <w:r w:rsidRPr="0027227E">
              <w:rPr>
                <w:rFonts w:eastAsia="Arial MT" w:hAnsi="Arial MT" w:cs="Arial MT"/>
                <w:b/>
                <w:lang w:val="en-US"/>
              </w:rPr>
              <w:t>of</w:t>
            </w:r>
            <w:r w:rsidRPr="0027227E">
              <w:rPr>
                <w:rFonts w:eastAsia="Arial MT" w:hAnsi="Arial MT" w:cs="Arial MT"/>
                <w:b/>
                <w:spacing w:val="-4"/>
                <w:lang w:val="en-US"/>
              </w:rPr>
              <w:t xml:space="preserve"> </w:t>
            </w:r>
            <w:r w:rsidRPr="0027227E">
              <w:rPr>
                <w:rFonts w:eastAsia="Arial MT" w:hAnsi="Arial MT" w:cs="Arial MT"/>
                <w:b/>
                <w:lang w:val="en-US"/>
              </w:rPr>
              <w:t>Business</w:t>
            </w:r>
            <w:r w:rsidRPr="0027227E">
              <w:rPr>
                <w:rFonts w:eastAsia="Arial MT" w:hAnsi="Arial MT" w:cs="Arial MT"/>
                <w:b/>
                <w:spacing w:val="-4"/>
                <w:lang w:val="en-US"/>
              </w:rPr>
              <w:t xml:space="preserve"> </w:t>
            </w:r>
            <w:r w:rsidRPr="0027227E">
              <w:rPr>
                <w:rFonts w:eastAsia="Arial MT" w:hAnsi="Arial MT" w:cs="Arial MT"/>
                <w:b/>
                <w:spacing w:val="-2"/>
                <w:lang w:val="en-US"/>
              </w:rPr>
              <w:t>Administration</w:t>
            </w:r>
          </w:p>
        </w:tc>
      </w:tr>
      <w:tr w:rsidR="0027227E" w:rsidRPr="0027227E" w14:paraId="6AF61771" w14:textId="77777777" w:rsidTr="0027227E">
        <w:trPr>
          <w:trHeight w:val="491"/>
        </w:trPr>
        <w:tc>
          <w:tcPr>
            <w:tcW w:w="839" w:type="pct"/>
          </w:tcPr>
          <w:p w14:paraId="185EB142" w14:textId="77777777" w:rsidR="0027227E" w:rsidRPr="0027227E" w:rsidRDefault="0027227E" w:rsidP="0027227E">
            <w:pPr>
              <w:widowControl w:val="0"/>
              <w:autoSpaceDE w:val="0"/>
              <w:autoSpaceDN w:val="0"/>
              <w:spacing w:before="120" w:line="240" w:lineRule="auto"/>
              <w:ind w:left="107"/>
              <w:rPr>
                <w:rFonts w:eastAsia="Arial MT" w:hAnsi="Arial MT" w:cs="Arial MT"/>
                <w:b/>
                <w:lang w:val="en-US"/>
              </w:rPr>
            </w:pPr>
            <w:r w:rsidRPr="0027227E">
              <w:rPr>
                <w:rFonts w:eastAsia="Arial MT" w:hAnsi="Arial MT" w:cs="Arial MT"/>
                <w:b/>
                <w:spacing w:val="-2"/>
                <w:lang w:val="en-US"/>
              </w:rPr>
              <w:t>Module:</w:t>
            </w:r>
          </w:p>
        </w:tc>
        <w:tc>
          <w:tcPr>
            <w:tcW w:w="4161" w:type="pct"/>
            <w:gridSpan w:val="3"/>
          </w:tcPr>
          <w:p w14:paraId="03C3007B" w14:textId="77777777" w:rsidR="0027227E" w:rsidRPr="0027227E" w:rsidRDefault="0027227E" w:rsidP="0027227E">
            <w:pPr>
              <w:widowControl w:val="0"/>
              <w:autoSpaceDE w:val="0"/>
              <w:autoSpaceDN w:val="0"/>
              <w:spacing w:before="120" w:line="240" w:lineRule="auto"/>
              <w:ind w:left="106"/>
              <w:rPr>
                <w:rFonts w:eastAsia="Arial MT" w:hAnsi="Arial MT" w:cs="Arial MT"/>
                <w:b/>
                <w:lang w:val="en-US"/>
              </w:rPr>
            </w:pPr>
            <w:r w:rsidRPr="0027227E">
              <w:rPr>
                <w:rFonts w:eastAsia="Arial MT" w:hAnsi="Arial MT" w:cs="Arial MT"/>
                <w:b/>
                <w:lang w:val="en-US"/>
              </w:rPr>
              <w:t>International</w:t>
            </w:r>
            <w:r w:rsidRPr="0027227E">
              <w:rPr>
                <w:rFonts w:eastAsia="Arial MT" w:hAnsi="Arial MT" w:cs="Arial MT"/>
                <w:b/>
                <w:spacing w:val="-5"/>
                <w:lang w:val="en-US"/>
              </w:rPr>
              <w:t xml:space="preserve"> </w:t>
            </w:r>
            <w:r w:rsidRPr="0027227E">
              <w:rPr>
                <w:rFonts w:eastAsia="Arial MT" w:hAnsi="Arial MT" w:cs="Arial MT"/>
                <w:b/>
                <w:lang w:val="en-US"/>
              </w:rPr>
              <w:t>Marketing:</w:t>
            </w:r>
            <w:r w:rsidRPr="0027227E">
              <w:rPr>
                <w:rFonts w:eastAsia="Arial MT" w:hAnsi="Arial MT" w:cs="Arial MT"/>
                <w:b/>
                <w:spacing w:val="-4"/>
                <w:lang w:val="en-US"/>
              </w:rPr>
              <w:t xml:space="preserve"> </w:t>
            </w:r>
            <w:r w:rsidRPr="0027227E">
              <w:rPr>
                <w:rFonts w:eastAsia="Arial MT" w:hAnsi="Arial MT" w:cs="Arial MT"/>
                <w:b/>
                <w:lang w:val="en-US"/>
              </w:rPr>
              <w:t>Principles</w:t>
            </w:r>
            <w:r w:rsidRPr="0027227E">
              <w:rPr>
                <w:rFonts w:eastAsia="Arial MT" w:hAnsi="Arial MT" w:cs="Arial MT"/>
                <w:b/>
                <w:spacing w:val="-4"/>
                <w:lang w:val="en-US"/>
              </w:rPr>
              <w:t xml:space="preserve"> </w:t>
            </w:r>
            <w:r w:rsidRPr="0027227E">
              <w:rPr>
                <w:rFonts w:eastAsia="Arial MT" w:hAnsi="Arial MT" w:cs="Arial MT"/>
                <w:b/>
                <w:lang w:val="en-US"/>
              </w:rPr>
              <w:t>and</w:t>
            </w:r>
            <w:r w:rsidRPr="0027227E">
              <w:rPr>
                <w:rFonts w:eastAsia="Arial MT" w:hAnsi="Arial MT" w:cs="Arial MT"/>
                <w:b/>
                <w:spacing w:val="-8"/>
                <w:lang w:val="en-US"/>
              </w:rPr>
              <w:t xml:space="preserve"> </w:t>
            </w:r>
            <w:r w:rsidRPr="0027227E">
              <w:rPr>
                <w:rFonts w:eastAsia="Arial MT" w:hAnsi="Arial MT" w:cs="Arial MT"/>
                <w:b/>
                <w:spacing w:val="-2"/>
                <w:lang w:val="en-US"/>
              </w:rPr>
              <w:t>Practices</w:t>
            </w:r>
          </w:p>
        </w:tc>
      </w:tr>
      <w:tr w:rsidR="0027227E" w:rsidRPr="0027227E" w14:paraId="77FDF7D2" w14:textId="77777777" w:rsidTr="0027227E">
        <w:trPr>
          <w:trHeight w:val="760"/>
        </w:trPr>
        <w:tc>
          <w:tcPr>
            <w:tcW w:w="839" w:type="pct"/>
          </w:tcPr>
          <w:p w14:paraId="7DEE430E" w14:textId="77777777" w:rsidR="0027227E" w:rsidRPr="0027227E" w:rsidRDefault="0027227E" w:rsidP="0027227E">
            <w:pPr>
              <w:widowControl w:val="0"/>
              <w:autoSpaceDE w:val="0"/>
              <w:autoSpaceDN w:val="0"/>
              <w:spacing w:before="127" w:line="240" w:lineRule="auto"/>
              <w:ind w:left="107" w:right="694"/>
              <w:rPr>
                <w:rFonts w:eastAsia="Arial MT" w:hAnsi="Arial MT" w:cs="Arial MT"/>
                <w:b/>
                <w:lang w:val="en-US"/>
              </w:rPr>
            </w:pPr>
            <w:r w:rsidRPr="0027227E">
              <w:rPr>
                <w:rFonts w:eastAsia="Arial MT" w:hAnsi="Arial MT" w:cs="Arial MT"/>
                <w:b/>
                <w:spacing w:val="-2"/>
                <w:lang w:val="en-US"/>
              </w:rPr>
              <w:t>Module code:</w:t>
            </w:r>
          </w:p>
        </w:tc>
        <w:tc>
          <w:tcPr>
            <w:tcW w:w="4161" w:type="pct"/>
            <w:gridSpan w:val="3"/>
          </w:tcPr>
          <w:p w14:paraId="7A457C82" w14:textId="77777777" w:rsidR="0027227E" w:rsidRPr="0027227E" w:rsidRDefault="0027227E" w:rsidP="0027227E">
            <w:pPr>
              <w:widowControl w:val="0"/>
              <w:autoSpaceDE w:val="0"/>
              <w:autoSpaceDN w:val="0"/>
              <w:spacing w:before="1" w:line="240" w:lineRule="auto"/>
              <w:rPr>
                <w:rFonts w:eastAsia="Arial MT" w:hAnsi="Arial MT" w:cs="Arial MT"/>
                <w:b/>
                <w:lang w:val="en-US"/>
              </w:rPr>
            </w:pPr>
          </w:p>
          <w:p w14:paraId="4E463F7A" w14:textId="2AE0479E" w:rsidR="0027227E" w:rsidRPr="0027227E" w:rsidRDefault="0027227E" w:rsidP="0027227E">
            <w:pPr>
              <w:widowControl w:val="0"/>
              <w:autoSpaceDE w:val="0"/>
              <w:autoSpaceDN w:val="0"/>
              <w:spacing w:line="240" w:lineRule="auto"/>
              <w:ind w:left="107"/>
              <w:rPr>
                <w:rFonts w:eastAsia="Arial MT" w:hAnsi="Arial MT" w:cs="Arial MT"/>
                <w:b/>
                <w:lang w:val="en-US"/>
              </w:rPr>
            </w:pPr>
            <w:r w:rsidRPr="0027227E">
              <w:rPr>
                <w:rFonts w:eastAsia="Arial MT" w:hAnsi="Arial MT" w:cs="Arial MT"/>
                <w:b/>
                <w:spacing w:val="-2"/>
                <w:lang w:val="en-US"/>
              </w:rPr>
              <w:t>LCMB7026</w:t>
            </w:r>
          </w:p>
        </w:tc>
      </w:tr>
      <w:tr w:rsidR="0027227E" w:rsidRPr="0027227E" w14:paraId="09F80476" w14:textId="77777777" w:rsidTr="0027227E">
        <w:trPr>
          <w:trHeight w:val="866"/>
        </w:trPr>
        <w:tc>
          <w:tcPr>
            <w:tcW w:w="5000" w:type="pct"/>
            <w:gridSpan w:val="4"/>
          </w:tcPr>
          <w:p w14:paraId="0E38F9BF" w14:textId="77777777" w:rsidR="0027227E" w:rsidRPr="0027227E" w:rsidRDefault="0027227E" w:rsidP="0027227E">
            <w:pPr>
              <w:widowControl w:val="0"/>
              <w:autoSpaceDE w:val="0"/>
              <w:autoSpaceDN w:val="0"/>
              <w:spacing w:before="54" w:line="240" w:lineRule="auto"/>
              <w:rPr>
                <w:rFonts w:eastAsia="Arial MT" w:hAnsi="Arial MT" w:cs="Arial MT"/>
                <w:b/>
                <w:lang w:val="en-US"/>
              </w:rPr>
            </w:pPr>
          </w:p>
          <w:p w14:paraId="3E2AE250" w14:textId="1C2175D3" w:rsidR="0027227E" w:rsidRPr="0027227E" w:rsidRDefault="0027227E" w:rsidP="0027227E">
            <w:pPr>
              <w:widowControl w:val="0"/>
              <w:autoSpaceDE w:val="0"/>
              <w:autoSpaceDN w:val="0"/>
              <w:spacing w:line="240" w:lineRule="auto"/>
              <w:ind w:left="107"/>
              <w:rPr>
                <w:rFonts w:eastAsia="Arial MT" w:hAnsi="Arial MT" w:cs="Arial MT"/>
                <w:b/>
                <w:lang w:val="en-US"/>
              </w:rPr>
            </w:pPr>
            <w:r w:rsidRPr="0027227E">
              <w:rPr>
                <w:rFonts w:eastAsia="Arial MT" w:hAnsi="Arial MT" w:cs="Arial MT"/>
                <w:b/>
                <w:spacing w:val="-2"/>
                <w:lang w:val="en-US"/>
              </w:rPr>
              <w:t>Lecturer:</w:t>
            </w:r>
            <w:r>
              <w:rPr>
                <w:rFonts w:eastAsia="Arial MT" w:hAnsi="Arial MT" w:cs="Arial MT"/>
                <w:b/>
                <w:spacing w:val="-2"/>
                <w:lang w:val="en-US"/>
              </w:rPr>
              <w:t xml:space="preserve"> </w:t>
            </w:r>
            <w:proofErr w:type="spellStart"/>
            <w:r w:rsidRPr="0027227E">
              <w:rPr>
                <w:rFonts w:eastAsia="Arial MT" w:hAnsi="Arial MT" w:cs="Arial MT"/>
                <w:b/>
                <w:lang w:val="en-US"/>
              </w:rPr>
              <w:t>Tushara</w:t>
            </w:r>
            <w:proofErr w:type="spellEnd"/>
            <w:r w:rsidRPr="0027227E">
              <w:rPr>
                <w:rFonts w:eastAsia="Arial MT" w:hAnsi="Arial MT" w:cs="Arial MT"/>
                <w:b/>
                <w:spacing w:val="-16"/>
                <w:lang w:val="en-US"/>
              </w:rPr>
              <w:t xml:space="preserve"> </w:t>
            </w:r>
            <w:proofErr w:type="spellStart"/>
            <w:r w:rsidRPr="0027227E">
              <w:rPr>
                <w:rFonts w:eastAsia="Arial MT" w:hAnsi="Arial MT" w:cs="Arial MT"/>
                <w:b/>
                <w:lang w:val="en-US"/>
              </w:rPr>
              <w:t>Balendran</w:t>
            </w:r>
            <w:proofErr w:type="spellEnd"/>
            <w:r w:rsidRPr="0027227E">
              <w:rPr>
                <w:rFonts w:eastAsia="Arial MT" w:hAnsi="Arial MT" w:cs="Arial MT"/>
                <w:b/>
                <w:spacing w:val="-15"/>
                <w:lang w:val="en-US"/>
              </w:rPr>
              <w:t xml:space="preserve"> </w:t>
            </w:r>
            <w:r w:rsidRPr="0027227E">
              <w:rPr>
                <w:rFonts w:eastAsia="Arial MT" w:hAnsi="Arial MT" w:cs="Arial MT"/>
                <w:b/>
                <w:lang w:val="en-US"/>
              </w:rPr>
              <w:t>(London) Dian</w:t>
            </w:r>
            <w:r w:rsidRPr="0027227E">
              <w:rPr>
                <w:rFonts w:eastAsia="Arial MT" w:hAnsi="Arial MT" w:cs="Arial MT"/>
                <w:b/>
                <w:spacing w:val="-4"/>
                <w:lang w:val="en-US"/>
              </w:rPr>
              <w:t xml:space="preserve"> </w:t>
            </w:r>
            <w:proofErr w:type="spellStart"/>
            <w:r w:rsidRPr="0027227E">
              <w:rPr>
                <w:rFonts w:eastAsia="Arial MT" w:hAnsi="Arial MT" w:cs="Arial MT"/>
                <w:b/>
                <w:lang w:val="en-US"/>
              </w:rPr>
              <w:t>Mayasari</w:t>
            </w:r>
            <w:proofErr w:type="spellEnd"/>
            <w:r w:rsidRPr="0027227E">
              <w:rPr>
                <w:rFonts w:eastAsia="Arial MT" w:hAnsi="Arial MT" w:cs="Arial MT"/>
                <w:b/>
                <w:spacing w:val="-3"/>
                <w:lang w:val="en-US"/>
              </w:rPr>
              <w:t xml:space="preserve"> </w:t>
            </w:r>
            <w:r w:rsidRPr="0027227E">
              <w:rPr>
                <w:rFonts w:eastAsia="Arial MT" w:hAnsi="Arial MT" w:cs="Arial MT"/>
                <w:b/>
                <w:spacing w:val="-2"/>
                <w:lang w:val="en-US"/>
              </w:rPr>
              <w:t>(Birmingham)</w:t>
            </w:r>
          </w:p>
          <w:p w14:paraId="0DB23DC2" w14:textId="0110600B" w:rsidR="0027227E" w:rsidRPr="0027227E" w:rsidRDefault="0027227E" w:rsidP="0027227E">
            <w:pPr>
              <w:widowControl w:val="0"/>
              <w:autoSpaceDE w:val="0"/>
              <w:autoSpaceDN w:val="0"/>
              <w:spacing w:before="3" w:line="370" w:lineRule="atLeast"/>
              <w:rPr>
                <w:rFonts w:eastAsia="Arial MT" w:hAnsi="Arial MT" w:cs="Arial MT"/>
                <w:b/>
                <w:lang w:val="en-US"/>
              </w:rPr>
            </w:pPr>
          </w:p>
        </w:tc>
      </w:tr>
      <w:tr w:rsidR="0027227E" w:rsidRPr="0027227E" w14:paraId="28370A68" w14:textId="77777777" w:rsidTr="0027227E">
        <w:trPr>
          <w:trHeight w:val="866"/>
        </w:trPr>
        <w:tc>
          <w:tcPr>
            <w:tcW w:w="839" w:type="pct"/>
          </w:tcPr>
          <w:p w14:paraId="0ACFD333" w14:textId="77777777" w:rsidR="0027227E" w:rsidRPr="0027227E" w:rsidRDefault="0027227E" w:rsidP="0027227E">
            <w:pPr>
              <w:widowControl w:val="0"/>
              <w:autoSpaceDE w:val="0"/>
              <w:autoSpaceDN w:val="0"/>
              <w:spacing w:before="180" w:line="240" w:lineRule="auto"/>
              <w:ind w:left="107"/>
              <w:rPr>
                <w:rFonts w:eastAsia="Arial MT" w:hAnsi="Arial MT" w:cs="Arial MT"/>
                <w:b/>
                <w:lang w:val="en-US"/>
              </w:rPr>
            </w:pPr>
            <w:r w:rsidRPr="0027227E">
              <w:rPr>
                <w:rFonts w:eastAsia="Arial MT" w:hAnsi="Arial MT" w:cs="Arial MT"/>
                <w:b/>
                <w:spacing w:val="-2"/>
                <w:lang w:val="en-US"/>
              </w:rPr>
              <w:t>Assignment Title:</w:t>
            </w:r>
          </w:p>
        </w:tc>
        <w:tc>
          <w:tcPr>
            <w:tcW w:w="1980" w:type="pct"/>
          </w:tcPr>
          <w:p w14:paraId="61E60512" w14:textId="376C5CC1" w:rsidR="0027227E" w:rsidRPr="0027227E" w:rsidRDefault="0027227E" w:rsidP="0027227E">
            <w:pPr>
              <w:widowControl w:val="0"/>
              <w:autoSpaceDE w:val="0"/>
              <w:autoSpaceDN w:val="0"/>
              <w:spacing w:before="3" w:line="370" w:lineRule="atLeast"/>
              <w:ind w:left="107" w:right="405"/>
              <w:rPr>
                <w:rFonts w:eastAsia="Arial MT" w:hAnsi="Arial MT" w:cs="Arial MT"/>
                <w:b/>
                <w:lang w:val="en-US"/>
              </w:rPr>
            </w:pPr>
            <w:r w:rsidRPr="0027227E">
              <w:rPr>
                <w:rFonts w:eastAsia="Arial MT" w:hAnsi="Arial MT" w:cs="Arial MT"/>
                <w:b/>
                <w:lang w:val="en-US"/>
              </w:rPr>
              <w:t xml:space="preserve">International market entry strategy and marketing mix: a comparative analysis of Toyota in </w:t>
            </w:r>
            <w:r>
              <w:rPr>
                <w:rFonts w:eastAsia="Arial MT" w:hAnsi="Arial MT" w:cs="Arial MT"/>
                <w:b/>
                <w:lang w:val="en-US"/>
              </w:rPr>
              <w:t>Japan</w:t>
            </w:r>
            <w:r w:rsidRPr="0027227E">
              <w:rPr>
                <w:rFonts w:eastAsia="Arial MT" w:hAnsi="Arial MT" w:cs="Arial MT"/>
                <w:b/>
                <w:lang w:val="en-US"/>
              </w:rPr>
              <w:t xml:space="preserve"> and </w:t>
            </w:r>
            <w:r>
              <w:rPr>
                <w:rFonts w:eastAsia="Arial MT" w:hAnsi="Arial MT" w:cs="Arial MT"/>
                <w:b/>
                <w:lang w:val="en-US"/>
              </w:rPr>
              <w:t>India</w:t>
            </w:r>
          </w:p>
        </w:tc>
        <w:tc>
          <w:tcPr>
            <w:tcW w:w="994" w:type="pct"/>
          </w:tcPr>
          <w:p w14:paraId="505D708F" w14:textId="685A9CCB" w:rsidR="0027227E" w:rsidRPr="0027227E" w:rsidRDefault="0027227E" w:rsidP="0027227E">
            <w:pPr>
              <w:widowControl w:val="0"/>
              <w:autoSpaceDE w:val="0"/>
              <w:autoSpaceDN w:val="0"/>
              <w:spacing w:before="180" w:line="240" w:lineRule="auto"/>
              <w:ind w:left="107"/>
              <w:rPr>
                <w:rFonts w:eastAsia="Arial MT" w:hAnsi="Arial MT" w:cs="Arial MT"/>
                <w:b/>
                <w:lang w:val="en-US"/>
              </w:rPr>
            </w:pPr>
            <w:r w:rsidRPr="0027227E">
              <w:rPr>
                <w:rFonts w:eastAsia="Arial MT" w:hAnsi="Arial MT" w:cs="Arial MT"/>
                <w:b/>
                <w:lang w:val="en-US"/>
              </w:rPr>
              <w:t>Word</w:t>
            </w:r>
            <w:r w:rsidRPr="0027227E">
              <w:rPr>
                <w:rFonts w:eastAsia="Arial MT" w:hAnsi="Arial MT" w:cs="Arial MT"/>
                <w:b/>
                <w:spacing w:val="-16"/>
                <w:lang w:val="en-US"/>
              </w:rPr>
              <w:t xml:space="preserve"> </w:t>
            </w:r>
            <w:r w:rsidRPr="0027227E">
              <w:rPr>
                <w:rFonts w:eastAsia="Arial MT" w:hAnsi="Arial MT" w:cs="Arial MT"/>
                <w:b/>
                <w:lang w:val="en-US"/>
              </w:rPr>
              <w:t>count</w:t>
            </w:r>
            <w:r>
              <w:rPr>
                <w:rFonts w:eastAsia="Arial MT" w:hAnsi="Arial MT" w:cs="Arial MT"/>
                <w:b/>
                <w:lang w:val="en-US"/>
              </w:rPr>
              <w:t xml:space="preserve">: </w:t>
            </w:r>
          </w:p>
        </w:tc>
        <w:tc>
          <w:tcPr>
            <w:tcW w:w="1187" w:type="pct"/>
          </w:tcPr>
          <w:p w14:paraId="33DC5F0B" w14:textId="09A405A2" w:rsidR="0027227E" w:rsidRPr="0027227E" w:rsidRDefault="0027227E" w:rsidP="0027227E">
            <w:pPr>
              <w:widowControl w:val="0"/>
              <w:autoSpaceDE w:val="0"/>
              <w:autoSpaceDN w:val="0"/>
              <w:spacing w:before="119" w:line="240" w:lineRule="auto"/>
              <w:ind w:left="105"/>
              <w:rPr>
                <w:rFonts w:eastAsia="Arial MT" w:cs="Arial MT"/>
                <w:b/>
                <w:lang w:val="en-US"/>
              </w:rPr>
            </w:pPr>
            <w:r>
              <w:rPr>
                <w:rFonts w:eastAsia="Arial MT" w:cs="Arial MT"/>
                <w:b/>
                <w:lang w:val="en-US"/>
              </w:rPr>
              <w:t>50</w:t>
            </w:r>
            <w:r w:rsidR="00687CCE">
              <w:rPr>
                <w:rFonts w:eastAsia="Arial MT" w:cs="Arial MT"/>
                <w:b/>
                <w:lang w:val="en-US"/>
              </w:rPr>
              <w:t>76</w:t>
            </w:r>
          </w:p>
        </w:tc>
      </w:tr>
      <w:tr w:rsidR="0027227E" w:rsidRPr="0027227E" w14:paraId="2614C698" w14:textId="77777777" w:rsidTr="0027227E">
        <w:trPr>
          <w:trHeight w:val="1252"/>
        </w:trPr>
        <w:tc>
          <w:tcPr>
            <w:tcW w:w="839" w:type="pct"/>
          </w:tcPr>
          <w:p w14:paraId="6296F05A" w14:textId="77777777" w:rsidR="0027227E" w:rsidRPr="0027227E" w:rsidRDefault="0027227E" w:rsidP="0027227E">
            <w:pPr>
              <w:widowControl w:val="0"/>
              <w:autoSpaceDE w:val="0"/>
              <w:autoSpaceDN w:val="0"/>
              <w:spacing w:before="118" w:line="240" w:lineRule="auto"/>
              <w:rPr>
                <w:rFonts w:eastAsia="Arial MT" w:hAnsi="Arial MT" w:cs="Arial MT"/>
                <w:b/>
                <w:lang w:val="en-US"/>
              </w:rPr>
            </w:pPr>
          </w:p>
          <w:p w14:paraId="538F8BDA" w14:textId="14E87B51" w:rsidR="0027227E" w:rsidRPr="0027227E" w:rsidRDefault="0027227E" w:rsidP="00330FA9">
            <w:pPr>
              <w:widowControl w:val="0"/>
              <w:autoSpaceDE w:val="0"/>
              <w:autoSpaceDN w:val="0"/>
              <w:spacing w:before="1" w:line="240" w:lineRule="auto"/>
              <w:rPr>
                <w:rFonts w:eastAsia="Arial MT" w:hAnsi="Arial MT" w:cs="Arial MT"/>
                <w:b/>
                <w:lang w:val="en-US"/>
              </w:rPr>
            </w:pPr>
          </w:p>
        </w:tc>
        <w:tc>
          <w:tcPr>
            <w:tcW w:w="4161" w:type="pct"/>
            <w:gridSpan w:val="3"/>
          </w:tcPr>
          <w:p w14:paraId="7C02CB56" w14:textId="77777777" w:rsidR="0027227E" w:rsidRPr="0027227E" w:rsidRDefault="0027227E" w:rsidP="0027227E">
            <w:pPr>
              <w:widowControl w:val="0"/>
              <w:autoSpaceDE w:val="0"/>
              <w:autoSpaceDN w:val="0"/>
              <w:spacing w:before="226" w:line="240" w:lineRule="auto"/>
              <w:rPr>
                <w:rFonts w:eastAsia="Arial MT" w:hAnsi="Arial MT" w:cs="Arial MT"/>
                <w:b/>
                <w:lang w:val="en-US"/>
              </w:rPr>
            </w:pPr>
          </w:p>
          <w:p w14:paraId="6E82AC31" w14:textId="123F8ED1" w:rsidR="0027227E" w:rsidRPr="0027227E" w:rsidRDefault="0027227E" w:rsidP="0027227E">
            <w:pPr>
              <w:widowControl w:val="0"/>
              <w:autoSpaceDE w:val="0"/>
              <w:autoSpaceDN w:val="0"/>
              <w:spacing w:line="240" w:lineRule="auto"/>
              <w:rPr>
                <w:rFonts w:eastAsia="Arial MT" w:hAnsi="Arial MT" w:cs="Arial MT"/>
                <w:b/>
                <w:lang w:val="en-US"/>
              </w:rPr>
            </w:pPr>
          </w:p>
        </w:tc>
      </w:tr>
    </w:tbl>
    <w:p w14:paraId="4D5DD9BE" w14:textId="77777777" w:rsidR="0027227E" w:rsidRPr="0027227E" w:rsidRDefault="0027227E" w:rsidP="0027227E">
      <w:pPr>
        <w:spacing w:line="240" w:lineRule="auto"/>
        <w:rPr>
          <w:b/>
          <w:bCs/>
          <w:sz w:val="32"/>
          <w:szCs w:val="32"/>
          <w:lang w:val="en-GB"/>
        </w:rPr>
      </w:pPr>
    </w:p>
    <w:p w14:paraId="61C6D1DA" w14:textId="77777777" w:rsidR="0027227E" w:rsidRPr="0027227E" w:rsidRDefault="0027227E">
      <w:pPr>
        <w:spacing w:before="200" w:after="200" w:line="360" w:lineRule="auto"/>
        <w:jc w:val="center"/>
        <w:rPr>
          <w:b/>
          <w:bCs/>
          <w:sz w:val="32"/>
          <w:szCs w:val="32"/>
          <w:lang w:val="en-GB"/>
        </w:rPr>
      </w:pPr>
    </w:p>
    <w:p w14:paraId="3CB90708" w14:textId="77777777" w:rsidR="0027227E" w:rsidRPr="0027227E" w:rsidRDefault="0027227E">
      <w:pPr>
        <w:spacing w:before="200" w:after="200" w:line="360" w:lineRule="auto"/>
        <w:jc w:val="center"/>
        <w:rPr>
          <w:b/>
          <w:bCs/>
          <w:sz w:val="32"/>
          <w:szCs w:val="32"/>
          <w:lang w:val="en-GB"/>
        </w:rPr>
      </w:pPr>
    </w:p>
    <w:p w14:paraId="04A5B5C3" w14:textId="77777777" w:rsidR="0027227E" w:rsidRPr="0027227E" w:rsidRDefault="0027227E">
      <w:pPr>
        <w:spacing w:before="200" w:after="200" w:line="360" w:lineRule="auto"/>
        <w:jc w:val="center"/>
        <w:rPr>
          <w:b/>
          <w:bCs/>
          <w:sz w:val="32"/>
          <w:szCs w:val="32"/>
          <w:lang w:val="en-GB"/>
        </w:rPr>
      </w:pPr>
    </w:p>
    <w:p w14:paraId="3A59EB20" w14:textId="77777777" w:rsidR="0027227E" w:rsidRPr="0027227E" w:rsidRDefault="0027227E">
      <w:pPr>
        <w:spacing w:before="200" w:after="200" w:line="360" w:lineRule="auto"/>
        <w:jc w:val="center"/>
        <w:rPr>
          <w:b/>
          <w:bCs/>
          <w:sz w:val="32"/>
          <w:szCs w:val="32"/>
          <w:lang w:val="en-GB"/>
        </w:rPr>
      </w:pPr>
    </w:p>
    <w:p w14:paraId="14581AD9" w14:textId="77777777" w:rsidR="0027227E" w:rsidRPr="0027227E" w:rsidRDefault="0027227E">
      <w:pPr>
        <w:spacing w:before="200" w:after="200" w:line="360" w:lineRule="auto"/>
        <w:jc w:val="center"/>
        <w:rPr>
          <w:b/>
          <w:bCs/>
          <w:sz w:val="32"/>
          <w:szCs w:val="32"/>
          <w:lang w:val="en-GB"/>
        </w:rPr>
      </w:pPr>
    </w:p>
    <w:p w14:paraId="1FE39511" w14:textId="77777777" w:rsidR="0027227E" w:rsidRDefault="0027227E">
      <w:pPr>
        <w:rPr>
          <w:b/>
          <w:bCs/>
          <w:sz w:val="32"/>
          <w:szCs w:val="32"/>
          <w:lang w:val="en-GB"/>
        </w:rPr>
      </w:pPr>
      <w:r>
        <w:rPr>
          <w:b/>
          <w:bCs/>
          <w:sz w:val="32"/>
          <w:szCs w:val="32"/>
          <w:lang w:val="en-GB"/>
        </w:rPr>
        <w:br w:type="page"/>
      </w:r>
    </w:p>
    <w:sdt>
      <w:sdtPr>
        <w:rPr>
          <w:rFonts w:ascii="Arial" w:eastAsia="Arial" w:hAnsi="Arial" w:cs="Arial"/>
          <w:b/>
          <w:bCs/>
          <w:color w:val="auto"/>
          <w:sz w:val="36"/>
          <w:szCs w:val="36"/>
          <w:lang w:val="en-GB"/>
        </w:rPr>
        <w:id w:val="1994901702"/>
        <w:docPartObj>
          <w:docPartGallery w:val="Table of Contents"/>
          <w:docPartUnique/>
        </w:docPartObj>
      </w:sdtPr>
      <w:sdtEndPr>
        <w:rPr>
          <w:noProof/>
          <w:sz w:val="24"/>
          <w:szCs w:val="24"/>
        </w:rPr>
      </w:sdtEndPr>
      <w:sdtContent>
        <w:p w14:paraId="4DBDEDC8" w14:textId="27A68CC9" w:rsidR="0027227E" w:rsidRPr="0027227E" w:rsidRDefault="0027227E" w:rsidP="0027227E">
          <w:pPr>
            <w:pStyle w:val="TOCHeading"/>
            <w:spacing w:line="360" w:lineRule="auto"/>
            <w:jc w:val="center"/>
            <w:rPr>
              <w:rFonts w:ascii="Arial" w:hAnsi="Arial" w:cs="Arial"/>
              <w:b/>
              <w:bCs/>
              <w:color w:val="auto"/>
              <w:sz w:val="28"/>
              <w:szCs w:val="28"/>
              <w:lang w:val="en-GB"/>
            </w:rPr>
          </w:pPr>
          <w:r w:rsidRPr="0027227E">
            <w:rPr>
              <w:rFonts w:ascii="Arial" w:hAnsi="Arial" w:cs="Arial"/>
              <w:b/>
              <w:bCs/>
              <w:color w:val="auto"/>
              <w:sz w:val="28"/>
              <w:szCs w:val="28"/>
              <w:lang w:val="en-GB"/>
            </w:rPr>
            <w:t>Table of Contents</w:t>
          </w:r>
        </w:p>
        <w:p w14:paraId="0FFDD1CC" w14:textId="6059E61C" w:rsidR="003F28F7" w:rsidRPr="003F28F7" w:rsidRDefault="0027227E" w:rsidP="003F28F7">
          <w:pPr>
            <w:pStyle w:val="TOC1"/>
            <w:tabs>
              <w:tab w:val="right" w:leader="dot" w:pos="9350"/>
            </w:tabs>
            <w:spacing w:line="360" w:lineRule="auto"/>
            <w:jc w:val="both"/>
            <w:rPr>
              <w:rFonts w:eastAsiaTheme="minorEastAsia"/>
              <w:noProof/>
              <w:kern w:val="2"/>
              <w:sz w:val="24"/>
              <w:szCs w:val="24"/>
              <w:lang w:val="en-GB" w:eastAsia="en-GB"/>
              <w14:ligatures w14:val="standardContextual"/>
            </w:rPr>
          </w:pPr>
          <w:r w:rsidRPr="003F28F7">
            <w:rPr>
              <w:sz w:val="24"/>
              <w:szCs w:val="24"/>
              <w:lang w:val="en-GB"/>
            </w:rPr>
            <w:fldChar w:fldCharType="begin"/>
          </w:r>
          <w:r w:rsidRPr="003F28F7">
            <w:rPr>
              <w:sz w:val="24"/>
              <w:szCs w:val="24"/>
              <w:lang w:val="en-GB"/>
            </w:rPr>
            <w:instrText xml:space="preserve"> TOC \o "1-3" \h \z \u </w:instrText>
          </w:r>
          <w:r w:rsidRPr="003F28F7">
            <w:rPr>
              <w:sz w:val="24"/>
              <w:szCs w:val="24"/>
              <w:lang w:val="en-GB"/>
            </w:rPr>
            <w:fldChar w:fldCharType="separate"/>
          </w:r>
          <w:hyperlink w:anchor="_Toc236847997" w:history="1">
            <w:r w:rsidR="003F28F7" w:rsidRPr="003F28F7">
              <w:rPr>
                <w:rStyle w:val="Hyperlink"/>
                <w:noProof/>
                <w:sz w:val="24"/>
                <w:szCs w:val="24"/>
                <w:lang w:val="en-GB"/>
              </w:rPr>
              <w:t>Section 1: International Marketing Report</w:t>
            </w:r>
            <w:r w:rsidR="003F28F7" w:rsidRPr="003F28F7">
              <w:rPr>
                <w:noProof/>
                <w:webHidden/>
                <w:sz w:val="24"/>
                <w:szCs w:val="24"/>
              </w:rPr>
              <w:tab/>
            </w:r>
            <w:r w:rsidR="003F28F7" w:rsidRPr="003F28F7">
              <w:rPr>
                <w:noProof/>
                <w:webHidden/>
                <w:sz w:val="24"/>
                <w:szCs w:val="24"/>
              </w:rPr>
              <w:fldChar w:fldCharType="begin"/>
            </w:r>
            <w:r w:rsidR="003F28F7" w:rsidRPr="003F28F7">
              <w:rPr>
                <w:noProof/>
                <w:webHidden/>
                <w:sz w:val="24"/>
                <w:szCs w:val="24"/>
              </w:rPr>
              <w:instrText xml:space="preserve"> PAGEREF _Toc236847997 \h </w:instrText>
            </w:r>
            <w:r w:rsidR="003F28F7" w:rsidRPr="003F28F7">
              <w:rPr>
                <w:noProof/>
                <w:webHidden/>
                <w:sz w:val="24"/>
                <w:szCs w:val="24"/>
              </w:rPr>
            </w:r>
            <w:r w:rsidR="003F28F7" w:rsidRPr="003F28F7">
              <w:rPr>
                <w:noProof/>
                <w:webHidden/>
                <w:sz w:val="24"/>
                <w:szCs w:val="24"/>
              </w:rPr>
              <w:fldChar w:fldCharType="separate"/>
            </w:r>
            <w:r w:rsidR="0084719A">
              <w:rPr>
                <w:noProof/>
                <w:webHidden/>
                <w:sz w:val="24"/>
                <w:szCs w:val="24"/>
              </w:rPr>
              <w:t>3</w:t>
            </w:r>
            <w:r w:rsidR="003F28F7" w:rsidRPr="003F28F7">
              <w:rPr>
                <w:noProof/>
                <w:webHidden/>
                <w:sz w:val="24"/>
                <w:szCs w:val="24"/>
              </w:rPr>
              <w:fldChar w:fldCharType="end"/>
            </w:r>
          </w:hyperlink>
        </w:p>
        <w:p w14:paraId="17662C25" w14:textId="1B9786A8"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7998" w:history="1">
            <w:r w:rsidRPr="003F28F7">
              <w:rPr>
                <w:rStyle w:val="Hyperlink"/>
                <w:noProof/>
                <w:sz w:val="24"/>
                <w:szCs w:val="24"/>
                <w:lang w:val="en-GB"/>
              </w:rPr>
              <w:t>1. Introduction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_Toc236847998 \h </w:instrText>
            </w:r>
            <w:r w:rsidRPr="003F28F7">
              <w:rPr>
                <w:noProof/>
                <w:webHidden/>
                <w:sz w:val="24"/>
                <w:szCs w:val="24"/>
              </w:rPr>
            </w:r>
            <w:r w:rsidRPr="003F28F7">
              <w:rPr>
                <w:noProof/>
                <w:webHidden/>
                <w:sz w:val="24"/>
                <w:szCs w:val="24"/>
              </w:rPr>
              <w:fldChar w:fldCharType="separate"/>
            </w:r>
            <w:r w:rsidR="0084719A">
              <w:rPr>
                <w:noProof/>
                <w:webHidden/>
                <w:sz w:val="24"/>
                <w:szCs w:val="24"/>
              </w:rPr>
              <w:t>3</w:t>
            </w:r>
            <w:r w:rsidRPr="003F28F7">
              <w:rPr>
                <w:noProof/>
                <w:webHidden/>
                <w:sz w:val="24"/>
                <w:szCs w:val="24"/>
              </w:rPr>
              <w:fldChar w:fldCharType="end"/>
            </w:r>
          </w:hyperlink>
        </w:p>
        <w:p w14:paraId="45B84149" w14:textId="1936E0D5"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7999" w:history="1">
            <w:r w:rsidRPr="003F28F7">
              <w:rPr>
                <w:rStyle w:val="Hyperlink"/>
                <w:noProof/>
                <w:sz w:val="24"/>
                <w:szCs w:val="24"/>
                <w:lang w:val="en-GB"/>
              </w:rPr>
              <w:t>2. Company Overview</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_Toc236847999 \h </w:instrText>
            </w:r>
            <w:r w:rsidRPr="003F28F7">
              <w:rPr>
                <w:noProof/>
                <w:webHidden/>
                <w:sz w:val="24"/>
                <w:szCs w:val="24"/>
              </w:rPr>
            </w:r>
            <w:r w:rsidRPr="003F28F7">
              <w:rPr>
                <w:noProof/>
                <w:webHidden/>
                <w:sz w:val="24"/>
                <w:szCs w:val="24"/>
              </w:rPr>
              <w:fldChar w:fldCharType="separate"/>
            </w:r>
            <w:r w:rsidR="0084719A">
              <w:rPr>
                <w:noProof/>
                <w:webHidden/>
                <w:sz w:val="24"/>
                <w:szCs w:val="24"/>
              </w:rPr>
              <w:t>3</w:t>
            </w:r>
            <w:r w:rsidRPr="003F28F7">
              <w:rPr>
                <w:noProof/>
                <w:webHidden/>
                <w:sz w:val="24"/>
                <w:szCs w:val="24"/>
              </w:rPr>
              <w:fldChar w:fldCharType="end"/>
            </w:r>
          </w:hyperlink>
        </w:p>
        <w:p w14:paraId="48AD700D" w14:textId="0AD99763"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0" w:history="1">
            <w:r w:rsidRPr="003F28F7">
              <w:rPr>
                <w:rStyle w:val="Hyperlink"/>
                <w:noProof/>
                <w:sz w:val="24"/>
                <w:szCs w:val="24"/>
                <w:lang w:val="en-GB"/>
              </w:rPr>
              <w:t>3. Comparative Market Analysis of Japan and India</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_Toc236848000 \h </w:instrText>
            </w:r>
            <w:r w:rsidRPr="003F28F7">
              <w:rPr>
                <w:noProof/>
                <w:webHidden/>
                <w:sz w:val="24"/>
                <w:szCs w:val="24"/>
              </w:rPr>
            </w:r>
            <w:r w:rsidRPr="003F28F7">
              <w:rPr>
                <w:noProof/>
                <w:webHidden/>
                <w:sz w:val="24"/>
                <w:szCs w:val="24"/>
              </w:rPr>
              <w:fldChar w:fldCharType="separate"/>
            </w:r>
            <w:r w:rsidR="0084719A">
              <w:rPr>
                <w:noProof/>
                <w:webHidden/>
                <w:sz w:val="24"/>
                <w:szCs w:val="24"/>
              </w:rPr>
              <w:t>5</w:t>
            </w:r>
            <w:r w:rsidRPr="003F28F7">
              <w:rPr>
                <w:noProof/>
                <w:webHidden/>
                <w:sz w:val="24"/>
                <w:szCs w:val="24"/>
              </w:rPr>
              <w:fldChar w:fldCharType="end"/>
            </w:r>
          </w:hyperlink>
        </w:p>
        <w:p w14:paraId="40B07718" w14:textId="5DB889DC" w:rsidR="003F28F7" w:rsidRPr="003F28F7" w:rsidRDefault="003F28F7" w:rsidP="003F28F7">
          <w:pPr>
            <w:pStyle w:val="TOC3"/>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1" w:history="1">
            <w:r w:rsidRPr="003F28F7">
              <w:rPr>
                <w:rStyle w:val="Hyperlink"/>
                <w:noProof/>
                <w:sz w:val="24"/>
                <w:szCs w:val="24"/>
                <w:lang w:val="en-GB"/>
              </w:rPr>
              <w:t>3.1 PESTEL Analysis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_Toc236848001 \h </w:instrText>
            </w:r>
            <w:r w:rsidRPr="003F28F7">
              <w:rPr>
                <w:noProof/>
                <w:webHidden/>
                <w:sz w:val="24"/>
                <w:szCs w:val="24"/>
              </w:rPr>
            </w:r>
            <w:r w:rsidRPr="003F28F7">
              <w:rPr>
                <w:noProof/>
                <w:webHidden/>
                <w:sz w:val="24"/>
                <w:szCs w:val="24"/>
              </w:rPr>
              <w:fldChar w:fldCharType="separate"/>
            </w:r>
            <w:r w:rsidR="0084719A">
              <w:rPr>
                <w:noProof/>
                <w:webHidden/>
                <w:sz w:val="24"/>
                <w:szCs w:val="24"/>
              </w:rPr>
              <w:t>5</w:t>
            </w:r>
            <w:r w:rsidRPr="003F28F7">
              <w:rPr>
                <w:noProof/>
                <w:webHidden/>
                <w:sz w:val="24"/>
                <w:szCs w:val="24"/>
              </w:rPr>
              <w:fldChar w:fldCharType="end"/>
            </w:r>
          </w:hyperlink>
        </w:p>
        <w:p w14:paraId="4CD59B6D" w14:textId="51A9CAD7" w:rsidR="003F28F7" w:rsidRPr="003F28F7" w:rsidRDefault="003F28F7" w:rsidP="003F28F7">
          <w:pPr>
            <w:pStyle w:val="TOC3"/>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2" w:history="1">
            <w:r w:rsidRPr="003F28F7">
              <w:rPr>
                <w:rStyle w:val="Hyperlink"/>
                <w:noProof/>
                <w:sz w:val="24"/>
                <w:szCs w:val="24"/>
                <w:lang w:val="en-GB"/>
              </w:rPr>
              <w:t>3.2 Hofstede's Cultural Dimensions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_Toc236848002 \h </w:instrText>
            </w:r>
            <w:r w:rsidRPr="003F28F7">
              <w:rPr>
                <w:noProof/>
                <w:webHidden/>
                <w:sz w:val="24"/>
                <w:szCs w:val="24"/>
              </w:rPr>
            </w:r>
            <w:r w:rsidRPr="003F28F7">
              <w:rPr>
                <w:noProof/>
                <w:webHidden/>
                <w:sz w:val="24"/>
                <w:szCs w:val="24"/>
              </w:rPr>
              <w:fldChar w:fldCharType="separate"/>
            </w:r>
            <w:r w:rsidR="0084719A">
              <w:rPr>
                <w:noProof/>
                <w:webHidden/>
                <w:sz w:val="24"/>
                <w:szCs w:val="24"/>
              </w:rPr>
              <w:t>10</w:t>
            </w:r>
            <w:r w:rsidRPr="003F28F7">
              <w:rPr>
                <w:noProof/>
                <w:webHidden/>
                <w:sz w:val="24"/>
                <w:szCs w:val="24"/>
              </w:rPr>
              <w:fldChar w:fldCharType="end"/>
            </w:r>
          </w:hyperlink>
        </w:p>
        <w:p w14:paraId="39B877EB" w14:textId="5914E1C2"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3" w:history="1">
            <w:r w:rsidRPr="003F28F7">
              <w:rPr>
                <w:rStyle w:val="Hyperlink"/>
                <w:noProof/>
                <w:sz w:val="24"/>
                <w:szCs w:val="24"/>
                <w:lang w:val="en-GB"/>
              </w:rPr>
              <w:t>4. Comparative Analysis of STP Strategy</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_Toc236848003 \h </w:instrText>
            </w:r>
            <w:r w:rsidRPr="003F28F7">
              <w:rPr>
                <w:noProof/>
                <w:webHidden/>
                <w:sz w:val="24"/>
                <w:szCs w:val="24"/>
              </w:rPr>
            </w:r>
            <w:r w:rsidRPr="003F28F7">
              <w:rPr>
                <w:noProof/>
                <w:webHidden/>
                <w:sz w:val="24"/>
                <w:szCs w:val="24"/>
              </w:rPr>
              <w:fldChar w:fldCharType="separate"/>
            </w:r>
            <w:r w:rsidR="0084719A">
              <w:rPr>
                <w:noProof/>
                <w:webHidden/>
                <w:sz w:val="24"/>
                <w:szCs w:val="24"/>
              </w:rPr>
              <w:t>12</w:t>
            </w:r>
            <w:r w:rsidRPr="003F28F7">
              <w:rPr>
                <w:noProof/>
                <w:webHidden/>
                <w:sz w:val="24"/>
                <w:szCs w:val="24"/>
              </w:rPr>
              <w:fldChar w:fldCharType="end"/>
            </w:r>
          </w:hyperlink>
        </w:p>
        <w:p w14:paraId="74DD4B9C" w14:textId="6E86C6F4"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4" w:history="1">
            <w:r w:rsidRPr="003F28F7">
              <w:rPr>
                <w:rStyle w:val="Hyperlink"/>
                <w:noProof/>
                <w:sz w:val="24"/>
                <w:szCs w:val="24"/>
                <w:lang w:val="en-GB"/>
              </w:rPr>
              <w:t>5. Comparative Analysis of the International Marketing Mix (7Ps)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_Toc236848004 \h </w:instrText>
            </w:r>
            <w:r w:rsidRPr="003F28F7">
              <w:rPr>
                <w:noProof/>
                <w:webHidden/>
                <w:sz w:val="24"/>
                <w:szCs w:val="24"/>
              </w:rPr>
            </w:r>
            <w:r w:rsidRPr="003F28F7">
              <w:rPr>
                <w:noProof/>
                <w:webHidden/>
                <w:sz w:val="24"/>
                <w:szCs w:val="24"/>
              </w:rPr>
              <w:fldChar w:fldCharType="separate"/>
            </w:r>
            <w:r w:rsidR="0084719A">
              <w:rPr>
                <w:noProof/>
                <w:webHidden/>
                <w:sz w:val="24"/>
                <w:szCs w:val="24"/>
              </w:rPr>
              <w:t>15</w:t>
            </w:r>
            <w:r w:rsidRPr="003F28F7">
              <w:rPr>
                <w:noProof/>
                <w:webHidden/>
                <w:sz w:val="24"/>
                <w:szCs w:val="24"/>
              </w:rPr>
              <w:fldChar w:fldCharType="end"/>
            </w:r>
          </w:hyperlink>
        </w:p>
        <w:p w14:paraId="68AA8652" w14:textId="5A123044"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5" w:history="1">
            <w:r w:rsidRPr="003F28F7">
              <w:rPr>
                <w:rStyle w:val="Hyperlink"/>
                <w:noProof/>
                <w:sz w:val="24"/>
                <w:szCs w:val="24"/>
                <w:lang w:val="en-GB"/>
              </w:rPr>
              <w:t>6. Market Entry Strategy in India</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_Toc236848005 \h </w:instrText>
            </w:r>
            <w:r w:rsidRPr="003F28F7">
              <w:rPr>
                <w:noProof/>
                <w:webHidden/>
                <w:sz w:val="24"/>
                <w:szCs w:val="24"/>
              </w:rPr>
            </w:r>
            <w:r w:rsidRPr="003F28F7">
              <w:rPr>
                <w:noProof/>
                <w:webHidden/>
                <w:sz w:val="24"/>
                <w:szCs w:val="24"/>
              </w:rPr>
              <w:fldChar w:fldCharType="separate"/>
            </w:r>
            <w:r w:rsidR="0084719A">
              <w:rPr>
                <w:noProof/>
                <w:webHidden/>
                <w:sz w:val="24"/>
                <w:szCs w:val="24"/>
              </w:rPr>
              <w:t>19</w:t>
            </w:r>
            <w:r w:rsidRPr="003F28F7">
              <w:rPr>
                <w:noProof/>
                <w:webHidden/>
                <w:sz w:val="24"/>
                <w:szCs w:val="24"/>
              </w:rPr>
              <w:fldChar w:fldCharType="end"/>
            </w:r>
          </w:hyperlink>
        </w:p>
        <w:p w14:paraId="70EFF24B" w14:textId="55044909"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6" w:history="1">
            <w:r w:rsidRPr="003F28F7">
              <w:rPr>
                <w:rStyle w:val="Hyperlink"/>
                <w:noProof/>
                <w:sz w:val="24"/>
                <w:szCs w:val="24"/>
                <w:lang w:val="en-GB"/>
              </w:rPr>
              <w:t>7. Ethical Issues in Toyota's Marketing Mix in India</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_Toc236848006 \h </w:instrText>
            </w:r>
            <w:r w:rsidRPr="003F28F7">
              <w:rPr>
                <w:noProof/>
                <w:webHidden/>
                <w:sz w:val="24"/>
                <w:szCs w:val="24"/>
              </w:rPr>
            </w:r>
            <w:r w:rsidRPr="003F28F7">
              <w:rPr>
                <w:noProof/>
                <w:webHidden/>
                <w:sz w:val="24"/>
                <w:szCs w:val="24"/>
              </w:rPr>
              <w:fldChar w:fldCharType="separate"/>
            </w:r>
            <w:r w:rsidR="0084719A">
              <w:rPr>
                <w:noProof/>
                <w:webHidden/>
                <w:sz w:val="24"/>
                <w:szCs w:val="24"/>
              </w:rPr>
              <w:t>20</w:t>
            </w:r>
            <w:r w:rsidRPr="003F28F7">
              <w:rPr>
                <w:noProof/>
                <w:webHidden/>
                <w:sz w:val="24"/>
                <w:szCs w:val="24"/>
              </w:rPr>
              <w:fldChar w:fldCharType="end"/>
            </w:r>
          </w:hyperlink>
        </w:p>
        <w:p w14:paraId="402F26C6" w14:textId="6E77E009"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7" w:history="1">
            <w:r w:rsidRPr="003F28F7">
              <w:rPr>
                <w:rStyle w:val="Hyperlink"/>
                <w:noProof/>
                <w:sz w:val="24"/>
                <w:szCs w:val="24"/>
                <w:lang w:val="en-GB"/>
              </w:rPr>
              <w:t>8. Recommendations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_Toc236848007 \h </w:instrText>
            </w:r>
            <w:r w:rsidRPr="003F28F7">
              <w:rPr>
                <w:noProof/>
                <w:webHidden/>
                <w:sz w:val="24"/>
                <w:szCs w:val="24"/>
              </w:rPr>
            </w:r>
            <w:r w:rsidRPr="003F28F7">
              <w:rPr>
                <w:noProof/>
                <w:webHidden/>
                <w:sz w:val="24"/>
                <w:szCs w:val="24"/>
              </w:rPr>
              <w:fldChar w:fldCharType="separate"/>
            </w:r>
            <w:r w:rsidR="0084719A">
              <w:rPr>
                <w:noProof/>
                <w:webHidden/>
                <w:sz w:val="24"/>
                <w:szCs w:val="24"/>
              </w:rPr>
              <w:t>21</w:t>
            </w:r>
            <w:r w:rsidRPr="003F28F7">
              <w:rPr>
                <w:noProof/>
                <w:webHidden/>
                <w:sz w:val="24"/>
                <w:szCs w:val="24"/>
              </w:rPr>
              <w:fldChar w:fldCharType="end"/>
            </w:r>
          </w:hyperlink>
        </w:p>
        <w:p w14:paraId="6BEF59C3" w14:textId="6C6C0FBD"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8" w:history="1">
            <w:r w:rsidRPr="003F28F7">
              <w:rPr>
                <w:rStyle w:val="Hyperlink"/>
                <w:noProof/>
                <w:sz w:val="24"/>
                <w:szCs w:val="24"/>
                <w:lang w:val="en-GB"/>
              </w:rPr>
              <w:t>9. Conclusion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_Toc236848008 \h </w:instrText>
            </w:r>
            <w:r w:rsidRPr="003F28F7">
              <w:rPr>
                <w:noProof/>
                <w:webHidden/>
                <w:sz w:val="24"/>
                <w:szCs w:val="24"/>
              </w:rPr>
            </w:r>
            <w:r w:rsidRPr="003F28F7">
              <w:rPr>
                <w:noProof/>
                <w:webHidden/>
                <w:sz w:val="24"/>
                <w:szCs w:val="24"/>
              </w:rPr>
              <w:fldChar w:fldCharType="separate"/>
            </w:r>
            <w:r w:rsidR="0084719A">
              <w:rPr>
                <w:noProof/>
                <w:webHidden/>
                <w:sz w:val="24"/>
                <w:szCs w:val="24"/>
              </w:rPr>
              <w:t>21</w:t>
            </w:r>
            <w:r w:rsidRPr="003F28F7">
              <w:rPr>
                <w:noProof/>
                <w:webHidden/>
                <w:sz w:val="24"/>
                <w:szCs w:val="24"/>
              </w:rPr>
              <w:fldChar w:fldCharType="end"/>
            </w:r>
          </w:hyperlink>
        </w:p>
        <w:p w14:paraId="585373E4" w14:textId="33AF27F6" w:rsidR="003F28F7" w:rsidRPr="003F28F7" w:rsidRDefault="003F28F7" w:rsidP="003F28F7">
          <w:pPr>
            <w:pStyle w:val="TOC1"/>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09" w:history="1">
            <w:r w:rsidRPr="003F28F7">
              <w:rPr>
                <w:rStyle w:val="Hyperlink"/>
                <w:noProof/>
                <w:sz w:val="24"/>
                <w:szCs w:val="24"/>
                <w:lang w:val="en-GB"/>
              </w:rPr>
              <w:t>Section 2: Reflective Account Using Gibbs' Reflective Cycle</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_Toc236848009 \h </w:instrText>
            </w:r>
            <w:r w:rsidRPr="003F28F7">
              <w:rPr>
                <w:noProof/>
                <w:webHidden/>
                <w:sz w:val="24"/>
                <w:szCs w:val="24"/>
              </w:rPr>
            </w:r>
            <w:r w:rsidRPr="003F28F7">
              <w:rPr>
                <w:noProof/>
                <w:webHidden/>
                <w:sz w:val="24"/>
                <w:szCs w:val="24"/>
              </w:rPr>
              <w:fldChar w:fldCharType="separate"/>
            </w:r>
            <w:r w:rsidR="0084719A">
              <w:rPr>
                <w:noProof/>
                <w:webHidden/>
                <w:sz w:val="24"/>
                <w:szCs w:val="24"/>
              </w:rPr>
              <w:t>22</w:t>
            </w:r>
            <w:r w:rsidRPr="003F28F7">
              <w:rPr>
                <w:noProof/>
                <w:webHidden/>
                <w:sz w:val="24"/>
                <w:szCs w:val="24"/>
              </w:rPr>
              <w:fldChar w:fldCharType="end"/>
            </w:r>
          </w:hyperlink>
        </w:p>
        <w:p w14:paraId="1491DAF5" w14:textId="5AE0F9F3"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0" w:history="1">
            <w:r w:rsidRPr="003F28F7">
              <w:rPr>
                <w:rStyle w:val="Hyperlink"/>
                <w:noProof/>
                <w:sz w:val="24"/>
                <w:szCs w:val="24"/>
                <w:lang w:val="en-GB"/>
              </w:rPr>
              <w:t>1. Description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_Toc236848010 \h </w:instrText>
            </w:r>
            <w:r w:rsidRPr="003F28F7">
              <w:rPr>
                <w:noProof/>
                <w:webHidden/>
                <w:sz w:val="24"/>
                <w:szCs w:val="24"/>
              </w:rPr>
            </w:r>
            <w:r w:rsidRPr="003F28F7">
              <w:rPr>
                <w:noProof/>
                <w:webHidden/>
                <w:sz w:val="24"/>
                <w:szCs w:val="24"/>
              </w:rPr>
              <w:fldChar w:fldCharType="separate"/>
            </w:r>
            <w:r w:rsidR="0084719A">
              <w:rPr>
                <w:noProof/>
                <w:webHidden/>
                <w:sz w:val="24"/>
                <w:szCs w:val="24"/>
              </w:rPr>
              <w:t>22</w:t>
            </w:r>
            <w:r w:rsidRPr="003F28F7">
              <w:rPr>
                <w:noProof/>
                <w:webHidden/>
                <w:sz w:val="24"/>
                <w:szCs w:val="24"/>
              </w:rPr>
              <w:fldChar w:fldCharType="end"/>
            </w:r>
          </w:hyperlink>
        </w:p>
        <w:p w14:paraId="3A899669" w14:textId="0881434D"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1" w:history="1">
            <w:r w:rsidRPr="003F28F7">
              <w:rPr>
                <w:rStyle w:val="Hyperlink"/>
                <w:noProof/>
                <w:sz w:val="24"/>
                <w:szCs w:val="24"/>
                <w:lang w:val="en-GB"/>
              </w:rPr>
              <w:t>2. Feelings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_Toc236848011 \h </w:instrText>
            </w:r>
            <w:r w:rsidRPr="003F28F7">
              <w:rPr>
                <w:noProof/>
                <w:webHidden/>
                <w:sz w:val="24"/>
                <w:szCs w:val="24"/>
              </w:rPr>
            </w:r>
            <w:r w:rsidRPr="003F28F7">
              <w:rPr>
                <w:noProof/>
                <w:webHidden/>
                <w:sz w:val="24"/>
                <w:szCs w:val="24"/>
              </w:rPr>
              <w:fldChar w:fldCharType="separate"/>
            </w:r>
            <w:r w:rsidR="0084719A">
              <w:rPr>
                <w:noProof/>
                <w:webHidden/>
                <w:sz w:val="24"/>
                <w:szCs w:val="24"/>
              </w:rPr>
              <w:t>22</w:t>
            </w:r>
            <w:r w:rsidRPr="003F28F7">
              <w:rPr>
                <w:noProof/>
                <w:webHidden/>
                <w:sz w:val="24"/>
                <w:szCs w:val="24"/>
              </w:rPr>
              <w:fldChar w:fldCharType="end"/>
            </w:r>
          </w:hyperlink>
        </w:p>
        <w:p w14:paraId="4B5C16D5" w14:textId="27EE4EEC"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2" w:history="1">
            <w:r w:rsidRPr="003F28F7">
              <w:rPr>
                <w:rStyle w:val="Hyperlink"/>
                <w:noProof/>
                <w:sz w:val="24"/>
                <w:szCs w:val="24"/>
                <w:lang w:val="en-GB"/>
              </w:rPr>
              <w:t>3. Evaluation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_Toc236848012 \h </w:instrText>
            </w:r>
            <w:r w:rsidRPr="003F28F7">
              <w:rPr>
                <w:noProof/>
                <w:webHidden/>
                <w:sz w:val="24"/>
                <w:szCs w:val="24"/>
              </w:rPr>
            </w:r>
            <w:r w:rsidRPr="003F28F7">
              <w:rPr>
                <w:noProof/>
                <w:webHidden/>
                <w:sz w:val="24"/>
                <w:szCs w:val="24"/>
              </w:rPr>
              <w:fldChar w:fldCharType="separate"/>
            </w:r>
            <w:r w:rsidR="0084719A">
              <w:rPr>
                <w:noProof/>
                <w:webHidden/>
                <w:sz w:val="24"/>
                <w:szCs w:val="24"/>
              </w:rPr>
              <w:t>23</w:t>
            </w:r>
            <w:r w:rsidRPr="003F28F7">
              <w:rPr>
                <w:noProof/>
                <w:webHidden/>
                <w:sz w:val="24"/>
                <w:szCs w:val="24"/>
              </w:rPr>
              <w:fldChar w:fldCharType="end"/>
            </w:r>
          </w:hyperlink>
        </w:p>
        <w:p w14:paraId="26E4B74E" w14:textId="1B859FFD"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3" w:history="1">
            <w:r w:rsidRPr="003F28F7">
              <w:rPr>
                <w:rStyle w:val="Hyperlink"/>
                <w:noProof/>
                <w:sz w:val="24"/>
                <w:szCs w:val="24"/>
                <w:lang w:val="en-GB"/>
              </w:rPr>
              <w:t>4. Analysis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_Toc236848013 \h </w:instrText>
            </w:r>
            <w:r w:rsidRPr="003F28F7">
              <w:rPr>
                <w:noProof/>
                <w:webHidden/>
                <w:sz w:val="24"/>
                <w:szCs w:val="24"/>
              </w:rPr>
            </w:r>
            <w:r w:rsidRPr="003F28F7">
              <w:rPr>
                <w:noProof/>
                <w:webHidden/>
                <w:sz w:val="24"/>
                <w:szCs w:val="24"/>
              </w:rPr>
              <w:fldChar w:fldCharType="separate"/>
            </w:r>
            <w:r w:rsidR="0084719A">
              <w:rPr>
                <w:noProof/>
                <w:webHidden/>
                <w:sz w:val="24"/>
                <w:szCs w:val="24"/>
              </w:rPr>
              <w:t>23</w:t>
            </w:r>
            <w:r w:rsidRPr="003F28F7">
              <w:rPr>
                <w:noProof/>
                <w:webHidden/>
                <w:sz w:val="24"/>
                <w:szCs w:val="24"/>
              </w:rPr>
              <w:fldChar w:fldCharType="end"/>
            </w:r>
          </w:hyperlink>
        </w:p>
        <w:p w14:paraId="2F590194" w14:textId="63D17F5C"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4" w:history="1">
            <w:r w:rsidRPr="003F28F7">
              <w:rPr>
                <w:rStyle w:val="Hyperlink"/>
                <w:noProof/>
                <w:sz w:val="24"/>
                <w:szCs w:val="24"/>
                <w:lang w:val="en-GB"/>
              </w:rPr>
              <w:t>5. Conclusion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_Toc236848014 \h </w:instrText>
            </w:r>
            <w:r w:rsidRPr="003F28F7">
              <w:rPr>
                <w:noProof/>
                <w:webHidden/>
                <w:sz w:val="24"/>
                <w:szCs w:val="24"/>
              </w:rPr>
            </w:r>
            <w:r w:rsidRPr="003F28F7">
              <w:rPr>
                <w:noProof/>
                <w:webHidden/>
                <w:sz w:val="24"/>
                <w:szCs w:val="24"/>
              </w:rPr>
              <w:fldChar w:fldCharType="separate"/>
            </w:r>
            <w:r w:rsidR="0084719A">
              <w:rPr>
                <w:noProof/>
                <w:webHidden/>
                <w:sz w:val="24"/>
                <w:szCs w:val="24"/>
              </w:rPr>
              <w:t>24</w:t>
            </w:r>
            <w:r w:rsidRPr="003F28F7">
              <w:rPr>
                <w:noProof/>
                <w:webHidden/>
                <w:sz w:val="24"/>
                <w:szCs w:val="24"/>
              </w:rPr>
              <w:fldChar w:fldCharType="end"/>
            </w:r>
          </w:hyperlink>
        </w:p>
        <w:p w14:paraId="049E673B" w14:textId="33E24241" w:rsidR="003F28F7" w:rsidRPr="003F28F7" w:rsidRDefault="003F28F7" w:rsidP="003F28F7">
          <w:pPr>
            <w:pStyle w:val="TOC2"/>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5" w:history="1">
            <w:r w:rsidRPr="003F28F7">
              <w:rPr>
                <w:rStyle w:val="Hyperlink"/>
                <w:noProof/>
                <w:sz w:val="24"/>
                <w:szCs w:val="24"/>
                <w:lang w:val="en-GB"/>
              </w:rPr>
              <w:t>6. Action Plan</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_Toc236848015 \h </w:instrText>
            </w:r>
            <w:r w:rsidRPr="003F28F7">
              <w:rPr>
                <w:noProof/>
                <w:webHidden/>
                <w:sz w:val="24"/>
                <w:szCs w:val="24"/>
              </w:rPr>
            </w:r>
            <w:r w:rsidRPr="003F28F7">
              <w:rPr>
                <w:noProof/>
                <w:webHidden/>
                <w:sz w:val="24"/>
                <w:szCs w:val="24"/>
              </w:rPr>
              <w:fldChar w:fldCharType="separate"/>
            </w:r>
            <w:r w:rsidR="0084719A">
              <w:rPr>
                <w:noProof/>
                <w:webHidden/>
                <w:sz w:val="24"/>
                <w:szCs w:val="24"/>
              </w:rPr>
              <w:t>24</w:t>
            </w:r>
            <w:r w:rsidRPr="003F28F7">
              <w:rPr>
                <w:noProof/>
                <w:webHidden/>
                <w:sz w:val="24"/>
                <w:szCs w:val="24"/>
              </w:rPr>
              <w:fldChar w:fldCharType="end"/>
            </w:r>
          </w:hyperlink>
        </w:p>
        <w:p w14:paraId="4BEAFB74" w14:textId="4F81FED1" w:rsidR="003F28F7" w:rsidRPr="003F28F7" w:rsidRDefault="003F28F7" w:rsidP="003F28F7">
          <w:pPr>
            <w:pStyle w:val="TOC1"/>
            <w:tabs>
              <w:tab w:val="right" w:leader="dot" w:pos="9350"/>
            </w:tabs>
            <w:spacing w:line="360" w:lineRule="auto"/>
            <w:jc w:val="both"/>
            <w:rPr>
              <w:rFonts w:eastAsiaTheme="minorEastAsia"/>
              <w:noProof/>
              <w:kern w:val="2"/>
              <w:sz w:val="24"/>
              <w:szCs w:val="24"/>
              <w:lang w:val="en-GB" w:eastAsia="en-GB"/>
              <w14:ligatures w14:val="standardContextual"/>
            </w:rPr>
          </w:pPr>
          <w:hyperlink w:anchor="_Toc236848016" w:history="1">
            <w:r w:rsidRPr="003F28F7">
              <w:rPr>
                <w:rStyle w:val="Hyperlink"/>
                <w:noProof/>
                <w:sz w:val="24"/>
                <w:szCs w:val="24"/>
                <w:lang w:val="en-GB"/>
              </w:rPr>
              <w:t>References</w:t>
            </w:r>
            <w:r w:rsidRPr="003F28F7">
              <w:rPr>
                <w:noProof/>
                <w:webHidden/>
                <w:sz w:val="24"/>
                <w:szCs w:val="24"/>
              </w:rPr>
              <w:tab/>
            </w:r>
            <w:r w:rsidRPr="003F28F7">
              <w:rPr>
                <w:noProof/>
                <w:webHidden/>
                <w:sz w:val="24"/>
                <w:szCs w:val="24"/>
              </w:rPr>
              <w:fldChar w:fldCharType="begin"/>
            </w:r>
            <w:r w:rsidRPr="003F28F7">
              <w:rPr>
                <w:noProof/>
                <w:webHidden/>
                <w:sz w:val="24"/>
                <w:szCs w:val="24"/>
              </w:rPr>
              <w:instrText xml:space="preserve"> PAGEREF _Toc236848016 \h </w:instrText>
            </w:r>
            <w:r w:rsidRPr="003F28F7">
              <w:rPr>
                <w:noProof/>
                <w:webHidden/>
                <w:sz w:val="24"/>
                <w:szCs w:val="24"/>
              </w:rPr>
            </w:r>
            <w:r w:rsidRPr="003F28F7">
              <w:rPr>
                <w:noProof/>
                <w:webHidden/>
                <w:sz w:val="24"/>
                <w:szCs w:val="24"/>
              </w:rPr>
              <w:fldChar w:fldCharType="separate"/>
            </w:r>
            <w:r w:rsidR="0084719A">
              <w:rPr>
                <w:noProof/>
                <w:webHidden/>
                <w:sz w:val="24"/>
                <w:szCs w:val="24"/>
              </w:rPr>
              <w:t>26</w:t>
            </w:r>
            <w:r w:rsidRPr="003F28F7">
              <w:rPr>
                <w:noProof/>
                <w:webHidden/>
                <w:sz w:val="24"/>
                <w:szCs w:val="24"/>
              </w:rPr>
              <w:fldChar w:fldCharType="end"/>
            </w:r>
          </w:hyperlink>
        </w:p>
        <w:p w14:paraId="0A57F1CB" w14:textId="10BD73C0" w:rsidR="0027227E" w:rsidRPr="003F28F7" w:rsidRDefault="0027227E" w:rsidP="003F28F7">
          <w:pPr>
            <w:spacing w:line="360" w:lineRule="auto"/>
            <w:jc w:val="both"/>
            <w:rPr>
              <w:sz w:val="24"/>
              <w:szCs w:val="24"/>
              <w:lang w:val="en-GB"/>
            </w:rPr>
          </w:pPr>
          <w:r w:rsidRPr="003F28F7">
            <w:rPr>
              <w:b/>
              <w:bCs/>
              <w:noProof/>
              <w:sz w:val="24"/>
              <w:szCs w:val="24"/>
              <w:lang w:val="en-GB"/>
            </w:rPr>
            <w:fldChar w:fldCharType="end"/>
          </w:r>
        </w:p>
      </w:sdtContent>
    </w:sdt>
    <w:p w14:paraId="1C0CB681" w14:textId="77777777" w:rsidR="00CB1172" w:rsidRPr="0027227E" w:rsidRDefault="00CB1172">
      <w:pPr>
        <w:spacing w:before="200" w:after="200" w:line="360" w:lineRule="auto"/>
        <w:jc w:val="center"/>
        <w:rPr>
          <w:b/>
          <w:bCs/>
          <w:sz w:val="32"/>
          <w:szCs w:val="32"/>
          <w:lang w:val="en-GB"/>
        </w:rPr>
      </w:pPr>
    </w:p>
    <w:p w14:paraId="14B6B672" w14:textId="77777777" w:rsidR="0027227E" w:rsidRPr="0027227E" w:rsidRDefault="0027227E">
      <w:pPr>
        <w:rPr>
          <w:b/>
          <w:bCs/>
          <w:sz w:val="28"/>
          <w:szCs w:val="28"/>
          <w:lang w:val="en-GB"/>
        </w:rPr>
      </w:pPr>
      <w:bookmarkStart w:id="0" w:name="_utq0utj2z1nb" w:colFirst="0" w:colLast="0"/>
      <w:bookmarkEnd w:id="0"/>
      <w:r w:rsidRPr="0027227E">
        <w:rPr>
          <w:lang w:val="en-GB"/>
        </w:rPr>
        <w:br w:type="page"/>
      </w:r>
    </w:p>
    <w:p w14:paraId="51FD362D" w14:textId="5BDBA786" w:rsidR="00CB1172" w:rsidRDefault="009E3A98">
      <w:pPr>
        <w:pStyle w:val="Heading1"/>
        <w:rPr>
          <w:lang w:val="en-GB"/>
        </w:rPr>
      </w:pPr>
      <w:bookmarkStart w:id="1" w:name="_Toc236847997"/>
      <w:r w:rsidRPr="0027227E">
        <w:rPr>
          <w:lang w:val="en-GB"/>
        </w:rPr>
        <w:t>Section 1: International Marketing Report</w:t>
      </w:r>
      <w:bookmarkEnd w:id="1"/>
      <w:r w:rsidRPr="0027227E">
        <w:rPr>
          <w:lang w:val="en-GB"/>
        </w:rPr>
        <w:t xml:space="preserve"> </w:t>
      </w:r>
    </w:p>
    <w:p w14:paraId="346325E4" w14:textId="77777777" w:rsidR="003F28F7" w:rsidRPr="00F73CEE" w:rsidRDefault="003F28F7" w:rsidP="003F28F7">
      <w:pPr>
        <w:pStyle w:val="Heading2"/>
        <w:rPr>
          <w:lang w:val="en-GB"/>
        </w:rPr>
      </w:pPr>
      <w:bookmarkStart w:id="2" w:name="_Toc236847998"/>
      <w:r w:rsidRPr="00F73CEE">
        <w:rPr>
          <w:lang w:val="en-GB"/>
        </w:rPr>
        <w:t>1. Introduction</w:t>
      </w:r>
      <w:bookmarkEnd w:id="2"/>
    </w:p>
    <w:p w14:paraId="5AB17A87"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International marketing plays a significant role in helping global companies to achieve sustainable development </w:t>
      </w:r>
      <w:r>
        <w:rPr>
          <w:sz w:val="24"/>
          <w:szCs w:val="24"/>
          <w:lang w:val="en-GB"/>
        </w:rPr>
        <w:t>by</w:t>
      </w:r>
      <w:r w:rsidRPr="00F73CEE">
        <w:rPr>
          <w:sz w:val="24"/>
          <w:szCs w:val="24"/>
          <w:lang w:val="en-GB"/>
        </w:rPr>
        <w:t xml:space="preserve"> entering diverse global markets. The differences in the political, economic, social, technological, environmental, legal, and cultural conditions require that businesses consider their marketing strategies to meet their local market needs. This study critically analyses the international marketing strategy of Toyota through comparing its operations in Japan (home country) and India (host country) (Toyota, 2025). This study evaluates the macro environment using the PESTEL framework and Hofstede’s cultural dimensions and considers Toyota’s STP strategy and the international marketing mix (7Ps). This report analyses Toyota’s market entry strategy in India and considers ethical issues aligned with its marketing strategies and offers recommendations to develop Toyota’s future international marketing performance. </w:t>
      </w:r>
    </w:p>
    <w:p w14:paraId="65B66E69" w14:textId="77777777" w:rsidR="003F28F7" w:rsidRPr="00F73CEE" w:rsidRDefault="003F28F7" w:rsidP="003F28F7">
      <w:pPr>
        <w:pStyle w:val="Heading2"/>
        <w:rPr>
          <w:lang w:val="en-GB"/>
        </w:rPr>
      </w:pPr>
      <w:bookmarkStart w:id="3" w:name="_Toc236847999"/>
      <w:r w:rsidRPr="00F73CEE">
        <w:rPr>
          <w:lang w:val="en-GB"/>
        </w:rPr>
        <w:t>2. Company Overview</w:t>
      </w:r>
      <w:bookmarkEnd w:id="3"/>
    </w:p>
    <w:p w14:paraId="22B6A0BE"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Motor Corporation was established in 1937 in Japan, and this organization has developed into one of the largest global automobile manufacturers (Toyota, 2025). This company designs, manufactures, and sells commercial vehicles and mobility solutions under brands such as Toyota and Lexus (Toyota Industries, 2025). Toyota is recognized for its higher-quality vehicles, continuous innovation, and its production system. </w:t>
      </w:r>
    </w:p>
    <w:p w14:paraId="53415065" w14:textId="77777777" w:rsidR="003F28F7" w:rsidRPr="00F73CEE" w:rsidRDefault="003F28F7" w:rsidP="003F28F7">
      <w:pPr>
        <w:spacing w:before="200" w:after="200" w:line="360" w:lineRule="auto"/>
        <w:jc w:val="center"/>
        <w:rPr>
          <w:b/>
          <w:bCs/>
          <w:sz w:val="24"/>
          <w:szCs w:val="24"/>
          <w:lang w:val="en-GB"/>
        </w:rPr>
      </w:pPr>
      <w:r w:rsidRPr="00F73CEE">
        <w:rPr>
          <w:b/>
          <w:bCs/>
          <w:noProof/>
          <w:sz w:val="24"/>
          <w:szCs w:val="24"/>
          <w:lang w:val="en-GB"/>
        </w:rPr>
        <w:drawing>
          <wp:inline distT="114300" distB="114300" distL="114300" distR="114300" wp14:anchorId="18C35EA4" wp14:editId="1A1288C8">
            <wp:extent cx="4891088" cy="2721785"/>
            <wp:effectExtent l="0" t="0" r="0" b="0"/>
            <wp:docPr id="1064411629"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891088" cy="2721785"/>
                    </a:xfrm>
                    <a:prstGeom prst="rect">
                      <a:avLst/>
                    </a:prstGeom>
                  </pic:spPr>
                </pic:pic>
              </a:graphicData>
            </a:graphic>
          </wp:inline>
        </w:drawing>
      </w:r>
    </w:p>
    <w:p w14:paraId="0BB61573" w14:textId="64F00A0C" w:rsidR="003F28F7" w:rsidRPr="003F28F7" w:rsidRDefault="003F28F7" w:rsidP="003F28F7">
      <w:pPr>
        <w:spacing w:before="200" w:after="200" w:line="360" w:lineRule="auto"/>
        <w:jc w:val="center"/>
        <w:rPr>
          <w:b/>
          <w:bCs/>
          <w:sz w:val="24"/>
          <w:szCs w:val="24"/>
          <w:lang w:val="fr-HT"/>
        </w:rPr>
      </w:pPr>
      <w:r w:rsidRPr="003F28F7">
        <w:rPr>
          <w:b/>
          <w:bCs/>
          <w:sz w:val="24"/>
          <w:szCs w:val="24"/>
          <w:lang w:val="fr-HT"/>
        </w:rPr>
        <w:t xml:space="preserve">Figure </w:t>
      </w:r>
      <w:r>
        <w:rPr>
          <w:b/>
          <w:bCs/>
          <w:sz w:val="24"/>
          <w:szCs w:val="24"/>
          <w:lang w:val="fr-HT"/>
        </w:rPr>
        <w:t>1:</w:t>
      </w:r>
      <w:r w:rsidRPr="003F28F7">
        <w:rPr>
          <w:b/>
          <w:bCs/>
          <w:sz w:val="24"/>
          <w:szCs w:val="24"/>
          <w:lang w:val="fr-HT"/>
        </w:rPr>
        <w:t xml:space="preserve"> Toyota Profit Structure</w:t>
      </w:r>
    </w:p>
    <w:p w14:paraId="63619FB0" w14:textId="3867B4DB" w:rsidR="003F28F7" w:rsidRPr="003F28F7" w:rsidRDefault="003F28F7" w:rsidP="003F28F7">
      <w:pPr>
        <w:spacing w:before="200" w:after="200" w:line="360" w:lineRule="auto"/>
        <w:jc w:val="center"/>
        <w:rPr>
          <w:sz w:val="24"/>
          <w:szCs w:val="24"/>
          <w:lang w:val="fr-HT"/>
        </w:rPr>
      </w:pPr>
      <w:r w:rsidRPr="003F28F7">
        <w:rPr>
          <w:sz w:val="24"/>
          <w:szCs w:val="24"/>
          <w:lang w:val="fr-HT"/>
        </w:rPr>
        <w:t>(Source: Toyota</w:t>
      </w:r>
      <w:r>
        <w:rPr>
          <w:sz w:val="24"/>
          <w:szCs w:val="24"/>
          <w:lang w:val="fr-HT"/>
        </w:rPr>
        <w:t xml:space="preserve">, </w:t>
      </w:r>
      <w:r w:rsidRPr="003F28F7">
        <w:rPr>
          <w:sz w:val="24"/>
          <w:szCs w:val="24"/>
          <w:lang w:val="fr-HT"/>
        </w:rPr>
        <w:t>2025a)</w:t>
      </w:r>
    </w:p>
    <w:p w14:paraId="333804A5"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has robust global performance. In 2025, this company generated sales growth of approximately ¥48.0 trillion. Consolidated vehicle sales of this company were 9.36 million units. After the pandemic situation, the operating income of Toyota increased by 10% in 2024-2025 compared to the previous year (Toyota 2025a). </w:t>
      </w:r>
    </w:p>
    <w:p w14:paraId="07170264"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The headquarters of this company is in Japan, and it is strategically vital as the home country of Toyota because there are research and development facilities, and India is considered a host market because there is a rapidly growing middle-class population. In India, automobile exports have increased by 19% in FY25 to over 5.3 million units through enhanced demand for passenger vehicles, two-wheelers, and commercial vehicles and an increased automotive industry (Ibef.org, 2026). Toyota has developed its presence through local manufacturing collaboration, which makes the country a vital market for its long-term international growth strategy. </w:t>
      </w:r>
    </w:p>
    <w:p w14:paraId="08E0D54A" w14:textId="77777777" w:rsidR="003F28F7" w:rsidRPr="003F28F7" w:rsidRDefault="003F28F7" w:rsidP="003F28F7">
      <w:pPr>
        <w:rPr>
          <w:lang w:val="en-GB"/>
        </w:rPr>
      </w:pPr>
    </w:p>
    <w:p w14:paraId="7A1433B6" w14:textId="77777777" w:rsidR="00CB1172" w:rsidRPr="0027227E" w:rsidRDefault="009E3A98">
      <w:pPr>
        <w:pStyle w:val="Heading2"/>
        <w:rPr>
          <w:lang w:val="en-GB"/>
        </w:rPr>
      </w:pPr>
      <w:bookmarkStart w:id="4" w:name="_byg52yt3ed1l" w:colFirst="0" w:colLast="0"/>
      <w:bookmarkStart w:id="5" w:name="_Toc236848000"/>
      <w:bookmarkEnd w:id="4"/>
      <w:r w:rsidRPr="0027227E">
        <w:rPr>
          <w:lang w:val="en-GB"/>
        </w:rPr>
        <w:t>3. Comparative Market Analysis of Japan and India</w:t>
      </w:r>
      <w:bookmarkEnd w:id="5"/>
    </w:p>
    <w:p w14:paraId="7410C560" w14:textId="77777777" w:rsidR="00CB1172" w:rsidRPr="0027227E" w:rsidRDefault="009E3A98">
      <w:pPr>
        <w:pStyle w:val="Heading3"/>
        <w:rPr>
          <w:lang w:val="en-GB"/>
        </w:rPr>
      </w:pPr>
      <w:bookmarkStart w:id="6" w:name="_xy1oy2poibre" w:colFirst="0" w:colLast="0"/>
      <w:bookmarkStart w:id="7" w:name="_Toc236848001"/>
      <w:bookmarkEnd w:id="6"/>
      <w:r w:rsidRPr="0027227E">
        <w:rPr>
          <w:lang w:val="en-GB"/>
        </w:rPr>
        <w:t>3.1 PESTEL Analysis</w:t>
      </w:r>
      <w:bookmarkEnd w:id="7"/>
      <w:r w:rsidRPr="0027227E">
        <w:rPr>
          <w:lang w:val="en-GB"/>
        </w:rPr>
        <w:t xml:space="preserve"> </w:t>
      </w:r>
    </w:p>
    <w:p w14:paraId="4270E23F" w14:textId="5E906015" w:rsidR="00CB1172" w:rsidRPr="0027227E" w:rsidRDefault="009E3A98">
      <w:pPr>
        <w:spacing w:before="200" w:after="200" w:line="360" w:lineRule="auto"/>
        <w:jc w:val="both"/>
        <w:rPr>
          <w:sz w:val="24"/>
          <w:szCs w:val="24"/>
          <w:lang w:val="en-GB"/>
        </w:rPr>
      </w:pPr>
      <w:r w:rsidRPr="0027227E">
        <w:rPr>
          <w:sz w:val="24"/>
          <w:szCs w:val="24"/>
          <w:lang w:val="en-GB"/>
        </w:rPr>
        <w:t xml:space="preserve">The </w:t>
      </w:r>
      <w:r w:rsidR="0027227E" w:rsidRPr="0027227E">
        <w:rPr>
          <w:sz w:val="24"/>
          <w:szCs w:val="24"/>
          <w:lang w:val="en-GB"/>
        </w:rPr>
        <w:t>macro-environmental conditions of a country influence multinational enterprises’ global marketing decisions by altering customer behaviour, investment decisions</w:t>
      </w:r>
      <w:r w:rsidRPr="0027227E">
        <w:rPr>
          <w:sz w:val="24"/>
          <w:szCs w:val="24"/>
          <w:lang w:val="en-GB"/>
        </w:rPr>
        <w:t xml:space="preserve">, and operational risks. </w:t>
      </w:r>
      <w:r w:rsidR="0027227E" w:rsidRPr="0027227E">
        <w:rPr>
          <w:sz w:val="24"/>
          <w:szCs w:val="24"/>
          <w:lang w:val="en-GB"/>
        </w:rPr>
        <w:t xml:space="preserve">Toyota's marketing strategies in Japan and India are influenced by differences in various factors identified by the </w:t>
      </w:r>
      <w:r w:rsidRPr="0027227E">
        <w:rPr>
          <w:sz w:val="24"/>
          <w:szCs w:val="24"/>
          <w:lang w:val="en-GB"/>
        </w:rPr>
        <w:t xml:space="preserve">PESTLE analysis. </w:t>
      </w:r>
    </w:p>
    <w:p w14:paraId="7FA453CA"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Political Factors</w:t>
      </w:r>
    </w:p>
    <w:p w14:paraId="5E2F6278"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5AE1799F" w14:textId="77777777" w:rsidR="00CB1172" w:rsidRPr="0027227E" w:rsidRDefault="009E3A98">
      <w:pPr>
        <w:spacing w:before="200" w:after="200" w:line="360" w:lineRule="auto"/>
        <w:jc w:val="both"/>
        <w:rPr>
          <w:sz w:val="24"/>
          <w:szCs w:val="24"/>
          <w:lang w:val="en-GB"/>
        </w:rPr>
      </w:pPr>
      <w:r w:rsidRPr="0027227E">
        <w:rPr>
          <w:sz w:val="24"/>
          <w:szCs w:val="24"/>
          <w:lang w:val="en-GB"/>
        </w:rPr>
        <w:t>Japan provides Toyota with a highly stable political environment supported by effective governance, strong institutions, and long-term industrial policies. The Japanese government has supported the automotive sector through investment in advanced mobility technologies, trade agreements, and innovation policies. For instance, the Green Growth Strategy of Japan promotes carbon neutrality by 2050 (Energy environment, 2026). It influences manufacturers such as Toyota to increase hydrogen and hybrid vehicle deve</w:t>
      </w:r>
      <w:r w:rsidRPr="0027227E">
        <w:rPr>
          <w:sz w:val="24"/>
          <w:szCs w:val="24"/>
          <w:lang w:val="en-GB"/>
        </w:rPr>
        <w:t xml:space="preserve">lopment. The political environment supports positioning of Toyota as an environmentally and technology-driven automotive brand. </w:t>
      </w:r>
    </w:p>
    <w:p w14:paraId="1703B569"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04533F29" w14:textId="77777777" w:rsidR="00CB1172" w:rsidRPr="0027227E" w:rsidRDefault="009E3A98">
      <w:pPr>
        <w:spacing w:before="200" w:after="200" w:line="360" w:lineRule="auto"/>
        <w:jc w:val="both"/>
        <w:rPr>
          <w:sz w:val="24"/>
          <w:szCs w:val="24"/>
          <w:lang w:val="en-GB"/>
        </w:rPr>
      </w:pPr>
      <w:r w:rsidRPr="0027227E">
        <w:rPr>
          <w:sz w:val="24"/>
          <w:szCs w:val="24"/>
          <w:lang w:val="en-GB"/>
        </w:rPr>
        <w:t>India presents a more complex but opportunity-driven political environment. The Indian government has stimulated automobile manufacturing with schemes such as the Production Linked Incentive (PLI) Scheme and Make in India, intended to attract foreign investment and boost domestic manufacturing capabilities (Pib.gov, 2026). Also, tax policies and infrastructure challenges add to operational complexities. Toyota has responded through localisation strategies, especially through Toyota Kirloskar Motor (Toyotabh</w:t>
      </w:r>
      <w:r w:rsidRPr="0027227E">
        <w:rPr>
          <w:sz w:val="24"/>
          <w:szCs w:val="24"/>
          <w:lang w:val="en-GB"/>
        </w:rPr>
        <w:t xml:space="preserve">arat, 2022).   </w:t>
      </w:r>
    </w:p>
    <w:p w14:paraId="08AABC59"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Economic Factors</w:t>
      </w:r>
    </w:p>
    <w:p w14:paraId="19085B81"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70AB2E0A" w14:textId="77777777" w:rsidR="00CB1172" w:rsidRPr="0027227E" w:rsidRDefault="009E3A98">
      <w:pPr>
        <w:spacing w:before="200" w:after="200" w:line="360" w:lineRule="auto"/>
        <w:jc w:val="center"/>
        <w:rPr>
          <w:b/>
          <w:bCs/>
          <w:i/>
          <w:iCs/>
          <w:sz w:val="24"/>
          <w:szCs w:val="24"/>
          <w:lang w:val="en-GB"/>
        </w:rPr>
      </w:pPr>
      <w:r w:rsidRPr="0027227E">
        <w:rPr>
          <w:b/>
          <w:bCs/>
          <w:i/>
          <w:iCs/>
          <w:noProof/>
          <w:sz w:val="24"/>
          <w:szCs w:val="24"/>
          <w:lang w:val="en-GB"/>
        </w:rPr>
        <w:drawing>
          <wp:inline distT="114300" distB="114300" distL="114300" distR="114300" wp14:anchorId="58E4B8CB" wp14:editId="59923A22">
            <wp:extent cx="4319588" cy="2729979"/>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319588" cy="2729979"/>
                    </a:xfrm>
                    <a:prstGeom prst="rect">
                      <a:avLst/>
                    </a:prstGeom>
                    <a:ln w="25400">
                      <a:solidFill>
                        <a:srgbClr val="000000"/>
                      </a:solidFill>
                      <a:prstDash val="solid"/>
                    </a:ln>
                  </pic:spPr>
                </pic:pic>
              </a:graphicData>
            </a:graphic>
          </wp:inline>
        </w:drawing>
      </w:r>
    </w:p>
    <w:p w14:paraId="72122F17" w14:textId="682F1471" w:rsidR="00CB1172" w:rsidRPr="0027227E" w:rsidRDefault="009E3A98">
      <w:pPr>
        <w:spacing w:before="200" w:after="200" w:line="360" w:lineRule="auto"/>
        <w:jc w:val="center"/>
        <w:rPr>
          <w:b/>
          <w:bCs/>
          <w:sz w:val="24"/>
          <w:szCs w:val="24"/>
          <w:lang w:val="en-GB"/>
        </w:rPr>
      </w:pPr>
      <w:r w:rsidRPr="0027227E">
        <w:rPr>
          <w:b/>
          <w:bCs/>
          <w:sz w:val="24"/>
          <w:szCs w:val="24"/>
          <w:lang w:val="en-GB"/>
        </w:rPr>
        <w:t xml:space="preserve">Figure </w:t>
      </w:r>
      <w:r w:rsidR="00687CCE">
        <w:rPr>
          <w:b/>
          <w:bCs/>
          <w:sz w:val="24"/>
          <w:szCs w:val="24"/>
          <w:lang w:val="en-GB"/>
        </w:rPr>
        <w:t>2</w:t>
      </w:r>
      <w:r w:rsidRPr="0027227E">
        <w:rPr>
          <w:b/>
          <w:bCs/>
          <w:sz w:val="24"/>
          <w:szCs w:val="24"/>
          <w:lang w:val="en-GB"/>
        </w:rPr>
        <w:t xml:space="preserve">: GDP of Japan </w:t>
      </w:r>
    </w:p>
    <w:p w14:paraId="3EA57021" w14:textId="77777777" w:rsidR="00CB1172" w:rsidRPr="0027227E" w:rsidRDefault="009E3A98">
      <w:pPr>
        <w:spacing w:before="200" w:after="200" w:line="360" w:lineRule="auto"/>
        <w:jc w:val="center"/>
        <w:rPr>
          <w:sz w:val="24"/>
          <w:szCs w:val="24"/>
          <w:lang w:val="en-GB"/>
        </w:rPr>
      </w:pPr>
      <w:r w:rsidRPr="0027227E">
        <w:rPr>
          <w:sz w:val="24"/>
          <w:szCs w:val="24"/>
          <w:lang w:val="en-GB"/>
        </w:rPr>
        <w:t>(Source: Statista Research Department, 2026)</w:t>
      </w:r>
    </w:p>
    <w:p w14:paraId="6BCB75AE" w14:textId="77777777" w:rsidR="00CB1172" w:rsidRPr="0027227E" w:rsidRDefault="009E3A98">
      <w:pPr>
        <w:spacing w:before="200" w:after="200" w:line="360" w:lineRule="auto"/>
        <w:jc w:val="both"/>
        <w:rPr>
          <w:sz w:val="24"/>
          <w:szCs w:val="24"/>
          <w:lang w:val="en-GB"/>
        </w:rPr>
      </w:pPr>
      <w:r w:rsidRPr="0027227E">
        <w:rPr>
          <w:sz w:val="24"/>
          <w:szCs w:val="24"/>
          <w:lang w:val="en-GB"/>
        </w:rPr>
        <w:t>Japan has a high-income economy with advanced infrastructure and strong buying power. In 2026, Japan's GDP is 4.38 trillion U.S. dollars, and the estimated GDP is expected to be higher than India's in 2030, supported by customer demand for premium vehicles, hybrid technology, and technologically advanced products (Statista Research Department, 2026). Japan faces problems such as an aging population, a decreasing domestic vehicle market, and decreased economic development (Heller, 2016). Toyota emphasises pr</w:t>
      </w:r>
      <w:r w:rsidRPr="0027227E">
        <w:rPr>
          <w:sz w:val="24"/>
          <w:szCs w:val="24"/>
          <w:lang w:val="en-GB"/>
        </w:rPr>
        <w:t xml:space="preserve">emiumisation, innovation, and sustainable mobility for maintaining competitiveness. </w:t>
      </w:r>
    </w:p>
    <w:p w14:paraId="776E904A" w14:textId="77777777" w:rsidR="00CB1172" w:rsidRPr="0027227E" w:rsidRDefault="009E3A98">
      <w:p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67A25F4A" w14:textId="77777777" w:rsidR="00CB1172" w:rsidRPr="0027227E" w:rsidRDefault="009E3A98">
      <w:pPr>
        <w:spacing w:before="200" w:after="200" w:line="360" w:lineRule="auto"/>
        <w:jc w:val="center"/>
        <w:rPr>
          <w:b/>
          <w:bCs/>
          <w:i/>
          <w:iCs/>
          <w:sz w:val="24"/>
          <w:szCs w:val="24"/>
          <w:lang w:val="en-GB"/>
        </w:rPr>
      </w:pPr>
      <w:r w:rsidRPr="0027227E">
        <w:rPr>
          <w:b/>
          <w:bCs/>
          <w:i/>
          <w:iCs/>
          <w:noProof/>
          <w:sz w:val="24"/>
          <w:szCs w:val="24"/>
          <w:lang w:val="en-GB"/>
        </w:rPr>
        <w:drawing>
          <wp:inline distT="114300" distB="114300" distL="114300" distR="114300" wp14:anchorId="59CD03E4" wp14:editId="291B1DFE">
            <wp:extent cx="4367213" cy="29114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4367213" cy="2911475"/>
                    </a:xfrm>
                    <a:prstGeom prst="rect">
                      <a:avLst/>
                    </a:prstGeom>
                    <a:ln w="25400">
                      <a:solidFill>
                        <a:srgbClr val="000000"/>
                      </a:solidFill>
                      <a:prstDash val="solid"/>
                    </a:ln>
                  </pic:spPr>
                </pic:pic>
              </a:graphicData>
            </a:graphic>
          </wp:inline>
        </w:drawing>
      </w:r>
    </w:p>
    <w:p w14:paraId="5B2E9630" w14:textId="5CE9A74C" w:rsidR="00CB1172" w:rsidRPr="0027227E" w:rsidRDefault="009E3A98">
      <w:pPr>
        <w:spacing w:before="200" w:after="200" w:line="360" w:lineRule="auto"/>
        <w:jc w:val="center"/>
        <w:rPr>
          <w:b/>
          <w:bCs/>
          <w:sz w:val="24"/>
          <w:szCs w:val="24"/>
          <w:lang w:val="en-GB"/>
        </w:rPr>
      </w:pPr>
      <w:r w:rsidRPr="0027227E">
        <w:rPr>
          <w:b/>
          <w:bCs/>
          <w:sz w:val="24"/>
          <w:szCs w:val="24"/>
          <w:lang w:val="en-GB"/>
        </w:rPr>
        <w:t xml:space="preserve">Figure </w:t>
      </w:r>
      <w:r w:rsidR="00687CCE">
        <w:rPr>
          <w:b/>
          <w:bCs/>
          <w:sz w:val="24"/>
          <w:szCs w:val="24"/>
          <w:lang w:val="en-GB"/>
        </w:rPr>
        <w:t>3</w:t>
      </w:r>
      <w:r w:rsidRPr="0027227E">
        <w:rPr>
          <w:b/>
          <w:bCs/>
          <w:sz w:val="24"/>
          <w:szCs w:val="24"/>
          <w:lang w:val="en-GB"/>
        </w:rPr>
        <w:t xml:space="preserve">: India’s GDP </w:t>
      </w:r>
    </w:p>
    <w:p w14:paraId="25449664" w14:textId="77777777" w:rsidR="00CB1172" w:rsidRPr="0027227E" w:rsidRDefault="009E3A98">
      <w:pPr>
        <w:spacing w:before="200" w:after="200" w:line="360" w:lineRule="auto"/>
        <w:jc w:val="center"/>
        <w:rPr>
          <w:sz w:val="24"/>
          <w:szCs w:val="24"/>
          <w:lang w:val="en-GB"/>
        </w:rPr>
      </w:pPr>
      <w:r w:rsidRPr="0027227E">
        <w:rPr>
          <w:sz w:val="24"/>
          <w:szCs w:val="24"/>
          <w:lang w:val="en-GB"/>
        </w:rPr>
        <w:t>(Source: Harald Finger and Nujin Suphaphiphat, 2025)</w:t>
      </w:r>
    </w:p>
    <w:p w14:paraId="534A43D5" w14:textId="77777777" w:rsidR="00CB1172" w:rsidRPr="0027227E" w:rsidRDefault="009E3A98">
      <w:pPr>
        <w:spacing w:before="200" w:after="200" w:line="360" w:lineRule="auto"/>
        <w:jc w:val="both"/>
        <w:rPr>
          <w:sz w:val="24"/>
          <w:szCs w:val="24"/>
          <w:lang w:val="en-GB"/>
        </w:rPr>
      </w:pPr>
      <w:r w:rsidRPr="0027227E">
        <w:rPr>
          <w:sz w:val="24"/>
          <w:szCs w:val="24"/>
          <w:lang w:val="en-GB"/>
        </w:rPr>
        <w:t>India is one of the fastest-growing major economies in the world and provides significant market expansion opportunities. In 2021-2024, India's GDP share was around 7.8%, and it is estimated that in 2025-2030, the global GDP growth will be 19.2% (Harald Finger and Nujin Suphaphiphat, 2025). The International Monetary Fund estimated robust economic growth for India, supported by enhanced disposable income, increasing urbanization, and enhanced middle-class consumption (International Monetary Fund, 2025). Toy</w:t>
      </w:r>
      <w:r w:rsidRPr="0027227E">
        <w:rPr>
          <w:sz w:val="24"/>
          <w:szCs w:val="24"/>
          <w:lang w:val="en-GB"/>
        </w:rPr>
        <w:t xml:space="preserve">ota's Indian strategy differs from Japan by focusing on fuel efficiency, affordability, and value-based offerings. Toyota Innova and Urban Cruiser Hyryder reflect adaptation to Indian economic conditions. </w:t>
      </w:r>
    </w:p>
    <w:p w14:paraId="6319237C"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Social Factors</w:t>
      </w:r>
    </w:p>
    <w:p w14:paraId="56733578"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1CD72C3D" w14:textId="77777777" w:rsidR="00CB1172" w:rsidRPr="0027227E" w:rsidRDefault="009E3A98">
      <w:pPr>
        <w:spacing w:before="200" w:after="200" w:line="360" w:lineRule="auto"/>
        <w:jc w:val="center"/>
        <w:rPr>
          <w:sz w:val="24"/>
          <w:szCs w:val="24"/>
          <w:lang w:val="en-GB"/>
        </w:rPr>
      </w:pPr>
      <w:r w:rsidRPr="0027227E">
        <w:rPr>
          <w:noProof/>
          <w:sz w:val="24"/>
          <w:szCs w:val="24"/>
          <w:lang w:val="en-GB"/>
        </w:rPr>
        <w:drawing>
          <wp:inline distT="114300" distB="114300" distL="114300" distR="114300" wp14:anchorId="105A5CC9" wp14:editId="75A657BE">
            <wp:extent cx="5357813" cy="236121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a:srcRect t="21652"/>
                    <a:stretch>
                      <a:fillRect/>
                    </a:stretch>
                  </pic:blipFill>
                  <pic:spPr>
                    <a:xfrm>
                      <a:off x="0" y="0"/>
                      <a:ext cx="5357813" cy="2361215"/>
                    </a:xfrm>
                    <a:prstGeom prst="rect">
                      <a:avLst/>
                    </a:prstGeom>
                    <a:ln w="25400">
                      <a:solidFill>
                        <a:srgbClr val="000000"/>
                      </a:solidFill>
                      <a:prstDash val="solid"/>
                    </a:ln>
                  </pic:spPr>
                </pic:pic>
              </a:graphicData>
            </a:graphic>
          </wp:inline>
        </w:drawing>
      </w:r>
    </w:p>
    <w:p w14:paraId="05C8EC5E" w14:textId="1CC426E5" w:rsidR="00CB1172" w:rsidRPr="0027227E" w:rsidRDefault="009E3A98">
      <w:pPr>
        <w:spacing w:before="200" w:after="200" w:line="360" w:lineRule="auto"/>
        <w:jc w:val="center"/>
        <w:rPr>
          <w:b/>
          <w:bCs/>
          <w:sz w:val="24"/>
          <w:szCs w:val="24"/>
          <w:lang w:val="en-GB"/>
        </w:rPr>
      </w:pPr>
      <w:r w:rsidRPr="0027227E">
        <w:rPr>
          <w:b/>
          <w:bCs/>
          <w:sz w:val="24"/>
          <w:szCs w:val="24"/>
          <w:lang w:val="en-GB"/>
        </w:rPr>
        <w:t xml:space="preserve">Figure </w:t>
      </w:r>
      <w:r w:rsidR="00687CCE">
        <w:rPr>
          <w:b/>
          <w:bCs/>
          <w:sz w:val="24"/>
          <w:szCs w:val="24"/>
          <w:lang w:val="en-GB"/>
        </w:rPr>
        <w:t>4</w:t>
      </w:r>
      <w:r w:rsidRPr="0027227E">
        <w:rPr>
          <w:b/>
          <w:bCs/>
          <w:sz w:val="24"/>
          <w:szCs w:val="24"/>
          <w:lang w:val="en-GB"/>
        </w:rPr>
        <w:t xml:space="preserve">: Hybrid vehicle industry in Japan </w:t>
      </w:r>
    </w:p>
    <w:p w14:paraId="08207B36" w14:textId="77777777" w:rsidR="00CB1172" w:rsidRPr="0027227E" w:rsidRDefault="009E3A98">
      <w:pPr>
        <w:spacing w:before="200" w:after="200" w:line="360" w:lineRule="auto"/>
        <w:jc w:val="center"/>
        <w:rPr>
          <w:sz w:val="24"/>
          <w:szCs w:val="24"/>
          <w:lang w:val="en-GB"/>
        </w:rPr>
      </w:pPr>
      <w:r w:rsidRPr="0027227E">
        <w:rPr>
          <w:sz w:val="24"/>
          <w:szCs w:val="24"/>
          <w:lang w:val="en-GB"/>
        </w:rPr>
        <w:t>(Source: Imarcgroup 2026)</w:t>
      </w:r>
    </w:p>
    <w:p w14:paraId="61238EC5"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In 2024, the market for hybrid vehicles in Japan reached around  USD 33.57 billion, and it will reach USD 372.20 billion in 2033  (Imarcgroup 2026). Japan has a technologically sophisticated consumer base that values quality, reliability, safety, and environmental responsibility. Japanese customers exhibit strong brand loyalty and demand high levels of product performance, which support Toyota's reputation for innovation and quality. </w:t>
      </w:r>
    </w:p>
    <w:p w14:paraId="2C2918B3"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3FA54B8A"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India has a more youthful and more diverse demographic with changing mobility needs due to urbanisation and increasing household incomes. India has around 371 million young people aged 15 to 29, creating opportunities for automotive growth (Pib.gov, 2025). Indian consumers focus on spacious vehicles, affordability, and low maintenance costs. Toyota adapts its product positioning by encouraging practical benefits rather than only technological superiority. </w:t>
      </w:r>
    </w:p>
    <w:p w14:paraId="434FD608"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Technological Factors</w:t>
      </w:r>
    </w:p>
    <w:p w14:paraId="68D2D622"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7B6DBF66"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Technology is a major competitive advantage for Toyota in both markets. Japan offers a highly developed innovation ecosystem with robust research capabilities and supporting leadership of Toyota in hybrid vehicles, autonomous mobility solutions, and hydrogen fuel-cell technology. </w:t>
      </w:r>
    </w:p>
    <w:p w14:paraId="3C549F38"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156D083B" w14:textId="77777777" w:rsidR="00CB1172" w:rsidRPr="0027227E" w:rsidRDefault="009E3A98">
      <w:pPr>
        <w:spacing w:before="200" w:after="200" w:line="360" w:lineRule="auto"/>
        <w:jc w:val="center"/>
        <w:rPr>
          <w:sz w:val="24"/>
          <w:szCs w:val="24"/>
          <w:lang w:val="en-GB"/>
        </w:rPr>
      </w:pPr>
      <w:r w:rsidRPr="0027227E">
        <w:rPr>
          <w:noProof/>
          <w:sz w:val="24"/>
          <w:szCs w:val="24"/>
          <w:lang w:val="en-GB"/>
        </w:rPr>
        <w:drawing>
          <wp:inline distT="114300" distB="114300" distL="114300" distR="114300" wp14:anchorId="0981143B" wp14:editId="37F1C6D1">
            <wp:extent cx="4762500" cy="28194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3"/>
                    <a:srcRect r="19872"/>
                    <a:stretch>
                      <a:fillRect/>
                    </a:stretch>
                  </pic:blipFill>
                  <pic:spPr>
                    <a:xfrm>
                      <a:off x="0" y="0"/>
                      <a:ext cx="4762500" cy="2819400"/>
                    </a:xfrm>
                    <a:prstGeom prst="rect">
                      <a:avLst/>
                    </a:prstGeom>
                    <a:ln w="25400">
                      <a:solidFill>
                        <a:srgbClr val="000000"/>
                      </a:solidFill>
                      <a:prstDash val="solid"/>
                    </a:ln>
                  </pic:spPr>
                </pic:pic>
              </a:graphicData>
            </a:graphic>
          </wp:inline>
        </w:drawing>
      </w:r>
    </w:p>
    <w:p w14:paraId="12E16D98" w14:textId="37B466D8" w:rsidR="00CB1172" w:rsidRPr="0027227E" w:rsidRDefault="009E3A98">
      <w:pPr>
        <w:spacing w:before="200" w:after="200" w:line="360" w:lineRule="auto"/>
        <w:jc w:val="center"/>
        <w:rPr>
          <w:b/>
          <w:bCs/>
          <w:sz w:val="24"/>
          <w:szCs w:val="24"/>
          <w:lang w:val="en-GB"/>
        </w:rPr>
      </w:pPr>
      <w:r w:rsidRPr="0027227E">
        <w:rPr>
          <w:b/>
          <w:bCs/>
          <w:sz w:val="24"/>
          <w:szCs w:val="24"/>
          <w:lang w:val="en-GB"/>
        </w:rPr>
        <w:t xml:space="preserve">Figure </w:t>
      </w:r>
      <w:r w:rsidR="00687CCE">
        <w:rPr>
          <w:b/>
          <w:bCs/>
          <w:sz w:val="24"/>
          <w:szCs w:val="24"/>
          <w:lang w:val="en-GB"/>
        </w:rPr>
        <w:t>5</w:t>
      </w:r>
      <w:r w:rsidRPr="0027227E">
        <w:rPr>
          <w:b/>
          <w:bCs/>
          <w:sz w:val="24"/>
          <w:szCs w:val="24"/>
          <w:lang w:val="en-GB"/>
        </w:rPr>
        <w:t xml:space="preserve">: Connected Vehicles Market Trends of India </w:t>
      </w:r>
    </w:p>
    <w:p w14:paraId="6D360F7F" w14:textId="77777777" w:rsidR="00CB1172" w:rsidRPr="0027227E" w:rsidRDefault="009E3A98">
      <w:pPr>
        <w:spacing w:before="200" w:after="200" w:line="360" w:lineRule="auto"/>
        <w:jc w:val="center"/>
        <w:rPr>
          <w:sz w:val="24"/>
          <w:szCs w:val="24"/>
          <w:lang w:val="en-GB"/>
        </w:rPr>
      </w:pPr>
      <w:r w:rsidRPr="0027227E">
        <w:rPr>
          <w:sz w:val="24"/>
          <w:szCs w:val="24"/>
          <w:lang w:val="en-GB"/>
        </w:rPr>
        <w:t>(Source: Imarcgroup, 2026a)</w:t>
      </w:r>
    </w:p>
    <w:p w14:paraId="4DFD6C94"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In India, the connected vehicles market size will reach 27.8 billion by 2034 (Imarcgroup, 2026a). This market share is enhanced by boosting the adoption of connected vehicle technology that provides realistic monitoring of battery health. EV adoption remains slower due to charging infrastructure limitations and high battery costs. Toyota has gradually adopted an electrification approach in India, emphasizing hybrid technology.  </w:t>
      </w:r>
    </w:p>
    <w:p w14:paraId="0E3B43E8"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Environmental Factors</w:t>
      </w:r>
    </w:p>
    <w:p w14:paraId="12A8E277"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7404B822"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Japan's strong environmental regulations and commitment to carbon neutrality encourage Toyota to invest in low-carbon technologies. Toyota's hybrid vehicle strategy, especially its hybrid and Prius models, supports the environmental positioning (Toyota, 2025c). </w:t>
      </w:r>
    </w:p>
    <w:p w14:paraId="7418E670"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7A4D3AB7"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India faces high environmental challenges such as increasing pressure to decrease vehicle emissions and air pollution. Government policies such as stricter Bharat Stage VI emission standards have promoted cleaner automotive technologies (International Council on Clean Transportation, 2016). Toyota has responded by introducing sustainable mobility solutions and hybrid vehicles.  </w:t>
      </w:r>
    </w:p>
    <w:p w14:paraId="7FD26B33"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Legal Factors</w:t>
      </w:r>
    </w:p>
    <w:p w14:paraId="466772F2"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Home country:  Japan </w:t>
      </w:r>
    </w:p>
    <w:p w14:paraId="09B18BA7"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Japan has a strong regulatory framework regarding vehicle safety, emissions, and consumer protection. Toyota operates under regulations including Japan’s fuel efficiency standards and the Road Transport Vehicle Act that motivate manufacturers to maintain high safety and environmental performance (Noriko Higashizawa, 2026). These regulations support Toyota's reputation for reliability and innovation. </w:t>
      </w:r>
    </w:p>
    <w:p w14:paraId="7B47420F" w14:textId="77777777" w:rsidR="00CB1172" w:rsidRPr="0027227E" w:rsidRDefault="009E3A98">
      <w:pPr>
        <w:numPr>
          <w:ilvl w:val="0"/>
          <w:numId w:val="1"/>
        </w:numPr>
        <w:spacing w:before="200" w:after="200" w:line="360" w:lineRule="auto"/>
        <w:jc w:val="both"/>
        <w:rPr>
          <w:b/>
          <w:bCs/>
          <w:i/>
          <w:iCs/>
          <w:sz w:val="24"/>
          <w:szCs w:val="24"/>
          <w:lang w:val="en-GB"/>
        </w:rPr>
      </w:pPr>
      <w:r w:rsidRPr="0027227E">
        <w:rPr>
          <w:b/>
          <w:bCs/>
          <w:i/>
          <w:iCs/>
          <w:sz w:val="24"/>
          <w:szCs w:val="24"/>
          <w:lang w:val="en-GB"/>
        </w:rPr>
        <w:t xml:space="preserve">Host country: India </w:t>
      </w:r>
    </w:p>
    <w:p w14:paraId="77BE22B8" w14:textId="77777777" w:rsidR="00CB1172" w:rsidRDefault="009E3A98">
      <w:pPr>
        <w:spacing w:before="200" w:after="200" w:line="360" w:lineRule="auto"/>
        <w:jc w:val="both"/>
        <w:rPr>
          <w:sz w:val="24"/>
          <w:szCs w:val="24"/>
          <w:lang w:val="en-GB"/>
        </w:rPr>
      </w:pPr>
      <w:r w:rsidRPr="0027227E">
        <w:rPr>
          <w:sz w:val="24"/>
          <w:szCs w:val="24"/>
          <w:lang w:val="en-GB"/>
        </w:rPr>
        <w:t xml:space="preserve">In India, Toyota needs to comply with regulations such as the Motor Vehicles Act (1988) and Bharat Stage VI emission standards that influence vehicle safety and environmental needs. Therefore, foreign investment regulations affect Toyota's operations through its joint venture with Toyota Kirloskar Motor (International Council On Clean Transportation, 2016). Compared with Japan, India’s regulatory environment is more dynamic, and Toyota needs to adopt flexible strategies. </w:t>
      </w:r>
    </w:p>
    <w:p w14:paraId="1E3C549D" w14:textId="77777777" w:rsidR="003F28F7" w:rsidRPr="00F73CEE" w:rsidRDefault="003F28F7" w:rsidP="003F28F7">
      <w:pPr>
        <w:pStyle w:val="Heading3"/>
        <w:rPr>
          <w:lang w:val="en-GB"/>
        </w:rPr>
      </w:pPr>
      <w:bookmarkStart w:id="8" w:name="_Toc236848002"/>
      <w:r w:rsidRPr="00F73CEE">
        <w:rPr>
          <w:lang w:val="en-GB"/>
        </w:rPr>
        <w:t>3.2 Hofstede's Cultural Dimensions</w:t>
      </w:r>
      <w:bookmarkEnd w:id="8"/>
      <w:r w:rsidRPr="00F73CEE">
        <w:rPr>
          <w:lang w:val="en-GB"/>
        </w:rPr>
        <w:t xml:space="preserve"> </w:t>
      </w:r>
    </w:p>
    <w:p w14:paraId="0B86CBA0"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Hofstede's Cultural Dimensions offer a useful framework for comparison of the cultural differences affecting customer behaviour, management practices, and marketing strategies (Jan </w:t>
      </w:r>
      <w:r w:rsidRPr="00F73CEE">
        <w:rPr>
          <w:i/>
          <w:iCs/>
          <w:sz w:val="24"/>
          <w:szCs w:val="24"/>
          <w:lang w:val="en-GB"/>
        </w:rPr>
        <w:t>et al.</w:t>
      </w:r>
      <w:r w:rsidRPr="00F73CEE">
        <w:rPr>
          <w:sz w:val="24"/>
          <w:szCs w:val="24"/>
          <w:lang w:val="en-GB"/>
        </w:rPr>
        <w:t xml:space="preserve"> 2024). Toyota has adopted its international marketing activities to meet the cultural expectations of customers in both countries. </w:t>
      </w:r>
    </w:p>
    <w:p w14:paraId="4D3E82A1" w14:textId="77777777" w:rsidR="003F28F7" w:rsidRPr="00F73CEE" w:rsidRDefault="003F28F7" w:rsidP="003F28F7">
      <w:pPr>
        <w:spacing w:before="200" w:after="200" w:line="360" w:lineRule="auto"/>
        <w:jc w:val="center"/>
        <w:rPr>
          <w:sz w:val="24"/>
          <w:szCs w:val="24"/>
          <w:lang w:val="en-GB"/>
        </w:rPr>
      </w:pPr>
      <w:r w:rsidRPr="00F73CEE">
        <w:rPr>
          <w:noProof/>
          <w:sz w:val="24"/>
          <w:szCs w:val="24"/>
          <w:lang w:val="en-GB"/>
        </w:rPr>
        <w:drawing>
          <wp:inline distT="114300" distB="114300" distL="114300" distR="114300" wp14:anchorId="1A4C4480" wp14:editId="7AECACC0">
            <wp:extent cx="5731200" cy="2959100"/>
            <wp:effectExtent l="25400" t="25400" r="25400" b="25400"/>
            <wp:docPr id="1909317631"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4"/>
                    <a:stretch>
                      <a:fillRect/>
                    </a:stretch>
                  </pic:blipFill>
                  <pic:spPr>
                    <a:xfrm>
                      <a:off x="0" y="0"/>
                      <a:ext cx="5731200" cy="2959100"/>
                    </a:xfrm>
                    <a:prstGeom prst="rect">
                      <a:avLst/>
                    </a:prstGeom>
                    <a:ln w="25400">
                      <a:solidFill>
                        <a:srgbClr val="000000"/>
                      </a:solidFill>
                      <a:prstDash val="solid"/>
                    </a:ln>
                  </pic:spPr>
                </pic:pic>
              </a:graphicData>
            </a:graphic>
          </wp:inline>
        </w:drawing>
      </w:r>
    </w:p>
    <w:p w14:paraId="72263B98" w14:textId="3466B1CA" w:rsidR="003F28F7" w:rsidRPr="00F73CEE" w:rsidRDefault="003F28F7" w:rsidP="003F28F7">
      <w:pPr>
        <w:spacing w:before="200" w:after="200" w:line="360" w:lineRule="auto"/>
        <w:jc w:val="center"/>
        <w:rPr>
          <w:b/>
          <w:bCs/>
          <w:sz w:val="24"/>
          <w:szCs w:val="24"/>
          <w:lang w:val="en-GB"/>
        </w:rPr>
      </w:pPr>
      <w:r w:rsidRPr="00F73CEE">
        <w:rPr>
          <w:b/>
          <w:bCs/>
          <w:sz w:val="24"/>
          <w:szCs w:val="24"/>
          <w:lang w:val="en-GB"/>
        </w:rPr>
        <w:t xml:space="preserve">Figure </w:t>
      </w:r>
      <w:r w:rsidR="00687CCE">
        <w:rPr>
          <w:b/>
          <w:bCs/>
          <w:sz w:val="24"/>
          <w:szCs w:val="24"/>
          <w:lang w:val="en-GB"/>
        </w:rPr>
        <w:t>6</w:t>
      </w:r>
      <w:r w:rsidRPr="00F73CEE">
        <w:rPr>
          <w:b/>
          <w:bCs/>
          <w:sz w:val="24"/>
          <w:szCs w:val="24"/>
          <w:lang w:val="en-GB"/>
        </w:rPr>
        <w:t>: Comparison of cultural factors between Japan and India</w:t>
      </w:r>
    </w:p>
    <w:p w14:paraId="3FC91FA5" w14:textId="77777777" w:rsidR="003F28F7" w:rsidRPr="00F73CEE" w:rsidRDefault="003F28F7" w:rsidP="003F28F7">
      <w:pPr>
        <w:spacing w:before="200" w:after="200" w:line="360" w:lineRule="auto"/>
        <w:jc w:val="center"/>
        <w:rPr>
          <w:sz w:val="24"/>
          <w:szCs w:val="24"/>
          <w:lang w:val="en-GB"/>
        </w:rPr>
      </w:pPr>
      <w:r w:rsidRPr="00F73CEE">
        <w:rPr>
          <w:sz w:val="24"/>
          <w:szCs w:val="24"/>
          <w:lang w:val="en-GB"/>
        </w:rPr>
        <w:t>(Source: Theculturefactor, 2025)</w:t>
      </w:r>
    </w:p>
    <w:p w14:paraId="21CFC64C"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Japan scores 54 on </w:t>
      </w:r>
      <w:r w:rsidRPr="00F73CEE">
        <w:rPr>
          <w:b/>
          <w:bCs/>
          <w:i/>
          <w:iCs/>
          <w:sz w:val="24"/>
          <w:szCs w:val="24"/>
          <w:lang w:val="en-GB"/>
        </w:rPr>
        <w:t>power distance</w:t>
      </w:r>
      <w:r w:rsidRPr="00F73CEE">
        <w:rPr>
          <w:sz w:val="24"/>
          <w:szCs w:val="24"/>
          <w:lang w:val="en-GB"/>
        </w:rPr>
        <w:t>, while India scores 77. It highlights that Japan has a moderate level of hierarchy, where decisions are made through discussions. In contrast, it has been seen that India has a higher acceptance of unequal power and authority, and employees expect clear guidance from managers (Theculturefactor, 2025). As a result, Toyota boosts teamwork and employee involvement in Japan, but in India, Toyota considers a more structured management approach and focuses on robust leadership in its operations (</w:t>
      </w:r>
      <w:proofErr w:type="spellStart"/>
      <w:r w:rsidRPr="00F73CEE">
        <w:rPr>
          <w:sz w:val="24"/>
          <w:szCs w:val="24"/>
          <w:lang w:val="en-GB"/>
        </w:rPr>
        <w:t>Ghasemibojd</w:t>
      </w:r>
      <w:proofErr w:type="spellEnd"/>
      <w:r w:rsidRPr="00F73CEE">
        <w:rPr>
          <w:sz w:val="24"/>
          <w:szCs w:val="24"/>
          <w:lang w:val="en-GB"/>
        </w:rPr>
        <w:t xml:space="preserve"> </w:t>
      </w:r>
      <w:r w:rsidRPr="00F73CEE">
        <w:rPr>
          <w:i/>
          <w:iCs/>
          <w:sz w:val="24"/>
          <w:szCs w:val="24"/>
          <w:lang w:val="en-GB"/>
        </w:rPr>
        <w:t>et al.</w:t>
      </w:r>
      <w:r w:rsidRPr="00F73CEE">
        <w:rPr>
          <w:sz w:val="24"/>
          <w:szCs w:val="24"/>
          <w:lang w:val="en-GB"/>
        </w:rPr>
        <w:t xml:space="preserve">, 2025). </w:t>
      </w:r>
    </w:p>
    <w:p w14:paraId="3AF724C8"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The two countries also differ in </w:t>
      </w:r>
      <w:r w:rsidRPr="00F73CEE">
        <w:rPr>
          <w:b/>
          <w:bCs/>
          <w:i/>
          <w:iCs/>
          <w:sz w:val="24"/>
          <w:szCs w:val="24"/>
          <w:lang w:val="en-GB"/>
        </w:rPr>
        <w:t xml:space="preserve">individualism. </w:t>
      </w:r>
      <w:r w:rsidRPr="00F73CEE">
        <w:rPr>
          <w:sz w:val="24"/>
          <w:szCs w:val="24"/>
          <w:lang w:val="en-GB"/>
        </w:rPr>
        <w:t xml:space="preserve">The individualism score for Japan is 62, and it shows that people value personal responsibilities and individual achievement. In addition, India scored 24, representing a more collectivist culture, where relationships, family, and group loyalty are highly valued. These differences also affect Toyota’s marketing communication (Choudhary </w:t>
      </w:r>
      <w:r w:rsidRPr="00F73CEE">
        <w:rPr>
          <w:i/>
          <w:iCs/>
          <w:sz w:val="24"/>
          <w:szCs w:val="24"/>
          <w:lang w:val="en-GB"/>
        </w:rPr>
        <w:t>et al.</w:t>
      </w:r>
      <w:r w:rsidRPr="00F73CEE">
        <w:rPr>
          <w:sz w:val="24"/>
          <w:szCs w:val="24"/>
          <w:lang w:val="en-GB"/>
        </w:rPr>
        <w:t xml:space="preserve"> 2026). In the Japanese market, the advertisement of the product mainly focuses on innovation and product quality, and in the Indian market, Toyota focuses on more family-oriented values, spacious vehicles, and reliability.  </w:t>
      </w:r>
    </w:p>
    <w:p w14:paraId="364AD7F6"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Japan also records a high score of 95 for </w:t>
      </w:r>
      <w:r w:rsidRPr="00F73CEE">
        <w:rPr>
          <w:b/>
          <w:bCs/>
          <w:i/>
          <w:iCs/>
          <w:sz w:val="24"/>
          <w:szCs w:val="24"/>
          <w:lang w:val="en-GB"/>
        </w:rPr>
        <w:t>masculinity</w:t>
      </w:r>
      <w:r w:rsidRPr="00F73CEE">
        <w:rPr>
          <w:sz w:val="24"/>
          <w:szCs w:val="24"/>
          <w:lang w:val="en-GB"/>
        </w:rPr>
        <w:t xml:space="preserve"> compared to 56 in India. This result indicates that Japanese consumers value achievements and technological performance. In India, clients focus on success, and they are more concerned with fuel efficiency and affordability, leading Toyota to emphasize value for money (Kar </w:t>
      </w:r>
      <w:r w:rsidRPr="00F73CEE">
        <w:rPr>
          <w:i/>
          <w:iCs/>
          <w:sz w:val="24"/>
          <w:szCs w:val="24"/>
          <w:lang w:val="en-GB"/>
        </w:rPr>
        <w:t>et al</w:t>
      </w:r>
      <w:r w:rsidRPr="00F73CEE">
        <w:rPr>
          <w:sz w:val="24"/>
          <w:szCs w:val="24"/>
          <w:lang w:val="en-GB"/>
        </w:rPr>
        <w:t>. 2023).</w:t>
      </w:r>
    </w:p>
    <w:p w14:paraId="704BC0E5" w14:textId="77777777" w:rsidR="003F28F7" w:rsidRPr="00F73CEE" w:rsidRDefault="003F28F7" w:rsidP="003F28F7">
      <w:pPr>
        <w:spacing w:before="200" w:after="200" w:line="360" w:lineRule="auto"/>
        <w:jc w:val="both"/>
        <w:rPr>
          <w:sz w:val="24"/>
          <w:szCs w:val="24"/>
          <w:lang w:val="en-GB"/>
        </w:rPr>
      </w:pPr>
      <w:r w:rsidRPr="00F73CEE">
        <w:rPr>
          <w:b/>
          <w:bCs/>
          <w:i/>
          <w:iCs/>
          <w:sz w:val="24"/>
          <w:szCs w:val="24"/>
          <w:lang w:val="en-GB"/>
        </w:rPr>
        <w:t>Uncertainty avoidance</w:t>
      </w:r>
      <w:r w:rsidRPr="00F73CEE">
        <w:rPr>
          <w:sz w:val="24"/>
          <w:szCs w:val="24"/>
          <w:lang w:val="en-GB"/>
        </w:rPr>
        <w:t xml:space="preserve"> also helps in assessing the cultural changes between the two countries. Japan scores 92, while India ranks 40. This result indicates Japanese consumers generally seek detailed data, low risk, and product consistency before making purchasing choices. In addition, Toyota highlights safety, quality, and dependable performance in Japan (Toyotalebanon, 2025). Indian consumers are generally more flexible, which helps Toyota to implement a huge range of products that meet the diverse customer needs. </w:t>
      </w:r>
    </w:p>
    <w:p w14:paraId="25340ACD"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For </w:t>
      </w:r>
      <w:r w:rsidRPr="00F73CEE">
        <w:rPr>
          <w:b/>
          <w:bCs/>
          <w:i/>
          <w:iCs/>
          <w:sz w:val="24"/>
          <w:szCs w:val="24"/>
          <w:lang w:val="en-GB"/>
        </w:rPr>
        <w:t>long-term orientation</w:t>
      </w:r>
      <w:r w:rsidRPr="00F73CEE">
        <w:rPr>
          <w:sz w:val="24"/>
          <w:szCs w:val="24"/>
          <w:lang w:val="en-GB"/>
        </w:rPr>
        <w:t xml:space="preserve">, Japan scores 100 compared with 51 for India. It outlines that Japanese society powerfully focuses on long-term planning, invention, and continuous growth, aligning with Toyota's continuous development (Kaizen) (Ghaleb, 2025). India has a stable outlook, were short-term chances and long-term goals influence purchase choices. Japan's </w:t>
      </w:r>
      <w:r w:rsidRPr="00F73CEE">
        <w:rPr>
          <w:b/>
          <w:bCs/>
          <w:i/>
          <w:iCs/>
          <w:sz w:val="24"/>
          <w:szCs w:val="24"/>
          <w:lang w:val="en-GB"/>
        </w:rPr>
        <w:t xml:space="preserve">indulgence score </w:t>
      </w:r>
      <w:r w:rsidRPr="00F73CEE">
        <w:rPr>
          <w:sz w:val="24"/>
          <w:szCs w:val="24"/>
          <w:lang w:val="en-GB"/>
        </w:rPr>
        <w:t>of 42 is higher than 26, which highlights that Indian consumers are controlled in spending.</w:t>
      </w:r>
    </w:p>
    <w:p w14:paraId="588F2CD1"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Thus, these differences affect Toyota's product positioning, communication, and management practices. By considering an international marketing strategy for each country’s cultural aspect, Toyota can satisfy the local customer needs. </w:t>
      </w:r>
    </w:p>
    <w:p w14:paraId="07B73FAC" w14:textId="77777777" w:rsidR="003F28F7" w:rsidRPr="00F73CEE" w:rsidRDefault="003F28F7" w:rsidP="003F28F7">
      <w:pPr>
        <w:pStyle w:val="Heading2"/>
        <w:rPr>
          <w:lang w:val="en-GB"/>
        </w:rPr>
      </w:pPr>
      <w:bookmarkStart w:id="9" w:name="_Toc236848003"/>
      <w:r w:rsidRPr="00F73CEE">
        <w:rPr>
          <w:lang w:val="en-GB"/>
        </w:rPr>
        <w:t>4. Comparative Analysis of STP Strategy</w:t>
      </w:r>
      <w:bookmarkEnd w:id="9"/>
      <w:r w:rsidRPr="00F73CEE">
        <w:rPr>
          <w:lang w:val="en-GB"/>
        </w:rPr>
        <w:t xml:space="preserve"> </w:t>
      </w:r>
    </w:p>
    <w:p w14:paraId="1C12529F"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applies the Segmentation, Targeting, and Positioning (STP) strategy to meet the diverse needs of the customers in India and Japan (Santoso </w:t>
      </w:r>
      <w:r w:rsidRPr="00F73CEE">
        <w:rPr>
          <w:i/>
          <w:iCs/>
          <w:sz w:val="24"/>
          <w:szCs w:val="24"/>
          <w:lang w:val="en-GB"/>
        </w:rPr>
        <w:t>et al</w:t>
      </w:r>
      <w:r w:rsidRPr="00F73CEE">
        <w:rPr>
          <w:sz w:val="24"/>
          <w:szCs w:val="24"/>
          <w:lang w:val="en-GB"/>
        </w:rPr>
        <w:t xml:space="preserve">. 2024). Although Toyota has maintained its robust global brand image based on safety, quality, and reliability, its STP strategy differs between the two countries due to the variations in income levels, customer preferences, and market conditions. </w:t>
      </w:r>
    </w:p>
    <w:p w14:paraId="05F86CE4"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Segmentation</w:t>
      </w:r>
    </w:p>
    <w:p w14:paraId="2676131D"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segments the Japanese and Indian markets by using demographic, geographic, psychographic, and behavioural factors. </w:t>
      </w:r>
      <w:r w:rsidRPr="00F73CEE">
        <w:rPr>
          <w:b/>
          <w:bCs/>
          <w:i/>
          <w:iCs/>
          <w:sz w:val="24"/>
          <w:szCs w:val="24"/>
          <w:lang w:val="en-GB"/>
        </w:rPr>
        <w:t>In Japan,</w:t>
      </w:r>
      <w:r w:rsidRPr="00F73CEE">
        <w:rPr>
          <w:sz w:val="24"/>
          <w:szCs w:val="24"/>
          <w:lang w:val="en-GB"/>
        </w:rPr>
        <w:t xml:space="preserve"> this company mainly targets the middle-high-income consumers, business professionals, and environmentally conscious customers in urban cities (Tokyo, Osaka, and Yokohama) who demand advanced technology, premium quality, and high vehicle performance. The figure below shows that 44.5% and 38.0% of Japanese customers focused on fuel efficiency and safety for green vehicle technologies (Engelmann, 2018). Japanese customers also value innovation, safety, and sustainable mobility, which helps Toyota to offer a huge range of electric and hybrid vehicle options. </w:t>
      </w:r>
    </w:p>
    <w:p w14:paraId="1AC8006D" w14:textId="77777777" w:rsidR="003F28F7" w:rsidRPr="00F73CEE" w:rsidRDefault="003F28F7" w:rsidP="003F28F7">
      <w:pPr>
        <w:spacing w:before="200" w:after="200" w:line="360" w:lineRule="auto"/>
        <w:jc w:val="center"/>
        <w:rPr>
          <w:sz w:val="24"/>
          <w:szCs w:val="24"/>
          <w:lang w:val="en-GB"/>
        </w:rPr>
      </w:pPr>
      <w:r w:rsidRPr="00F73CEE">
        <w:rPr>
          <w:noProof/>
          <w:sz w:val="24"/>
          <w:szCs w:val="24"/>
          <w:lang w:val="en-GB"/>
        </w:rPr>
        <w:drawing>
          <wp:inline distT="114300" distB="114300" distL="114300" distR="114300" wp14:anchorId="64AC422D" wp14:editId="3F739F13">
            <wp:extent cx="3624263" cy="2582739"/>
            <wp:effectExtent l="25400" t="25400" r="25400" b="25400"/>
            <wp:docPr id="1949110481"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3624263" cy="2582739"/>
                    </a:xfrm>
                    <a:prstGeom prst="rect">
                      <a:avLst/>
                    </a:prstGeom>
                    <a:ln w="25400">
                      <a:solidFill>
                        <a:srgbClr val="000000"/>
                      </a:solidFill>
                      <a:prstDash val="solid"/>
                    </a:ln>
                  </pic:spPr>
                </pic:pic>
              </a:graphicData>
            </a:graphic>
          </wp:inline>
        </w:drawing>
      </w:r>
    </w:p>
    <w:p w14:paraId="05C5149E" w14:textId="6348E828" w:rsidR="003F28F7" w:rsidRPr="00F73CEE" w:rsidRDefault="003F28F7" w:rsidP="003F28F7">
      <w:pPr>
        <w:spacing w:before="200" w:after="200" w:line="360" w:lineRule="auto"/>
        <w:jc w:val="center"/>
        <w:rPr>
          <w:b/>
          <w:bCs/>
          <w:sz w:val="24"/>
          <w:szCs w:val="24"/>
          <w:lang w:val="en-GB"/>
        </w:rPr>
      </w:pPr>
      <w:r w:rsidRPr="00F73CEE">
        <w:rPr>
          <w:b/>
          <w:bCs/>
          <w:sz w:val="24"/>
          <w:szCs w:val="24"/>
          <w:lang w:val="en-GB"/>
        </w:rPr>
        <w:t xml:space="preserve">Figure </w:t>
      </w:r>
      <w:r w:rsidR="00687CCE">
        <w:rPr>
          <w:b/>
          <w:bCs/>
          <w:sz w:val="24"/>
          <w:szCs w:val="24"/>
          <w:lang w:val="en-GB"/>
        </w:rPr>
        <w:t>7</w:t>
      </w:r>
      <w:r w:rsidRPr="00F73CEE">
        <w:rPr>
          <w:b/>
          <w:bCs/>
          <w:sz w:val="24"/>
          <w:szCs w:val="24"/>
          <w:lang w:val="en-GB"/>
        </w:rPr>
        <w:t>: Japanese consumers root for green vehicle technologies</w:t>
      </w:r>
    </w:p>
    <w:p w14:paraId="74B49BA8" w14:textId="77777777" w:rsidR="003F28F7" w:rsidRPr="00F73CEE" w:rsidRDefault="003F28F7" w:rsidP="003F28F7">
      <w:pPr>
        <w:spacing w:before="200" w:after="200" w:line="360" w:lineRule="auto"/>
        <w:jc w:val="center"/>
        <w:rPr>
          <w:sz w:val="24"/>
          <w:szCs w:val="24"/>
          <w:lang w:val="en-GB"/>
        </w:rPr>
      </w:pPr>
      <w:r w:rsidRPr="00F73CEE">
        <w:rPr>
          <w:sz w:val="24"/>
          <w:szCs w:val="24"/>
          <w:lang w:val="en-GB"/>
        </w:rPr>
        <w:t>(Source: Engelmann, 2018)</w:t>
      </w:r>
    </w:p>
    <w:p w14:paraId="4FC466F4"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In contrast, </w:t>
      </w:r>
      <w:r w:rsidRPr="00F73CEE">
        <w:rPr>
          <w:b/>
          <w:bCs/>
          <w:i/>
          <w:iCs/>
          <w:sz w:val="24"/>
          <w:szCs w:val="24"/>
          <w:lang w:val="en-GB"/>
        </w:rPr>
        <w:t>the Indian market</w:t>
      </w:r>
      <w:r w:rsidRPr="00F73CEE">
        <w:rPr>
          <w:sz w:val="24"/>
          <w:szCs w:val="24"/>
          <w:lang w:val="en-GB"/>
        </w:rPr>
        <w:t xml:space="preserve"> is more price-sensitive and diverse. Toyota segmented customers based on income, occupation, and vehicle usage (Ka</w:t>
      </w:r>
      <w:r w:rsidRPr="00F73CEE">
        <w:rPr>
          <w:i/>
          <w:iCs/>
          <w:sz w:val="24"/>
          <w:szCs w:val="24"/>
          <w:lang w:val="en-GB"/>
        </w:rPr>
        <w:t xml:space="preserve"> et al. </w:t>
      </w:r>
      <w:r w:rsidRPr="00F73CEE">
        <w:rPr>
          <w:sz w:val="24"/>
          <w:szCs w:val="24"/>
          <w:lang w:val="en-GB"/>
        </w:rPr>
        <w:t>2026). This business mainly focuses on middle-income families, business owners, and customers who are looking for fuel-efficient and low-maintenance vehicles, and those who also live in metropolitan cities and Tier-2 cities. Commercial users and large families are also a significant market segment in India because they require reliable and practical transportation.</w:t>
      </w:r>
    </w:p>
    <w:p w14:paraId="3CAE8046"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 xml:space="preserve">Targeting </w:t>
      </w:r>
    </w:p>
    <w:p w14:paraId="0D7BCAE9"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adopted diverse targeting practices in Japan and India to enhance customer satisfaction and boost its market position. </w:t>
      </w:r>
      <w:r w:rsidRPr="00F73CEE">
        <w:rPr>
          <w:b/>
          <w:bCs/>
          <w:i/>
          <w:iCs/>
          <w:sz w:val="24"/>
          <w:szCs w:val="24"/>
          <w:lang w:val="en-GB"/>
        </w:rPr>
        <w:t>In Japan,</w:t>
      </w:r>
      <w:r w:rsidRPr="00F73CEE">
        <w:rPr>
          <w:sz w:val="24"/>
          <w:szCs w:val="24"/>
          <w:lang w:val="en-GB"/>
        </w:rPr>
        <w:t xml:space="preserve"> this company mainly targets customers who are willing to pay for high-quality vehicles with advanced digital technology and environmentally friendly outcomes (Biswas </w:t>
      </w:r>
      <w:r w:rsidRPr="00F73CEE">
        <w:rPr>
          <w:i/>
          <w:iCs/>
          <w:sz w:val="24"/>
          <w:szCs w:val="24"/>
          <w:lang w:val="en-GB"/>
        </w:rPr>
        <w:t>et al.</w:t>
      </w:r>
      <w:r w:rsidRPr="00F73CEE">
        <w:rPr>
          <w:sz w:val="24"/>
          <w:szCs w:val="24"/>
          <w:lang w:val="en-GB"/>
        </w:rPr>
        <w:t xml:space="preserve"> 2025). Hybrid vehicles such as the Prius attract customers who value sustainability and innovation. </w:t>
      </w:r>
    </w:p>
    <w:p w14:paraId="6123F913"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In the </w:t>
      </w:r>
      <w:r w:rsidRPr="00F73CEE">
        <w:rPr>
          <w:b/>
          <w:bCs/>
          <w:i/>
          <w:iCs/>
          <w:sz w:val="24"/>
          <w:szCs w:val="24"/>
          <w:lang w:val="en-GB"/>
        </w:rPr>
        <w:t>Indian market</w:t>
      </w:r>
      <w:r w:rsidRPr="00F73CEE">
        <w:rPr>
          <w:sz w:val="24"/>
          <w:szCs w:val="24"/>
          <w:lang w:val="en-GB"/>
        </w:rPr>
        <w:t xml:space="preserve">, Toyota mainly considers a selective targeting strategy by focusing on customers who are seeking value for money and fuel efficiency. Popular models such as </w:t>
      </w:r>
      <w:proofErr w:type="spellStart"/>
      <w:r w:rsidRPr="00F73CEE">
        <w:rPr>
          <w:sz w:val="24"/>
          <w:szCs w:val="24"/>
          <w:lang w:val="en-GB"/>
        </w:rPr>
        <w:t>Innova</w:t>
      </w:r>
      <w:proofErr w:type="spellEnd"/>
      <w:r w:rsidRPr="00F73CEE">
        <w:rPr>
          <w:sz w:val="24"/>
          <w:szCs w:val="24"/>
          <w:lang w:val="en-GB"/>
        </w:rPr>
        <w:t xml:space="preserve"> </w:t>
      </w:r>
      <w:proofErr w:type="spellStart"/>
      <w:r w:rsidRPr="00F73CEE">
        <w:rPr>
          <w:sz w:val="24"/>
          <w:szCs w:val="24"/>
          <w:lang w:val="en-GB"/>
        </w:rPr>
        <w:t>Hycross</w:t>
      </w:r>
      <w:proofErr w:type="spellEnd"/>
      <w:r w:rsidRPr="00F73CEE">
        <w:rPr>
          <w:sz w:val="24"/>
          <w:szCs w:val="24"/>
          <w:lang w:val="en-GB"/>
        </w:rPr>
        <w:t xml:space="preserve">, </w:t>
      </w:r>
      <w:proofErr w:type="spellStart"/>
      <w:r w:rsidRPr="00F73CEE">
        <w:rPr>
          <w:sz w:val="24"/>
          <w:szCs w:val="24"/>
          <w:lang w:val="en-GB"/>
        </w:rPr>
        <w:t>Fortuner</w:t>
      </w:r>
      <w:proofErr w:type="spellEnd"/>
      <w:r w:rsidRPr="00F73CEE">
        <w:rPr>
          <w:sz w:val="24"/>
          <w:szCs w:val="24"/>
          <w:lang w:val="en-GB"/>
        </w:rPr>
        <w:t xml:space="preserve">, and Urban Cruiser </w:t>
      </w:r>
      <w:proofErr w:type="spellStart"/>
      <w:r w:rsidRPr="00F73CEE">
        <w:rPr>
          <w:sz w:val="24"/>
          <w:szCs w:val="24"/>
          <w:lang w:val="en-GB"/>
        </w:rPr>
        <w:t>Hyryder</w:t>
      </w:r>
      <w:proofErr w:type="spellEnd"/>
      <w:r w:rsidRPr="00F73CEE">
        <w:rPr>
          <w:sz w:val="24"/>
          <w:szCs w:val="24"/>
          <w:lang w:val="en-GB"/>
        </w:rPr>
        <w:t xml:space="preserve"> mainly target diverse customer groups such as families, SUV buyers, and business users (</w:t>
      </w:r>
      <w:proofErr w:type="spellStart"/>
      <w:r w:rsidRPr="00F73CEE">
        <w:rPr>
          <w:sz w:val="24"/>
          <w:szCs w:val="24"/>
          <w:lang w:val="en-GB"/>
        </w:rPr>
        <w:t>Carwale</w:t>
      </w:r>
      <w:proofErr w:type="spellEnd"/>
      <w:r w:rsidRPr="00F73CEE">
        <w:rPr>
          <w:sz w:val="24"/>
          <w:szCs w:val="24"/>
          <w:lang w:val="en-GB"/>
        </w:rPr>
        <w:t xml:space="preserve">, 2025). Toyota also targets customers who prefer reliable vehicles with low maintenance costs. This practice aids the business in competing effectively in India’s highly competitive automobile market. </w:t>
      </w:r>
    </w:p>
    <w:p w14:paraId="3C174317"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Positioning</w:t>
      </w:r>
    </w:p>
    <w:p w14:paraId="6375A67D"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Toyota’s positioning strategy also represents long-term customer value, quality, and reliability in both countries. In the </w:t>
      </w:r>
      <w:r w:rsidRPr="00F73CEE">
        <w:rPr>
          <w:b/>
          <w:bCs/>
          <w:i/>
          <w:iCs/>
          <w:sz w:val="24"/>
          <w:szCs w:val="24"/>
          <w:lang w:val="en-GB"/>
        </w:rPr>
        <w:t>Japanese market,</w:t>
      </w:r>
      <w:r w:rsidRPr="00F73CEE">
        <w:rPr>
          <w:sz w:val="24"/>
          <w:szCs w:val="24"/>
          <w:lang w:val="en-GB"/>
        </w:rPr>
        <w:t xml:space="preserve"> Toyota considers itself an innovative automotive company that provides advanced technology and environmentally sustainable mobility approaches. Marketing campaigns also represent the hybrid technology, innovation, and continuous development that meet the expectations of Japanese consumers. </w:t>
      </w:r>
    </w:p>
    <w:p w14:paraId="33810126"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In the </w:t>
      </w:r>
      <w:r w:rsidRPr="00F73CEE">
        <w:rPr>
          <w:b/>
          <w:bCs/>
          <w:i/>
          <w:iCs/>
          <w:sz w:val="24"/>
          <w:szCs w:val="24"/>
          <w:lang w:val="en-GB"/>
        </w:rPr>
        <w:t>Indian market,</w:t>
      </w:r>
      <w:r w:rsidRPr="00F73CEE">
        <w:rPr>
          <w:sz w:val="24"/>
          <w:szCs w:val="24"/>
          <w:lang w:val="en-GB"/>
        </w:rPr>
        <w:t xml:space="preserve"> Toyota is considered a dependable and trusted automobile brand that provides fuel-efficient and family-friendly vehicles. Promotional activities also focus on comfort, reliability, and robust resale value, which are vital factors that also impact the purchasing decisions of Indian customers (</w:t>
      </w:r>
      <w:proofErr w:type="spellStart"/>
      <w:r w:rsidRPr="00F73CEE">
        <w:rPr>
          <w:sz w:val="24"/>
          <w:szCs w:val="24"/>
          <w:lang w:val="en-GB"/>
        </w:rPr>
        <w:t>Harnaningrum</w:t>
      </w:r>
      <w:proofErr w:type="spellEnd"/>
      <w:r w:rsidRPr="00F73CEE">
        <w:rPr>
          <w:sz w:val="24"/>
          <w:szCs w:val="24"/>
          <w:lang w:val="en-GB"/>
        </w:rPr>
        <w:t xml:space="preserve"> </w:t>
      </w:r>
      <w:r w:rsidRPr="00F73CEE">
        <w:rPr>
          <w:i/>
          <w:iCs/>
          <w:sz w:val="24"/>
          <w:szCs w:val="24"/>
          <w:lang w:val="en-GB"/>
        </w:rPr>
        <w:t xml:space="preserve">et al. </w:t>
      </w:r>
      <w:r w:rsidRPr="00F73CEE">
        <w:rPr>
          <w:sz w:val="24"/>
          <w:szCs w:val="24"/>
          <w:lang w:val="en-GB"/>
        </w:rPr>
        <w:t xml:space="preserve">2026). Toyota has also progressed its position by improving its sales service network to build customers’ confidence. </w:t>
      </w:r>
    </w:p>
    <w:p w14:paraId="0CDB7C10" w14:textId="42228A40" w:rsidR="003F28F7" w:rsidRPr="003F28F7" w:rsidRDefault="003F28F7">
      <w:pPr>
        <w:spacing w:before="200" w:after="200" w:line="360" w:lineRule="auto"/>
        <w:jc w:val="both"/>
        <w:rPr>
          <w:sz w:val="24"/>
          <w:szCs w:val="24"/>
          <w:lang w:val="en-GB"/>
        </w:rPr>
      </w:pPr>
      <w:r w:rsidRPr="00F73CEE">
        <w:rPr>
          <w:sz w:val="24"/>
          <w:szCs w:val="24"/>
          <w:lang w:val="en-GB"/>
        </w:rPr>
        <w:t xml:space="preserve">Thus, Toyota’s STP strategy represents a balance between global standardization and local adoption. It improves its target customers, market segmentation, and brand positioning to meet diverse cultural and customer preferences of Japan and India. </w:t>
      </w:r>
    </w:p>
    <w:p w14:paraId="5446F4FD" w14:textId="77777777" w:rsidR="00CB1172" w:rsidRPr="0027227E" w:rsidRDefault="009E3A98">
      <w:pPr>
        <w:pStyle w:val="Heading2"/>
        <w:rPr>
          <w:lang w:val="en-GB"/>
        </w:rPr>
      </w:pPr>
      <w:bookmarkStart w:id="10" w:name="_g2i4wp4tiojl" w:colFirst="0" w:colLast="0"/>
      <w:bookmarkStart w:id="11" w:name="_Toc236848004"/>
      <w:bookmarkEnd w:id="10"/>
      <w:r w:rsidRPr="0027227E">
        <w:rPr>
          <w:lang w:val="en-GB"/>
        </w:rPr>
        <w:t>5. Comparative Analysis of the International Marketing Mix (7Ps)</w:t>
      </w:r>
      <w:bookmarkEnd w:id="11"/>
      <w:r w:rsidRPr="0027227E">
        <w:rPr>
          <w:lang w:val="en-GB"/>
        </w:rPr>
        <w:t xml:space="preserve"> </w:t>
      </w:r>
    </w:p>
    <w:p w14:paraId="41316966"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Toyota applies the global marketing mix (7ps) to adapt its global strategy as per various market conditions. The comparison below analyzes how Toyota modifies its product, price, place, promotion, people, process, and physical evidence strategies in both countries (Eze </w:t>
      </w:r>
      <w:r w:rsidRPr="0027227E">
        <w:rPr>
          <w:i/>
          <w:iCs/>
          <w:sz w:val="24"/>
          <w:szCs w:val="24"/>
          <w:lang w:val="en-GB"/>
        </w:rPr>
        <w:t>et al.</w:t>
      </w:r>
      <w:r w:rsidRPr="0027227E">
        <w:rPr>
          <w:sz w:val="24"/>
          <w:szCs w:val="24"/>
          <w:lang w:val="en-GB"/>
        </w:rPr>
        <w:t xml:space="preserve"> 2024). </w:t>
      </w:r>
    </w:p>
    <w:tbl>
      <w:tblPr>
        <w:tblStyle w:val="Table1"/>
        <w:tblW w:w="5000" w:type="pct"/>
        <w:jc w:val="center"/>
        <w:tblInd w:w="0" w:type="dxa"/>
        <w:tblBorders>
          <w:top w:val="nil"/>
          <w:left w:val="nil"/>
          <w:bottom w:val="nil"/>
          <w:right w:val="nil"/>
          <w:insideH w:val="nil"/>
          <w:insideV w:val="nil"/>
        </w:tblBorders>
        <w:tblLook w:val="0600" w:firstRow="0" w:lastRow="0" w:firstColumn="0" w:lastColumn="0" w:noHBand="1" w:noVBand="1"/>
      </w:tblPr>
      <w:tblGrid>
        <w:gridCol w:w="2006"/>
        <w:gridCol w:w="2116"/>
        <w:gridCol w:w="2257"/>
        <w:gridCol w:w="2961"/>
      </w:tblGrid>
      <w:tr w:rsidR="00CB1172" w:rsidRPr="0027227E" w14:paraId="7D93C1B2" w14:textId="77777777" w:rsidTr="0027227E">
        <w:trPr>
          <w:trHeight w:val="1140"/>
          <w:jc w:val="center"/>
        </w:trPr>
        <w:tc>
          <w:tcPr>
            <w:tcW w:w="1074" w:type="pct"/>
            <w:tcBorders>
              <w:top w:val="single" w:sz="8" w:space="0" w:color="ED7D31"/>
              <w:left w:val="single" w:sz="8" w:space="0" w:color="ED7D31"/>
              <w:bottom w:val="single" w:sz="8" w:space="0" w:color="ED7D31"/>
              <w:right w:val="nil"/>
            </w:tcBorders>
            <w:shd w:val="clear" w:color="auto" w:fill="ED7D31"/>
            <w:tcMar>
              <w:top w:w="0" w:type="dxa"/>
              <w:left w:w="100" w:type="dxa"/>
              <w:bottom w:w="0" w:type="dxa"/>
              <w:right w:w="100" w:type="dxa"/>
            </w:tcMar>
          </w:tcPr>
          <w:p w14:paraId="1FA53F94" w14:textId="77777777" w:rsidR="00CB1172" w:rsidRPr="0027227E" w:rsidRDefault="009E3A98">
            <w:pPr>
              <w:spacing w:before="240" w:after="160" w:line="360" w:lineRule="auto"/>
              <w:jc w:val="both"/>
              <w:rPr>
                <w:b/>
                <w:bCs/>
                <w:color w:val="FFFFFF"/>
                <w:sz w:val="24"/>
                <w:szCs w:val="24"/>
                <w:lang w:val="en-GB"/>
              </w:rPr>
            </w:pPr>
            <w:r w:rsidRPr="0027227E">
              <w:rPr>
                <w:b/>
                <w:bCs/>
                <w:color w:val="FFFFFF"/>
                <w:sz w:val="24"/>
                <w:szCs w:val="24"/>
                <w:lang w:val="en-GB"/>
              </w:rPr>
              <w:t>7Ps</w:t>
            </w:r>
          </w:p>
        </w:tc>
        <w:tc>
          <w:tcPr>
            <w:tcW w:w="1133" w:type="pct"/>
            <w:tcBorders>
              <w:top w:val="single" w:sz="8" w:space="0" w:color="ED7D31"/>
              <w:left w:val="nil"/>
              <w:bottom w:val="single" w:sz="8" w:space="0" w:color="ED7D31"/>
              <w:right w:val="nil"/>
            </w:tcBorders>
            <w:shd w:val="clear" w:color="auto" w:fill="ED7D31"/>
            <w:tcMar>
              <w:top w:w="0" w:type="dxa"/>
              <w:left w:w="100" w:type="dxa"/>
              <w:bottom w:w="0" w:type="dxa"/>
              <w:right w:w="100" w:type="dxa"/>
            </w:tcMar>
          </w:tcPr>
          <w:p w14:paraId="2184DC38" w14:textId="77777777" w:rsidR="00CB1172" w:rsidRPr="0027227E" w:rsidRDefault="009E3A98">
            <w:pPr>
              <w:spacing w:before="240" w:after="160" w:line="360" w:lineRule="auto"/>
              <w:jc w:val="both"/>
              <w:rPr>
                <w:b/>
                <w:bCs/>
                <w:color w:val="FFFFFF"/>
                <w:sz w:val="24"/>
                <w:szCs w:val="24"/>
                <w:lang w:val="en-GB"/>
              </w:rPr>
            </w:pPr>
            <w:r w:rsidRPr="0027227E">
              <w:rPr>
                <w:b/>
                <w:bCs/>
                <w:color w:val="FFFFFF"/>
                <w:sz w:val="24"/>
                <w:szCs w:val="24"/>
                <w:lang w:val="en-GB"/>
              </w:rPr>
              <w:t>Japan</w:t>
            </w:r>
          </w:p>
        </w:tc>
        <w:tc>
          <w:tcPr>
            <w:tcW w:w="1208" w:type="pct"/>
            <w:tcBorders>
              <w:top w:val="single" w:sz="8" w:space="0" w:color="ED7D31"/>
              <w:left w:val="nil"/>
              <w:bottom w:val="single" w:sz="8" w:space="0" w:color="ED7D31"/>
              <w:right w:val="nil"/>
            </w:tcBorders>
            <w:shd w:val="clear" w:color="auto" w:fill="ED7D31"/>
            <w:tcMar>
              <w:top w:w="0" w:type="dxa"/>
              <w:left w:w="100" w:type="dxa"/>
              <w:bottom w:w="0" w:type="dxa"/>
              <w:right w:w="100" w:type="dxa"/>
            </w:tcMar>
          </w:tcPr>
          <w:p w14:paraId="010126D1" w14:textId="77777777" w:rsidR="00CB1172" w:rsidRPr="0027227E" w:rsidRDefault="009E3A98">
            <w:pPr>
              <w:spacing w:before="240" w:after="160" w:line="360" w:lineRule="auto"/>
              <w:jc w:val="both"/>
              <w:rPr>
                <w:b/>
                <w:bCs/>
                <w:color w:val="FFFFFF"/>
                <w:sz w:val="24"/>
                <w:szCs w:val="24"/>
                <w:lang w:val="en-GB"/>
              </w:rPr>
            </w:pPr>
            <w:r w:rsidRPr="0027227E">
              <w:rPr>
                <w:b/>
                <w:bCs/>
                <w:color w:val="FFFFFF"/>
                <w:sz w:val="24"/>
                <w:szCs w:val="24"/>
                <w:lang w:val="en-GB"/>
              </w:rPr>
              <w:t>India</w:t>
            </w:r>
          </w:p>
        </w:tc>
        <w:tc>
          <w:tcPr>
            <w:tcW w:w="1586" w:type="pct"/>
            <w:tcBorders>
              <w:top w:val="single" w:sz="8" w:space="0" w:color="ED7D31"/>
              <w:left w:val="nil"/>
              <w:bottom w:val="single" w:sz="8" w:space="0" w:color="ED7D31"/>
              <w:right w:val="single" w:sz="8" w:space="0" w:color="ED7D31"/>
            </w:tcBorders>
            <w:shd w:val="clear" w:color="auto" w:fill="ED7D31"/>
            <w:tcMar>
              <w:top w:w="0" w:type="dxa"/>
              <w:left w:w="100" w:type="dxa"/>
              <w:bottom w:w="0" w:type="dxa"/>
              <w:right w:w="100" w:type="dxa"/>
            </w:tcMar>
          </w:tcPr>
          <w:p w14:paraId="243AC491" w14:textId="77777777" w:rsidR="00CB1172" w:rsidRPr="0027227E" w:rsidRDefault="009E3A98">
            <w:pPr>
              <w:spacing w:before="240" w:after="160" w:line="360" w:lineRule="auto"/>
              <w:jc w:val="both"/>
              <w:rPr>
                <w:b/>
                <w:bCs/>
                <w:color w:val="FFFFFF"/>
                <w:sz w:val="24"/>
                <w:szCs w:val="24"/>
                <w:lang w:val="en-GB"/>
              </w:rPr>
            </w:pPr>
            <w:r w:rsidRPr="0027227E">
              <w:rPr>
                <w:b/>
                <w:bCs/>
                <w:color w:val="FFFFFF"/>
                <w:sz w:val="24"/>
                <w:szCs w:val="24"/>
                <w:lang w:val="en-GB"/>
              </w:rPr>
              <w:t>Cultural &amp; Economic Factors</w:t>
            </w:r>
          </w:p>
        </w:tc>
      </w:tr>
      <w:tr w:rsidR="00CB1172" w:rsidRPr="0027227E" w14:paraId="762F5A2A"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shd w:val="clear" w:color="auto" w:fill="FBE4D5"/>
            <w:tcMar>
              <w:top w:w="0" w:type="dxa"/>
              <w:left w:w="100" w:type="dxa"/>
              <w:bottom w:w="0" w:type="dxa"/>
              <w:right w:w="100" w:type="dxa"/>
            </w:tcMar>
          </w:tcPr>
          <w:p w14:paraId="287AB8E6"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Product</w:t>
            </w:r>
          </w:p>
        </w:tc>
        <w:tc>
          <w:tcPr>
            <w:tcW w:w="1133"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071408BB" w14:textId="77777777" w:rsidR="00CB1172" w:rsidRPr="0027227E" w:rsidRDefault="009E3A98">
            <w:pPr>
              <w:spacing w:before="240" w:after="160" w:line="360" w:lineRule="auto"/>
              <w:jc w:val="both"/>
              <w:rPr>
                <w:sz w:val="24"/>
                <w:szCs w:val="24"/>
                <w:lang w:val="en-GB"/>
              </w:rPr>
            </w:pPr>
            <w:r w:rsidRPr="0027227E">
              <w:rPr>
                <w:sz w:val="24"/>
                <w:szCs w:val="24"/>
                <w:lang w:val="en-GB"/>
              </w:rPr>
              <w:t>Advanced hybrids</w:t>
            </w:r>
          </w:p>
        </w:tc>
        <w:tc>
          <w:tcPr>
            <w:tcW w:w="1208"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269F91C0" w14:textId="77777777" w:rsidR="00CB1172" w:rsidRPr="0027227E" w:rsidRDefault="009E3A98">
            <w:pPr>
              <w:spacing w:before="240" w:after="160" w:line="360" w:lineRule="auto"/>
              <w:jc w:val="both"/>
              <w:rPr>
                <w:sz w:val="24"/>
                <w:szCs w:val="24"/>
                <w:lang w:val="en-GB"/>
              </w:rPr>
            </w:pPr>
            <w:r w:rsidRPr="0027227E">
              <w:rPr>
                <w:sz w:val="24"/>
                <w:szCs w:val="24"/>
                <w:lang w:val="en-GB"/>
              </w:rPr>
              <w:t>Affordable SUVs</w:t>
            </w:r>
          </w:p>
        </w:tc>
        <w:tc>
          <w:tcPr>
            <w:tcW w:w="1586"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52A745D8" w14:textId="77777777" w:rsidR="00CB1172" w:rsidRPr="0027227E" w:rsidRDefault="009E3A98">
            <w:pPr>
              <w:spacing w:before="240" w:after="160" w:line="360" w:lineRule="auto"/>
              <w:jc w:val="both"/>
              <w:rPr>
                <w:sz w:val="24"/>
                <w:szCs w:val="24"/>
                <w:lang w:val="en-GB"/>
              </w:rPr>
            </w:pPr>
            <w:r w:rsidRPr="0027227E">
              <w:rPr>
                <w:sz w:val="24"/>
                <w:szCs w:val="24"/>
                <w:lang w:val="en-GB"/>
              </w:rPr>
              <w:t>Innovation vs affordability</w:t>
            </w:r>
          </w:p>
        </w:tc>
      </w:tr>
      <w:tr w:rsidR="00CB1172" w:rsidRPr="0027227E" w14:paraId="08D7F54C"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tcMar>
              <w:top w:w="0" w:type="dxa"/>
              <w:left w:w="100" w:type="dxa"/>
              <w:bottom w:w="0" w:type="dxa"/>
              <w:right w:w="100" w:type="dxa"/>
            </w:tcMar>
          </w:tcPr>
          <w:p w14:paraId="11A2F047"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Price</w:t>
            </w:r>
          </w:p>
        </w:tc>
        <w:tc>
          <w:tcPr>
            <w:tcW w:w="1133" w:type="pct"/>
            <w:tcBorders>
              <w:top w:val="nil"/>
              <w:left w:val="nil"/>
              <w:bottom w:val="single" w:sz="8" w:space="0" w:color="F4B083"/>
              <w:right w:val="single" w:sz="8" w:space="0" w:color="F4B083"/>
            </w:tcBorders>
            <w:tcMar>
              <w:top w:w="0" w:type="dxa"/>
              <w:left w:w="100" w:type="dxa"/>
              <w:bottom w:w="0" w:type="dxa"/>
              <w:right w:w="100" w:type="dxa"/>
            </w:tcMar>
          </w:tcPr>
          <w:p w14:paraId="32E88060" w14:textId="77777777" w:rsidR="00CB1172" w:rsidRPr="0027227E" w:rsidRDefault="009E3A98">
            <w:pPr>
              <w:spacing w:before="240" w:after="160" w:line="360" w:lineRule="auto"/>
              <w:jc w:val="both"/>
              <w:rPr>
                <w:sz w:val="24"/>
                <w:szCs w:val="24"/>
                <w:lang w:val="en-GB"/>
              </w:rPr>
            </w:pPr>
            <w:r w:rsidRPr="0027227E">
              <w:rPr>
                <w:sz w:val="24"/>
                <w:szCs w:val="24"/>
                <w:lang w:val="en-GB"/>
              </w:rPr>
              <w:t>Premium</w:t>
            </w:r>
          </w:p>
        </w:tc>
        <w:tc>
          <w:tcPr>
            <w:tcW w:w="1208" w:type="pct"/>
            <w:tcBorders>
              <w:top w:val="nil"/>
              <w:left w:val="nil"/>
              <w:bottom w:val="single" w:sz="8" w:space="0" w:color="F4B083"/>
              <w:right w:val="single" w:sz="8" w:space="0" w:color="F4B083"/>
            </w:tcBorders>
            <w:tcMar>
              <w:top w:w="0" w:type="dxa"/>
              <w:left w:w="100" w:type="dxa"/>
              <w:bottom w:w="0" w:type="dxa"/>
              <w:right w:w="100" w:type="dxa"/>
            </w:tcMar>
          </w:tcPr>
          <w:p w14:paraId="1C91BFA4" w14:textId="77777777" w:rsidR="00CB1172" w:rsidRPr="0027227E" w:rsidRDefault="009E3A98">
            <w:pPr>
              <w:spacing w:before="240" w:after="160" w:line="360" w:lineRule="auto"/>
              <w:jc w:val="both"/>
              <w:rPr>
                <w:sz w:val="24"/>
                <w:szCs w:val="24"/>
                <w:lang w:val="en-GB"/>
              </w:rPr>
            </w:pPr>
            <w:r w:rsidRPr="0027227E">
              <w:rPr>
                <w:sz w:val="24"/>
                <w:szCs w:val="24"/>
                <w:lang w:val="en-GB"/>
              </w:rPr>
              <w:t>Competitive</w:t>
            </w:r>
          </w:p>
        </w:tc>
        <w:tc>
          <w:tcPr>
            <w:tcW w:w="1586" w:type="pct"/>
            <w:tcBorders>
              <w:top w:val="nil"/>
              <w:left w:val="nil"/>
              <w:bottom w:val="single" w:sz="8" w:space="0" w:color="F4B083"/>
              <w:right w:val="single" w:sz="8" w:space="0" w:color="F4B083"/>
            </w:tcBorders>
            <w:tcMar>
              <w:top w:w="0" w:type="dxa"/>
              <w:left w:w="100" w:type="dxa"/>
              <w:bottom w:w="0" w:type="dxa"/>
              <w:right w:w="100" w:type="dxa"/>
            </w:tcMar>
          </w:tcPr>
          <w:p w14:paraId="1E71A51C" w14:textId="77777777" w:rsidR="00CB1172" w:rsidRPr="0027227E" w:rsidRDefault="009E3A98">
            <w:pPr>
              <w:spacing w:before="240" w:after="160" w:line="360" w:lineRule="auto"/>
              <w:jc w:val="both"/>
              <w:rPr>
                <w:sz w:val="24"/>
                <w:szCs w:val="24"/>
                <w:lang w:val="en-GB"/>
              </w:rPr>
            </w:pPr>
            <w:r w:rsidRPr="0027227E">
              <w:rPr>
                <w:sz w:val="24"/>
                <w:szCs w:val="24"/>
                <w:lang w:val="en-GB"/>
              </w:rPr>
              <w:t>Higher vs lower purchasing power</w:t>
            </w:r>
          </w:p>
        </w:tc>
      </w:tr>
      <w:tr w:rsidR="00CB1172" w:rsidRPr="0027227E" w14:paraId="4504796B"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shd w:val="clear" w:color="auto" w:fill="FBE4D5"/>
            <w:tcMar>
              <w:top w:w="0" w:type="dxa"/>
              <w:left w:w="100" w:type="dxa"/>
              <w:bottom w:w="0" w:type="dxa"/>
              <w:right w:w="100" w:type="dxa"/>
            </w:tcMar>
          </w:tcPr>
          <w:p w14:paraId="5FEA1B15"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Place</w:t>
            </w:r>
          </w:p>
        </w:tc>
        <w:tc>
          <w:tcPr>
            <w:tcW w:w="1133"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331DD07E" w14:textId="77777777" w:rsidR="00CB1172" w:rsidRPr="0027227E" w:rsidRDefault="009E3A98">
            <w:pPr>
              <w:spacing w:before="240" w:after="160" w:line="360" w:lineRule="auto"/>
              <w:jc w:val="both"/>
              <w:rPr>
                <w:sz w:val="24"/>
                <w:szCs w:val="24"/>
                <w:lang w:val="en-GB"/>
              </w:rPr>
            </w:pPr>
            <w:r w:rsidRPr="0027227E">
              <w:rPr>
                <w:sz w:val="24"/>
                <w:szCs w:val="24"/>
                <w:lang w:val="en-GB"/>
              </w:rPr>
              <w:t>Mature network</w:t>
            </w:r>
          </w:p>
        </w:tc>
        <w:tc>
          <w:tcPr>
            <w:tcW w:w="1208"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19D43FC7" w14:textId="77777777" w:rsidR="00CB1172" w:rsidRPr="0027227E" w:rsidRDefault="009E3A98">
            <w:pPr>
              <w:spacing w:before="240" w:after="160" w:line="360" w:lineRule="auto"/>
              <w:jc w:val="both"/>
              <w:rPr>
                <w:sz w:val="24"/>
                <w:szCs w:val="24"/>
                <w:lang w:val="en-GB"/>
              </w:rPr>
            </w:pPr>
            <w:r w:rsidRPr="0027227E">
              <w:rPr>
                <w:sz w:val="24"/>
                <w:szCs w:val="24"/>
                <w:lang w:val="en-GB"/>
              </w:rPr>
              <w:t>Expanding network</w:t>
            </w:r>
          </w:p>
        </w:tc>
        <w:tc>
          <w:tcPr>
            <w:tcW w:w="1586"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7E9F6C23" w14:textId="77777777" w:rsidR="00CB1172" w:rsidRPr="0027227E" w:rsidRDefault="009E3A98">
            <w:pPr>
              <w:spacing w:before="240" w:after="160" w:line="360" w:lineRule="auto"/>
              <w:jc w:val="both"/>
              <w:rPr>
                <w:sz w:val="24"/>
                <w:szCs w:val="24"/>
                <w:lang w:val="en-GB"/>
              </w:rPr>
            </w:pPr>
            <w:r w:rsidRPr="0027227E">
              <w:rPr>
                <w:sz w:val="24"/>
                <w:szCs w:val="24"/>
                <w:lang w:val="en-GB"/>
              </w:rPr>
              <w:t>Developed vs growing market</w:t>
            </w:r>
          </w:p>
        </w:tc>
      </w:tr>
      <w:tr w:rsidR="00CB1172" w:rsidRPr="0027227E" w14:paraId="2223F1CE"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tcMar>
              <w:top w:w="0" w:type="dxa"/>
              <w:left w:w="100" w:type="dxa"/>
              <w:bottom w:w="0" w:type="dxa"/>
              <w:right w:w="100" w:type="dxa"/>
            </w:tcMar>
          </w:tcPr>
          <w:p w14:paraId="57B2DDB4"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Promotion</w:t>
            </w:r>
          </w:p>
        </w:tc>
        <w:tc>
          <w:tcPr>
            <w:tcW w:w="1133" w:type="pct"/>
            <w:tcBorders>
              <w:top w:val="nil"/>
              <w:left w:val="nil"/>
              <w:bottom w:val="single" w:sz="8" w:space="0" w:color="F4B083"/>
              <w:right w:val="single" w:sz="8" w:space="0" w:color="F4B083"/>
            </w:tcBorders>
            <w:tcMar>
              <w:top w:w="0" w:type="dxa"/>
              <w:left w:w="100" w:type="dxa"/>
              <w:bottom w:w="0" w:type="dxa"/>
              <w:right w:w="100" w:type="dxa"/>
            </w:tcMar>
          </w:tcPr>
          <w:p w14:paraId="03F02872" w14:textId="77777777" w:rsidR="00CB1172" w:rsidRPr="0027227E" w:rsidRDefault="009E3A98">
            <w:pPr>
              <w:spacing w:before="240" w:after="160" w:line="360" w:lineRule="auto"/>
              <w:jc w:val="both"/>
              <w:rPr>
                <w:sz w:val="24"/>
                <w:szCs w:val="24"/>
                <w:lang w:val="en-GB"/>
              </w:rPr>
            </w:pPr>
            <w:r w:rsidRPr="0027227E">
              <w:rPr>
                <w:sz w:val="24"/>
                <w:szCs w:val="24"/>
                <w:lang w:val="en-GB"/>
              </w:rPr>
              <w:t>Technology</w:t>
            </w:r>
          </w:p>
        </w:tc>
        <w:tc>
          <w:tcPr>
            <w:tcW w:w="1208" w:type="pct"/>
            <w:tcBorders>
              <w:top w:val="nil"/>
              <w:left w:val="nil"/>
              <w:bottom w:val="single" w:sz="8" w:space="0" w:color="F4B083"/>
              <w:right w:val="single" w:sz="8" w:space="0" w:color="F4B083"/>
            </w:tcBorders>
            <w:tcMar>
              <w:top w:w="0" w:type="dxa"/>
              <w:left w:w="100" w:type="dxa"/>
              <w:bottom w:w="0" w:type="dxa"/>
              <w:right w:w="100" w:type="dxa"/>
            </w:tcMar>
          </w:tcPr>
          <w:p w14:paraId="2F4C6007" w14:textId="77777777" w:rsidR="00CB1172" w:rsidRPr="0027227E" w:rsidRDefault="009E3A98">
            <w:pPr>
              <w:spacing w:before="240" w:after="160" w:line="360" w:lineRule="auto"/>
              <w:jc w:val="both"/>
              <w:rPr>
                <w:sz w:val="24"/>
                <w:szCs w:val="24"/>
                <w:lang w:val="en-GB"/>
              </w:rPr>
            </w:pPr>
            <w:r w:rsidRPr="0027227E">
              <w:rPr>
                <w:sz w:val="24"/>
                <w:szCs w:val="24"/>
                <w:lang w:val="en-GB"/>
              </w:rPr>
              <w:t>Family values</w:t>
            </w:r>
          </w:p>
        </w:tc>
        <w:tc>
          <w:tcPr>
            <w:tcW w:w="1586" w:type="pct"/>
            <w:tcBorders>
              <w:top w:val="nil"/>
              <w:left w:val="nil"/>
              <w:bottom w:val="single" w:sz="8" w:space="0" w:color="F4B083"/>
              <w:right w:val="single" w:sz="8" w:space="0" w:color="F4B083"/>
            </w:tcBorders>
            <w:tcMar>
              <w:top w:w="0" w:type="dxa"/>
              <w:left w:w="100" w:type="dxa"/>
              <w:bottom w:w="0" w:type="dxa"/>
              <w:right w:w="100" w:type="dxa"/>
            </w:tcMar>
          </w:tcPr>
          <w:p w14:paraId="200CB261" w14:textId="77777777" w:rsidR="00CB1172" w:rsidRPr="0027227E" w:rsidRDefault="009E3A98">
            <w:pPr>
              <w:spacing w:before="240" w:after="160" w:line="360" w:lineRule="auto"/>
              <w:jc w:val="both"/>
              <w:rPr>
                <w:sz w:val="24"/>
                <w:szCs w:val="24"/>
                <w:lang w:val="en-GB"/>
              </w:rPr>
            </w:pPr>
            <w:r w:rsidRPr="0027227E">
              <w:rPr>
                <w:sz w:val="24"/>
                <w:szCs w:val="24"/>
                <w:lang w:val="en-GB"/>
              </w:rPr>
              <w:t>Individualism vs collectivism</w:t>
            </w:r>
          </w:p>
        </w:tc>
      </w:tr>
      <w:tr w:rsidR="00CB1172" w:rsidRPr="0027227E" w14:paraId="78879E93"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shd w:val="clear" w:color="auto" w:fill="FBE4D5"/>
            <w:tcMar>
              <w:top w:w="0" w:type="dxa"/>
              <w:left w:w="100" w:type="dxa"/>
              <w:bottom w:w="0" w:type="dxa"/>
              <w:right w:w="100" w:type="dxa"/>
            </w:tcMar>
          </w:tcPr>
          <w:p w14:paraId="58003903"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People</w:t>
            </w:r>
          </w:p>
        </w:tc>
        <w:tc>
          <w:tcPr>
            <w:tcW w:w="1133"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1B980561" w14:textId="77777777" w:rsidR="00CB1172" w:rsidRPr="0027227E" w:rsidRDefault="009E3A98">
            <w:pPr>
              <w:spacing w:before="240" w:after="160" w:line="360" w:lineRule="auto"/>
              <w:jc w:val="both"/>
              <w:rPr>
                <w:sz w:val="24"/>
                <w:szCs w:val="24"/>
                <w:lang w:val="en-GB"/>
              </w:rPr>
            </w:pPr>
            <w:r w:rsidRPr="0027227E">
              <w:rPr>
                <w:sz w:val="24"/>
                <w:szCs w:val="24"/>
                <w:lang w:val="en-GB"/>
              </w:rPr>
              <w:t>Kaizen service</w:t>
            </w:r>
          </w:p>
        </w:tc>
        <w:tc>
          <w:tcPr>
            <w:tcW w:w="1208"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3213132F" w14:textId="77777777" w:rsidR="00CB1172" w:rsidRPr="0027227E" w:rsidRDefault="009E3A98">
            <w:pPr>
              <w:spacing w:before="240" w:after="160" w:line="360" w:lineRule="auto"/>
              <w:jc w:val="both"/>
              <w:rPr>
                <w:sz w:val="24"/>
                <w:szCs w:val="24"/>
                <w:lang w:val="en-GB"/>
              </w:rPr>
            </w:pPr>
            <w:r w:rsidRPr="0027227E">
              <w:rPr>
                <w:sz w:val="24"/>
                <w:szCs w:val="24"/>
                <w:lang w:val="en-GB"/>
              </w:rPr>
              <w:t>Relationship focus</w:t>
            </w:r>
          </w:p>
        </w:tc>
        <w:tc>
          <w:tcPr>
            <w:tcW w:w="1586"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20D3CDB7" w14:textId="77777777" w:rsidR="00CB1172" w:rsidRPr="0027227E" w:rsidRDefault="009E3A98">
            <w:pPr>
              <w:spacing w:before="240" w:after="160" w:line="360" w:lineRule="auto"/>
              <w:jc w:val="both"/>
              <w:rPr>
                <w:sz w:val="24"/>
                <w:szCs w:val="24"/>
                <w:lang w:val="en-GB"/>
              </w:rPr>
            </w:pPr>
            <w:r w:rsidRPr="0027227E">
              <w:rPr>
                <w:sz w:val="24"/>
                <w:szCs w:val="24"/>
                <w:lang w:val="en-GB"/>
              </w:rPr>
              <w:t>Service expectations</w:t>
            </w:r>
          </w:p>
        </w:tc>
      </w:tr>
      <w:tr w:rsidR="00CB1172" w:rsidRPr="0027227E" w14:paraId="6C006601" w14:textId="77777777" w:rsidTr="0027227E">
        <w:trPr>
          <w:trHeight w:val="780"/>
          <w:jc w:val="center"/>
        </w:trPr>
        <w:tc>
          <w:tcPr>
            <w:tcW w:w="1074" w:type="pct"/>
            <w:tcBorders>
              <w:top w:val="nil"/>
              <w:left w:val="single" w:sz="8" w:space="0" w:color="F4B083"/>
              <w:bottom w:val="single" w:sz="8" w:space="0" w:color="F4B083"/>
              <w:right w:val="single" w:sz="8" w:space="0" w:color="F4B083"/>
            </w:tcBorders>
            <w:tcMar>
              <w:top w:w="0" w:type="dxa"/>
              <w:left w:w="100" w:type="dxa"/>
              <w:bottom w:w="0" w:type="dxa"/>
              <w:right w:w="100" w:type="dxa"/>
            </w:tcMar>
          </w:tcPr>
          <w:p w14:paraId="05DB56FB"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Process</w:t>
            </w:r>
          </w:p>
        </w:tc>
        <w:tc>
          <w:tcPr>
            <w:tcW w:w="1133" w:type="pct"/>
            <w:tcBorders>
              <w:top w:val="nil"/>
              <w:left w:val="nil"/>
              <w:bottom w:val="single" w:sz="8" w:space="0" w:color="F4B083"/>
              <w:right w:val="single" w:sz="8" w:space="0" w:color="F4B083"/>
            </w:tcBorders>
            <w:tcMar>
              <w:top w:w="0" w:type="dxa"/>
              <w:left w:w="100" w:type="dxa"/>
              <w:bottom w:w="0" w:type="dxa"/>
              <w:right w:w="100" w:type="dxa"/>
            </w:tcMar>
          </w:tcPr>
          <w:p w14:paraId="4AA48C1D" w14:textId="77777777" w:rsidR="00CB1172" w:rsidRPr="0027227E" w:rsidRDefault="009E3A98">
            <w:pPr>
              <w:spacing w:before="240" w:after="160" w:line="360" w:lineRule="auto"/>
              <w:jc w:val="both"/>
              <w:rPr>
                <w:sz w:val="24"/>
                <w:szCs w:val="24"/>
                <w:lang w:val="en-GB"/>
              </w:rPr>
            </w:pPr>
            <w:r w:rsidRPr="0027227E">
              <w:rPr>
                <w:sz w:val="24"/>
                <w:szCs w:val="24"/>
                <w:lang w:val="en-GB"/>
              </w:rPr>
              <w:t>Digital efficiency</w:t>
            </w:r>
          </w:p>
        </w:tc>
        <w:tc>
          <w:tcPr>
            <w:tcW w:w="1208" w:type="pct"/>
            <w:tcBorders>
              <w:top w:val="nil"/>
              <w:left w:val="nil"/>
              <w:bottom w:val="single" w:sz="8" w:space="0" w:color="F4B083"/>
              <w:right w:val="single" w:sz="8" w:space="0" w:color="F4B083"/>
            </w:tcBorders>
            <w:tcMar>
              <w:top w:w="0" w:type="dxa"/>
              <w:left w:w="100" w:type="dxa"/>
              <w:bottom w:w="0" w:type="dxa"/>
              <w:right w:w="100" w:type="dxa"/>
            </w:tcMar>
          </w:tcPr>
          <w:p w14:paraId="259FFF77" w14:textId="77777777" w:rsidR="00CB1172" w:rsidRPr="0027227E" w:rsidRDefault="009E3A98">
            <w:pPr>
              <w:spacing w:before="240" w:after="160" w:line="360" w:lineRule="auto"/>
              <w:jc w:val="both"/>
              <w:rPr>
                <w:sz w:val="24"/>
                <w:szCs w:val="24"/>
                <w:lang w:val="en-GB"/>
              </w:rPr>
            </w:pPr>
            <w:r w:rsidRPr="0027227E">
              <w:rPr>
                <w:sz w:val="24"/>
                <w:szCs w:val="24"/>
                <w:lang w:val="en-GB"/>
              </w:rPr>
              <w:t>Finance support</w:t>
            </w:r>
          </w:p>
        </w:tc>
        <w:tc>
          <w:tcPr>
            <w:tcW w:w="1586" w:type="pct"/>
            <w:tcBorders>
              <w:top w:val="nil"/>
              <w:left w:val="nil"/>
              <w:bottom w:val="single" w:sz="8" w:space="0" w:color="F4B083"/>
              <w:right w:val="single" w:sz="8" w:space="0" w:color="F4B083"/>
            </w:tcBorders>
            <w:tcMar>
              <w:top w:w="0" w:type="dxa"/>
              <w:left w:w="100" w:type="dxa"/>
              <w:bottom w:w="0" w:type="dxa"/>
              <w:right w:w="100" w:type="dxa"/>
            </w:tcMar>
          </w:tcPr>
          <w:p w14:paraId="06184449" w14:textId="77777777" w:rsidR="00CB1172" w:rsidRPr="0027227E" w:rsidRDefault="009E3A98">
            <w:pPr>
              <w:spacing w:before="240" w:after="160" w:line="360" w:lineRule="auto"/>
              <w:jc w:val="both"/>
              <w:rPr>
                <w:sz w:val="24"/>
                <w:szCs w:val="24"/>
                <w:lang w:val="en-GB"/>
              </w:rPr>
            </w:pPr>
            <w:r w:rsidRPr="0027227E">
              <w:rPr>
                <w:sz w:val="24"/>
                <w:szCs w:val="24"/>
                <w:lang w:val="en-GB"/>
              </w:rPr>
              <w:t>Market maturity</w:t>
            </w:r>
          </w:p>
        </w:tc>
      </w:tr>
      <w:tr w:rsidR="00CB1172" w:rsidRPr="0027227E" w14:paraId="0E9DDFCA" w14:textId="77777777" w:rsidTr="0027227E">
        <w:trPr>
          <w:trHeight w:val="1140"/>
          <w:jc w:val="center"/>
        </w:trPr>
        <w:tc>
          <w:tcPr>
            <w:tcW w:w="1074" w:type="pct"/>
            <w:tcBorders>
              <w:top w:val="nil"/>
              <w:left w:val="single" w:sz="8" w:space="0" w:color="F4B083"/>
              <w:bottom w:val="single" w:sz="8" w:space="0" w:color="F4B083"/>
              <w:right w:val="single" w:sz="8" w:space="0" w:color="F4B083"/>
            </w:tcBorders>
            <w:shd w:val="clear" w:color="auto" w:fill="FBE4D5"/>
            <w:tcMar>
              <w:top w:w="0" w:type="dxa"/>
              <w:left w:w="100" w:type="dxa"/>
              <w:bottom w:w="0" w:type="dxa"/>
              <w:right w:w="100" w:type="dxa"/>
            </w:tcMar>
          </w:tcPr>
          <w:p w14:paraId="66562B1F" w14:textId="77777777" w:rsidR="00CB1172" w:rsidRPr="0027227E" w:rsidRDefault="009E3A98">
            <w:pPr>
              <w:spacing w:before="240" w:after="160" w:line="360" w:lineRule="auto"/>
              <w:jc w:val="both"/>
              <w:rPr>
                <w:b/>
                <w:bCs/>
                <w:sz w:val="24"/>
                <w:szCs w:val="24"/>
                <w:lang w:val="en-GB"/>
              </w:rPr>
            </w:pPr>
            <w:r w:rsidRPr="0027227E">
              <w:rPr>
                <w:b/>
                <w:bCs/>
                <w:sz w:val="24"/>
                <w:szCs w:val="24"/>
                <w:lang w:val="en-GB"/>
              </w:rPr>
              <w:t>Physical Evidence</w:t>
            </w:r>
          </w:p>
        </w:tc>
        <w:tc>
          <w:tcPr>
            <w:tcW w:w="1133"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12C140B8" w14:textId="77777777" w:rsidR="00CB1172" w:rsidRPr="0027227E" w:rsidRDefault="009E3A98">
            <w:pPr>
              <w:spacing w:before="240" w:after="160" w:line="360" w:lineRule="auto"/>
              <w:jc w:val="both"/>
              <w:rPr>
                <w:sz w:val="24"/>
                <w:szCs w:val="24"/>
                <w:lang w:val="en-GB"/>
              </w:rPr>
            </w:pPr>
            <w:r w:rsidRPr="0027227E">
              <w:rPr>
                <w:sz w:val="24"/>
                <w:szCs w:val="24"/>
                <w:lang w:val="en-GB"/>
              </w:rPr>
              <w:t>Premium showrooms</w:t>
            </w:r>
          </w:p>
        </w:tc>
        <w:tc>
          <w:tcPr>
            <w:tcW w:w="1208"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1ADCA15F" w14:textId="77777777" w:rsidR="00CB1172" w:rsidRPr="0027227E" w:rsidRDefault="009E3A98">
            <w:pPr>
              <w:spacing w:before="240" w:after="160" w:line="360" w:lineRule="auto"/>
              <w:jc w:val="both"/>
              <w:rPr>
                <w:sz w:val="24"/>
                <w:szCs w:val="24"/>
                <w:lang w:val="en-GB"/>
              </w:rPr>
            </w:pPr>
            <w:r w:rsidRPr="0027227E">
              <w:rPr>
                <w:sz w:val="24"/>
                <w:szCs w:val="24"/>
                <w:lang w:val="en-GB"/>
              </w:rPr>
              <w:t>Accessible dealerships</w:t>
            </w:r>
          </w:p>
        </w:tc>
        <w:tc>
          <w:tcPr>
            <w:tcW w:w="1586" w:type="pct"/>
            <w:tcBorders>
              <w:top w:val="nil"/>
              <w:left w:val="nil"/>
              <w:bottom w:val="single" w:sz="8" w:space="0" w:color="F4B083"/>
              <w:right w:val="single" w:sz="8" w:space="0" w:color="F4B083"/>
            </w:tcBorders>
            <w:shd w:val="clear" w:color="auto" w:fill="FBE4D5"/>
            <w:tcMar>
              <w:top w:w="0" w:type="dxa"/>
              <w:left w:w="100" w:type="dxa"/>
              <w:bottom w:w="0" w:type="dxa"/>
              <w:right w:w="100" w:type="dxa"/>
            </w:tcMar>
          </w:tcPr>
          <w:p w14:paraId="1D277AC7" w14:textId="77777777" w:rsidR="00CB1172" w:rsidRPr="0027227E" w:rsidRDefault="009E3A98">
            <w:pPr>
              <w:spacing w:before="240" w:after="160" w:line="360" w:lineRule="auto"/>
              <w:jc w:val="both"/>
              <w:rPr>
                <w:sz w:val="24"/>
                <w:szCs w:val="24"/>
                <w:lang w:val="en-GB"/>
              </w:rPr>
            </w:pPr>
            <w:r w:rsidRPr="0027227E">
              <w:rPr>
                <w:sz w:val="24"/>
                <w:szCs w:val="24"/>
                <w:lang w:val="en-GB"/>
              </w:rPr>
              <w:t>Customer accessibility</w:t>
            </w:r>
          </w:p>
        </w:tc>
      </w:tr>
    </w:tbl>
    <w:p w14:paraId="599F0466" w14:textId="77777777" w:rsidR="00CB1172" w:rsidRPr="0027227E" w:rsidRDefault="009E3A98">
      <w:pPr>
        <w:spacing w:before="200" w:after="200" w:line="360" w:lineRule="auto"/>
        <w:jc w:val="center"/>
        <w:rPr>
          <w:b/>
          <w:bCs/>
          <w:sz w:val="24"/>
          <w:szCs w:val="24"/>
          <w:lang w:val="en-GB"/>
        </w:rPr>
      </w:pPr>
      <w:r w:rsidRPr="0027227E">
        <w:rPr>
          <w:b/>
          <w:bCs/>
          <w:sz w:val="24"/>
          <w:szCs w:val="24"/>
          <w:lang w:val="en-GB"/>
        </w:rPr>
        <w:t>Table 1: Comparison of Toyota's International Marketing Mix in Japan and India</w:t>
      </w:r>
    </w:p>
    <w:p w14:paraId="4478A9DA" w14:textId="77777777" w:rsidR="00CB1172" w:rsidRPr="0027227E" w:rsidRDefault="009E3A98">
      <w:pPr>
        <w:spacing w:before="200" w:after="200" w:line="360" w:lineRule="auto"/>
        <w:jc w:val="center"/>
        <w:rPr>
          <w:sz w:val="24"/>
          <w:szCs w:val="24"/>
          <w:lang w:val="en-GB"/>
        </w:rPr>
      </w:pPr>
      <w:r w:rsidRPr="0027227E">
        <w:rPr>
          <w:sz w:val="24"/>
          <w:szCs w:val="24"/>
          <w:lang w:val="en-GB"/>
        </w:rPr>
        <w:t>(Source: Self-made by using MS-Word)</w:t>
      </w:r>
    </w:p>
    <w:p w14:paraId="6418E024"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Product Strategy</w:t>
      </w:r>
    </w:p>
    <w:p w14:paraId="295BBE04"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The product strategy of Toyota in </w:t>
      </w:r>
      <w:r w:rsidRPr="0027227E">
        <w:rPr>
          <w:b/>
          <w:bCs/>
          <w:i/>
          <w:iCs/>
          <w:sz w:val="24"/>
          <w:szCs w:val="24"/>
          <w:lang w:val="en-GB"/>
        </w:rPr>
        <w:t xml:space="preserve">Japan </w:t>
      </w:r>
      <w:r w:rsidRPr="0027227E">
        <w:rPr>
          <w:sz w:val="24"/>
          <w:szCs w:val="24"/>
          <w:lang w:val="en-GB"/>
        </w:rPr>
        <w:t xml:space="preserve">emphasizes innovation, advanced technology, and sustainable mobility (Lima </w:t>
      </w:r>
      <w:r w:rsidRPr="0027227E">
        <w:rPr>
          <w:i/>
          <w:iCs/>
          <w:sz w:val="24"/>
          <w:szCs w:val="24"/>
          <w:lang w:val="en-GB"/>
        </w:rPr>
        <w:t>et al.</w:t>
      </w:r>
      <w:r w:rsidRPr="0027227E">
        <w:rPr>
          <w:sz w:val="24"/>
          <w:szCs w:val="24"/>
          <w:lang w:val="en-GB"/>
        </w:rPr>
        <w:t xml:space="preserve"> 2026). As a developed automotive market, Japanese customers have high expectations about vehicle quality, safety, and environmental performance. Toyota provides a huge range of technologically advanced vehicles such as plug-in hybrids, advanced vehicles, and hydrogen fuel-cell vehicles (Hassan </w:t>
      </w:r>
      <w:r w:rsidRPr="0027227E">
        <w:rPr>
          <w:i/>
          <w:iCs/>
          <w:sz w:val="24"/>
          <w:szCs w:val="24"/>
          <w:lang w:val="en-GB"/>
        </w:rPr>
        <w:t>et al.</w:t>
      </w:r>
      <w:r w:rsidRPr="0027227E">
        <w:rPr>
          <w:sz w:val="24"/>
          <w:szCs w:val="24"/>
          <w:lang w:val="en-GB"/>
        </w:rPr>
        <w:t xml:space="preserve"> 2023). Models such as Crown, Mirai and Toyota Prius reflect Toyota’s emphasis on innovation and eco-friendly transportation. </w:t>
      </w:r>
    </w:p>
    <w:p w14:paraId="3F955960"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On the other hand, the product strategy of Toyota in </w:t>
      </w:r>
      <w:r w:rsidRPr="0027227E">
        <w:rPr>
          <w:b/>
          <w:bCs/>
          <w:i/>
          <w:iCs/>
          <w:sz w:val="24"/>
          <w:szCs w:val="24"/>
          <w:lang w:val="en-GB"/>
        </w:rPr>
        <w:t xml:space="preserve">India </w:t>
      </w:r>
      <w:r w:rsidRPr="0027227E">
        <w:rPr>
          <w:sz w:val="24"/>
          <w:szCs w:val="24"/>
          <w:lang w:val="en-GB"/>
        </w:rPr>
        <w:t xml:space="preserve">is influenced by road conditions,  customer affordability, and practical transportation requirements. In addition, Indian customers focus on durability, fuel efficiency, and low-maintenance costs (Mittal </w:t>
      </w:r>
      <w:r w:rsidRPr="0027227E">
        <w:rPr>
          <w:i/>
          <w:iCs/>
          <w:sz w:val="24"/>
          <w:szCs w:val="24"/>
          <w:lang w:val="en-GB"/>
        </w:rPr>
        <w:t>et al.</w:t>
      </w:r>
      <w:r w:rsidRPr="0027227E">
        <w:rPr>
          <w:sz w:val="24"/>
          <w:szCs w:val="24"/>
          <w:lang w:val="en-GB"/>
        </w:rPr>
        <w:t xml:space="preserve"> 2024). Toyota adapts its product portfolio by providing vehicles including Innova Hycross, Urban Cruiser Hyryder, and Fortuner that achieve the requirements of families, SUV customers, and business users. Toyota enhances localisation by making vehicles through Toyota Kirloskar Motor, which helps the organization to better understand local needs. Hence, the key difference is that Japan reflects a technology-focused market where India needs a value-oriented approach. </w:t>
      </w:r>
    </w:p>
    <w:p w14:paraId="5F927B02"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Price Strategy</w:t>
      </w:r>
    </w:p>
    <w:p w14:paraId="1185F257"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The pricing strategy of Toyota differed significantly between India and Japan due to differences in buying power and market competition. In </w:t>
      </w:r>
      <w:r w:rsidRPr="0027227E">
        <w:rPr>
          <w:b/>
          <w:bCs/>
          <w:i/>
          <w:iCs/>
          <w:sz w:val="24"/>
          <w:szCs w:val="24"/>
          <w:lang w:val="en-GB"/>
        </w:rPr>
        <w:t xml:space="preserve">Japan, </w:t>
      </w:r>
      <w:r w:rsidRPr="0027227E">
        <w:rPr>
          <w:sz w:val="24"/>
          <w:szCs w:val="24"/>
          <w:lang w:val="en-GB"/>
        </w:rPr>
        <w:t xml:space="preserve">Toyota follows a premium pricing and value-based approach (Takami </w:t>
      </w:r>
      <w:r w:rsidRPr="0027227E">
        <w:rPr>
          <w:i/>
          <w:iCs/>
          <w:sz w:val="24"/>
          <w:szCs w:val="24"/>
          <w:lang w:val="en-GB"/>
        </w:rPr>
        <w:t>et al.</w:t>
      </w:r>
      <w:r w:rsidRPr="0027227E">
        <w:rPr>
          <w:sz w:val="24"/>
          <w:szCs w:val="24"/>
          <w:lang w:val="en-GB"/>
        </w:rPr>
        <w:t xml:space="preserve"> 2023). Japanese customers have higher buying power and want to pay for advanced technology, eco-friendly, sustainable vehicles, and safety features. The pricing of Toyota reflects its strong brand reputation and technological leadership (Markova, 2026). Premium and hybrid models are positioned at higher price levels as customers identify their long-term benefits. </w:t>
      </w:r>
    </w:p>
    <w:p w14:paraId="5AAEBBAF" w14:textId="77777777" w:rsidR="00CB1172" w:rsidRPr="0027227E" w:rsidRDefault="009E3A98">
      <w:pPr>
        <w:spacing w:before="200" w:after="200" w:line="360" w:lineRule="auto"/>
        <w:jc w:val="both"/>
        <w:rPr>
          <w:sz w:val="24"/>
          <w:szCs w:val="24"/>
          <w:lang w:val="en-GB"/>
        </w:rPr>
      </w:pPr>
      <w:r w:rsidRPr="00687CCE">
        <w:rPr>
          <w:b/>
          <w:bCs/>
          <w:i/>
          <w:iCs/>
          <w:sz w:val="24"/>
          <w:szCs w:val="24"/>
          <w:lang w:val="en-GB"/>
        </w:rPr>
        <w:t>In India,</w:t>
      </w:r>
      <w:r w:rsidRPr="0027227E">
        <w:rPr>
          <w:sz w:val="24"/>
          <w:szCs w:val="24"/>
          <w:lang w:val="en-GB"/>
        </w:rPr>
        <w:t xml:space="preserve"> Toyota adopts a competitive pricing strategy as the automobile market is highly price-sensitive. When buying, many Indian customers check the prices of the vehicles and their maintenance costs (Kumar</w:t>
      </w:r>
      <w:r w:rsidRPr="0027227E">
        <w:rPr>
          <w:i/>
          <w:iCs/>
          <w:sz w:val="24"/>
          <w:szCs w:val="24"/>
          <w:lang w:val="en-GB"/>
        </w:rPr>
        <w:t xml:space="preserve"> et al</w:t>
      </w:r>
      <w:r w:rsidRPr="0027227E">
        <w:rPr>
          <w:sz w:val="24"/>
          <w:szCs w:val="24"/>
          <w:lang w:val="en-GB"/>
        </w:rPr>
        <w:t xml:space="preserve">. 2023). Consequently, Toyota is more focused on value for money than premium features. Domestic manufacturing and localisation are used by the company to keep costs low and be competitive. However, Toyota faces problems in India as rivals, Hyundai, Maruti Suzuki and Tata Motors provide more affordable vehicles. For this reason, Toyota should maintain its premium brand image that meets Indian customers' financial expectations.  </w:t>
      </w:r>
    </w:p>
    <w:p w14:paraId="7C631EBC" w14:textId="77777777" w:rsidR="00CB1172" w:rsidRPr="0027227E" w:rsidRDefault="009E3A98">
      <w:pPr>
        <w:spacing w:before="200" w:after="200" w:line="360" w:lineRule="auto"/>
        <w:jc w:val="both"/>
        <w:rPr>
          <w:b/>
          <w:bCs/>
          <w:sz w:val="24"/>
          <w:szCs w:val="24"/>
          <w:lang w:val="en-GB"/>
        </w:rPr>
      </w:pPr>
      <w:r w:rsidRPr="0027227E">
        <w:rPr>
          <w:b/>
          <w:bCs/>
          <w:sz w:val="24"/>
          <w:szCs w:val="24"/>
          <w:lang w:val="en-GB"/>
        </w:rPr>
        <w:t xml:space="preserve">Place </w:t>
      </w:r>
    </w:p>
    <w:p w14:paraId="019EFD4C" w14:textId="77777777" w:rsidR="00CB1172" w:rsidRPr="0027227E" w:rsidRDefault="009E3A98">
      <w:pPr>
        <w:spacing w:before="200" w:after="200" w:line="360" w:lineRule="auto"/>
        <w:jc w:val="both"/>
        <w:rPr>
          <w:sz w:val="24"/>
          <w:szCs w:val="24"/>
          <w:lang w:val="en-GB"/>
        </w:rPr>
      </w:pPr>
      <w:r w:rsidRPr="0027227E">
        <w:rPr>
          <w:sz w:val="24"/>
          <w:szCs w:val="24"/>
          <w:lang w:val="en-GB"/>
        </w:rPr>
        <w:t>Toyota’s</w:t>
      </w:r>
      <w:r w:rsidRPr="0027227E">
        <w:rPr>
          <w:b/>
          <w:bCs/>
          <w:i/>
          <w:iCs/>
          <w:sz w:val="24"/>
          <w:szCs w:val="24"/>
          <w:lang w:val="en-GB"/>
        </w:rPr>
        <w:t xml:space="preserve"> distribution strategy in Japan </w:t>
      </w:r>
      <w:r w:rsidRPr="0027227E">
        <w:rPr>
          <w:sz w:val="24"/>
          <w:szCs w:val="24"/>
          <w:lang w:val="en-GB"/>
        </w:rPr>
        <w:t xml:space="preserve">benefits from a mature automotive market and developed infrastructure (Hu </w:t>
      </w:r>
      <w:r w:rsidRPr="0027227E">
        <w:rPr>
          <w:i/>
          <w:iCs/>
          <w:sz w:val="24"/>
          <w:szCs w:val="24"/>
          <w:lang w:val="en-GB"/>
        </w:rPr>
        <w:t>et al.</w:t>
      </w:r>
      <w:r w:rsidRPr="0027227E">
        <w:rPr>
          <w:sz w:val="24"/>
          <w:szCs w:val="24"/>
          <w:lang w:val="en-GB"/>
        </w:rPr>
        <w:t xml:space="preserve"> 2022). The organization operates through an extensive dealership network supported by digital platforms and efficient logistics. Japanese customers expect comfortable purchasing experiences such as reputable dealerships, online information, and genuine after-sales services (Braidy </w:t>
      </w:r>
      <w:r w:rsidRPr="0027227E">
        <w:rPr>
          <w:i/>
          <w:iCs/>
          <w:sz w:val="24"/>
          <w:szCs w:val="24"/>
          <w:lang w:val="en-GB"/>
        </w:rPr>
        <w:t xml:space="preserve">et al. </w:t>
      </w:r>
      <w:r w:rsidRPr="0027227E">
        <w:rPr>
          <w:sz w:val="24"/>
          <w:szCs w:val="24"/>
          <w:lang w:val="en-GB"/>
        </w:rPr>
        <w:t xml:space="preserve">2025). Toyota has a strong distribution system that supports brand trust and customer loyalty. </w:t>
      </w:r>
    </w:p>
    <w:p w14:paraId="4B680EC5" w14:textId="77777777" w:rsidR="00CB1172" w:rsidRPr="0027227E" w:rsidRDefault="009E3A98">
      <w:pPr>
        <w:spacing w:before="200" w:after="200" w:line="360" w:lineRule="auto"/>
        <w:jc w:val="both"/>
        <w:rPr>
          <w:sz w:val="24"/>
          <w:szCs w:val="24"/>
          <w:lang w:val="en-GB"/>
        </w:rPr>
      </w:pPr>
      <w:r w:rsidRPr="0027227E">
        <w:rPr>
          <w:sz w:val="24"/>
          <w:szCs w:val="24"/>
          <w:lang w:val="en-GB"/>
        </w:rPr>
        <w:t>In India, Toyota has been focusing on improving its dealership and service network to reach customers in different regions (Mohan</w:t>
      </w:r>
      <w:r w:rsidRPr="0027227E">
        <w:rPr>
          <w:i/>
          <w:iCs/>
          <w:sz w:val="24"/>
          <w:szCs w:val="24"/>
          <w:lang w:val="en-GB"/>
        </w:rPr>
        <w:t xml:space="preserve"> et al.</w:t>
      </w:r>
      <w:r w:rsidRPr="0027227E">
        <w:rPr>
          <w:sz w:val="24"/>
          <w:szCs w:val="24"/>
          <w:lang w:val="en-GB"/>
        </w:rPr>
        <w:t xml:space="preserve"> 2025)</w:t>
      </w:r>
    </w:p>
    <w:p w14:paraId="720B8451" w14:textId="77777777" w:rsidR="00CB1172" w:rsidRDefault="009E3A98">
      <w:pPr>
        <w:spacing w:before="200" w:after="200" w:line="360" w:lineRule="auto"/>
        <w:jc w:val="both"/>
        <w:rPr>
          <w:sz w:val="24"/>
          <w:szCs w:val="24"/>
          <w:lang w:val="en-GB"/>
        </w:rPr>
      </w:pPr>
      <w:r w:rsidRPr="0027227E">
        <w:rPr>
          <w:sz w:val="24"/>
          <w:szCs w:val="24"/>
          <w:lang w:val="en-GB"/>
        </w:rPr>
        <w:t xml:space="preserve"> (Mohan </w:t>
      </w:r>
      <w:r w:rsidRPr="0027227E">
        <w:rPr>
          <w:i/>
          <w:iCs/>
          <w:sz w:val="24"/>
          <w:szCs w:val="24"/>
          <w:lang w:val="en-GB"/>
        </w:rPr>
        <w:t>et al.</w:t>
      </w:r>
      <w:r w:rsidRPr="0027227E">
        <w:rPr>
          <w:sz w:val="24"/>
          <w:szCs w:val="24"/>
          <w:lang w:val="en-GB"/>
        </w:rPr>
        <w:t xml:space="preserve"> 2025). Due to the increasing automotive market and large geographical size, accessibility is a vital aspect. Toyota Kirloskar Motor has invested in enhancing dealership service centers (Gund </w:t>
      </w:r>
      <w:r w:rsidRPr="0027227E">
        <w:rPr>
          <w:i/>
          <w:iCs/>
          <w:sz w:val="24"/>
          <w:szCs w:val="24"/>
          <w:lang w:val="en-GB"/>
        </w:rPr>
        <w:t>et al.</w:t>
      </w:r>
      <w:r w:rsidRPr="0027227E">
        <w:rPr>
          <w:sz w:val="24"/>
          <w:szCs w:val="24"/>
          <w:lang w:val="en-GB"/>
        </w:rPr>
        <w:t xml:space="preserve"> 2026). It helps Toyota gain client trust and influence purchases. Japan has convenience and efficiency; India needs to have more market coverage and accessibility.</w:t>
      </w:r>
    </w:p>
    <w:p w14:paraId="5AFCC64E" w14:textId="77777777" w:rsidR="003F28F7" w:rsidRPr="00F73CEE" w:rsidRDefault="003F28F7" w:rsidP="003F28F7">
      <w:pPr>
        <w:spacing w:before="200" w:after="200" w:line="360" w:lineRule="auto"/>
        <w:jc w:val="both"/>
        <w:rPr>
          <w:b/>
          <w:bCs/>
          <w:i/>
          <w:iCs/>
          <w:sz w:val="24"/>
          <w:szCs w:val="24"/>
          <w:lang w:val="en-GB"/>
        </w:rPr>
      </w:pPr>
      <w:r w:rsidRPr="00F73CEE">
        <w:rPr>
          <w:b/>
          <w:bCs/>
          <w:i/>
          <w:iCs/>
          <w:sz w:val="24"/>
          <w:szCs w:val="24"/>
          <w:lang w:val="en-GB"/>
        </w:rPr>
        <w:t xml:space="preserve">Promotion Strategy </w:t>
      </w:r>
    </w:p>
    <w:p w14:paraId="2E5097F2"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Toyota has adopted its promotional strategies to evaluate its diverse cultural values and the economic conditions of Japan and India. In </w:t>
      </w:r>
      <w:r w:rsidRPr="00F73CEE">
        <w:rPr>
          <w:b/>
          <w:bCs/>
          <w:i/>
          <w:iCs/>
          <w:sz w:val="24"/>
          <w:szCs w:val="24"/>
          <w:lang w:val="en-GB"/>
        </w:rPr>
        <w:t>Japan,</w:t>
      </w:r>
      <w:r w:rsidRPr="00F73CEE">
        <w:rPr>
          <w:sz w:val="24"/>
          <w:szCs w:val="24"/>
          <w:lang w:val="en-GB"/>
        </w:rPr>
        <w:t xml:space="preserve"> promotional advertisements mainly focus on innovation, safety, advanced technology, and environmental sustainability because the customers prioritize detailed product information and long-term outcomes (Ortiz-Ospino </w:t>
      </w:r>
      <w:r w:rsidRPr="00F73CEE">
        <w:rPr>
          <w:i/>
          <w:iCs/>
          <w:sz w:val="24"/>
          <w:szCs w:val="24"/>
          <w:lang w:val="en-GB"/>
        </w:rPr>
        <w:t>et al.</w:t>
      </w:r>
      <w:r w:rsidRPr="00F73CEE">
        <w:rPr>
          <w:sz w:val="24"/>
          <w:szCs w:val="24"/>
          <w:lang w:val="en-GB"/>
        </w:rPr>
        <w:t xml:space="preserve"> 2025). The promotional campaign also indicates hybrid technologies, quality, and Toyota’s contribution.</w:t>
      </w:r>
    </w:p>
    <w:p w14:paraId="64E1F12F"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On the other hand, Toyota’s promotion in </w:t>
      </w:r>
      <w:r w:rsidRPr="00F73CEE">
        <w:rPr>
          <w:b/>
          <w:bCs/>
          <w:i/>
          <w:iCs/>
          <w:sz w:val="24"/>
          <w:szCs w:val="24"/>
          <w:lang w:val="en-GB"/>
        </w:rPr>
        <w:t>India</w:t>
      </w:r>
      <w:r w:rsidRPr="00F73CEE">
        <w:rPr>
          <w:sz w:val="24"/>
          <w:szCs w:val="24"/>
          <w:lang w:val="en-GB"/>
        </w:rPr>
        <w:t xml:space="preserve"> focuses on greater family value, affordability, and long-term ownership opportunities. Many Indian customers are price-conscious and often purchase vehicles based on advertisements that emphasize fuel efficiency and resale value (Huang </w:t>
      </w:r>
      <w:r w:rsidRPr="00F73CEE">
        <w:rPr>
          <w:i/>
          <w:iCs/>
          <w:sz w:val="24"/>
          <w:szCs w:val="24"/>
          <w:lang w:val="en-GB"/>
        </w:rPr>
        <w:t>et al.</w:t>
      </w:r>
      <w:r w:rsidRPr="00F73CEE">
        <w:rPr>
          <w:sz w:val="24"/>
          <w:szCs w:val="24"/>
          <w:lang w:val="en-GB"/>
        </w:rPr>
        <w:t xml:space="preserve"> 2025). </w:t>
      </w:r>
    </w:p>
    <w:p w14:paraId="4AEE82D9"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Toyota uses social media, digital marketing, and customer involvement activities in the Japanese and Indian markets. The communication style differs because Japanese customers respond better to technical data, whereas Indian customers are more affected by practical opportunities.</w:t>
      </w:r>
    </w:p>
    <w:p w14:paraId="3B1E9274"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 xml:space="preserve">People Strategy </w:t>
      </w:r>
    </w:p>
    <w:p w14:paraId="1EE53AE5"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People strategy holds a vital role in the marketing mix of Toyota because customer service and employee behaviour strongly affect the brand image and customer satisfaction. </w:t>
      </w:r>
      <w:r w:rsidRPr="00F73CEE">
        <w:rPr>
          <w:b/>
          <w:bCs/>
          <w:i/>
          <w:iCs/>
          <w:sz w:val="24"/>
          <w:szCs w:val="24"/>
          <w:lang w:val="en-GB"/>
        </w:rPr>
        <w:t>In Japan,</w:t>
      </w:r>
      <w:r w:rsidRPr="00F73CEE">
        <w:rPr>
          <w:sz w:val="24"/>
          <w:szCs w:val="24"/>
          <w:lang w:val="en-GB"/>
        </w:rPr>
        <w:t xml:space="preserve"> most of the employees are trained under the Toyota Way and the philosophy of Kaizen, which continuously focuses on teamwork, respect, and continuous learning (Ansho, 2024). It aligns with Japanese cultural values that focus on efficiency and quality. </w:t>
      </w:r>
    </w:p>
    <w:p w14:paraId="5B1112FF" w14:textId="77777777" w:rsidR="003F28F7" w:rsidRPr="00F73CEE" w:rsidRDefault="003F28F7" w:rsidP="003F28F7">
      <w:pPr>
        <w:spacing w:before="200" w:after="200" w:line="360" w:lineRule="auto"/>
        <w:jc w:val="both"/>
        <w:rPr>
          <w:sz w:val="24"/>
          <w:szCs w:val="24"/>
          <w:lang w:val="en-GB"/>
        </w:rPr>
      </w:pPr>
      <w:r w:rsidRPr="00F73CEE">
        <w:rPr>
          <w:b/>
          <w:bCs/>
          <w:i/>
          <w:iCs/>
          <w:sz w:val="24"/>
          <w:szCs w:val="24"/>
          <w:lang w:val="en-GB"/>
        </w:rPr>
        <w:t xml:space="preserve">In India, </w:t>
      </w:r>
      <w:r w:rsidRPr="00F73CEE">
        <w:rPr>
          <w:sz w:val="24"/>
          <w:szCs w:val="24"/>
          <w:lang w:val="en-GB"/>
        </w:rPr>
        <w:t xml:space="preserve">Toyota emphasizes employee training and career improvement that offer consistent customer experiences (Alkhatib </w:t>
      </w:r>
      <w:r w:rsidRPr="00F73CEE">
        <w:rPr>
          <w:i/>
          <w:iCs/>
          <w:sz w:val="24"/>
          <w:szCs w:val="24"/>
          <w:lang w:val="en-GB"/>
        </w:rPr>
        <w:t>et al</w:t>
      </w:r>
      <w:r w:rsidRPr="00F73CEE">
        <w:rPr>
          <w:sz w:val="24"/>
          <w:szCs w:val="24"/>
          <w:lang w:val="en-GB"/>
        </w:rPr>
        <w:t xml:space="preserve">. 2026). As Indian customers need more product guidance, employees need to be trained to explain vehicle features and the financing options. </w:t>
      </w:r>
    </w:p>
    <w:p w14:paraId="39129621"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Thus, Toyota’s people strategy indicates the cultural expectations in Japan, while India has a diverse and increasing customer base.</w:t>
      </w:r>
    </w:p>
    <w:p w14:paraId="1916537F"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Process strategy</w:t>
      </w:r>
    </w:p>
    <w:p w14:paraId="088DEB02"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Toyota designs its purchasing process according to the economic and customer requirements of both markets.</w:t>
      </w:r>
      <w:r w:rsidRPr="00F73CEE">
        <w:rPr>
          <w:b/>
          <w:bCs/>
          <w:i/>
          <w:iCs/>
          <w:sz w:val="24"/>
          <w:szCs w:val="24"/>
          <w:lang w:val="en-GB"/>
        </w:rPr>
        <w:t xml:space="preserve"> In Japan</w:t>
      </w:r>
      <w:r w:rsidRPr="00F73CEE">
        <w:rPr>
          <w:sz w:val="24"/>
          <w:szCs w:val="24"/>
          <w:lang w:val="en-GB"/>
        </w:rPr>
        <w:t xml:space="preserve">, this business offers efficient purchasing procedures through digital technology and reliable maintenance service. These processes meet the Japanese customers' expectations for accuracy and speed. </w:t>
      </w:r>
    </w:p>
    <w:p w14:paraId="477D6439" w14:textId="77777777" w:rsidR="003F28F7" w:rsidRPr="00F73CEE" w:rsidRDefault="003F28F7" w:rsidP="003F28F7">
      <w:pPr>
        <w:spacing w:before="200" w:after="200" w:line="360" w:lineRule="auto"/>
        <w:jc w:val="both"/>
        <w:rPr>
          <w:sz w:val="24"/>
          <w:szCs w:val="24"/>
          <w:lang w:val="en-GB"/>
        </w:rPr>
      </w:pPr>
      <w:r w:rsidRPr="00F73CEE">
        <w:rPr>
          <w:b/>
          <w:bCs/>
          <w:i/>
          <w:iCs/>
          <w:sz w:val="24"/>
          <w:szCs w:val="24"/>
          <w:lang w:val="en-GB"/>
        </w:rPr>
        <w:t>In India,</w:t>
      </w:r>
      <w:r w:rsidRPr="00F73CEE">
        <w:rPr>
          <w:sz w:val="24"/>
          <w:szCs w:val="24"/>
          <w:lang w:val="en-GB"/>
        </w:rPr>
        <w:t xml:space="preserve"> Toyota has also adopted its process by providing flexible financing options and an affordable maintenance program (</w:t>
      </w:r>
      <w:proofErr w:type="spellStart"/>
      <w:r w:rsidRPr="00F73CEE">
        <w:rPr>
          <w:sz w:val="24"/>
          <w:szCs w:val="24"/>
          <w:lang w:val="en-GB"/>
        </w:rPr>
        <w:t>Toyotafinance</w:t>
      </w:r>
      <w:proofErr w:type="spellEnd"/>
      <w:r w:rsidRPr="00F73CEE">
        <w:rPr>
          <w:sz w:val="24"/>
          <w:szCs w:val="24"/>
          <w:lang w:val="en-GB"/>
        </w:rPr>
        <w:t xml:space="preserve">, 2026). Indian customers are more price-sensitive and emphasize only long-term ownership costs. Toyota places significant importance in customer support and cost-effective service packages. </w:t>
      </w:r>
    </w:p>
    <w:p w14:paraId="307AB6E6"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 xml:space="preserve">Consequently, the process strategy in Japan emphasizes operational efficiency, whereas the Indian strategy emphasizes affordability and long-term customer relationships. </w:t>
      </w:r>
    </w:p>
    <w:p w14:paraId="6EC76760" w14:textId="77777777" w:rsidR="003F28F7" w:rsidRPr="00F73CEE" w:rsidRDefault="003F28F7" w:rsidP="003F28F7">
      <w:pPr>
        <w:spacing w:before="200" w:after="200" w:line="360" w:lineRule="auto"/>
        <w:jc w:val="both"/>
        <w:rPr>
          <w:b/>
          <w:bCs/>
          <w:sz w:val="24"/>
          <w:szCs w:val="24"/>
          <w:lang w:val="en-GB"/>
        </w:rPr>
      </w:pPr>
      <w:r w:rsidRPr="00F73CEE">
        <w:rPr>
          <w:b/>
          <w:bCs/>
          <w:sz w:val="24"/>
          <w:szCs w:val="24"/>
          <w:lang w:val="en-GB"/>
        </w:rPr>
        <w:t>Physical Evidence Strategy</w:t>
      </w:r>
    </w:p>
    <w:p w14:paraId="72D5B533"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Physical evidence also develops Toyota’s brand image in Japan and India.</w:t>
      </w:r>
      <w:r w:rsidRPr="00F73CEE">
        <w:rPr>
          <w:b/>
          <w:bCs/>
          <w:i/>
          <w:iCs/>
          <w:sz w:val="24"/>
          <w:szCs w:val="24"/>
          <w:lang w:val="en-GB"/>
        </w:rPr>
        <w:t xml:space="preserve"> In Japan, </w:t>
      </w:r>
      <w:r w:rsidRPr="00F73CEE">
        <w:rPr>
          <w:sz w:val="24"/>
          <w:szCs w:val="24"/>
          <w:lang w:val="en-GB"/>
        </w:rPr>
        <w:t xml:space="preserve">advanced showrooms and service centres indicate innovation and high quality. In India, Toyota emphasizes the wide service network to boost trust (Braidy </w:t>
      </w:r>
      <w:r w:rsidRPr="00F73CEE">
        <w:rPr>
          <w:i/>
          <w:iCs/>
          <w:sz w:val="24"/>
          <w:szCs w:val="24"/>
          <w:lang w:val="en-GB"/>
        </w:rPr>
        <w:t>et al.</w:t>
      </w:r>
      <w:r w:rsidRPr="00F73CEE">
        <w:rPr>
          <w:sz w:val="24"/>
          <w:szCs w:val="24"/>
          <w:lang w:val="en-GB"/>
        </w:rPr>
        <w:t xml:space="preserve"> 2025).</w:t>
      </w:r>
    </w:p>
    <w:p w14:paraId="0B9551F4" w14:textId="77777777" w:rsidR="003F28F7" w:rsidRPr="00F73CEE" w:rsidRDefault="003F28F7" w:rsidP="003F28F7">
      <w:pPr>
        <w:spacing w:before="200" w:after="200" w:line="360" w:lineRule="auto"/>
        <w:jc w:val="both"/>
        <w:rPr>
          <w:sz w:val="24"/>
          <w:szCs w:val="24"/>
          <w:lang w:val="en-GB"/>
        </w:rPr>
      </w:pPr>
      <w:r w:rsidRPr="00F73CEE">
        <w:rPr>
          <w:b/>
          <w:bCs/>
          <w:i/>
          <w:iCs/>
          <w:sz w:val="24"/>
          <w:szCs w:val="24"/>
          <w:lang w:val="en-GB"/>
        </w:rPr>
        <w:t>In India,</w:t>
      </w:r>
      <w:r w:rsidRPr="00F73CEE">
        <w:rPr>
          <w:sz w:val="24"/>
          <w:szCs w:val="24"/>
          <w:lang w:val="en-GB"/>
        </w:rPr>
        <w:t xml:space="preserve"> Toyota also focuses on a huge service network and accessible dealerships to boost trust. Comfortable facilities and reliable services also impact the purchase decision, which aids in maintaining the global quality standards (Ibef.org, 2026).</w:t>
      </w:r>
    </w:p>
    <w:p w14:paraId="6A213039" w14:textId="69B78AF5" w:rsidR="003F28F7" w:rsidRPr="0027227E" w:rsidRDefault="003F28F7">
      <w:pPr>
        <w:spacing w:before="200" w:after="200" w:line="360" w:lineRule="auto"/>
        <w:jc w:val="both"/>
        <w:rPr>
          <w:sz w:val="24"/>
          <w:szCs w:val="24"/>
          <w:lang w:val="en-GB"/>
        </w:rPr>
      </w:pPr>
      <w:r w:rsidRPr="00F73CEE">
        <w:rPr>
          <w:sz w:val="24"/>
          <w:szCs w:val="24"/>
          <w:lang w:val="en-GB"/>
        </w:rPr>
        <w:t xml:space="preserve">The comparison between the two countries shows that Toyota uses an international strategy that aids in balancing global consistency with local implementation. It maintains safety, quality, and reliability during the adjustment of the marketing mix to economic and cultural conditions in Japan and India. It leads to customer satisfaction and competitive advantages in both markets. </w:t>
      </w:r>
    </w:p>
    <w:p w14:paraId="3EDFFA2F" w14:textId="77777777" w:rsidR="00CB1172" w:rsidRPr="0027227E" w:rsidRDefault="009E3A98">
      <w:pPr>
        <w:pStyle w:val="Heading2"/>
        <w:rPr>
          <w:lang w:val="en-GB"/>
        </w:rPr>
      </w:pPr>
      <w:bookmarkStart w:id="12" w:name="_9ffobov2a6r1" w:colFirst="0" w:colLast="0"/>
      <w:bookmarkStart w:id="13" w:name="_Toc236848005"/>
      <w:bookmarkEnd w:id="12"/>
      <w:r w:rsidRPr="0027227E">
        <w:rPr>
          <w:lang w:val="en-GB"/>
        </w:rPr>
        <w:t>6. Market Entry Strategy in India</w:t>
      </w:r>
      <w:bookmarkEnd w:id="13"/>
      <w:r w:rsidRPr="0027227E">
        <w:rPr>
          <w:lang w:val="en-GB"/>
        </w:rPr>
        <w:t xml:space="preserve">  </w:t>
      </w:r>
    </w:p>
    <w:p w14:paraId="318DA023" w14:textId="0CE04291" w:rsidR="00CB1172" w:rsidRPr="0027227E" w:rsidRDefault="009E3A98">
      <w:pPr>
        <w:spacing w:before="200" w:after="200" w:line="360" w:lineRule="auto"/>
        <w:jc w:val="both"/>
        <w:rPr>
          <w:sz w:val="24"/>
          <w:szCs w:val="24"/>
          <w:lang w:val="en-GB"/>
        </w:rPr>
      </w:pPr>
      <w:r w:rsidRPr="0027227E">
        <w:rPr>
          <w:sz w:val="24"/>
          <w:szCs w:val="24"/>
          <w:lang w:val="en-GB"/>
        </w:rPr>
        <w:t>Toyota entered the Indian market through a joint venture with the Kirloskar Group, establishing Toyota Kirloskar Motor (TKM) (Toyota, 2026). A joint venture is an appropriate market entry strategy as it supports the foreign company to share investment costs, risks, local knowledge</w:t>
      </w:r>
      <w:r w:rsidR="0027227E">
        <w:rPr>
          <w:sz w:val="24"/>
          <w:szCs w:val="24"/>
          <w:lang w:val="en-GB"/>
        </w:rPr>
        <w:t>,</w:t>
      </w:r>
      <w:r w:rsidRPr="0027227E">
        <w:rPr>
          <w:sz w:val="24"/>
          <w:szCs w:val="24"/>
          <w:lang w:val="en-GB"/>
        </w:rPr>
        <w:t xml:space="preserve"> and business expertise with domestic partners. This strategy helps Toyota to comprehend consumer choices in India, regulatory requirements and distribution networks more effectively. The partnership has helped Toyota to localise manufacturing, focus on its supply chain, and enhance its dealership and after-sales service network across India (Mittal </w:t>
      </w:r>
      <w:r w:rsidRPr="0027227E">
        <w:rPr>
          <w:i/>
          <w:iCs/>
          <w:sz w:val="24"/>
          <w:szCs w:val="24"/>
          <w:lang w:val="en-GB"/>
        </w:rPr>
        <w:t>et al.</w:t>
      </w:r>
      <w:r w:rsidRPr="0027227E">
        <w:rPr>
          <w:sz w:val="24"/>
          <w:szCs w:val="24"/>
          <w:lang w:val="en-GB"/>
        </w:rPr>
        <w:t xml:space="preserve"> 2024). Local production has minimised import costs and developed price competitiveness in a market where customers are highly price-</w:t>
      </w:r>
      <w:r w:rsidRPr="0027227E">
        <w:rPr>
          <w:sz w:val="24"/>
          <w:szCs w:val="24"/>
          <w:lang w:val="en-GB"/>
        </w:rPr>
        <w:t xml:space="preserve">sensitive. Therefore, Toyota has implemented its product portfolio by adapting models including Innova HyCross, Fortuner and Urban Cruiser Hyryder that achieve the requirements of Indian families and business users. </w:t>
      </w:r>
    </w:p>
    <w:p w14:paraId="214527FF"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The joint venture strategy has also led to challenges. Toyota faces high competition from global and domestic manufacturers such as Hyundai, Tata Motors, and Suzuki that provide a huge range of affordable vehicles (Khan and Suhail, 2024). However, Toyota's joint venture with Kirloskar is an effective market entry strategy as it combines global technological expertise of Toyota with local market knowledge. This approach helps the organisation to establish a significant presence in India. </w:t>
      </w:r>
    </w:p>
    <w:p w14:paraId="751C2DD6" w14:textId="77777777" w:rsidR="00CB1172" w:rsidRPr="0027227E" w:rsidRDefault="009E3A98">
      <w:pPr>
        <w:pStyle w:val="Heading2"/>
        <w:rPr>
          <w:lang w:val="en-GB"/>
        </w:rPr>
      </w:pPr>
      <w:bookmarkStart w:id="14" w:name="_wkzwgwh1boc7" w:colFirst="0" w:colLast="0"/>
      <w:bookmarkStart w:id="15" w:name="_Toc236848006"/>
      <w:bookmarkEnd w:id="14"/>
      <w:r w:rsidRPr="0027227E">
        <w:rPr>
          <w:lang w:val="en-GB"/>
        </w:rPr>
        <w:t>7. Ethical Issues in Toyota's Marketing Mix in India</w:t>
      </w:r>
      <w:bookmarkEnd w:id="15"/>
      <w:r w:rsidRPr="0027227E">
        <w:rPr>
          <w:lang w:val="en-GB"/>
        </w:rPr>
        <w:t xml:space="preserve"> </w:t>
      </w:r>
    </w:p>
    <w:p w14:paraId="55176087" w14:textId="77777777" w:rsidR="00CB1172" w:rsidRPr="0027227E" w:rsidRDefault="009E3A98">
      <w:pPr>
        <w:spacing w:before="200" w:after="200" w:line="360" w:lineRule="auto"/>
        <w:jc w:val="both"/>
        <w:rPr>
          <w:sz w:val="24"/>
          <w:szCs w:val="24"/>
          <w:lang w:val="en-GB"/>
        </w:rPr>
      </w:pPr>
      <w:r w:rsidRPr="0027227E">
        <w:rPr>
          <w:sz w:val="24"/>
          <w:szCs w:val="24"/>
          <w:lang w:val="en-GB"/>
        </w:rPr>
        <w:t>Toyota's marketing mix in India has faced ethical concerns, especially its environmental strategy. Although the firm promotes hybrid vehicles as a sustainable mobility solution, it has been criticised for introducing fully electric vehicles more slowly than some rivals (Koskinen, 2025). This has led to debate over whether promotional messages from Toyota reflect the urgent requirements to decrease carbon emissions. When hybrid vehicles produce lower emissions than traditional petrol vehicles, they still dep</w:t>
      </w:r>
      <w:r w:rsidRPr="0027227E">
        <w:rPr>
          <w:sz w:val="24"/>
          <w:szCs w:val="24"/>
          <w:lang w:val="en-GB"/>
        </w:rPr>
        <w:t xml:space="preserve">end on fossil fuels and cannot gain the same environmental benefits. Product pricing is another ethical issue. Toyota is reputed for making reliable and high-quality vehicles, but many of its models are priced above those of rivals in India (Aadithya </w:t>
      </w:r>
      <w:r w:rsidRPr="0027227E">
        <w:rPr>
          <w:i/>
          <w:iCs/>
          <w:sz w:val="24"/>
          <w:szCs w:val="24"/>
          <w:lang w:val="en-GB"/>
        </w:rPr>
        <w:t>et al.</w:t>
      </w:r>
      <w:r w:rsidRPr="0027227E">
        <w:rPr>
          <w:sz w:val="24"/>
          <w:szCs w:val="24"/>
          <w:lang w:val="en-GB"/>
        </w:rPr>
        <w:t xml:space="preserve"> 2023). It limits access for lower-income consumers and raises questions regarding whether eco-friendly vehicles are affordable for a broad population. Although Toyota has enhanced its local manufacturing to control costs, hybrid models are still expensive. </w:t>
      </w:r>
    </w:p>
    <w:p w14:paraId="7CDF098F" w14:textId="77777777" w:rsidR="00CB1172" w:rsidRDefault="009E3A98">
      <w:pPr>
        <w:spacing w:before="200" w:after="200" w:line="360" w:lineRule="auto"/>
        <w:jc w:val="both"/>
        <w:rPr>
          <w:sz w:val="24"/>
          <w:szCs w:val="24"/>
          <w:lang w:val="en-GB"/>
        </w:rPr>
      </w:pPr>
      <w:r w:rsidRPr="0027227E">
        <w:rPr>
          <w:sz w:val="24"/>
          <w:szCs w:val="24"/>
          <w:lang w:val="en-GB"/>
        </w:rPr>
        <w:t>However, Toyota has portrayed ethical responsibility through corporate social responsibility (CSR) approaches such as environmental conservation projects, road safety programmes and skill development initiatives in local communities (Haque, 2023). These activities contribute to society and focus on the company's reputation. Hence, as Toyota progresses towards responsible business practices and sustainable mobility in India, the slower adoption of fully electric vehicles and high prices of hybrid models lead</w:t>
      </w:r>
      <w:r w:rsidRPr="0027227E">
        <w:rPr>
          <w:sz w:val="24"/>
          <w:szCs w:val="24"/>
          <w:lang w:val="en-GB"/>
        </w:rPr>
        <w:t xml:space="preserve"> to ethical challenges. </w:t>
      </w:r>
    </w:p>
    <w:p w14:paraId="12C2D156" w14:textId="77777777" w:rsidR="003F28F7" w:rsidRPr="00F73CEE" w:rsidRDefault="003F28F7" w:rsidP="003F28F7">
      <w:pPr>
        <w:pStyle w:val="Heading2"/>
        <w:rPr>
          <w:lang w:val="en-GB"/>
        </w:rPr>
      </w:pPr>
      <w:bookmarkStart w:id="16" w:name="_Toc236848007"/>
      <w:r w:rsidRPr="00F73CEE">
        <w:rPr>
          <w:lang w:val="en-GB"/>
        </w:rPr>
        <w:t>8. Recommendations</w:t>
      </w:r>
      <w:bookmarkEnd w:id="16"/>
    </w:p>
    <w:p w14:paraId="56E596F9"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Based on the above analysis, Toyota should strengthen its global marketing strategy by balancing global brand consistency with local market adoption. Firstly, the organization should enhance its investment in EVs, particularly in the Indian market, where the demand for eco-friendly transformation and green vehicles has gradually increased (Mittal</w:t>
      </w:r>
      <w:r w:rsidRPr="00F73CEE">
        <w:rPr>
          <w:i/>
          <w:iCs/>
          <w:sz w:val="24"/>
          <w:szCs w:val="24"/>
          <w:lang w:val="en-GB"/>
        </w:rPr>
        <w:t xml:space="preserve"> et al. </w:t>
      </w:r>
      <w:r w:rsidRPr="00F73CEE">
        <w:rPr>
          <w:sz w:val="24"/>
          <w:szCs w:val="24"/>
          <w:lang w:val="en-GB"/>
        </w:rPr>
        <w:t>2024). Implementing a more affordable EV model would help Toyota attract price-sensitive customers who support the global sustainability goal.</w:t>
      </w:r>
    </w:p>
    <w:p w14:paraId="5490C055" w14:textId="5512FF50" w:rsidR="003F28F7" w:rsidRPr="0027227E" w:rsidRDefault="003F28F7">
      <w:pPr>
        <w:spacing w:before="200" w:after="200" w:line="360" w:lineRule="auto"/>
        <w:jc w:val="both"/>
        <w:rPr>
          <w:sz w:val="24"/>
          <w:szCs w:val="24"/>
          <w:lang w:val="en-GB"/>
        </w:rPr>
      </w:pPr>
      <w:r w:rsidRPr="00F73CEE">
        <w:rPr>
          <w:sz w:val="24"/>
          <w:szCs w:val="24"/>
          <w:lang w:val="en-GB"/>
        </w:rPr>
        <w:t>Secondly, Toyota should increase its digital marketing strategies in both countries. Toyota should use social media, digital campaigns, and online advertising to increase customer involvement and reach younger customers. For instance, the campaign in Japan can highlight innovation and advanced technology, while the advertisement in India should focus on innovation and advanced technology (</w:t>
      </w:r>
      <w:proofErr w:type="spellStart"/>
      <w:r w:rsidRPr="00F73CEE">
        <w:rPr>
          <w:sz w:val="24"/>
          <w:szCs w:val="24"/>
          <w:lang w:val="en-GB"/>
        </w:rPr>
        <w:t>Widyaningrum</w:t>
      </w:r>
      <w:proofErr w:type="spellEnd"/>
      <w:r w:rsidRPr="00F73CEE">
        <w:rPr>
          <w:sz w:val="24"/>
          <w:szCs w:val="24"/>
          <w:lang w:val="en-GB"/>
        </w:rPr>
        <w:t xml:space="preserve"> </w:t>
      </w:r>
      <w:r w:rsidRPr="00F73CEE">
        <w:rPr>
          <w:i/>
          <w:iCs/>
          <w:sz w:val="24"/>
          <w:szCs w:val="24"/>
          <w:lang w:val="en-GB"/>
        </w:rPr>
        <w:t>et al.</w:t>
      </w:r>
      <w:r w:rsidRPr="00F73CEE">
        <w:rPr>
          <w:sz w:val="24"/>
          <w:szCs w:val="24"/>
          <w:lang w:val="en-GB"/>
        </w:rPr>
        <w:t xml:space="preserve"> 2025). Thirdly, Toyota should develop its after-sales services in smaller cities in India. High-quality customer service and quick service maintenance support can develop its customer satisfaction and boost long-term loyalty. Lastly, Toyota should invest in sustainable manufacturing and environmental initiatives (</w:t>
      </w:r>
      <w:proofErr w:type="spellStart"/>
      <w:r w:rsidRPr="00F73CEE">
        <w:rPr>
          <w:sz w:val="24"/>
          <w:szCs w:val="24"/>
          <w:lang w:val="en-GB"/>
        </w:rPr>
        <w:t>Kulova</w:t>
      </w:r>
      <w:proofErr w:type="spellEnd"/>
      <w:r w:rsidRPr="00F73CEE">
        <w:rPr>
          <w:sz w:val="24"/>
          <w:szCs w:val="24"/>
          <w:lang w:val="en-GB"/>
        </w:rPr>
        <w:t xml:space="preserve"> </w:t>
      </w:r>
      <w:r w:rsidRPr="00F73CEE">
        <w:rPr>
          <w:i/>
          <w:iCs/>
          <w:sz w:val="24"/>
          <w:szCs w:val="24"/>
          <w:lang w:val="en-GB"/>
        </w:rPr>
        <w:t>et al.</w:t>
      </w:r>
      <w:r w:rsidRPr="00F73CEE">
        <w:rPr>
          <w:sz w:val="24"/>
          <w:szCs w:val="24"/>
          <w:lang w:val="en-GB"/>
        </w:rPr>
        <w:t xml:space="preserve"> 2024). By considering these strategies, Toyota can develop its competitiveness and lead to sustainable development in Japan and India. </w:t>
      </w:r>
    </w:p>
    <w:p w14:paraId="137EB015" w14:textId="77777777" w:rsidR="00CB1172" w:rsidRPr="0027227E" w:rsidRDefault="009E3A98">
      <w:pPr>
        <w:pStyle w:val="Heading2"/>
        <w:rPr>
          <w:lang w:val="en-GB"/>
        </w:rPr>
      </w:pPr>
      <w:bookmarkStart w:id="17" w:name="_43tcdm20hat4" w:colFirst="0" w:colLast="0"/>
      <w:bookmarkStart w:id="18" w:name="_Toc236848008"/>
      <w:bookmarkEnd w:id="17"/>
      <w:r w:rsidRPr="0027227E">
        <w:rPr>
          <w:lang w:val="en-GB"/>
        </w:rPr>
        <w:t>9. Conclusion</w:t>
      </w:r>
      <w:bookmarkEnd w:id="18"/>
      <w:r w:rsidRPr="0027227E">
        <w:rPr>
          <w:lang w:val="en-GB"/>
        </w:rPr>
        <w:t xml:space="preserve"> </w:t>
      </w:r>
    </w:p>
    <w:p w14:paraId="7E35D64A" w14:textId="77777777" w:rsidR="00CB1172" w:rsidRPr="0027227E" w:rsidRDefault="009E3A98">
      <w:pPr>
        <w:spacing w:before="200" w:after="200" w:line="360" w:lineRule="auto"/>
        <w:jc w:val="both"/>
        <w:rPr>
          <w:sz w:val="24"/>
          <w:szCs w:val="24"/>
          <w:lang w:val="en-GB"/>
        </w:rPr>
      </w:pPr>
      <w:r w:rsidRPr="0027227E">
        <w:rPr>
          <w:sz w:val="24"/>
          <w:szCs w:val="24"/>
          <w:lang w:val="en-GB"/>
        </w:rPr>
        <w:t>The analysis demonstrates that Toyota successfully adapts its global marketing strategy to various economic and cultural conditions of India and Japan. When the organization maintains its consistent international reputation for safety, quality, and reliability, it modifies its STP strategy, marketing mix, and market approach to meet the requirements of local customer needs. Therefore, ongoing investment in sustainability, innovation and customer-focused strategies will focus on the competitive position of T</w:t>
      </w:r>
      <w:r w:rsidRPr="0027227E">
        <w:rPr>
          <w:sz w:val="24"/>
          <w:szCs w:val="24"/>
          <w:lang w:val="en-GB"/>
        </w:rPr>
        <w:t xml:space="preserve">oyota and support long-term growth in both markets. </w:t>
      </w:r>
    </w:p>
    <w:p w14:paraId="17C5A5CA" w14:textId="77777777" w:rsidR="0027227E" w:rsidRDefault="0027227E">
      <w:pPr>
        <w:rPr>
          <w:b/>
          <w:bCs/>
          <w:sz w:val="28"/>
          <w:szCs w:val="28"/>
          <w:lang w:val="en-GB"/>
        </w:rPr>
      </w:pPr>
      <w:bookmarkStart w:id="19" w:name="_efa99isxv6jw" w:colFirst="0" w:colLast="0"/>
      <w:bookmarkEnd w:id="19"/>
      <w:r>
        <w:rPr>
          <w:lang w:val="en-GB"/>
        </w:rPr>
        <w:br w:type="page"/>
      </w:r>
    </w:p>
    <w:p w14:paraId="726ACBB7" w14:textId="7FDB3678" w:rsidR="00CB1172" w:rsidRDefault="009E3A98">
      <w:pPr>
        <w:pStyle w:val="Heading1"/>
        <w:rPr>
          <w:lang w:val="en-GB"/>
        </w:rPr>
      </w:pPr>
      <w:bookmarkStart w:id="20" w:name="_Toc236848009"/>
      <w:r w:rsidRPr="0027227E">
        <w:rPr>
          <w:lang w:val="en-GB"/>
        </w:rPr>
        <w:t>Section 2: Reflective Account Using Gibbs' Reflective Cycle</w:t>
      </w:r>
      <w:bookmarkEnd w:id="20"/>
      <w:r w:rsidRPr="0027227E">
        <w:rPr>
          <w:lang w:val="en-GB"/>
        </w:rPr>
        <w:t xml:space="preserve">  </w:t>
      </w:r>
    </w:p>
    <w:p w14:paraId="3FA7F0FD" w14:textId="77777777" w:rsidR="003F28F7" w:rsidRPr="00F73CEE" w:rsidRDefault="003F28F7" w:rsidP="003F28F7">
      <w:pPr>
        <w:pStyle w:val="Heading2"/>
        <w:rPr>
          <w:lang w:val="en-GB"/>
        </w:rPr>
      </w:pPr>
      <w:bookmarkStart w:id="21" w:name="_Toc236848010"/>
      <w:r w:rsidRPr="00F73CEE">
        <w:rPr>
          <w:lang w:val="en-GB"/>
        </w:rPr>
        <w:t>1. Description</w:t>
      </w:r>
      <w:bookmarkEnd w:id="21"/>
      <w:r w:rsidRPr="00F73CEE">
        <w:rPr>
          <w:lang w:val="en-GB"/>
        </w:rPr>
        <w:t xml:space="preserve"> </w:t>
      </w:r>
    </w:p>
    <w:p w14:paraId="67857652" w14:textId="39672D96" w:rsidR="003F28F7" w:rsidRPr="003F28F7" w:rsidRDefault="003F28F7" w:rsidP="003F28F7">
      <w:pPr>
        <w:spacing w:before="200" w:after="200" w:line="360" w:lineRule="auto"/>
        <w:jc w:val="both"/>
        <w:rPr>
          <w:sz w:val="24"/>
          <w:szCs w:val="24"/>
          <w:lang w:val="en-GB"/>
        </w:rPr>
      </w:pPr>
      <w:r w:rsidRPr="00F73CEE">
        <w:rPr>
          <w:sz w:val="24"/>
          <w:szCs w:val="24"/>
          <w:lang w:val="en-GB"/>
        </w:rPr>
        <w:t>For this report, I have completed an international marketing strategy on Toyota by comparing its marketing approaches in Japan and India. I selected Toyota because it is a well-known international automobile brand with a strong presence in both countries. I have collected a lot of knowledge through the research process from academic journal articles, Toyota's annual reports, the company's website, and other reliable sources. I have used various marketing models such as PESTEL, Hofstede's Cultural Measures, STP, and the 7Ps marketing mix to compare both markets (Rani and Thomas, 2025). I have also interpreted Toyota's market entry strategy in India and evaluated the ethical challenges regarding the marketing mix and provided recommendations for developing international marketing practices. While I have been preparing this report, I have compared the data from diverse sources to ensure accuracy. Throughout the process, I have maintained the academic referencing guidelines and clearly presented my findings in a logical way.</w:t>
      </w:r>
    </w:p>
    <w:p w14:paraId="06162EFC" w14:textId="77777777" w:rsidR="00CB1172" w:rsidRPr="0027227E" w:rsidRDefault="009E3A98">
      <w:pPr>
        <w:pStyle w:val="Heading2"/>
        <w:rPr>
          <w:lang w:val="en-GB"/>
        </w:rPr>
      </w:pPr>
      <w:bookmarkStart w:id="22" w:name="_2txa37vkdoey" w:colFirst="0" w:colLast="0"/>
      <w:bookmarkStart w:id="23" w:name="_Toc236848011"/>
      <w:bookmarkEnd w:id="22"/>
      <w:r w:rsidRPr="0027227E">
        <w:rPr>
          <w:lang w:val="en-GB"/>
        </w:rPr>
        <w:t>2. Feelings</w:t>
      </w:r>
      <w:bookmarkEnd w:id="23"/>
      <w:r w:rsidRPr="0027227E">
        <w:rPr>
          <w:lang w:val="en-GB"/>
        </w:rPr>
        <w:t xml:space="preserve"> </w:t>
      </w:r>
    </w:p>
    <w:p w14:paraId="1C1524A2"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I felt a little hesitant at the beginning of this assessment as global marketing is about assessing multifaceted distinctions between countries. I was particularly concerned about choosing suitable information and ensuring that my analysis was not only descriptive but also critical. It was very challenging to comprehend how Toyota balances international standardization with local adaptation, as various factors such as cultural, economic, and regulatory influences influence market decisions (Lin </w:t>
      </w:r>
      <w:r w:rsidRPr="0027227E">
        <w:rPr>
          <w:i/>
          <w:iCs/>
          <w:sz w:val="24"/>
          <w:szCs w:val="24"/>
          <w:lang w:val="en-GB"/>
        </w:rPr>
        <w:t>et al.</w:t>
      </w:r>
      <w:r w:rsidRPr="0027227E">
        <w:rPr>
          <w:sz w:val="24"/>
          <w:szCs w:val="24"/>
          <w:lang w:val="en-GB"/>
        </w:rPr>
        <w:t xml:space="preserve"> 2023). As I improved my research, I became more confident, as the framework offers a clear structure to analyse Toyota's strategy. The Hofstede and PESTLE models aided me in organising information and comprehending why Toyota utilizes various approaches in India and Japan (Mehra, 2025). Besides, I also felt more comfortable connecting theoretical concepts with real business practices. However, I faced the challenge of handling a huge amount of information because I had to select only reliable and relevant </w:t>
      </w:r>
      <w:r w:rsidRPr="0027227E">
        <w:rPr>
          <w:sz w:val="24"/>
          <w:szCs w:val="24"/>
          <w:lang w:val="en-GB"/>
        </w:rPr>
        <w:t xml:space="preserve">sources. Hence, completing </w:t>
      </w:r>
      <w:r w:rsidRPr="0027227E">
        <w:rPr>
          <w:sz w:val="24"/>
          <w:szCs w:val="24"/>
          <w:lang w:val="en-GB"/>
        </w:rPr>
        <w:t xml:space="preserve">this assessment enhanced my confidence to conduct independent research and apply academic theories to realistic business situations.  </w:t>
      </w:r>
    </w:p>
    <w:p w14:paraId="722B1F55" w14:textId="77777777" w:rsidR="00CB1172" w:rsidRPr="0027227E" w:rsidRDefault="009E3A98">
      <w:pPr>
        <w:pStyle w:val="Heading2"/>
        <w:rPr>
          <w:lang w:val="en-GB"/>
        </w:rPr>
      </w:pPr>
      <w:bookmarkStart w:id="24" w:name="_pjyvfgqcxqhu" w:colFirst="0" w:colLast="0"/>
      <w:bookmarkStart w:id="25" w:name="_Toc236848012"/>
      <w:bookmarkEnd w:id="24"/>
      <w:r w:rsidRPr="0027227E">
        <w:rPr>
          <w:lang w:val="en-GB"/>
        </w:rPr>
        <w:t>3. Evaluation</w:t>
      </w:r>
      <w:bookmarkEnd w:id="25"/>
      <w:r w:rsidRPr="0027227E">
        <w:rPr>
          <w:lang w:val="en-GB"/>
        </w:rPr>
        <w:t xml:space="preserve"> </w:t>
      </w:r>
    </w:p>
    <w:p w14:paraId="7B5E00D4" w14:textId="77777777" w:rsidR="00CB1172" w:rsidRPr="0027227E" w:rsidRDefault="009E3A98">
      <w:pPr>
        <w:spacing w:before="200" w:after="200" w:line="360" w:lineRule="auto"/>
        <w:jc w:val="both"/>
        <w:rPr>
          <w:sz w:val="24"/>
          <w:szCs w:val="24"/>
          <w:lang w:val="en-GB"/>
        </w:rPr>
      </w:pPr>
      <w:r w:rsidRPr="0027227E">
        <w:rPr>
          <w:sz w:val="24"/>
          <w:szCs w:val="24"/>
          <w:lang w:val="en-GB"/>
        </w:rPr>
        <w:t xml:space="preserve">The research and preparation process for these assessments had several strengths. Firstly, implementing global marketing frameworks such as Hofstede’s cultural dimensions,  PESTEL analysis, the 7Ps marketing mix and STP strategy offers a transparent structure to evaluate Toyota’s strategies in India and Japan (Melo </w:t>
      </w:r>
      <w:r w:rsidRPr="0027227E">
        <w:rPr>
          <w:i/>
          <w:iCs/>
          <w:sz w:val="24"/>
          <w:szCs w:val="24"/>
          <w:lang w:val="en-GB"/>
        </w:rPr>
        <w:t>et al.</w:t>
      </w:r>
      <w:r w:rsidRPr="0027227E">
        <w:rPr>
          <w:sz w:val="24"/>
          <w:szCs w:val="24"/>
          <w:lang w:val="en-GB"/>
        </w:rPr>
        <w:t xml:space="preserve"> 2024). These frameworks aided me in comprehending how cultural and external differences influence global business decisions. Another strength was utilizing a high range of credible sources such as Toyota reports, industry publications, and academic journals that developed the reliability of my arguments and supported evidence-based analysis. </w:t>
      </w:r>
    </w:p>
    <w:p w14:paraId="6052B615" w14:textId="77777777" w:rsidR="00CB1172" w:rsidRDefault="009E3A98">
      <w:pPr>
        <w:spacing w:before="200" w:after="200" w:line="360" w:lineRule="auto"/>
        <w:jc w:val="both"/>
        <w:rPr>
          <w:sz w:val="24"/>
          <w:szCs w:val="24"/>
          <w:lang w:val="en-GB"/>
        </w:rPr>
      </w:pPr>
      <w:r w:rsidRPr="0027227E">
        <w:rPr>
          <w:sz w:val="24"/>
          <w:szCs w:val="24"/>
          <w:lang w:val="en-GB"/>
        </w:rPr>
        <w:t xml:space="preserve">I also faced some challenges during the assessment procedures. One major problem was moving beyond description and improving a critical analysis of Toyota's strategies. Initially, I prioritized gathering data about Toyota's activities, but I later identified the significance of analyzing how the organization adopted particular strategies in various markets (Handoyo </w:t>
      </w:r>
      <w:r w:rsidRPr="0027227E">
        <w:rPr>
          <w:i/>
          <w:iCs/>
          <w:sz w:val="24"/>
          <w:szCs w:val="24"/>
          <w:lang w:val="en-GB"/>
        </w:rPr>
        <w:t>et al.</w:t>
      </w:r>
      <w:r w:rsidRPr="0027227E">
        <w:rPr>
          <w:sz w:val="24"/>
          <w:szCs w:val="24"/>
          <w:lang w:val="en-GB"/>
        </w:rPr>
        <w:t xml:space="preserve"> 2023). For instance, connecting India's price-sensitive market conditions with Toyota's product and pricing decisions helped me improve my analysis. Another problem was handling the huge amount of available information and choosing only relevant data within the word limit. It required effective and careful planning. However, overall, the assessment developed my capability to conduct independent research, apply theoretical concepts and critically analyse realistic business strategies. This also focused on a</w:t>
      </w:r>
      <w:r w:rsidRPr="0027227E">
        <w:rPr>
          <w:sz w:val="24"/>
          <w:szCs w:val="24"/>
          <w:lang w:val="en-GB"/>
        </w:rPr>
        <w:t xml:space="preserve">reas of further development, especially in improving deeper analytical argument and making a stronger connection between practice and theory. </w:t>
      </w:r>
    </w:p>
    <w:p w14:paraId="69C9575C" w14:textId="77777777" w:rsidR="003F28F7" w:rsidRPr="00F73CEE" w:rsidRDefault="003F28F7" w:rsidP="003F28F7">
      <w:pPr>
        <w:pStyle w:val="Heading2"/>
        <w:rPr>
          <w:lang w:val="en-GB"/>
        </w:rPr>
      </w:pPr>
      <w:bookmarkStart w:id="26" w:name="_Toc236848013"/>
      <w:r w:rsidRPr="00F73CEE">
        <w:rPr>
          <w:lang w:val="en-GB"/>
        </w:rPr>
        <w:t>4. Analysis</w:t>
      </w:r>
      <w:bookmarkEnd w:id="26"/>
      <w:r w:rsidRPr="00F73CEE">
        <w:rPr>
          <w:lang w:val="en-GB"/>
        </w:rPr>
        <w:t xml:space="preserve"> </w:t>
      </w:r>
    </w:p>
    <w:p w14:paraId="6C295736" w14:textId="77777777" w:rsidR="003F28F7" w:rsidRPr="00F73CEE" w:rsidRDefault="003F28F7" w:rsidP="003F28F7">
      <w:pPr>
        <w:spacing w:before="200" w:after="200" w:line="360" w:lineRule="auto"/>
        <w:jc w:val="both"/>
        <w:rPr>
          <w:sz w:val="24"/>
          <w:szCs w:val="24"/>
          <w:lang w:val="en-GB"/>
        </w:rPr>
      </w:pPr>
      <w:r w:rsidRPr="00F73CEE">
        <w:rPr>
          <w:sz w:val="24"/>
          <w:szCs w:val="24"/>
          <w:lang w:val="en-GB"/>
        </w:rPr>
        <w:t>This assessment helped me understand how global marketing theories can be applied in real situations. During the data gathering for both countries, I realized that interpreting an international company requires more than describing its activities. I need to compare Japan and India by applying various marketing frameworks such as PESTEL, Hofstede's Cultural Dimensions, STP, and the 7Ps marketing mix (Rani, and Thomas, 2025). These frameworks aided me in understanding how political, economic, and cultural differences affect Toyota’s global marketing decisions. I have also learned the most vital lesson, which was the importance of reliable data sources. At first, I focused on a large amount of data from diverse websites and therefore focused on academic journal articles. This developed my credibility and the quality of my interpretation.</w:t>
      </w:r>
    </w:p>
    <w:p w14:paraId="56042C86" w14:textId="29D4F033" w:rsidR="003F28F7" w:rsidRPr="0027227E" w:rsidRDefault="003F28F7">
      <w:pPr>
        <w:spacing w:before="200" w:after="200" w:line="360" w:lineRule="auto"/>
        <w:jc w:val="both"/>
        <w:rPr>
          <w:sz w:val="24"/>
          <w:szCs w:val="24"/>
          <w:lang w:val="en-GB"/>
        </w:rPr>
      </w:pPr>
      <w:r w:rsidRPr="00F73CEE">
        <w:rPr>
          <w:sz w:val="24"/>
          <w:szCs w:val="24"/>
          <w:lang w:val="en-GB"/>
        </w:rPr>
        <w:t>I have also realized that a comparison between the two countries also required critical thinking rather than simple description. Instead of separately comparing Japan and India, I have associated how cultural standards, economic situation, and customer behaviours have impacted Toyota's marketing performance. This method helped me create a more balanced report (Hasan and Ojala, 2024). On the other hand, I have also advanced my academic writing and referencing skills by structuring reports into clear segments. Overall, this involvement has advanced my research and problem-solving skills. It improved my confidence through applying varied international marketing theories and preparing for professional commercial studies in the future.</w:t>
      </w:r>
    </w:p>
    <w:p w14:paraId="60202136" w14:textId="77777777" w:rsidR="00CB1172" w:rsidRPr="0027227E" w:rsidRDefault="009E3A98">
      <w:pPr>
        <w:pStyle w:val="Heading2"/>
        <w:rPr>
          <w:lang w:val="en-GB"/>
        </w:rPr>
      </w:pPr>
      <w:bookmarkStart w:id="27" w:name="_o936icar591z" w:colFirst="0" w:colLast="0"/>
      <w:bookmarkStart w:id="28" w:name="_Toc236848014"/>
      <w:bookmarkEnd w:id="27"/>
      <w:r w:rsidRPr="0027227E">
        <w:rPr>
          <w:lang w:val="en-GB"/>
        </w:rPr>
        <w:t>5. Conclusion</w:t>
      </w:r>
      <w:bookmarkEnd w:id="28"/>
      <w:r w:rsidRPr="0027227E">
        <w:rPr>
          <w:lang w:val="en-GB"/>
        </w:rPr>
        <w:t xml:space="preserve"> </w:t>
      </w:r>
    </w:p>
    <w:p w14:paraId="4BA70FCD" w14:textId="77777777" w:rsidR="00CB1172" w:rsidRDefault="009E3A98">
      <w:pPr>
        <w:spacing w:before="200" w:after="200" w:line="360" w:lineRule="auto"/>
        <w:jc w:val="both"/>
        <w:rPr>
          <w:sz w:val="24"/>
          <w:szCs w:val="24"/>
          <w:lang w:val="en-GB"/>
        </w:rPr>
      </w:pPr>
      <w:r w:rsidRPr="0027227E">
        <w:rPr>
          <w:sz w:val="24"/>
          <w:szCs w:val="24"/>
          <w:lang w:val="en-GB"/>
        </w:rPr>
        <w:t>Overall, completing this assessment was an important learning experience that developed my understanding of global marketing strategy and global business operations. By using Gibbs' reflective cycle, I addressed both strengths and challenges of my research and analysis process. This assessment helped me to comprehend the significance of cultural awareness, evidence-based decision-making, and market adaptation. However, I faced problems handling information and improving critical arguments. I developed my ca</w:t>
      </w:r>
      <w:r w:rsidRPr="0027227E">
        <w:rPr>
          <w:sz w:val="24"/>
          <w:szCs w:val="24"/>
          <w:lang w:val="en-GB"/>
        </w:rPr>
        <w:t xml:space="preserve">pability to apply academic frameworks to real-world scenarios. This experience has increased my analytical thinking, research skills, and confidence to complete future postgraduate business assignments. </w:t>
      </w:r>
    </w:p>
    <w:p w14:paraId="07A7E729" w14:textId="77777777" w:rsidR="003F28F7" w:rsidRPr="00F73CEE" w:rsidRDefault="003F28F7" w:rsidP="003F28F7">
      <w:pPr>
        <w:pStyle w:val="Heading2"/>
        <w:rPr>
          <w:lang w:val="en-GB"/>
        </w:rPr>
      </w:pPr>
      <w:bookmarkStart w:id="29" w:name="_Toc236848015"/>
      <w:r w:rsidRPr="00F73CEE">
        <w:rPr>
          <w:lang w:val="en-GB"/>
        </w:rPr>
        <w:t>6. Action Plan</w:t>
      </w:r>
      <w:bookmarkEnd w:id="29"/>
      <w:r w:rsidRPr="00F73CEE">
        <w:rPr>
          <w:lang w:val="en-GB"/>
        </w:rPr>
        <w:t xml:space="preserve"> </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881"/>
        <w:gridCol w:w="3347"/>
        <w:gridCol w:w="3112"/>
      </w:tblGrid>
      <w:tr w:rsidR="003F28F7" w:rsidRPr="00F73CEE" w14:paraId="237C963F" w14:textId="77777777" w:rsidTr="00687CCE">
        <w:trPr>
          <w:jc w:val="center"/>
        </w:trPr>
        <w:tc>
          <w:tcPr>
            <w:tcW w:w="1542" w:type="pct"/>
            <w:tcMar>
              <w:top w:w="100" w:type="dxa"/>
              <w:left w:w="100" w:type="dxa"/>
              <w:bottom w:w="100" w:type="dxa"/>
              <w:right w:w="100" w:type="dxa"/>
            </w:tcMar>
          </w:tcPr>
          <w:p w14:paraId="4F5BB835" w14:textId="77777777" w:rsidR="003F28F7" w:rsidRPr="00F73CEE" w:rsidRDefault="003F28F7" w:rsidP="00082C96">
            <w:pPr>
              <w:widowControl w:val="0"/>
              <w:pBdr>
                <w:top w:val="nil"/>
                <w:left w:val="nil"/>
                <w:bottom w:val="nil"/>
                <w:right w:val="nil"/>
                <w:between w:val="nil"/>
              </w:pBdr>
              <w:spacing w:line="240" w:lineRule="auto"/>
              <w:rPr>
                <w:b/>
                <w:bCs/>
                <w:sz w:val="24"/>
                <w:szCs w:val="24"/>
                <w:lang w:val="en-GB"/>
              </w:rPr>
            </w:pPr>
            <w:r w:rsidRPr="00F73CEE">
              <w:rPr>
                <w:b/>
                <w:bCs/>
                <w:sz w:val="24"/>
                <w:szCs w:val="24"/>
                <w:lang w:val="en-GB"/>
              </w:rPr>
              <w:t xml:space="preserve">Areas for Improvement </w:t>
            </w:r>
          </w:p>
        </w:tc>
        <w:tc>
          <w:tcPr>
            <w:tcW w:w="1792" w:type="pct"/>
            <w:tcMar>
              <w:top w:w="100" w:type="dxa"/>
              <w:left w:w="100" w:type="dxa"/>
              <w:bottom w:w="100" w:type="dxa"/>
              <w:right w:w="100" w:type="dxa"/>
            </w:tcMar>
          </w:tcPr>
          <w:p w14:paraId="0CB69875" w14:textId="77777777" w:rsidR="003F28F7" w:rsidRPr="00F73CEE" w:rsidRDefault="003F28F7" w:rsidP="00082C96">
            <w:pPr>
              <w:widowControl w:val="0"/>
              <w:pBdr>
                <w:top w:val="nil"/>
                <w:left w:val="nil"/>
                <w:bottom w:val="nil"/>
                <w:right w:val="nil"/>
                <w:between w:val="nil"/>
              </w:pBdr>
              <w:spacing w:line="240" w:lineRule="auto"/>
              <w:rPr>
                <w:b/>
                <w:bCs/>
                <w:sz w:val="24"/>
                <w:szCs w:val="24"/>
                <w:lang w:val="en-GB"/>
              </w:rPr>
            </w:pPr>
            <w:r w:rsidRPr="00F73CEE">
              <w:rPr>
                <w:b/>
                <w:bCs/>
                <w:sz w:val="24"/>
                <w:szCs w:val="24"/>
                <w:lang w:val="en-GB"/>
              </w:rPr>
              <w:t>Action</w:t>
            </w:r>
          </w:p>
        </w:tc>
        <w:tc>
          <w:tcPr>
            <w:tcW w:w="1666" w:type="pct"/>
            <w:tcMar>
              <w:top w:w="100" w:type="dxa"/>
              <w:left w:w="100" w:type="dxa"/>
              <w:bottom w:w="100" w:type="dxa"/>
              <w:right w:w="100" w:type="dxa"/>
            </w:tcMar>
          </w:tcPr>
          <w:p w14:paraId="540373C1" w14:textId="77777777" w:rsidR="003F28F7" w:rsidRPr="00F73CEE" w:rsidRDefault="003F28F7" w:rsidP="00082C96">
            <w:pPr>
              <w:widowControl w:val="0"/>
              <w:pBdr>
                <w:top w:val="nil"/>
                <w:left w:val="nil"/>
                <w:bottom w:val="nil"/>
                <w:right w:val="nil"/>
                <w:between w:val="nil"/>
              </w:pBdr>
              <w:spacing w:line="240" w:lineRule="auto"/>
              <w:rPr>
                <w:b/>
                <w:bCs/>
                <w:sz w:val="24"/>
                <w:szCs w:val="24"/>
                <w:lang w:val="en-GB"/>
              </w:rPr>
            </w:pPr>
            <w:r w:rsidRPr="00F73CEE">
              <w:rPr>
                <w:b/>
                <w:bCs/>
                <w:sz w:val="24"/>
                <w:szCs w:val="24"/>
                <w:lang w:val="en-GB"/>
              </w:rPr>
              <w:t>Expected Outcome</w:t>
            </w:r>
          </w:p>
        </w:tc>
      </w:tr>
      <w:tr w:rsidR="003F28F7" w:rsidRPr="00F73CEE" w14:paraId="6424BF9A" w14:textId="77777777" w:rsidTr="00687CCE">
        <w:trPr>
          <w:jc w:val="center"/>
        </w:trPr>
        <w:tc>
          <w:tcPr>
            <w:tcW w:w="1542" w:type="pct"/>
            <w:tcMar>
              <w:top w:w="100" w:type="dxa"/>
              <w:left w:w="100" w:type="dxa"/>
              <w:bottom w:w="100" w:type="dxa"/>
              <w:right w:w="100" w:type="dxa"/>
            </w:tcMar>
          </w:tcPr>
          <w:p w14:paraId="7D9CAE46"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 xml:space="preserve">Critical analysis </w:t>
            </w:r>
          </w:p>
        </w:tc>
        <w:tc>
          <w:tcPr>
            <w:tcW w:w="1792" w:type="pct"/>
            <w:tcMar>
              <w:top w:w="100" w:type="dxa"/>
              <w:left w:w="100" w:type="dxa"/>
              <w:bottom w:w="100" w:type="dxa"/>
              <w:right w:w="100" w:type="dxa"/>
            </w:tcMar>
          </w:tcPr>
          <w:p w14:paraId="7ED6A6E4"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I will spend more time evaluating the information instead of describing facts and supporting arguments with academic evidence.</w:t>
            </w:r>
          </w:p>
        </w:tc>
        <w:tc>
          <w:tcPr>
            <w:tcW w:w="1666" w:type="pct"/>
            <w:tcMar>
              <w:top w:w="100" w:type="dxa"/>
              <w:left w:w="100" w:type="dxa"/>
              <w:bottom w:w="100" w:type="dxa"/>
              <w:right w:w="100" w:type="dxa"/>
            </w:tcMar>
          </w:tcPr>
          <w:p w14:paraId="0BCD7596"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It leads to an in-depth understanding and a more analytical report.</w:t>
            </w:r>
          </w:p>
        </w:tc>
      </w:tr>
      <w:tr w:rsidR="003F28F7" w:rsidRPr="00F73CEE" w14:paraId="7F2A92F3" w14:textId="77777777" w:rsidTr="00687CCE">
        <w:trPr>
          <w:jc w:val="center"/>
        </w:trPr>
        <w:tc>
          <w:tcPr>
            <w:tcW w:w="1542" w:type="pct"/>
            <w:tcMar>
              <w:top w:w="100" w:type="dxa"/>
              <w:left w:w="100" w:type="dxa"/>
              <w:bottom w:w="100" w:type="dxa"/>
              <w:right w:w="100" w:type="dxa"/>
            </w:tcMar>
          </w:tcPr>
          <w:p w14:paraId="70D7550D"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Time Management</w:t>
            </w:r>
          </w:p>
        </w:tc>
        <w:tc>
          <w:tcPr>
            <w:tcW w:w="1792" w:type="pct"/>
            <w:tcMar>
              <w:top w:w="100" w:type="dxa"/>
              <w:left w:w="100" w:type="dxa"/>
              <w:bottom w:w="100" w:type="dxa"/>
              <w:right w:w="100" w:type="dxa"/>
            </w:tcMar>
          </w:tcPr>
          <w:p w14:paraId="0FE6D953"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 xml:space="preserve">I will create a study schedule and start research earlier for each stage of the assignment. </w:t>
            </w:r>
          </w:p>
        </w:tc>
        <w:tc>
          <w:tcPr>
            <w:tcW w:w="1666" w:type="pct"/>
            <w:tcMar>
              <w:top w:w="100" w:type="dxa"/>
              <w:left w:w="100" w:type="dxa"/>
              <w:bottom w:w="100" w:type="dxa"/>
              <w:right w:w="100" w:type="dxa"/>
            </w:tcMar>
          </w:tcPr>
          <w:p w14:paraId="262BF389"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Complete the work on time with less pressure (Ammirato</w:t>
            </w:r>
            <w:r w:rsidRPr="00F73CEE">
              <w:rPr>
                <w:i/>
                <w:iCs/>
                <w:sz w:val="24"/>
                <w:szCs w:val="24"/>
                <w:lang w:val="en-GB"/>
              </w:rPr>
              <w:t xml:space="preserve"> et al.</w:t>
            </w:r>
            <w:r w:rsidRPr="00F73CEE">
              <w:rPr>
                <w:sz w:val="24"/>
                <w:szCs w:val="24"/>
                <w:lang w:val="en-GB"/>
              </w:rPr>
              <w:t xml:space="preserve"> 2024). </w:t>
            </w:r>
          </w:p>
        </w:tc>
      </w:tr>
      <w:tr w:rsidR="003F28F7" w:rsidRPr="00F73CEE" w14:paraId="10320250" w14:textId="77777777" w:rsidTr="00687CCE">
        <w:trPr>
          <w:jc w:val="center"/>
        </w:trPr>
        <w:tc>
          <w:tcPr>
            <w:tcW w:w="1542" w:type="pct"/>
            <w:tcMar>
              <w:top w:w="100" w:type="dxa"/>
              <w:left w:w="100" w:type="dxa"/>
              <w:bottom w:w="100" w:type="dxa"/>
              <w:right w:w="100" w:type="dxa"/>
            </w:tcMar>
          </w:tcPr>
          <w:p w14:paraId="1F547FB9"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 xml:space="preserve">Research skill </w:t>
            </w:r>
          </w:p>
        </w:tc>
        <w:tc>
          <w:tcPr>
            <w:tcW w:w="1792" w:type="pct"/>
            <w:tcMar>
              <w:top w:w="100" w:type="dxa"/>
              <w:left w:w="100" w:type="dxa"/>
              <w:bottom w:w="100" w:type="dxa"/>
              <w:right w:w="100" w:type="dxa"/>
            </w:tcMar>
          </w:tcPr>
          <w:p w14:paraId="07B49109"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Use a huge range of academic journals, websites, industry reports, and company reports.</w:t>
            </w:r>
          </w:p>
        </w:tc>
        <w:tc>
          <w:tcPr>
            <w:tcW w:w="1666" w:type="pct"/>
            <w:tcMar>
              <w:top w:w="100" w:type="dxa"/>
              <w:left w:w="100" w:type="dxa"/>
              <w:bottom w:w="100" w:type="dxa"/>
              <w:right w:w="100" w:type="dxa"/>
            </w:tcMar>
          </w:tcPr>
          <w:p w14:paraId="352CBBEB"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 xml:space="preserve">It will develop the quality and credibility of the study. </w:t>
            </w:r>
          </w:p>
        </w:tc>
      </w:tr>
      <w:tr w:rsidR="003F28F7" w:rsidRPr="00F73CEE" w14:paraId="6293C31D" w14:textId="77777777" w:rsidTr="00687CCE">
        <w:trPr>
          <w:jc w:val="center"/>
        </w:trPr>
        <w:tc>
          <w:tcPr>
            <w:tcW w:w="1542" w:type="pct"/>
            <w:tcMar>
              <w:top w:w="100" w:type="dxa"/>
              <w:left w:w="100" w:type="dxa"/>
              <w:bottom w:w="100" w:type="dxa"/>
              <w:right w:w="100" w:type="dxa"/>
            </w:tcMar>
          </w:tcPr>
          <w:p w14:paraId="698F65AA"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 xml:space="preserve">Application of Theory </w:t>
            </w:r>
          </w:p>
        </w:tc>
        <w:tc>
          <w:tcPr>
            <w:tcW w:w="1792" w:type="pct"/>
            <w:tcMar>
              <w:top w:w="100" w:type="dxa"/>
              <w:left w:w="100" w:type="dxa"/>
              <w:bottom w:w="100" w:type="dxa"/>
              <w:right w:w="100" w:type="dxa"/>
            </w:tcMar>
          </w:tcPr>
          <w:p w14:paraId="3D3C2A36"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Practice marketing theory and frameworks with real business context.</w:t>
            </w:r>
          </w:p>
        </w:tc>
        <w:tc>
          <w:tcPr>
            <w:tcW w:w="1666" w:type="pct"/>
            <w:tcMar>
              <w:top w:w="100" w:type="dxa"/>
              <w:left w:w="100" w:type="dxa"/>
              <w:bottom w:w="100" w:type="dxa"/>
              <w:right w:w="100" w:type="dxa"/>
            </w:tcMar>
          </w:tcPr>
          <w:p w14:paraId="482C3255" w14:textId="77777777" w:rsidR="003F28F7" w:rsidRPr="00F73CEE" w:rsidRDefault="003F28F7" w:rsidP="00082C96">
            <w:pPr>
              <w:widowControl w:val="0"/>
              <w:pBdr>
                <w:top w:val="nil"/>
                <w:left w:val="nil"/>
                <w:bottom w:val="nil"/>
                <w:right w:val="nil"/>
                <w:between w:val="nil"/>
              </w:pBdr>
              <w:spacing w:line="240" w:lineRule="auto"/>
              <w:jc w:val="both"/>
              <w:rPr>
                <w:sz w:val="24"/>
                <w:szCs w:val="24"/>
                <w:lang w:val="en-GB"/>
              </w:rPr>
            </w:pPr>
            <w:r w:rsidRPr="00F73CEE">
              <w:rPr>
                <w:sz w:val="24"/>
                <w:szCs w:val="24"/>
                <w:lang w:val="en-GB"/>
              </w:rPr>
              <w:t>Progress in robust practical and analytical skills for future academic work.</w:t>
            </w:r>
          </w:p>
        </w:tc>
      </w:tr>
    </w:tbl>
    <w:p w14:paraId="59B12060" w14:textId="7CE284E6" w:rsidR="003F28F7" w:rsidRPr="00F73CEE" w:rsidRDefault="003F28F7" w:rsidP="003F28F7">
      <w:pPr>
        <w:spacing w:before="200" w:after="200" w:line="360" w:lineRule="auto"/>
        <w:jc w:val="center"/>
        <w:rPr>
          <w:b/>
          <w:bCs/>
          <w:sz w:val="24"/>
          <w:szCs w:val="24"/>
          <w:lang w:val="en-GB"/>
        </w:rPr>
      </w:pPr>
      <w:r>
        <w:rPr>
          <w:b/>
          <w:bCs/>
          <w:sz w:val="24"/>
          <w:szCs w:val="24"/>
          <w:lang w:val="en-GB"/>
        </w:rPr>
        <w:t>Table 2</w:t>
      </w:r>
      <w:r w:rsidRPr="00F73CEE">
        <w:rPr>
          <w:b/>
          <w:bCs/>
          <w:sz w:val="24"/>
          <w:szCs w:val="24"/>
          <w:lang w:val="en-GB"/>
        </w:rPr>
        <w:t>: Action Plan</w:t>
      </w:r>
    </w:p>
    <w:p w14:paraId="7B33F1D7" w14:textId="77777777" w:rsidR="003F28F7" w:rsidRPr="00F73CEE" w:rsidRDefault="003F28F7" w:rsidP="003F28F7">
      <w:pPr>
        <w:spacing w:before="200" w:after="200" w:line="360" w:lineRule="auto"/>
        <w:jc w:val="center"/>
        <w:rPr>
          <w:sz w:val="24"/>
          <w:szCs w:val="24"/>
          <w:lang w:val="en-GB"/>
        </w:rPr>
      </w:pPr>
      <w:r w:rsidRPr="00F73CEE">
        <w:rPr>
          <w:sz w:val="24"/>
          <w:szCs w:val="24"/>
          <w:lang w:val="en-GB"/>
        </w:rPr>
        <w:t>(Source: Self-Made using MS Word)</w:t>
      </w:r>
    </w:p>
    <w:p w14:paraId="7EB7EFBF" w14:textId="77777777" w:rsidR="003F28F7" w:rsidRPr="0027227E" w:rsidRDefault="003F28F7">
      <w:pPr>
        <w:spacing w:before="200" w:after="200" w:line="360" w:lineRule="auto"/>
        <w:jc w:val="both"/>
        <w:rPr>
          <w:sz w:val="24"/>
          <w:szCs w:val="24"/>
          <w:lang w:val="en-GB"/>
        </w:rPr>
      </w:pPr>
    </w:p>
    <w:p w14:paraId="08B75357" w14:textId="77777777" w:rsidR="0027227E" w:rsidRPr="0027227E" w:rsidRDefault="0027227E">
      <w:pPr>
        <w:rPr>
          <w:b/>
          <w:bCs/>
          <w:sz w:val="28"/>
          <w:szCs w:val="28"/>
          <w:lang w:val="en-GB"/>
        </w:rPr>
      </w:pPr>
      <w:bookmarkStart w:id="30" w:name="_kera2w6o0ikp" w:colFirst="0" w:colLast="0"/>
      <w:bookmarkEnd w:id="30"/>
      <w:r w:rsidRPr="0027227E">
        <w:rPr>
          <w:lang w:val="en-GB"/>
        </w:rPr>
        <w:br w:type="page"/>
      </w:r>
    </w:p>
    <w:p w14:paraId="6315F6A0" w14:textId="0A876EEE" w:rsidR="00CB1172" w:rsidRPr="0027227E" w:rsidRDefault="009E3A98">
      <w:pPr>
        <w:pStyle w:val="Heading1"/>
        <w:rPr>
          <w:lang w:val="en-GB"/>
        </w:rPr>
      </w:pPr>
      <w:bookmarkStart w:id="31" w:name="_Toc236848016"/>
      <w:r w:rsidRPr="0027227E">
        <w:rPr>
          <w:lang w:val="en-GB"/>
        </w:rPr>
        <w:t>References</w:t>
      </w:r>
      <w:bookmarkEnd w:id="31"/>
    </w:p>
    <w:p w14:paraId="38A0603B"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Aadithya, B.G., Asokan, P. and Vinodh, S., (2023). Lean manufacturing in fabrication industry: literature review and framework proposal. </w:t>
      </w:r>
      <w:r w:rsidRPr="0027227E">
        <w:rPr>
          <w:i/>
          <w:iCs/>
          <w:sz w:val="24"/>
          <w:szCs w:val="24"/>
          <w:lang w:val="en-GB"/>
        </w:rPr>
        <w:t>International Journal of Quality &amp; Reliability Management</w:t>
      </w:r>
      <w:r w:rsidRPr="0027227E">
        <w:rPr>
          <w:sz w:val="24"/>
          <w:szCs w:val="24"/>
          <w:lang w:val="en-GB"/>
        </w:rPr>
        <w:t xml:space="preserve">, </w:t>
      </w:r>
      <w:r w:rsidRPr="0027227E">
        <w:rPr>
          <w:i/>
          <w:iCs/>
          <w:sz w:val="24"/>
          <w:szCs w:val="24"/>
          <w:lang w:val="en-GB"/>
        </w:rPr>
        <w:t>40</w:t>
      </w:r>
      <w:r w:rsidRPr="0027227E">
        <w:rPr>
          <w:sz w:val="24"/>
          <w:szCs w:val="24"/>
          <w:lang w:val="en-GB"/>
        </w:rPr>
        <w:t>(6), pp.1485-1517. Available at:</w:t>
      </w:r>
      <w:hyperlink r:id="rId16">
        <w:r w:rsidRPr="0027227E">
          <w:rPr>
            <w:sz w:val="24"/>
            <w:szCs w:val="24"/>
            <w:lang w:val="en-GB"/>
          </w:rPr>
          <w:t xml:space="preserve"> </w:t>
        </w:r>
      </w:hyperlink>
      <w:hyperlink r:id="rId17">
        <w:r w:rsidRPr="0027227E">
          <w:rPr>
            <w:color w:val="1155CC"/>
            <w:sz w:val="24"/>
            <w:szCs w:val="24"/>
            <w:u w:val="single"/>
            <w:lang w:val="en-GB"/>
          </w:rPr>
          <w:t>https://doi.org/10.1108/IJQRM-03-2021-0084</w:t>
        </w:r>
      </w:hyperlink>
    </w:p>
    <w:p w14:paraId="7B988774"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Alkhatib, F., Alsadi, J., Antony, J., Sony, M., Bhat, S., </w:t>
      </w:r>
      <w:proofErr w:type="spellStart"/>
      <w:r w:rsidRPr="00F73CEE">
        <w:rPr>
          <w:sz w:val="24"/>
          <w:szCs w:val="24"/>
          <w:lang w:val="en-GB"/>
        </w:rPr>
        <w:t>Lameijer</w:t>
      </w:r>
      <w:proofErr w:type="spellEnd"/>
      <w:r w:rsidRPr="00F73CEE">
        <w:rPr>
          <w:sz w:val="24"/>
          <w:szCs w:val="24"/>
          <w:lang w:val="en-GB"/>
        </w:rPr>
        <w:t xml:space="preserve">, B. and Maalouf, M., (2026). Quality management and operational performance: a systematic literature review. </w:t>
      </w:r>
      <w:r w:rsidRPr="00F73CEE">
        <w:rPr>
          <w:i/>
          <w:iCs/>
          <w:sz w:val="24"/>
          <w:szCs w:val="24"/>
          <w:lang w:val="en-GB"/>
        </w:rPr>
        <w:t>International Journal of Productivity and Performance Management</w:t>
      </w:r>
      <w:r w:rsidRPr="00F73CEE">
        <w:rPr>
          <w:sz w:val="24"/>
          <w:szCs w:val="24"/>
          <w:lang w:val="en-GB"/>
        </w:rPr>
        <w:t xml:space="preserve">, </w:t>
      </w:r>
      <w:r w:rsidRPr="00F73CEE">
        <w:rPr>
          <w:i/>
          <w:iCs/>
          <w:sz w:val="24"/>
          <w:szCs w:val="24"/>
          <w:lang w:val="en-GB"/>
        </w:rPr>
        <w:t>75</w:t>
      </w:r>
      <w:r w:rsidRPr="00F73CEE">
        <w:rPr>
          <w:sz w:val="24"/>
          <w:szCs w:val="24"/>
          <w:lang w:val="en-GB"/>
        </w:rPr>
        <w:t>(11), pp.54-81. Available at:</w:t>
      </w:r>
      <w:hyperlink r:id="rId18">
        <w:r w:rsidRPr="00F73CEE">
          <w:rPr>
            <w:sz w:val="24"/>
            <w:szCs w:val="24"/>
            <w:lang w:val="en-GB"/>
          </w:rPr>
          <w:t xml:space="preserve"> </w:t>
        </w:r>
      </w:hyperlink>
      <w:hyperlink r:id="rId19">
        <w:r w:rsidRPr="00F73CEE">
          <w:rPr>
            <w:color w:val="1155CC"/>
            <w:sz w:val="24"/>
            <w:szCs w:val="24"/>
            <w:u w:val="single"/>
            <w:lang w:val="en-GB"/>
          </w:rPr>
          <w:t>https://doi.org/10.1108/IJPPM-02-2025-0149</w:t>
        </w:r>
      </w:hyperlink>
    </w:p>
    <w:p w14:paraId="25916D0C"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Ammirato, S., Felicetti, A.M., Troise, C., Santoro, G. and Rozsa, Z., (2024). Human resources well-being in innovative start-ups: Insights from a systematic review of the literature. </w:t>
      </w:r>
      <w:r w:rsidRPr="00F73CEE">
        <w:rPr>
          <w:i/>
          <w:iCs/>
          <w:sz w:val="24"/>
          <w:szCs w:val="24"/>
          <w:lang w:val="en-GB"/>
        </w:rPr>
        <w:t>Journal of Innovation &amp; Knowledge</w:t>
      </w:r>
      <w:r w:rsidRPr="00F73CEE">
        <w:rPr>
          <w:sz w:val="24"/>
          <w:szCs w:val="24"/>
          <w:lang w:val="en-GB"/>
        </w:rPr>
        <w:t xml:space="preserve">, </w:t>
      </w:r>
      <w:r w:rsidRPr="00F73CEE">
        <w:rPr>
          <w:i/>
          <w:iCs/>
          <w:sz w:val="24"/>
          <w:szCs w:val="24"/>
          <w:lang w:val="en-GB"/>
        </w:rPr>
        <w:t>9</w:t>
      </w:r>
      <w:r w:rsidRPr="00F73CEE">
        <w:rPr>
          <w:sz w:val="24"/>
          <w:szCs w:val="24"/>
          <w:lang w:val="en-GB"/>
        </w:rPr>
        <w:t>(4), p.100580. Available at:</w:t>
      </w:r>
      <w:hyperlink r:id="rId20">
        <w:r w:rsidRPr="00F73CEE">
          <w:rPr>
            <w:sz w:val="24"/>
            <w:szCs w:val="24"/>
            <w:lang w:val="en-GB"/>
          </w:rPr>
          <w:t xml:space="preserve"> </w:t>
        </w:r>
      </w:hyperlink>
      <w:hyperlink r:id="rId21">
        <w:r w:rsidRPr="00F73CEE">
          <w:rPr>
            <w:color w:val="1155CC"/>
            <w:sz w:val="24"/>
            <w:szCs w:val="24"/>
            <w:u w:val="single"/>
            <w:lang w:val="en-GB"/>
          </w:rPr>
          <w:t>https://doi.org/10.1016/j.jik.2024.100580</w:t>
        </w:r>
      </w:hyperlink>
    </w:p>
    <w:p w14:paraId="57111B3B"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Ansho, J., (2024). Management in Japan: An overview of Japanese management systems and practice in the contemporary society. </w:t>
      </w:r>
      <w:proofErr w:type="spellStart"/>
      <w:r w:rsidRPr="00F73CEE">
        <w:rPr>
          <w:i/>
          <w:iCs/>
          <w:sz w:val="24"/>
          <w:szCs w:val="24"/>
          <w:lang w:val="en-GB"/>
        </w:rPr>
        <w:t>ScienceOpen</w:t>
      </w:r>
      <w:proofErr w:type="spellEnd"/>
      <w:r w:rsidRPr="00F73CEE">
        <w:rPr>
          <w:i/>
          <w:iCs/>
          <w:sz w:val="24"/>
          <w:szCs w:val="24"/>
          <w:lang w:val="en-GB"/>
        </w:rPr>
        <w:t xml:space="preserve"> Preprints</w:t>
      </w:r>
      <w:r w:rsidRPr="00F73CEE">
        <w:rPr>
          <w:sz w:val="24"/>
          <w:szCs w:val="24"/>
          <w:lang w:val="en-GB"/>
        </w:rPr>
        <w:t>.  Available at:</w:t>
      </w:r>
      <w:hyperlink r:id="rId22">
        <w:r w:rsidRPr="00F73CEE">
          <w:rPr>
            <w:sz w:val="24"/>
            <w:szCs w:val="24"/>
            <w:lang w:val="en-GB"/>
          </w:rPr>
          <w:t xml:space="preserve"> </w:t>
        </w:r>
      </w:hyperlink>
      <w:hyperlink r:id="rId23">
        <w:r w:rsidRPr="00F73CEE">
          <w:rPr>
            <w:color w:val="1155CC"/>
            <w:sz w:val="24"/>
            <w:szCs w:val="24"/>
            <w:u w:val="single"/>
            <w:lang w:val="en-GB"/>
          </w:rPr>
          <w:t>https://www.scienceopen.com/document_file/c832436c-0ba1-4cb7-b790-47171294b263/ScienceOpenPreprint/1..%20MANAGEMENT_IN_JAPAN.pdf</w:t>
        </w:r>
      </w:hyperlink>
    </w:p>
    <w:p w14:paraId="464E9747" w14:textId="77777777" w:rsidR="003F28F7" w:rsidRPr="00F73CEE" w:rsidRDefault="003F28F7" w:rsidP="003F28F7">
      <w:pPr>
        <w:spacing w:after="160" w:line="360" w:lineRule="auto"/>
        <w:jc w:val="both"/>
        <w:rPr>
          <w:b/>
          <w:bCs/>
          <w:color w:val="1155CC"/>
          <w:sz w:val="24"/>
          <w:szCs w:val="24"/>
          <w:u w:val="single"/>
          <w:lang w:val="en-GB"/>
        </w:rPr>
      </w:pPr>
      <w:r w:rsidRPr="00F73CEE">
        <w:rPr>
          <w:sz w:val="24"/>
          <w:szCs w:val="24"/>
          <w:lang w:val="en-GB"/>
        </w:rPr>
        <w:t xml:space="preserve">Biswas, P., Rashid, A., Habib, A.A., Mahmud, M., </w:t>
      </w:r>
      <w:proofErr w:type="spellStart"/>
      <w:r w:rsidRPr="00F73CEE">
        <w:rPr>
          <w:sz w:val="24"/>
          <w:szCs w:val="24"/>
          <w:lang w:val="en-GB"/>
        </w:rPr>
        <w:t>Motakabber</w:t>
      </w:r>
      <w:proofErr w:type="spellEnd"/>
      <w:r w:rsidRPr="00F73CEE">
        <w:rPr>
          <w:sz w:val="24"/>
          <w:szCs w:val="24"/>
          <w:lang w:val="en-GB"/>
        </w:rPr>
        <w:t xml:space="preserve">, S.M.A., Hossain, S., </w:t>
      </w:r>
      <w:proofErr w:type="spellStart"/>
      <w:r w:rsidRPr="00F73CEE">
        <w:rPr>
          <w:sz w:val="24"/>
          <w:szCs w:val="24"/>
          <w:lang w:val="en-GB"/>
        </w:rPr>
        <w:t>Rokonuzzaman</w:t>
      </w:r>
      <w:proofErr w:type="spellEnd"/>
      <w:r w:rsidRPr="00F73CEE">
        <w:rPr>
          <w:sz w:val="24"/>
          <w:szCs w:val="24"/>
          <w:lang w:val="en-GB"/>
        </w:rPr>
        <w:t xml:space="preserve">, M., Molla, A.H., Harun, Z., Khan, M.M.H. and Cheng, W.H., (2025). Vehicle to grid: Technology, charging station, power transmission, communication standards, techno-economic analysis, challenges, and recommendations. </w:t>
      </w:r>
      <w:r w:rsidRPr="00F73CEE">
        <w:rPr>
          <w:i/>
          <w:iCs/>
          <w:sz w:val="24"/>
          <w:szCs w:val="24"/>
          <w:lang w:val="en-GB"/>
        </w:rPr>
        <w:t>World Electric Vehicle Journal</w:t>
      </w:r>
      <w:r w:rsidRPr="00F73CEE">
        <w:rPr>
          <w:sz w:val="24"/>
          <w:szCs w:val="24"/>
          <w:lang w:val="en-GB"/>
        </w:rPr>
        <w:t xml:space="preserve">, </w:t>
      </w:r>
      <w:r w:rsidRPr="00F73CEE">
        <w:rPr>
          <w:i/>
          <w:iCs/>
          <w:sz w:val="24"/>
          <w:szCs w:val="24"/>
          <w:lang w:val="en-GB"/>
        </w:rPr>
        <w:t>16</w:t>
      </w:r>
      <w:r w:rsidRPr="00F73CEE">
        <w:rPr>
          <w:sz w:val="24"/>
          <w:szCs w:val="24"/>
          <w:lang w:val="en-GB"/>
        </w:rPr>
        <w:t>(3), p.142. Available at:</w:t>
      </w:r>
      <w:hyperlink r:id="rId24">
        <w:r w:rsidRPr="00F73CEE">
          <w:rPr>
            <w:sz w:val="24"/>
            <w:szCs w:val="24"/>
            <w:lang w:val="en-GB"/>
          </w:rPr>
          <w:t xml:space="preserve"> </w:t>
        </w:r>
      </w:hyperlink>
      <w:hyperlink r:id="rId25">
        <w:r w:rsidRPr="00F73CEE">
          <w:rPr>
            <w:b/>
            <w:bCs/>
            <w:color w:val="1155CC"/>
            <w:sz w:val="24"/>
            <w:szCs w:val="24"/>
            <w:u w:val="single"/>
            <w:lang w:val="en-GB"/>
          </w:rPr>
          <w:t>https://doi.org/10.3390/wevj16030142</w:t>
        </w:r>
      </w:hyperlink>
    </w:p>
    <w:p w14:paraId="500E4766"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Braidy, A., Pokharel, S. and ElMekkawy, T.Y., (2025). Research perspectives on innovation in the automotive sector. </w:t>
      </w:r>
      <w:r w:rsidRPr="0027227E">
        <w:rPr>
          <w:i/>
          <w:iCs/>
          <w:sz w:val="24"/>
          <w:szCs w:val="24"/>
          <w:lang w:val="en-GB"/>
        </w:rPr>
        <w:t>Sustainability</w:t>
      </w:r>
      <w:r w:rsidRPr="0027227E">
        <w:rPr>
          <w:sz w:val="24"/>
          <w:szCs w:val="24"/>
          <w:lang w:val="en-GB"/>
        </w:rPr>
        <w:t xml:space="preserve">, </w:t>
      </w:r>
      <w:r w:rsidRPr="0027227E">
        <w:rPr>
          <w:i/>
          <w:iCs/>
          <w:sz w:val="24"/>
          <w:szCs w:val="24"/>
          <w:lang w:val="en-GB"/>
        </w:rPr>
        <w:t>17</w:t>
      </w:r>
      <w:r w:rsidRPr="0027227E">
        <w:rPr>
          <w:sz w:val="24"/>
          <w:szCs w:val="24"/>
          <w:lang w:val="en-GB"/>
        </w:rPr>
        <w:t>(7), p.2795. Available at:</w:t>
      </w:r>
      <w:hyperlink r:id="rId26">
        <w:r w:rsidRPr="0027227E">
          <w:rPr>
            <w:sz w:val="24"/>
            <w:szCs w:val="24"/>
            <w:lang w:val="en-GB"/>
          </w:rPr>
          <w:t xml:space="preserve"> </w:t>
        </w:r>
      </w:hyperlink>
      <w:hyperlink r:id="rId27">
        <w:r w:rsidRPr="0027227E">
          <w:rPr>
            <w:color w:val="1155CC"/>
            <w:sz w:val="24"/>
            <w:szCs w:val="24"/>
            <w:u w:val="single"/>
            <w:lang w:val="en-GB"/>
          </w:rPr>
          <w:t>https://doi.org/10.3390/su17072795</w:t>
        </w:r>
      </w:hyperlink>
    </w:p>
    <w:p w14:paraId="4ED5EE45" w14:textId="77777777" w:rsidR="003F28F7" w:rsidRPr="00F73CEE" w:rsidRDefault="003F28F7" w:rsidP="003F28F7">
      <w:pPr>
        <w:spacing w:after="160" w:line="360" w:lineRule="auto"/>
        <w:jc w:val="both"/>
        <w:rPr>
          <w:b/>
          <w:bCs/>
          <w:color w:val="1155CC"/>
          <w:sz w:val="24"/>
          <w:szCs w:val="24"/>
          <w:u w:val="single"/>
          <w:lang w:val="en-GB"/>
        </w:rPr>
      </w:pPr>
      <w:r w:rsidRPr="00F73CEE">
        <w:rPr>
          <w:sz w:val="24"/>
          <w:szCs w:val="24"/>
          <w:lang w:val="en-GB"/>
        </w:rPr>
        <w:t xml:space="preserve">Braidy, A., Pokharel, S. and </w:t>
      </w:r>
      <w:proofErr w:type="spellStart"/>
      <w:r w:rsidRPr="00F73CEE">
        <w:rPr>
          <w:sz w:val="24"/>
          <w:szCs w:val="24"/>
          <w:lang w:val="en-GB"/>
        </w:rPr>
        <w:t>ElMekkawy</w:t>
      </w:r>
      <w:proofErr w:type="spellEnd"/>
      <w:r w:rsidRPr="00F73CEE">
        <w:rPr>
          <w:sz w:val="24"/>
          <w:szCs w:val="24"/>
          <w:lang w:val="en-GB"/>
        </w:rPr>
        <w:t xml:space="preserve">, T.Y., (2025). Research perspectives on innovation in the automotive sector. </w:t>
      </w:r>
      <w:r w:rsidRPr="00F73CEE">
        <w:rPr>
          <w:i/>
          <w:iCs/>
          <w:sz w:val="24"/>
          <w:szCs w:val="24"/>
          <w:lang w:val="en-GB"/>
        </w:rPr>
        <w:t>Sustainability</w:t>
      </w:r>
      <w:r w:rsidRPr="00F73CEE">
        <w:rPr>
          <w:sz w:val="24"/>
          <w:szCs w:val="24"/>
          <w:lang w:val="en-GB"/>
        </w:rPr>
        <w:t xml:space="preserve">, </w:t>
      </w:r>
      <w:r w:rsidRPr="00F73CEE">
        <w:rPr>
          <w:i/>
          <w:iCs/>
          <w:sz w:val="24"/>
          <w:szCs w:val="24"/>
          <w:lang w:val="en-GB"/>
        </w:rPr>
        <w:t>17</w:t>
      </w:r>
      <w:r w:rsidRPr="00F73CEE">
        <w:rPr>
          <w:sz w:val="24"/>
          <w:szCs w:val="24"/>
          <w:lang w:val="en-GB"/>
        </w:rPr>
        <w:t>(7), p.2795. Available at:</w:t>
      </w:r>
      <w:hyperlink r:id="rId28">
        <w:r w:rsidRPr="00F73CEE">
          <w:rPr>
            <w:sz w:val="24"/>
            <w:szCs w:val="24"/>
            <w:lang w:val="en-GB"/>
          </w:rPr>
          <w:t xml:space="preserve"> </w:t>
        </w:r>
      </w:hyperlink>
      <w:hyperlink r:id="rId29">
        <w:r w:rsidRPr="00F73CEE">
          <w:rPr>
            <w:b/>
            <w:bCs/>
            <w:color w:val="1155CC"/>
            <w:sz w:val="24"/>
            <w:szCs w:val="24"/>
            <w:u w:val="single"/>
            <w:lang w:val="en-GB"/>
          </w:rPr>
          <w:t>https://doi.org/10.3390/su17072795</w:t>
        </w:r>
      </w:hyperlink>
    </w:p>
    <w:p w14:paraId="00229B39" w14:textId="77777777" w:rsidR="003F28F7" w:rsidRPr="00F73CEE" w:rsidRDefault="003F28F7" w:rsidP="003F28F7">
      <w:pPr>
        <w:spacing w:after="160" w:line="360" w:lineRule="auto"/>
        <w:jc w:val="both"/>
        <w:rPr>
          <w:sz w:val="24"/>
          <w:szCs w:val="24"/>
          <w:lang w:val="en-GB"/>
        </w:rPr>
      </w:pPr>
      <w:r w:rsidRPr="003F28F7">
        <w:rPr>
          <w:sz w:val="24"/>
          <w:szCs w:val="24"/>
          <w:lang w:val="fr-HT"/>
        </w:rPr>
        <w:t xml:space="preserve">Carwale, (2025). </w:t>
      </w:r>
      <w:r w:rsidRPr="003F28F7">
        <w:rPr>
          <w:i/>
          <w:iCs/>
          <w:sz w:val="24"/>
          <w:szCs w:val="24"/>
          <w:lang w:val="fr-HT"/>
        </w:rPr>
        <w:t xml:space="preserve">Toyota Urban Cruiser Hyryder vs Toyota Innova Hycross vs Toyota Fortuner. </w:t>
      </w:r>
      <w:r w:rsidRPr="00F73CEE">
        <w:rPr>
          <w:sz w:val="24"/>
          <w:szCs w:val="24"/>
          <w:lang w:val="en-GB"/>
        </w:rPr>
        <w:t>Available at:</w:t>
      </w:r>
      <w:hyperlink r:id="rId30">
        <w:r w:rsidRPr="00F73CEE">
          <w:rPr>
            <w:sz w:val="24"/>
            <w:szCs w:val="24"/>
            <w:lang w:val="en-GB"/>
          </w:rPr>
          <w:t xml:space="preserve"> </w:t>
        </w:r>
      </w:hyperlink>
      <w:hyperlink r:id="rId31">
        <w:r w:rsidRPr="00F73CEE">
          <w:rPr>
            <w:color w:val="1155CC"/>
            <w:sz w:val="24"/>
            <w:szCs w:val="24"/>
            <w:u w:val="single"/>
            <w:lang w:val="en-GB"/>
          </w:rPr>
          <w:t>https://www.carwale.com/compare-cars/toyota-hyryder-vs-toyota-innova-hycross-vs-toyota-fortuner/?c1=20311&amp;c2=11305&amp;c3=7717</w:t>
        </w:r>
      </w:hyperlink>
      <w:r w:rsidRPr="00F73CEE">
        <w:rPr>
          <w:sz w:val="24"/>
          <w:szCs w:val="24"/>
          <w:lang w:val="en-GB"/>
        </w:rPr>
        <w:t xml:space="preserve"> (Accessed: 05 August 2026).</w:t>
      </w:r>
    </w:p>
    <w:p w14:paraId="4AA97821"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Choudhary, J., Shree, S., Rastogi, S., Chaubey, A. and Kiran, P.R., (2026). Benchmarking cross-cultural management practices in India: a theoretical debate based on journal-based longitudinal research. </w:t>
      </w:r>
      <w:r w:rsidRPr="00F73CEE">
        <w:rPr>
          <w:i/>
          <w:iCs/>
          <w:sz w:val="24"/>
          <w:szCs w:val="24"/>
          <w:lang w:val="en-GB"/>
        </w:rPr>
        <w:t>Benchmarking: An International Journal</w:t>
      </w:r>
      <w:r w:rsidRPr="00F73CEE">
        <w:rPr>
          <w:sz w:val="24"/>
          <w:szCs w:val="24"/>
          <w:lang w:val="en-GB"/>
        </w:rPr>
        <w:t xml:space="preserve">, </w:t>
      </w:r>
      <w:r w:rsidRPr="00F73CEE">
        <w:rPr>
          <w:i/>
          <w:iCs/>
          <w:sz w:val="24"/>
          <w:szCs w:val="24"/>
          <w:lang w:val="en-GB"/>
        </w:rPr>
        <w:t>33</w:t>
      </w:r>
      <w:r w:rsidRPr="00F73CEE">
        <w:rPr>
          <w:sz w:val="24"/>
          <w:szCs w:val="24"/>
          <w:lang w:val="en-GB"/>
        </w:rPr>
        <w:t>(7), pp.2196-2227.  Available at:</w:t>
      </w:r>
      <w:hyperlink r:id="rId32">
        <w:r w:rsidRPr="00F73CEE">
          <w:rPr>
            <w:sz w:val="24"/>
            <w:szCs w:val="24"/>
            <w:lang w:val="en-GB"/>
          </w:rPr>
          <w:t xml:space="preserve"> </w:t>
        </w:r>
      </w:hyperlink>
      <w:hyperlink r:id="rId33">
        <w:r w:rsidRPr="00F73CEE">
          <w:rPr>
            <w:color w:val="1155CC"/>
            <w:sz w:val="24"/>
            <w:szCs w:val="24"/>
            <w:u w:val="single"/>
            <w:lang w:val="en-GB"/>
          </w:rPr>
          <w:t>https://www.emerald.com/bij/article/33/7/2196/1252399</w:t>
        </w:r>
      </w:hyperlink>
    </w:p>
    <w:p w14:paraId="62725A16"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Energy environment, (2026). </w:t>
      </w:r>
      <w:r w:rsidRPr="0027227E">
        <w:rPr>
          <w:i/>
          <w:iCs/>
          <w:sz w:val="24"/>
          <w:szCs w:val="24"/>
          <w:lang w:val="en-GB"/>
        </w:rPr>
        <w:t>Green Growth Strategy Through Achieving Carbon Neutrality in 2050.</w:t>
      </w:r>
      <w:r w:rsidRPr="0027227E">
        <w:rPr>
          <w:sz w:val="24"/>
          <w:szCs w:val="24"/>
          <w:lang w:val="en-GB"/>
        </w:rPr>
        <w:t xml:space="preserve"> Available at:</w:t>
      </w:r>
      <w:hyperlink r:id="rId34">
        <w:r w:rsidRPr="0027227E">
          <w:rPr>
            <w:sz w:val="24"/>
            <w:szCs w:val="24"/>
            <w:lang w:val="en-GB"/>
          </w:rPr>
          <w:t xml:space="preserve"> </w:t>
        </w:r>
      </w:hyperlink>
      <w:hyperlink r:id="rId35">
        <w:r w:rsidRPr="0027227E">
          <w:rPr>
            <w:color w:val="1155CC"/>
            <w:sz w:val="24"/>
            <w:szCs w:val="24"/>
            <w:u w:val="single"/>
            <w:lang w:val="en-GB"/>
          </w:rPr>
          <w:t>https://www.meti.go.jp/english/policy/energy_environment/global_warming/ggs2050/index.html</w:t>
        </w:r>
      </w:hyperlink>
      <w:r w:rsidRPr="0027227E">
        <w:rPr>
          <w:sz w:val="24"/>
          <w:szCs w:val="24"/>
          <w:lang w:val="en-GB"/>
        </w:rPr>
        <w:t xml:space="preserve"> (Accessed: 05 August 2026).</w:t>
      </w:r>
    </w:p>
    <w:p w14:paraId="57F6ECE3"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Engelmann, J. (2018). </w:t>
      </w:r>
      <w:r w:rsidRPr="00F73CEE">
        <w:rPr>
          <w:i/>
          <w:iCs/>
          <w:sz w:val="24"/>
          <w:szCs w:val="24"/>
          <w:lang w:val="en-GB"/>
        </w:rPr>
        <w:t>Japanese consumers root for green vehicle technologies.</w:t>
      </w:r>
      <w:r w:rsidRPr="00F73CEE">
        <w:rPr>
          <w:sz w:val="24"/>
          <w:szCs w:val="24"/>
          <w:lang w:val="en-GB"/>
        </w:rPr>
        <w:t xml:space="preserve"> Available at:</w:t>
      </w:r>
      <w:hyperlink r:id="rId36">
        <w:r w:rsidRPr="00F73CEE">
          <w:rPr>
            <w:sz w:val="24"/>
            <w:szCs w:val="24"/>
            <w:lang w:val="en-GB"/>
          </w:rPr>
          <w:t xml:space="preserve"> </w:t>
        </w:r>
      </w:hyperlink>
      <w:hyperlink r:id="rId37">
        <w:r w:rsidRPr="00F73CEE">
          <w:rPr>
            <w:color w:val="1155CC"/>
            <w:sz w:val="24"/>
            <w:szCs w:val="24"/>
            <w:u w:val="single"/>
            <w:lang w:val="en-GB"/>
          </w:rPr>
          <w:t>https://www.statista.com/chart/15483/the-main-passenger-car-features-required-by-consumers-in-japan/?srsltid=AfmBOorx78veS0a9lfDvjl4qpfCe6fD5g33ZgXReO84_lrkz1YywPRlI</w:t>
        </w:r>
      </w:hyperlink>
      <w:r w:rsidRPr="00F73CEE">
        <w:rPr>
          <w:sz w:val="24"/>
          <w:szCs w:val="24"/>
          <w:lang w:val="en-GB"/>
        </w:rPr>
        <w:t xml:space="preserve"> (Accessed: 05 August 2026).</w:t>
      </w:r>
    </w:p>
    <w:p w14:paraId="36EA93B6"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Eze, F.J., Inyang, I.B. and James, E.E., (2024). Standardization versus adaptation of marketing mix in international markets: A systematic literature review. </w:t>
      </w:r>
      <w:r w:rsidRPr="0027227E">
        <w:rPr>
          <w:i/>
          <w:iCs/>
          <w:sz w:val="24"/>
          <w:szCs w:val="24"/>
          <w:lang w:val="en-GB"/>
        </w:rPr>
        <w:t>World Journal of Advanced Research and Reviews</w:t>
      </w:r>
      <w:r w:rsidRPr="0027227E">
        <w:rPr>
          <w:sz w:val="24"/>
          <w:szCs w:val="24"/>
          <w:lang w:val="en-GB"/>
        </w:rPr>
        <w:t xml:space="preserve">, </w:t>
      </w:r>
      <w:r w:rsidRPr="0027227E">
        <w:rPr>
          <w:i/>
          <w:iCs/>
          <w:sz w:val="24"/>
          <w:szCs w:val="24"/>
          <w:lang w:val="en-GB"/>
        </w:rPr>
        <w:t>22</w:t>
      </w:r>
      <w:r w:rsidRPr="0027227E">
        <w:rPr>
          <w:sz w:val="24"/>
          <w:szCs w:val="24"/>
          <w:lang w:val="en-GB"/>
        </w:rPr>
        <w:t>(2), pp.1192-1212. Available at:</w:t>
      </w:r>
      <w:hyperlink r:id="rId38">
        <w:r w:rsidRPr="0027227E">
          <w:rPr>
            <w:sz w:val="24"/>
            <w:szCs w:val="24"/>
            <w:lang w:val="en-GB"/>
          </w:rPr>
          <w:t xml:space="preserve"> </w:t>
        </w:r>
      </w:hyperlink>
      <w:hyperlink r:id="rId39">
        <w:r w:rsidRPr="0027227E">
          <w:rPr>
            <w:color w:val="1155CC"/>
            <w:sz w:val="24"/>
            <w:szCs w:val="24"/>
            <w:u w:val="single"/>
            <w:lang w:val="en-GB"/>
          </w:rPr>
          <w:t>https://doi.org/10.30574/wjarr.2024.22.2.1470</w:t>
        </w:r>
      </w:hyperlink>
    </w:p>
    <w:p w14:paraId="60317F63" w14:textId="77777777" w:rsidR="003F28F7" w:rsidRPr="003F28F7" w:rsidRDefault="003F28F7" w:rsidP="003F28F7">
      <w:pPr>
        <w:spacing w:after="160" w:line="360" w:lineRule="auto"/>
        <w:jc w:val="both"/>
        <w:rPr>
          <w:sz w:val="24"/>
          <w:szCs w:val="24"/>
          <w:lang w:val="fr-HT"/>
        </w:rPr>
      </w:pPr>
      <w:r w:rsidRPr="00F73CEE">
        <w:rPr>
          <w:sz w:val="24"/>
          <w:szCs w:val="24"/>
          <w:lang w:val="en-GB"/>
        </w:rPr>
        <w:t xml:space="preserve">Ghaleb, B.D.S., (2025). Importance of Kaizen Principles for Business Success. </w:t>
      </w:r>
      <w:r w:rsidRPr="003F28F7">
        <w:rPr>
          <w:i/>
          <w:iCs/>
          <w:sz w:val="24"/>
          <w:szCs w:val="24"/>
          <w:lang w:val="fr-HT"/>
        </w:rPr>
        <w:t>Jurnal Riset Multidisiplin Dan Inovasi Teknologi</w:t>
      </w:r>
      <w:r w:rsidRPr="003F28F7">
        <w:rPr>
          <w:sz w:val="24"/>
          <w:szCs w:val="24"/>
          <w:lang w:val="fr-HT"/>
        </w:rPr>
        <w:t xml:space="preserve">, </w:t>
      </w:r>
      <w:r w:rsidRPr="003F28F7">
        <w:rPr>
          <w:i/>
          <w:iCs/>
          <w:sz w:val="24"/>
          <w:szCs w:val="24"/>
          <w:lang w:val="fr-HT"/>
        </w:rPr>
        <w:t>3</w:t>
      </w:r>
      <w:r w:rsidRPr="003F28F7">
        <w:rPr>
          <w:sz w:val="24"/>
          <w:szCs w:val="24"/>
          <w:lang w:val="fr-HT"/>
        </w:rPr>
        <w:t>(03), pp.371-385. Available at:</w:t>
      </w:r>
      <w:r w:rsidRPr="00F73CEE">
        <w:rPr>
          <w:lang w:val="en-GB"/>
        </w:rPr>
        <w:fldChar w:fldCharType="begin"/>
      </w:r>
      <w:r w:rsidRPr="003F28F7">
        <w:rPr>
          <w:lang w:val="fr-HT"/>
        </w:rPr>
        <w:instrText>HYPERLINK "https://doi.org/10.59653/jimat.v3i03.1906" \h</w:instrText>
      </w:r>
      <w:r w:rsidRPr="00F73CEE">
        <w:rPr>
          <w:lang w:val="en-GB"/>
        </w:rPr>
      </w:r>
      <w:r w:rsidRPr="00F73CEE">
        <w:rPr>
          <w:lang w:val="en-GB"/>
        </w:rPr>
        <w:fldChar w:fldCharType="separate"/>
      </w:r>
      <w:r w:rsidRPr="003F28F7">
        <w:rPr>
          <w:sz w:val="24"/>
          <w:szCs w:val="24"/>
          <w:lang w:val="fr-HT"/>
        </w:rPr>
        <w:t xml:space="preserve"> </w:t>
      </w:r>
      <w:r w:rsidRPr="00F73CEE">
        <w:rPr>
          <w:lang w:val="en-GB"/>
        </w:rPr>
        <w:fldChar w:fldCharType="end"/>
      </w:r>
      <w:hyperlink r:id="rId40">
        <w:r w:rsidRPr="003F28F7">
          <w:rPr>
            <w:color w:val="1155CC"/>
            <w:sz w:val="24"/>
            <w:szCs w:val="24"/>
            <w:u w:val="single"/>
            <w:lang w:val="fr-HT"/>
          </w:rPr>
          <w:t>https://doi.org/10.59653/jimat.v3i03.1906</w:t>
        </w:r>
      </w:hyperlink>
      <w:r w:rsidRPr="003F28F7">
        <w:rPr>
          <w:sz w:val="24"/>
          <w:szCs w:val="24"/>
          <w:lang w:val="fr-HT"/>
        </w:rPr>
        <w:t xml:space="preserve">  </w:t>
      </w:r>
    </w:p>
    <w:p w14:paraId="65F0E3BC" w14:textId="77777777" w:rsidR="003F28F7" w:rsidRPr="00F73CEE" w:rsidRDefault="003F28F7" w:rsidP="003F28F7">
      <w:pPr>
        <w:spacing w:after="160" w:line="360" w:lineRule="auto"/>
        <w:jc w:val="both"/>
        <w:rPr>
          <w:color w:val="1155CC"/>
          <w:sz w:val="24"/>
          <w:szCs w:val="24"/>
          <w:u w:val="single"/>
          <w:lang w:val="en-GB"/>
        </w:rPr>
      </w:pPr>
      <w:proofErr w:type="spellStart"/>
      <w:r w:rsidRPr="00F73CEE">
        <w:rPr>
          <w:sz w:val="24"/>
          <w:szCs w:val="24"/>
          <w:lang w:val="en-GB"/>
        </w:rPr>
        <w:t>Ghasemibojd</w:t>
      </w:r>
      <w:proofErr w:type="spellEnd"/>
      <w:r w:rsidRPr="00F73CEE">
        <w:rPr>
          <w:sz w:val="24"/>
          <w:szCs w:val="24"/>
          <w:lang w:val="en-GB"/>
        </w:rPr>
        <w:t xml:space="preserve">, F., Franchetti, M.J. and George, B., (2025). Green lean six sigma for sustainable development: a systematic review of evolution, challenges, and future pathways. </w:t>
      </w:r>
      <w:r w:rsidRPr="00F73CEE">
        <w:rPr>
          <w:i/>
          <w:iCs/>
          <w:sz w:val="24"/>
          <w:szCs w:val="24"/>
          <w:lang w:val="en-GB"/>
        </w:rPr>
        <w:t>Clean Technologies and Environmental Policy</w:t>
      </w:r>
      <w:r w:rsidRPr="00F73CEE">
        <w:rPr>
          <w:sz w:val="24"/>
          <w:szCs w:val="24"/>
          <w:lang w:val="en-GB"/>
        </w:rPr>
        <w:t xml:space="preserve">, </w:t>
      </w:r>
      <w:r w:rsidRPr="00F73CEE">
        <w:rPr>
          <w:i/>
          <w:iCs/>
          <w:sz w:val="24"/>
          <w:szCs w:val="24"/>
          <w:lang w:val="en-GB"/>
        </w:rPr>
        <w:t>27</w:t>
      </w:r>
      <w:r w:rsidRPr="00F73CEE">
        <w:rPr>
          <w:sz w:val="24"/>
          <w:szCs w:val="24"/>
          <w:lang w:val="en-GB"/>
        </w:rPr>
        <w:t>(13), pp.9239-9262. Available at:</w:t>
      </w:r>
      <w:hyperlink r:id="rId41">
        <w:r w:rsidRPr="00F73CEE">
          <w:rPr>
            <w:sz w:val="24"/>
            <w:szCs w:val="24"/>
            <w:lang w:val="en-GB"/>
          </w:rPr>
          <w:t xml:space="preserve"> </w:t>
        </w:r>
      </w:hyperlink>
      <w:hyperlink r:id="rId42">
        <w:r w:rsidRPr="00F73CEE">
          <w:rPr>
            <w:color w:val="1155CC"/>
            <w:sz w:val="24"/>
            <w:szCs w:val="24"/>
            <w:u w:val="single"/>
            <w:lang w:val="en-GB"/>
          </w:rPr>
          <w:t>https://doi.org/10.1007/s10098-025-03281-y</w:t>
        </w:r>
      </w:hyperlink>
    </w:p>
    <w:p w14:paraId="655D9D47"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Gund, S., Thorat, S.G., Pawar, S., Paraye, P. and Prajapati, A., (2026). Advancing the Circular Economy in the Indian Automotive Sector Through Materiality Assessment of Industry Practices and Policy Interventions. </w:t>
      </w:r>
      <w:r w:rsidRPr="0027227E">
        <w:rPr>
          <w:i/>
          <w:iCs/>
          <w:sz w:val="24"/>
          <w:szCs w:val="24"/>
          <w:lang w:val="en-GB"/>
        </w:rPr>
        <w:t>Recycling</w:t>
      </w:r>
      <w:r w:rsidRPr="0027227E">
        <w:rPr>
          <w:sz w:val="24"/>
          <w:szCs w:val="24"/>
          <w:lang w:val="en-GB"/>
        </w:rPr>
        <w:t xml:space="preserve">, </w:t>
      </w:r>
      <w:r w:rsidRPr="0027227E">
        <w:rPr>
          <w:i/>
          <w:iCs/>
          <w:sz w:val="24"/>
          <w:szCs w:val="24"/>
          <w:lang w:val="en-GB"/>
        </w:rPr>
        <w:t>11</w:t>
      </w:r>
      <w:r w:rsidRPr="0027227E">
        <w:rPr>
          <w:sz w:val="24"/>
          <w:szCs w:val="24"/>
          <w:lang w:val="en-GB"/>
        </w:rPr>
        <w:t>(7), p.118. Available at:</w:t>
      </w:r>
      <w:hyperlink r:id="rId43">
        <w:r w:rsidRPr="0027227E">
          <w:rPr>
            <w:sz w:val="24"/>
            <w:szCs w:val="24"/>
            <w:lang w:val="en-GB"/>
          </w:rPr>
          <w:t xml:space="preserve"> </w:t>
        </w:r>
      </w:hyperlink>
      <w:hyperlink r:id="rId44">
        <w:r w:rsidRPr="0027227E">
          <w:rPr>
            <w:color w:val="1155CC"/>
            <w:sz w:val="24"/>
            <w:szCs w:val="24"/>
            <w:u w:val="single"/>
            <w:lang w:val="en-GB"/>
          </w:rPr>
          <w:t>https://doi.org/10.3390/recycling11070118</w:t>
        </w:r>
      </w:hyperlink>
    </w:p>
    <w:p w14:paraId="5367A1E8" w14:textId="77777777" w:rsidR="003F28F7" w:rsidRPr="0027227E" w:rsidRDefault="003F28F7">
      <w:pPr>
        <w:spacing w:before="240" w:after="160" w:line="360" w:lineRule="auto"/>
        <w:jc w:val="both"/>
        <w:rPr>
          <w:color w:val="1155CC"/>
          <w:sz w:val="24"/>
          <w:szCs w:val="24"/>
          <w:u w:val="single"/>
          <w:lang w:val="en-GB"/>
        </w:rPr>
      </w:pPr>
      <w:proofErr w:type="spellStart"/>
      <w:r w:rsidRPr="0027227E">
        <w:rPr>
          <w:sz w:val="24"/>
          <w:szCs w:val="24"/>
          <w:lang w:val="en-GB"/>
        </w:rPr>
        <w:t>Handoyo</w:t>
      </w:r>
      <w:proofErr w:type="spellEnd"/>
      <w:r w:rsidRPr="0027227E">
        <w:rPr>
          <w:sz w:val="24"/>
          <w:szCs w:val="24"/>
          <w:lang w:val="en-GB"/>
        </w:rPr>
        <w:t xml:space="preserve">, S., Suharman, H., Ghani, E.K. and Soedarsono, S., (2023). A business strategy, operational efficiency, ownership structure, and manufacturing performance: The moderating role of market uncertainty and competition intensity and its implication on open innovation. </w:t>
      </w:r>
      <w:r w:rsidRPr="0027227E">
        <w:rPr>
          <w:i/>
          <w:iCs/>
          <w:sz w:val="24"/>
          <w:szCs w:val="24"/>
          <w:lang w:val="en-GB"/>
        </w:rPr>
        <w:t>Journal of Open Innovation: Technology, Market, and Complexity</w:t>
      </w:r>
      <w:r w:rsidRPr="0027227E">
        <w:rPr>
          <w:sz w:val="24"/>
          <w:szCs w:val="24"/>
          <w:lang w:val="en-GB"/>
        </w:rPr>
        <w:t xml:space="preserve">, </w:t>
      </w:r>
      <w:r w:rsidRPr="0027227E">
        <w:rPr>
          <w:i/>
          <w:iCs/>
          <w:sz w:val="24"/>
          <w:szCs w:val="24"/>
          <w:lang w:val="en-GB"/>
        </w:rPr>
        <w:t>9</w:t>
      </w:r>
      <w:r w:rsidRPr="0027227E">
        <w:rPr>
          <w:sz w:val="24"/>
          <w:szCs w:val="24"/>
          <w:lang w:val="en-GB"/>
        </w:rPr>
        <w:t>(2), p.100039. Available at:</w:t>
      </w:r>
      <w:hyperlink r:id="rId45">
        <w:r w:rsidRPr="0027227E">
          <w:rPr>
            <w:sz w:val="24"/>
            <w:szCs w:val="24"/>
            <w:lang w:val="en-GB"/>
          </w:rPr>
          <w:t xml:space="preserve"> </w:t>
        </w:r>
      </w:hyperlink>
      <w:hyperlink r:id="rId46">
        <w:r w:rsidRPr="0027227E">
          <w:rPr>
            <w:color w:val="1155CC"/>
            <w:sz w:val="24"/>
            <w:szCs w:val="24"/>
            <w:u w:val="single"/>
            <w:lang w:val="en-GB"/>
          </w:rPr>
          <w:t>https://doi.org/10.1016/j.joitmc.2023.100039</w:t>
        </w:r>
      </w:hyperlink>
    </w:p>
    <w:p w14:paraId="49BB1773"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Haque, A., (2023). CSR through responsible leadership for sustainable community development: A developing nation perspective. </w:t>
      </w:r>
      <w:r w:rsidRPr="0027227E">
        <w:rPr>
          <w:i/>
          <w:iCs/>
          <w:sz w:val="24"/>
          <w:szCs w:val="24"/>
          <w:lang w:val="en-GB"/>
        </w:rPr>
        <w:t>Corporate social responsibility in developing countries: challenges in the extractive industry</w:t>
      </w:r>
      <w:r w:rsidRPr="0027227E">
        <w:rPr>
          <w:sz w:val="24"/>
          <w:szCs w:val="24"/>
          <w:lang w:val="en-GB"/>
        </w:rPr>
        <w:t>, pp.29-45. Available at:</w:t>
      </w:r>
      <w:hyperlink r:id="rId47">
        <w:r w:rsidRPr="0027227E">
          <w:rPr>
            <w:sz w:val="24"/>
            <w:szCs w:val="24"/>
            <w:lang w:val="en-GB"/>
          </w:rPr>
          <w:t xml:space="preserve"> </w:t>
        </w:r>
      </w:hyperlink>
      <w:hyperlink r:id="rId48">
        <w:r w:rsidRPr="0027227E">
          <w:rPr>
            <w:color w:val="1155CC"/>
            <w:sz w:val="24"/>
            <w:szCs w:val="24"/>
            <w:u w:val="single"/>
            <w:lang w:val="en-GB"/>
          </w:rPr>
          <w:t>https://doi.org/10.1007/978-3-031-27512-8_3</w:t>
        </w:r>
      </w:hyperlink>
    </w:p>
    <w:p w14:paraId="297F6C46" w14:textId="77777777" w:rsidR="003F28F7" w:rsidRPr="0027227E" w:rsidRDefault="003F28F7">
      <w:pPr>
        <w:spacing w:before="240" w:after="160" w:line="360" w:lineRule="auto"/>
        <w:jc w:val="both"/>
        <w:rPr>
          <w:sz w:val="24"/>
          <w:szCs w:val="24"/>
          <w:lang w:val="en-GB"/>
        </w:rPr>
      </w:pPr>
      <w:hyperlink r:id="rId49">
        <w:r w:rsidRPr="0027227E">
          <w:rPr>
            <w:sz w:val="24"/>
            <w:szCs w:val="24"/>
            <w:lang w:val="en-GB"/>
          </w:rPr>
          <w:t>Harald Finger</w:t>
        </w:r>
      </w:hyperlink>
      <w:r w:rsidRPr="0027227E">
        <w:rPr>
          <w:sz w:val="24"/>
          <w:szCs w:val="24"/>
          <w:lang w:val="en-GB"/>
        </w:rPr>
        <w:t xml:space="preserve"> and </w:t>
      </w:r>
      <w:hyperlink r:id="rId50">
        <w:r w:rsidRPr="0027227E">
          <w:rPr>
            <w:sz w:val="24"/>
            <w:szCs w:val="24"/>
            <w:lang w:val="en-GB"/>
          </w:rPr>
          <w:t>Nujin Suphaphiphat</w:t>
        </w:r>
      </w:hyperlink>
      <w:r w:rsidRPr="0027227E">
        <w:rPr>
          <w:sz w:val="24"/>
          <w:szCs w:val="24"/>
          <w:lang w:val="en-GB"/>
        </w:rPr>
        <w:t xml:space="preserve">, (2025). </w:t>
      </w:r>
      <w:r w:rsidRPr="0027227E">
        <w:rPr>
          <w:i/>
          <w:iCs/>
          <w:sz w:val="24"/>
          <w:szCs w:val="24"/>
          <w:lang w:val="en-GB"/>
        </w:rPr>
        <w:t>India’s Path To Becoming One of the World’s Largest Economies</w:t>
      </w:r>
      <w:r w:rsidRPr="0027227E">
        <w:rPr>
          <w:sz w:val="24"/>
          <w:szCs w:val="24"/>
          <w:lang w:val="en-GB"/>
        </w:rPr>
        <w:t>. Available at:</w:t>
      </w:r>
      <w:hyperlink r:id="rId51">
        <w:r w:rsidRPr="0027227E">
          <w:rPr>
            <w:sz w:val="24"/>
            <w:szCs w:val="24"/>
            <w:lang w:val="en-GB"/>
          </w:rPr>
          <w:t xml:space="preserve"> </w:t>
        </w:r>
      </w:hyperlink>
      <w:hyperlink r:id="rId52">
        <w:r w:rsidRPr="0027227E">
          <w:rPr>
            <w:color w:val="1155CC"/>
            <w:sz w:val="24"/>
            <w:szCs w:val="24"/>
            <w:u w:val="single"/>
            <w:lang w:val="en-GB"/>
          </w:rPr>
          <w:t>https://econofact.org/indias-path-to-becoming-one-of-the-worlds-largest-economies</w:t>
        </w:r>
      </w:hyperlink>
      <w:r w:rsidRPr="0027227E">
        <w:rPr>
          <w:sz w:val="24"/>
          <w:szCs w:val="24"/>
          <w:lang w:val="en-GB"/>
        </w:rPr>
        <w:t xml:space="preserve"> (Accessed: 05 August 2026).</w:t>
      </w:r>
    </w:p>
    <w:p w14:paraId="18697693" w14:textId="77777777" w:rsidR="003F28F7" w:rsidRPr="00F73CEE" w:rsidRDefault="003F28F7" w:rsidP="003F28F7">
      <w:pPr>
        <w:spacing w:after="160" w:line="360" w:lineRule="auto"/>
        <w:jc w:val="both"/>
        <w:rPr>
          <w:color w:val="1155CC"/>
          <w:sz w:val="24"/>
          <w:szCs w:val="24"/>
          <w:u w:val="single"/>
          <w:lang w:val="en-GB"/>
        </w:rPr>
      </w:pPr>
      <w:proofErr w:type="spellStart"/>
      <w:r w:rsidRPr="00F73CEE">
        <w:rPr>
          <w:sz w:val="24"/>
          <w:szCs w:val="24"/>
          <w:lang w:val="en-GB"/>
        </w:rPr>
        <w:t>Harnaningrum</w:t>
      </w:r>
      <w:proofErr w:type="spellEnd"/>
      <w:r w:rsidRPr="00F73CEE">
        <w:rPr>
          <w:sz w:val="24"/>
          <w:szCs w:val="24"/>
          <w:lang w:val="en-GB"/>
        </w:rPr>
        <w:t xml:space="preserve">, R.N., Boer, M.K. and Damayanthy, D., (2026). Factors influencing consumer adoption of electric vehicles: A literature review. </w:t>
      </w:r>
      <w:proofErr w:type="spellStart"/>
      <w:r w:rsidRPr="00F73CEE">
        <w:rPr>
          <w:i/>
          <w:iCs/>
          <w:sz w:val="24"/>
          <w:szCs w:val="24"/>
          <w:lang w:val="en-GB"/>
        </w:rPr>
        <w:t>Priviet</w:t>
      </w:r>
      <w:proofErr w:type="spellEnd"/>
      <w:r w:rsidRPr="00F73CEE">
        <w:rPr>
          <w:i/>
          <w:iCs/>
          <w:sz w:val="24"/>
          <w:szCs w:val="24"/>
          <w:lang w:val="en-GB"/>
        </w:rPr>
        <w:t xml:space="preserve"> Social Sciences Journal</w:t>
      </w:r>
      <w:r w:rsidRPr="00F73CEE">
        <w:rPr>
          <w:sz w:val="24"/>
          <w:szCs w:val="24"/>
          <w:lang w:val="en-GB"/>
        </w:rPr>
        <w:t xml:space="preserve">, </w:t>
      </w:r>
      <w:r w:rsidRPr="00F73CEE">
        <w:rPr>
          <w:i/>
          <w:iCs/>
          <w:sz w:val="24"/>
          <w:szCs w:val="24"/>
          <w:lang w:val="en-GB"/>
        </w:rPr>
        <w:t>6</w:t>
      </w:r>
      <w:r w:rsidRPr="00F73CEE">
        <w:rPr>
          <w:sz w:val="24"/>
          <w:szCs w:val="24"/>
          <w:lang w:val="en-GB"/>
        </w:rPr>
        <w:t xml:space="preserve">(2), pp.597-614. Available at: </w:t>
      </w:r>
      <w:proofErr w:type="spellStart"/>
      <w:r w:rsidRPr="00F73CEE">
        <w:rPr>
          <w:b/>
          <w:bCs/>
          <w:sz w:val="24"/>
          <w:szCs w:val="24"/>
          <w:lang w:val="en-GB"/>
        </w:rPr>
        <w:t>DOI:</w:t>
      </w:r>
      <w:hyperlink r:id="rId53">
        <w:r w:rsidRPr="00F73CEE">
          <w:rPr>
            <w:color w:val="1155CC"/>
            <w:sz w:val="24"/>
            <w:szCs w:val="24"/>
            <w:u w:val="single"/>
            <w:lang w:val="en-GB"/>
          </w:rPr>
          <w:t>https</w:t>
        </w:r>
        <w:proofErr w:type="spellEnd"/>
        <w:r w:rsidRPr="00F73CEE">
          <w:rPr>
            <w:color w:val="1155CC"/>
            <w:sz w:val="24"/>
            <w:szCs w:val="24"/>
            <w:u w:val="single"/>
            <w:lang w:val="en-GB"/>
          </w:rPr>
          <w:t>://doi.org/10.55942/pssj.v6i2.1588</w:t>
        </w:r>
      </w:hyperlink>
    </w:p>
    <w:p w14:paraId="20F6A146"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Hasan, R. and Ojala, A., (2024). Managing artificial intelligence in international business: Toward a research agenda on sustainable production and consumption. </w:t>
      </w:r>
      <w:r w:rsidRPr="00F73CEE">
        <w:rPr>
          <w:i/>
          <w:iCs/>
          <w:sz w:val="24"/>
          <w:szCs w:val="24"/>
          <w:lang w:val="en-GB"/>
        </w:rPr>
        <w:t>Thunderbird International Business Review</w:t>
      </w:r>
      <w:r w:rsidRPr="00F73CEE">
        <w:rPr>
          <w:sz w:val="24"/>
          <w:szCs w:val="24"/>
          <w:lang w:val="en-GB"/>
        </w:rPr>
        <w:t xml:space="preserve">, </w:t>
      </w:r>
      <w:r w:rsidRPr="00F73CEE">
        <w:rPr>
          <w:i/>
          <w:iCs/>
          <w:sz w:val="24"/>
          <w:szCs w:val="24"/>
          <w:lang w:val="en-GB"/>
        </w:rPr>
        <w:t>66</w:t>
      </w:r>
      <w:r w:rsidRPr="00F73CEE">
        <w:rPr>
          <w:sz w:val="24"/>
          <w:szCs w:val="24"/>
          <w:lang w:val="en-GB"/>
        </w:rPr>
        <w:t>(2), pp.151-170. Available at:</w:t>
      </w:r>
      <w:hyperlink r:id="rId54">
        <w:r w:rsidRPr="00F73CEE">
          <w:rPr>
            <w:sz w:val="24"/>
            <w:szCs w:val="24"/>
            <w:lang w:val="en-GB"/>
          </w:rPr>
          <w:t xml:space="preserve"> </w:t>
        </w:r>
      </w:hyperlink>
      <w:hyperlink r:id="rId55">
        <w:r w:rsidRPr="00F73CEE">
          <w:rPr>
            <w:color w:val="1155CC"/>
            <w:sz w:val="24"/>
            <w:szCs w:val="24"/>
            <w:u w:val="single"/>
            <w:lang w:val="en-GB"/>
          </w:rPr>
          <w:t>https://doi.org/10.1002/tie.22369</w:t>
        </w:r>
      </w:hyperlink>
    </w:p>
    <w:p w14:paraId="3095B2ED"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Hassan, Q., Azzawi, I.D., Sameen, A.Z. and Salman, H.M., (2023). Hydrogen fuel cell vehicles: Opportunities and challenges. </w:t>
      </w:r>
      <w:r w:rsidRPr="0027227E">
        <w:rPr>
          <w:i/>
          <w:iCs/>
          <w:sz w:val="24"/>
          <w:szCs w:val="24"/>
          <w:lang w:val="en-GB"/>
        </w:rPr>
        <w:t>Sustainability</w:t>
      </w:r>
      <w:r w:rsidRPr="0027227E">
        <w:rPr>
          <w:sz w:val="24"/>
          <w:szCs w:val="24"/>
          <w:lang w:val="en-GB"/>
        </w:rPr>
        <w:t xml:space="preserve">, </w:t>
      </w:r>
      <w:r w:rsidRPr="0027227E">
        <w:rPr>
          <w:i/>
          <w:iCs/>
          <w:sz w:val="24"/>
          <w:szCs w:val="24"/>
          <w:lang w:val="en-GB"/>
        </w:rPr>
        <w:t>15</w:t>
      </w:r>
      <w:r w:rsidRPr="0027227E">
        <w:rPr>
          <w:sz w:val="24"/>
          <w:szCs w:val="24"/>
          <w:lang w:val="en-GB"/>
        </w:rPr>
        <w:t>(15), p.11501. Available at:</w:t>
      </w:r>
      <w:hyperlink r:id="rId56">
        <w:r w:rsidRPr="0027227E">
          <w:rPr>
            <w:sz w:val="24"/>
            <w:szCs w:val="24"/>
            <w:lang w:val="en-GB"/>
          </w:rPr>
          <w:t xml:space="preserve"> </w:t>
        </w:r>
      </w:hyperlink>
      <w:hyperlink r:id="rId57">
        <w:r w:rsidRPr="0027227E">
          <w:rPr>
            <w:color w:val="1155CC"/>
            <w:sz w:val="24"/>
            <w:szCs w:val="24"/>
            <w:u w:val="single"/>
            <w:lang w:val="en-GB"/>
          </w:rPr>
          <w:t>https://doi.org/10.3390/su151511501</w:t>
        </w:r>
      </w:hyperlink>
    </w:p>
    <w:p w14:paraId="79FE0649"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Heller, P.S., (2016). The challenge of an aged and shrinking population: Lessons to be drawn from Japan’s experience. </w:t>
      </w:r>
      <w:r w:rsidRPr="0027227E">
        <w:rPr>
          <w:i/>
          <w:iCs/>
          <w:sz w:val="24"/>
          <w:szCs w:val="24"/>
          <w:lang w:val="en-GB"/>
        </w:rPr>
        <w:t>The Journal of the economics of Ageing</w:t>
      </w:r>
      <w:r w:rsidRPr="0027227E">
        <w:rPr>
          <w:sz w:val="24"/>
          <w:szCs w:val="24"/>
          <w:lang w:val="en-GB"/>
        </w:rPr>
        <w:t xml:space="preserve">, </w:t>
      </w:r>
      <w:r w:rsidRPr="0027227E">
        <w:rPr>
          <w:i/>
          <w:iCs/>
          <w:sz w:val="24"/>
          <w:szCs w:val="24"/>
          <w:lang w:val="en-GB"/>
        </w:rPr>
        <w:t>8</w:t>
      </w:r>
      <w:r w:rsidRPr="0027227E">
        <w:rPr>
          <w:sz w:val="24"/>
          <w:szCs w:val="24"/>
          <w:lang w:val="en-GB"/>
        </w:rPr>
        <w:t>, pp.85-93. Available at:</w:t>
      </w:r>
      <w:hyperlink r:id="rId58">
        <w:r w:rsidRPr="0027227E">
          <w:rPr>
            <w:sz w:val="24"/>
            <w:szCs w:val="24"/>
            <w:lang w:val="en-GB"/>
          </w:rPr>
          <w:t xml:space="preserve"> </w:t>
        </w:r>
      </w:hyperlink>
      <w:hyperlink r:id="rId59">
        <w:r w:rsidRPr="0027227E">
          <w:rPr>
            <w:color w:val="1155CC"/>
            <w:sz w:val="24"/>
            <w:szCs w:val="24"/>
            <w:u w:val="single"/>
            <w:lang w:val="en-GB"/>
          </w:rPr>
          <w:t>https://doi.org/10.1016/j.jeoa.2016.02.001</w:t>
        </w:r>
      </w:hyperlink>
    </w:p>
    <w:p w14:paraId="214416B5" w14:textId="77777777" w:rsidR="003F28F7" w:rsidRPr="00F73CEE" w:rsidRDefault="003F28F7" w:rsidP="003F28F7">
      <w:pPr>
        <w:spacing w:after="160" w:line="360" w:lineRule="auto"/>
        <w:jc w:val="both"/>
        <w:rPr>
          <w:color w:val="0070BB"/>
          <w:sz w:val="24"/>
          <w:szCs w:val="24"/>
          <w:lang w:val="en-GB"/>
        </w:rPr>
      </w:pPr>
      <w:hyperlink r:id="rId60">
        <w:r w:rsidRPr="00F73CEE">
          <w:rPr>
            <w:sz w:val="24"/>
            <w:szCs w:val="24"/>
            <w:lang w:val="en-GB"/>
          </w:rPr>
          <w:t xml:space="preserve"> </w:t>
        </w:r>
      </w:hyperlink>
      <w:hyperlink r:id="rId61">
        <w:r w:rsidRPr="00F73CEE">
          <w:rPr>
            <w:color w:val="0070BB"/>
            <w:sz w:val="24"/>
            <w:szCs w:val="24"/>
            <w:lang w:val="en-GB"/>
          </w:rPr>
          <w:t>https://doi.org/10.1051/bioconf/202413008001</w:t>
        </w:r>
      </w:hyperlink>
    </w:p>
    <w:p w14:paraId="4C27DEB7"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Hu, L., Tian, Q., Zou, C., Huang, J., Ye, Y. and Wu, X., (2022). A study on energy distribution strategy of electric vehicle hybrid energy storage system considering driving style based on real urban driving data. </w:t>
      </w:r>
      <w:r w:rsidRPr="0027227E">
        <w:rPr>
          <w:i/>
          <w:iCs/>
          <w:sz w:val="24"/>
          <w:szCs w:val="24"/>
          <w:lang w:val="en-GB"/>
        </w:rPr>
        <w:t>Renewable and Sustainable Energy Reviews</w:t>
      </w:r>
      <w:r w:rsidRPr="0027227E">
        <w:rPr>
          <w:sz w:val="24"/>
          <w:szCs w:val="24"/>
          <w:lang w:val="en-GB"/>
        </w:rPr>
        <w:t xml:space="preserve">, </w:t>
      </w:r>
      <w:r w:rsidRPr="0027227E">
        <w:rPr>
          <w:i/>
          <w:iCs/>
          <w:sz w:val="24"/>
          <w:szCs w:val="24"/>
          <w:lang w:val="en-GB"/>
        </w:rPr>
        <w:t>162</w:t>
      </w:r>
      <w:r w:rsidRPr="0027227E">
        <w:rPr>
          <w:sz w:val="24"/>
          <w:szCs w:val="24"/>
          <w:lang w:val="en-GB"/>
        </w:rPr>
        <w:t>, p.112416. Available at:</w:t>
      </w:r>
      <w:hyperlink r:id="rId62">
        <w:r w:rsidRPr="0027227E">
          <w:rPr>
            <w:sz w:val="24"/>
            <w:szCs w:val="24"/>
            <w:lang w:val="en-GB"/>
          </w:rPr>
          <w:t xml:space="preserve"> </w:t>
        </w:r>
      </w:hyperlink>
      <w:hyperlink r:id="rId63">
        <w:r w:rsidRPr="0027227E">
          <w:rPr>
            <w:color w:val="1155CC"/>
            <w:sz w:val="24"/>
            <w:szCs w:val="24"/>
            <w:u w:val="single"/>
            <w:lang w:val="en-GB"/>
          </w:rPr>
          <w:t>https://doi.org/10.1016/j.rser.2022.112416</w:t>
        </w:r>
      </w:hyperlink>
    </w:p>
    <w:p w14:paraId="3097FED4"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Huang, L., Md Nor, K., Ma, X. and Khatib, S.F., (2025). Trends and future directions of consumers’ intention to buy ethical products: A systematic literature review. </w:t>
      </w:r>
      <w:r w:rsidRPr="00F73CEE">
        <w:rPr>
          <w:i/>
          <w:iCs/>
          <w:sz w:val="24"/>
          <w:szCs w:val="24"/>
          <w:lang w:val="en-GB"/>
        </w:rPr>
        <w:t>Cogent Business &amp; Management</w:t>
      </w:r>
      <w:r w:rsidRPr="00F73CEE">
        <w:rPr>
          <w:sz w:val="24"/>
          <w:szCs w:val="24"/>
          <w:lang w:val="en-GB"/>
        </w:rPr>
        <w:t xml:space="preserve">, </w:t>
      </w:r>
      <w:r w:rsidRPr="00F73CEE">
        <w:rPr>
          <w:i/>
          <w:iCs/>
          <w:sz w:val="24"/>
          <w:szCs w:val="24"/>
          <w:lang w:val="en-GB"/>
        </w:rPr>
        <w:t>12</w:t>
      </w:r>
      <w:r w:rsidRPr="00F73CEE">
        <w:rPr>
          <w:sz w:val="24"/>
          <w:szCs w:val="24"/>
          <w:lang w:val="en-GB"/>
        </w:rPr>
        <w:t>(1), p.2534528. Available at:</w:t>
      </w:r>
      <w:hyperlink r:id="rId64">
        <w:r w:rsidRPr="00F73CEE">
          <w:rPr>
            <w:sz w:val="24"/>
            <w:szCs w:val="24"/>
            <w:lang w:val="en-GB"/>
          </w:rPr>
          <w:t xml:space="preserve"> </w:t>
        </w:r>
      </w:hyperlink>
      <w:hyperlink r:id="rId65">
        <w:r w:rsidRPr="00F73CEE">
          <w:rPr>
            <w:color w:val="1155CC"/>
            <w:sz w:val="24"/>
            <w:szCs w:val="24"/>
            <w:u w:val="single"/>
            <w:lang w:val="en-GB"/>
          </w:rPr>
          <w:t>https://www.tandfonline.com/doi/pdf/10.1080/23311975.2025.2534528</w:t>
        </w:r>
      </w:hyperlink>
    </w:p>
    <w:p w14:paraId="5217D784"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Ibef.org, (2026). </w:t>
      </w:r>
      <w:r w:rsidRPr="00F73CEE">
        <w:rPr>
          <w:i/>
          <w:iCs/>
          <w:sz w:val="24"/>
          <w:szCs w:val="24"/>
          <w:lang w:val="en-GB"/>
        </w:rPr>
        <w:t>Automobile Industry in India.</w:t>
      </w:r>
      <w:r w:rsidRPr="00F73CEE">
        <w:rPr>
          <w:sz w:val="24"/>
          <w:szCs w:val="24"/>
          <w:lang w:val="en-GB"/>
        </w:rPr>
        <w:t xml:space="preserve"> Available at:</w:t>
      </w:r>
      <w:hyperlink r:id="rId66">
        <w:r w:rsidRPr="00F73CEE">
          <w:rPr>
            <w:sz w:val="24"/>
            <w:szCs w:val="24"/>
            <w:lang w:val="en-GB"/>
          </w:rPr>
          <w:t xml:space="preserve"> </w:t>
        </w:r>
      </w:hyperlink>
      <w:hyperlink r:id="rId67">
        <w:r w:rsidRPr="00F73CEE">
          <w:rPr>
            <w:color w:val="1155CC"/>
            <w:sz w:val="24"/>
            <w:szCs w:val="24"/>
            <w:u w:val="single"/>
            <w:lang w:val="en-GB"/>
          </w:rPr>
          <w:t>https://www.ibef.org/industry/india-automobiles</w:t>
        </w:r>
      </w:hyperlink>
      <w:r w:rsidRPr="00F73CEE">
        <w:rPr>
          <w:sz w:val="24"/>
          <w:szCs w:val="24"/>
          <w:lang w:val="en-GB"/>
        </w:rPr>
        <w:t xml:space="preserve"> (Accessed: 05 August 2026).</w:t>
      </w:r>
    </w:p>
    <w:p w14:paraId="77B3CE3F" w14:textId="77777777" w:rsidR="003F28F7" w:rsidRPr="0027227E" w:rsidRDefault="003F28F7">
      <w:pPr>
        <w:spacing w:before="240" w:after="160" w:line="360" w:lineRule="auto"/>
        <w:jc w:val="both"/>
        <w:rPr>
          <w:sz w:val="24"/>
          <w:szCs w:val="24"/>
          <w:lang w:val="en-GB"/>
        </w:rPr>
      </w:pPr>
      <w:proofErr w:type="spellStart"/>
      <w:r w:rsidRPr="0027227E">
        <w:rPr>
          <w:sz w:val="24"/>
          <w:szCs w:val="24"/>
          <w:lang w:val="en-GB"/>
        </w:rPr>
        <w:t>Imarcgroup</w:t>
      </w:r>
      <w:proofErr w:type="spellEnd"/>
      <w:r w:rsidRPr="0027227E">
        <w:rPr>
          <w:sz w:val="24"/>
          <w:szCs w:val="24"/>
          <w:lang w:val="en-GB"/>
        </w:rPr>
        <w:t xml:space="preserve">, (2026). </w:t>
      </w:r>
      <w:r w:rsidRPr="0027227E">
        <w:rPr>
          <w:i/>
          <w:iCs/>
          <w:sz w:val="24"/>
          <w:szCs w:val="24"/>
          <w:lang w:val="en-GB"/>
        </w:rPr>
        <w:t>Key Challenges and Opportunities Shaping the Japan Hybrid Vehicles Industry: Trends, Challenges, and Opportunities.</w:t>
      </w:r>
      <w:r w:rsidRPr="0027227E">
        <w:rPr>
          <w:sz w:val="24"/>
          <w:szCs w:val="24"/>
          <w:lang w:val="en-GB"/>
        </w:rPr>
        <w:t xml:space="preserve"> Available at:</w:t>
      </w:r>
      <w:hyperlink r:id="rId68">
        <w:r w:rsidRPr="0027227E">
          <w:rPr>
            <w:sz w:val="24"/>
            <w:szCs w:val="24"/>
            <w:lang w:val="en-GB"/>
          </w:rPr>
          <w:t xml:space="preserve"> </w:t>
        </w:r>
      </w:hyperlink>
      <w:hyperlink r:id="rId69">
        <w:r w:rsidRPr="0027227E">
          <w:rPr>
            <w:color w:val="1155CC"/>
            <w:sz w:val="24"/>
            <w:szCs w:val="24"/>
            <w:u w:val="single"/>
            <w:lang w:val="en-GB"/>
          </w:rPr>
          <w:t>https://www.imarcgroup.com/insight/key-challenges-and-opportunities-japan-hybrid-vehicles-industry</w:t>
        </w:r>
      </w:hyperlink>
      <w:r w:rsidRPr="0027227E">
        <w:rPr>
          <w:sz w:val="24"/>
          <w:szCs w:val="24"/>
          <w:lang w:val="en-GB"/>
        </w:rPr>
        <w:t xml:space="preserve"> (Accessed: 05 August 2026).</w:t>
      </w:r>
    </w:p>
    <w:p w14:paraId="47FC4B49" w14:textId="77777777" w:rsidR="003F28F7" w:rsidRPr="0027227E" w:rsidRDefault="003F28F7">
      <w:pPr>
        <w:spacing w:before="240" w:after="160" w:line="360" w:lineRule="auto"/>
        <w:jc w:val="both"/>
        <w:rPr>
          <w:sz w:val="24"/>
          <w:szCs w:val="24"/>
          <w:lang w:val="en-GB"/>
        </w:rPr>
      </w:pPr>
      <w:proofErr w:type="spellStart"/>
      <w:r w:rsidRPr="0027227E">
        <w:rPr>
          <w:sz w:val="24"/>
          <w:szCs w:val="24"/>
          <w:lang w:val="en-GB"/>
        </w:rPr>
        <w:t>Imarcgroup</w:t>
      </w:r>
      <w:proofErr w:type="spellEnd"/>
      <w:r w:rsidRPr="0027227E">
        <w:rPr>
          <w:sz w:val="24"/>
          <w:szCs w:val="24"/>
          <w:lang w:val="en-GB"/>
        </w:rPr>
        <w:t xml:space="preserve">, (2026a). </w:t>
      </w:r>
      <w:r w:rsidRPr="0027227E">
        <w:rPr>
          <w:i/>
          <w:iCs/>
          <w:sz w:val="24"/>
          <w:szCs w:val="24"/>
          <w:lang w:val="en-GB"/>
        </w:rPr>
        <w:t>India Connected Vehicles Market Size, Share, Trends and Forecast by Technology Type, Application, Connectivity, Vehicle Connectivity, Vehicle, and Region, 2026-2034</w:t>
      </w:r>
      <w:r w:rsidRPr="0027227E">
        <w:rPr>
          <w:sz w:val="24"/>
          <w:szCs w:val="24"/>
          <w:lang w:val="en-GB"/>
        </w:rPr>
        <w:t>. Available at:</w:t>
      </w:r>
      <w:hyperlink r:id="rId70">
        <w:r w:rsidRPr="0027227E">
          <w:rPr>
            <w:sz w:val="24"/>
            <w:szCs w:val="24"/>
            <w:lang w:val="en-GB"/>
          </w:rPr>
          <w:t xml:space="preserve"> </w:t>
        </w:r>
      </w:hyperlink>
      <w:hyperlink r:id="rId71">
        <w:r w:rsidRPr="0027227E">
          <w:rPr>
            <w:color w:val="1155CC"/>
            <w:sz w:val="24"/>
            <w:szCs w:val="24"/>
            <w:u w:val="single"/>
            <w:lang w:val="en-GB"/>
          </w:rPr>
          <w:t>https://www.imarcgroup.com/india-connected-vehicles-market</w:t>
        </w:r>
      </w:hyperlink>
      <w:r w:rsidRPr="0027227E">
        <w:rPr>
          <w:sz w:val="24"/>
          <w:szCs w:val="24"/>
          <w:lang w:val="en-GB"/>
        </w:rPr>
        <w:t xml:space="preserve"> (Accessed: 05 August 2026).</w:t>
      </w:r>
    </w:p>
    <w:p w14:paraId="34E107DC"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International Council On Clean Transportation, (2016). </w:t>
      </w:r>
      <w:r w:rsidRPr="0027227E">
        <w:rPr>
          <w:i/>
          <w:iCs/>
          <w:sz w:val="24"/>
          <w:szCs w:val="24"/>
          <w:lang w:val="en-GB"/>
        </w:rPr>
        <w:t>INDIA BHARAT STAGE VI EMISSION STANDARDS</w:t>
      </w:r>
      <w:r w:rsidRPr="0027227E">
        <w:rPr>
          <w:sz w:val="24"/>
          <w:szCs w:val="24"/>
          <w:lang w:val="en-GB"/>
        </w:rPr>
        <w:t>. Available at:</w:t>
      </w:r>
      <w:hyperlink r:id="rId72">
        <w:r w:rsidRPr="0027227E">
          <w:rPr>
            <w:sz w:val="24"/>
            <w:szCs w:val="24"/>
            <w:lang w:val="en-GB"/>
          </w:rPr>
          <w:t xml:space="preserve"> </w:t>
        </w:r>
      </w:hyperlink>
      <w:hyperlink r:id="rId73">
        <w:r w:rsidRPr="0027227E">
          <w:rPr>
            <w:color w:val="1155CC"/>
            <w:sz w:val="24"/>
            <w:szCs w:val="24"/>
            <w:u w:val="single"/>
            <w:lang w:val="en-GB"/>
          </w:rPr>
          <w:t>https://theicct.org/wp-content/uploads/2021/06/India-BS-VI-Policy-Update-vF.pdf</w:t>
        </w:r>
      </w:hyperlink>
      <w:r w:rsidRPr="0027227E">
        <w:rPr>
          <w:sz w:val="24"/>
          <w:szCs w:val="24"/>
          <w:lang w:val="en-GB"/>
        </w:rPr>
        <w:t xml:space="preserve"> (Accessed: 05 August 2026).</w:t>
      </w:r>
    </w:p>
    <w:p w14:paraId="37F762AE"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International Monetary Fund, (2025). </w:t>
      </w:r>
      <w:r w:rsidRPr="0027227E">
        <w:rPr>
          <w:i/>
          <w:iCs/>
          <w:sz w:val="24"/>
          <w:szCs w:val="24"/>
          <w:lang w:val="en-GB"/>
        </w:rPr>
        <w:t>IMF Executive Board Concludes 2024 Article IV Consultation with India.</w:t>
      </w:r>
      <w:r w:rsidRPr="0027227E">
        <w:rPr>
          <w:sz w:val="24"/>
          <w:szCs w:val="24"/>
          <w:lang w:val="en-GB"/>
        </w:rPr>
        <w:t xml:space="preserve"> Available at:</w:t>
      </w:r>
      <w:hyperlink r:id="rId74">
        <w:r w:rsidRPr="0027227E">
          <w:rPr>
            <w:sz w:val="24"/>
            <w:szCs w:val="24"/>
            <w:lang w:val="en-GB"/>
          </w:rPr>
          <w:t xml:space="preserve"> </w:t>
        </w:r>
      </w:hyperlink>
      <w:hyperlink r:id="rId75">
        <w:r w:rsidRPr="0027227E">
          <w:rPr>
            <w:color w:val="1155CC"/>
            <w:sz w:val="24"/>
            <w:szCs w:val="24"/>
            <w:u w:val="single"/>
            <w:lang w:val="en-GB"/>
          </w:rPr>
          <w:t>https://www.imf.org/en/news/articles/2025/02/26/pr25045-india-imf-executive-board-concludes-2024-article-iv-consultation-with-india</w:t>
        </w:r>
      </w:hyperlink>
      <w:r w:rsidRPr="0027227E">
        <w:rPr>
          <w:sz w:val="24"/>
          <w:szCs w:val="24"/>
          <w:lang w:val="en-GB"/>
        </w:rPr>
        <w:t xml:space="preserve"> (Accessed: 05 August 2026).</w:t>
      </w:r>
    </w:p>
    <w:p w14:paraId="28918C4C"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Jan, J., </w:t>
      </w:r>
      <w:proofErr w:type="spellStart"/>
      <w:r w:rsidRPr="00F73CEE">
        <w:rPr>
          <w:sz w:val="24"/>
          <w:szCs w:val="24"/>
          <w:lang w:val="en-GB"/>
        </w:rPr>
        <w:t>Alshare</w:t>
      </w:r>
      <w:proofErr w:type="spellEnd"/>
      <w:r w:rsidRPr="00F73CEE">
        <w:rPr>
          <w:sz w:val="24"/>
          <w:szCs w:val="24"/>
          <w:lang w:val="en-GB"/>
        </w:rPr>
        <w:t xml:space="preserve">, K.A. and Lane, P.L., (2024). Hofstede’s cultural dimensions in technology acceptance models: a meta-analysis. </w:t>
      </w:r>
      <w:r w:rsidRPr="00F73CEE">
        <w:rPr>
          <w:i/>
          <w:iCs/>
          <w:sz w:val="24"/>
          <w:szCs w:val="24"/>
          <w:lang w:val="en-GB"/>
        </w:rPr>
        <w:t>Universal Access in the Information Society</w:t>
      </w:r>
      <w:r w:rsidRPr="00F73CEE">
        <w:rPr>
          <w:sz w:val="24"/>
          <w:szCs w:val="24"/>
          <w:lang w:val="en-GB"/>
        </w:rPr>
        <w:t xml:space="preserve">, </w:t>
      </w:r>
      <w:r w:rsidRPr="00F73CEE">
        <w:rPr>
          <w:i/>
          <w:iCs/>
          <w:sz w:val="24"/>
          <w:szCs w:val="24"/>
          <w:lang w:val="en-GB"/>
        </w:rPr>
        <w:t>23</w:t>
      </w:r>
      <w:r w:rsidRPr="00F73CEE">
        <w:rPr>
          <w:sz w:val="24"/>
          <w:szCs w:val="24"/>
          <w:lang w:val="en-GB"/>
        </w:rPr>
        <w:t>(2), pp.717-741. Available at:</w:t>
      </w:r>
      <w:hyperlink r:id="rId76">
        <w:r w:rsidRPr="00F73CEE">
          <w:rPr>
            <w:sz w:val="24"/>
            <w:szCs w:val="24"/>
            <w:lang w:val="en-GB"/>
          </w:rPr>
          <w:t xml:space="preserve"> </w:t>
        </w:r>
      </w:hyperlink>
      <w:hyperlink r:id="rId77">
        <w:r w:rsidRPr="00F73CEE">
          <w:rPr>
            <w:color w:val="1155CC"/>
            <w:sz w:val="24"/>
            <w:szCs w:val="24"/>
            <w:u w:val="single"/>
            <w:lang w:val="en-GB"/>
          </w:rPr>
          <w:t>https://doi.org/10.1007/s10209-022-00930-7</w:t>
        </w:r>
      </w:hyperlink>
    </w:p>
    <w:p w14:paraId="72C00657"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Ka, I., </w:t>
      </w:r>
      <w:proofErr w:type="spellStart"/>
      <w:r w:rsidRPr="00F73CEE">
        <w:rPr>
          <w:sz w:val="24"/>
          <w:szCs w:val="24"/>
          <w:lang w:val="en-GB"/>
        </w:rPr>
        <w:t>Djité</w:t>
      </w:r>
      <w:proofErr w:type="spellEnd"/>
      <w:r w:rsidRPr="00F73CEE">
        <w:rPr>
          <w:sz w:val="24"/>
          <w:szCs w:val="24"/>
          <w:lang w:val="en-GB"/>
        </w:rPr>
        <w:t xml:space="preserve">, A.N., </w:t>
      </w:r>
      <w:proofErr w:type="spellStart"/>
      <w:r w:rsidRPr="00F73CEE">
        <w:rPr>
          <w:sz w:val="24"/>
          <w:szCs w:val="24"/>
          <w:lang w:val="en-GB"/>
        </w:rPr>
        <w:t>Chimére</w:t>
      </w:r>
      <w:proofErr w:type="spellEnd"/>
      <w:r w:rsidRPr="00F73CEE">
        <w:rPr>
          <w:sz w:val="24"/>
          <w:szCs w:val="24"/>
          <w:lang w:val="en-GB"/>
        </w:rPr>
        <w:t xml:space="preserve"> </w:t>
      </w:r>
      <w:proofErr w:type="spellStart"/>
      <w:r w:rsidRPr="00F73CEE">
        <w:rPr>
          <w:sz w:val="24"/>
          <w:szCs w:val="24"/>
          <w:lang w:val="en-GB"/>
        </w:rPr>
        <w:t>Diop</w:t>
      </w:r>
      <w:proofErr w:type="spellEnd"/>
      <w:r w:rsidRPr="00F73CEE">
        <w:rPr>
          <w:sz w:val="24"/>
          <w:szCs w:val="24"/>
          <w:lang w:val="en-GB"/>
        </w:rPr>
        <w:t xml:space="preserve">, S.A., </w:t>
      </w:r>
      <w:proofErr w:type="spellStart"/>
      <w:r w:rsidRPr="00F73CEE">
        <w:rPr>
          <w:sz w:val="24"/>
          <w:szCs w:val="24"/>
          <w:lang w:val="en-GB"/>
        </w:rPr>
        <w:t>Ayetor</w:t>
      </w:r>
      <w:proofErr w:type="spellEnd"/>
      <w:r w:rsidRPr="00F73CEE">
        <w:rPr>
          <w:sz w:val="24"/>
          <w:szCs w:val="24"/>
          <w:lang w:val="en-GB"/>
        </w:rPr>
        <w:t xml:space="preserve">, G.K. and </w:t>
      </w:r>
      <w:proofErr w:type="spellStart"/>
      <w:r w:rsidRPr="00F73CEE">
        <w:rPr>
          <w:sz w:val="24"/>
          <w:szCs w:val="24"/>
          <w:lang w:val="en-GB"/>
        </w:rPr>
        <w:t>Diouf</w:t>
      </w:r>
      <w:proofErr w:type="spellEnd"/>
      <w:r w:rsidRPr="00F73CEE">
        <w:rPr>
          <w:sz w:val="24"/>
          <w:szCs w:val="24"/>
          <w:lang w:val="en-GB"/>
        </w:rPr>
        <w:t xml:space="preserve">, B., (2026). The Electric Vehicle Transition in Emerging Economies. </w:t>
      </w:r>
      <w:r w:rsidRPr="00F73CEE">
        <w:rPr>
          <w:i/>
          <w:iCs/>
          <w:sz w:val="24"/>
          <w:szCs w:val="24"/>
          <w:lang w:val="en-GB"/>
        </w:rPr>
        <w:t>Vehicles</w:t>
      </w:r>
      <w:r w:rsidRPr="00F73CEE">
        <w:rPr>
          <w:sz w:val="24"/>
          <w:szCs w:val="24"/>
          <w:lang w:val="en-GB"/>
        </w:rPr>
        <w:t xml:space="preserve">, </w:t>
      </w:r>
      <w:r w:rsidRPr="00F73CEE">
        <w:rPr>
          <w:i/>
          <w:iCs/>
          <w:sz w:val="24"/>
          <w:szCs w:val="24"/>
          <w:lang w:val="en-GB"/>
        </w:rPr>
        <w:t>8</w:t>
      </w:r>
      <w:r w:rsidRPr="00F73CEE">
        <w:rPr>
          <w:sz w:val="24"/>
          <w:szCs w:val="24"/>
          <w:lang w:val="en-GB"/>
        </w:rPr>
        <w:t>(2), p.37. Available at:</w:t>
      </w:r>
      <w:hyperlink r:id="rId78">
        <w:r w:rsidRPr="00F73CEE">
          <w:rPr>
            <w:sz w:val="24"/>
            <w:szCs w:val="24"/>
            <w:lang w:val="en-GB"/>
          </w:rPr>
          <w:t xml:space="preserve"> </w:t>
        </w:r>
      </w:hyperlink>
      <w:hyperlink r:id="rId79">
        <w:r w:rsidRPr="00F73CEE">
          <w:rPr>
            <w:color w:val="1155CC"/>
            <w:sz w:val="24"/>
            <w:szCs w:val="24"/>
            <w:u w:val="single"/>
            <w:lang w:val="en-GB"/>
          </w:rPr>
          <w:t>https://www.researchgate.net/profile/Baye-Boucar-Diouf/publication/400718596_The_Electric_Vehicle_Transition_in_Emerging_Economies/links/698e01f97247bc6473dffbaa/The-Electric-Vehicle-Transition-in-Emerging-Economies.pdf</w:t>
        </w:r>
      </w:hyperlink>
    </w:p>
    <w:p w14:paraId="4BC0236D"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Kar, S.K., Sinha, A.S.K., </w:t>
      </w:r>
      <w:proofErr w:type="spellStart"/>
      <w:r w:rsidRPr="00F73CEE">
        <w:rPr>
          <w:sz w:val="24"/>
          <w:szCs w:val="24"/>
          <w:lang w:val="en-GB"/>
        </w:rPr>
        <w:t>Harichandan</w:t>
      </w:r>
      <w:proofErr w:type="spellEnd"/>
      <w:r w:rsidRPr="00F73CEE">
        <w:rPr>
          <w:sz w:val="24"/>
          <w:szCs w:val="24"/>
          <w:lang w:val="en-GB"/>
        </w:rPr>
        <w:t xml:space="preserve">, S., Bansal, R. and </w:t>
      </w:r>
      <w:proofErr w:type="spellStart"/>
      <w:r w:rsidRPr="00F73CEE">
        <w:rPr>
          <w:sz w:val="24"/>
          <w:szCs w:val="24"/>
          <w:lang w:val="en-GB"/>
        </w:rPr>
        <w:t>Balathanigaimani</w:t>
      </w:r>
      <w:proofErr w:type="spellEnd"/>
      <w:r w:rsidRPr="00F73CEE">
        <w:rPr>
          <w:sz w:val="24"/>
          <w:szCs w:val="24"/>
          <w:lang w:val="en-GB"/>
        </w:rPr>
        <w:t xml:space="preserve">, M.S., (2023). Hydrogen economy in India: A status review. </w:t>
      </w:r>
      <w:r w:rsidRPr="00F73CEE">
        <w:rPr>
          <w:i/>
          <w:iCs/>
          <w:sz w:val="24"/>
          <w:szCs w:val="24"/>
          <w:lang w:val="en-GB"/>
        </w:rPr>
        <w:t>Wiley Interdisciplinary Reviews: Energy and Environment</w:t>
      </w:r>
      <w:r w:rsidRPr="00F73CEE">
        <w:rPr>
          <w:sz w:val="24"/>
          <w:szCs w:val="24"/>
          <w:lang w:val="en-GB"/>
        </w:rPr>
        <w:t xml:space="preserve">, </w:t>
      </w:r>
      <w:r w:rsidRPr="00F73CEE">
        <w:rPr>
          <w:i/>
          <w:iCs/>
          <w:sz w:val="24"/>
          <w:szCs w:val="24"/>
          <w:lang w:val="en-GB"/>
        </w:rPr>
        <w:t>12</w:t>
      </w:r>
      <w:r w:rsidRPr="00F73CEE">
        <w:rPr>
          <w:sz w:val="24"/>
          <w:szCs w:val="24"/>
          <w:lang w:val="en-GB"/>
        </w:rPr>
        <w:t>(1), p.e459. Available at:</w:t>
      </w:r>
      <w:hyperlink r:id="rId80">
        <w:r w:rsidRPr="00F73CEE">
          <w:rPr>
            <w:sz w:val="24"/>
            <w:szCs w:val="24"/>
            <w:lang w:val="en-GB"/>
          </w:rPr>
          <w:t xml:space="preserve"> </w:t>
        </w:r>
      </w:hyperlink>
      <w:hyperlink r:id="rId81">
        <w:r w:rsidRPr="00F73CEE">
          <w:rPr>
            <w:color w:val="1155CC"/>
            <w:sz w:val="24"/>
            <w:szCs w:val="24"/>
            <w:u w:val="single"/>
            <w:lang w:val="en-GB"/>
          </w:rPr>
          <w:t>https://doi.org/10.1002/wene.459</w:t>
        </w:r>
      </w:hyperlink>
      <w:r w:rsidRPr="00F73CEE">
        <w:rPr>
          <w:sz w:val="24"/>
          <w:szCs w:val="24"/>
          <w:lang w:val="en-GB"/>
        </w:rPr>
        <w:t xml:space="preserve">  </w:t>
      </w:r>
    </w:p>
    <w:p w14:paraId="251BF520"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Khan, A.R. and Suhail, A.S., (2024), February. Electric Vehicles: A Review on Advantages and Challenges Faced in India. In </w:t>
      </w:r>
      <w:r w:rsidRPr="0027227E">
        <w:rPr>
          <w:i/>
          <w:iCs/>
          <w:sz w:val="24"/>
          <w:szCs w:val="24"/>
          <w:lang w:val="en-GB"/>
        </w:rPr>
        <w:t>International Conference on Mechanical Engineering–Ideas, Innovations &amp; Initiatives</w:t>
      </w:r>
      <w:r w:rsidRPr="0027227E">
        <w:rPr>
          <w:sz w:val="24"/>
          <w:szCs w:val="24"/>
          <w:lang w:val="en-GB"/>
        </w:rPr>
        <w:t xml:space="preserve"> (pp. 219-229). Singapore: Springer Nature Singapore. Available at:</w:t>
      </w:r>
      <w:hyperlink r:id="rId82">
        <w:r w:rsidRPr="0027227E">
          <w:rPr>
            <w:sz w:val="24"/>
            <w:szCs w:val="24"/>
            <w:lang w:val="en-GB"/>
          </w:rPr>
          <w:t xml:space="preserve"> </w:t>
        </w:r>
      </w:hyperlink>
      <w:hyperlink r:id="rId83">
        <w:r w:rsidRPr="0027227E">
          <w:rPr>
            <w:color w:val="1155CC"/>
            <w:sz w:val="24"/>
            <w:szCs w:val="24"/>
            <w:u w:val="single"/>
            <w:lang w:val="en-GB"/>
          </w:rPr>
          <w:t>https://doi.org/10.1007/978-981-96-6732-1_21</w:t>
        </w:r>
      </w:hyperlink>
    </w:p>
    <w:p w14:paraId="3C978F03"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Koskinen, E., (2025). Recommendations for improving aftersales competitiveness through customer value proposition in the transition to electric vehicles. Available at:</w:t>
      </w:r>
      <w:hyperlink r:id="rId84">
        <w:r w:rsidRPr="0027227E">
          <w:rPr>
            <w:sz w:val="24"/>
            <w:szCs w:val="24"/>
            <w:lang w:val="en-GB"/>
          </w:rPr>
          <w:t xml:space="preserve"> </w:t>
        </w:r>
      </w:hyperlink>
      <w:hyperlink r:id="rId85">
        <w:r w:rsidRPr="0027227E">
          <w:rPr>
            <w:color w:val="1155CC"/>
            <w:sz w:val="24"/>
            <w:szCs w:val="24"/>
            <w:u w:val="single"/>
            <w:lang w:val="en-GB"/>
          </w:rPr>
          <w:t>https://urn.fi/URN:NBN:fi:amk-2025052113897</w:t>
        </w:r>
      </w:hyperlink>
    </w:p>
    <w:p w14:paraId="1D563D62" w14:textId="77777777" w:rsidR="003F28F7" w:rsidRPr="00F73CEE" w:rsidRDefault="003F28F7" w:rsidP="003F28F7">
      <w:pPr>
        <w:spacing w:after="160" w:line="360" w:lineRule="auto"/>
        <w:jc w:val="both"/>
        <w:rPr>
          <w:color w:val="0070BB"/>
          <w:sz w:val="24"/>
          <w:szCs w:val="24"/>
          <w:lang w:val="en-GB"/>
        </w:rPr>
      </w:pPr>
      <w:r w:rsidRPr="00F73CEE">
        <w:rPr>
          <w:sz w:val="24"/>
          <w:szCs w:val="24"/>
          <w:lang w:val="en-GB"/>
        </w:rPr>
        <w:t xml:space="preserve">Kulova, I., </w:t>
      </w:r>
      <w:proofErr w:type="spellStart"/>
      <w:r w:rsidRPr="00F73CEE">
        <w:rPr>
          <w:sz w:val="24"/>
          <w:szCs w:val="24"/>
          <w:lang w:val="en-GB"/>
        </w:rPr>
        <w:t>Nikolova-Alexieva</w:t>
      </w:r>
      <w:proofErr w:type="spellEnd"/>
      <w:r w:rsidRPr="00F73CEE">
        <w:rPr>
          <w:sz w:val="24"/>
          <w:szCs w:val="24"/>
          <w:lang w:val="en-GB"/>
        </w:rPr>
        <w:t xml:space="preserve">, V. and Pashev, S., (2024). Green entrepreneurship: A review of sustainable business practices in manufacturing and high-tech industries. In </w:t>
      </w:r>
      <w:r w:rsidRPr="00F73CEE">
        <w:rPr>
          <w:i/>
          <w:iCs/>
          <w:sz w:val="24"/>
          <w:szCs w:val="24"/>
          <w:lang w:val="en-GB"/>
        </w:rPr>
        <w:t>BIO Web of Conferences</w:t>
      </w:r>
      <w:r w:rsidRPr="00F73CEE">
        <w:rPr>
          <w:sz w:val="24"/>
          <w:szCs w:val="24"/>
          <w:lang w:val="en-GB"/>
        </w:rPr>
        <w:t xml:space="preserve"> (Vol. 130, p. 08001). EDP Sciences. Available at:</w:t>
      </w:r>
    </w:p>
    <w:p w14:paraId="107DA388"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Kumar, D., Kalghatgi, G. and Agarwal, A.K., (2023). Comparison of economic viability of electric and internal combustion engine vehicles based on total cost of ownership analysis. </w:t>
      </w:r>
      <w:r w:rsidRPr="0027227E">
        <w:rPr>
          <w:i/>
          <w:iCs/>
          <w:sz w:val="24"/>
          <w:szCs w:val="24"/>
          <w:lang w:val="en-GB"/>
        </w:rPr>
        <w:t>Transportation Systems Technology and Integrated Management</w:t>
      </w:r>
      <w:r w:rsidRPr="0027227E">
        <w:rPr>
          <w:sz w:val="24"/>
          <w:szCs w:val="24"/>
          <w:lang w:val="en-GB"/>
        </w:rPr>
        <w:t>, pp.455-489. Available at:</w:t>
      </w:r>
      <w:hyperlink r:id="rId86">
        <w:r w:rsidRPr="0027227E">
          <w:rPr>
            <w:sz w:val="24"/>
            <w:szCs w:val="24"/>
            <w:lang w:val="en-GB"/>
          </w:rPr>
          <w:t xml:space="preserve"> </w:t>
        </w:r>
      </w:hyperlink>
      <w:hyperlink r:id="rId87">
        <w:r w:rsidRPr="0027227E">
          <w:rPr>
            <w:color w:val="1155CC"/>
            <w:sz w:val="24"/>
            <w:szCs w:val="24"/>
            <w:u w:val="single"/>
            <w:lang w:val="en-GB"/>
          </w:rPr>
          <w:t>https://doi.org/10.1007/978-981-99-1517-0_20</w:t>
        </w:r>
      </w:hyperlink>
    </w:p>
    <w:p w14:paraId="3EF76475"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Lima, F., Amorim, V. and Liberato, M.L., (2026). Hydrogen Fuel Cells and Electric Vehicles: A Systematic Review for Sustainable Mobility. </w:t>
      </w:r>
      <w:r w:rsidRPr="0027227E">
        <w:rPr>
          <w:i/>
          <w:iCs/>
          <w:sz w:val="24"/>
          <w:szCs w:val="24"/>
          <w:lang w:val="en-GB"/>
        </w:rPr>
        <w:t>Energies</w:t>
      </w:r>
      <w:r w:rsidRPr="0027227E">
        <w:rPr>
          <w:sz w:val="24"/>
          <w:szCs w:val="24"/>
          <w:lang w:val="en-GB"/>
        </w:rPr>
        <w:t xml:space="preserve">, </w:t>
      </w:r>
      <w:r w:rsidRPr="0027227E">
        <w:rPr>
          <w:i/>
          <w:iCs/>
          <w:sz w:val="24"/>
          <w:szCs w:val="24"/>
          <w:lang w:val="en-GB"/>
        </w:rPr>
        <w:t>19</w:t>
      </w:r>
      <w:r w:rsidRPr="0027227E">
        <w:rPr>
          <w:sz w:val="24"/>
          <w:szCs w:val="24"/>
          <w:lang w:val="en-GB"/>
        </w:rPr>
        <w:t>(11), p.2557. Available at:</w:t>
      </w:r>
      <w:hyperlink r:id="rId88">
        <w:r w:rsidRPr="0027227E">
          <w:rPr>
            <w:sz w:val="24"/>
            <w:szCs w:val="24"/>
            <w:lang w:val="en-GB"/>
          </w:rPr>
          <w:t xml:space="preserve"> </w:t>
        </w:r>
      </w:hyperlink>
      <w:hyperlink r:id="rId89">
        <w:r w:rsidRPr="0027227E">
          <w:rPr>
            <w:color w:val="1155CC"/>
            <w:sz w:val="24"/>
            <w:szCs w:val="24"/>
            <w:u w:val="single"/>
            <w:lang w:val="en-GB"/>
          </w:rPr>
          <w:t>https://doi.org/10.3390/en19112557</w:t>
        </w:r>
      </w:hyperlink>
    </w:p>
    <w:p w14:paraId="33D5C45B"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Lin, Q., Xiaoyu, L. and Jianqiang, Z., (2023). Global marketing standards and local adaptation: an analysis of the literature. </w:t>
      </w:r>
      <w:r w:rsidRPr="0027227E">
        <w:rPr>
          <w:i/>
          <w:iCs/>
          <w:sz w:val="24"/>
          <w:szCs w:val="24"/>
          <w:lang w:val="en-GB"/>
        </w:rPr>
        <w:t>International Journal of Management and Human Science (IJMHS)</w:t>
      </w:r>
      <w:r w:rsidRPr="0027227E">
        <w:rPr>
          <w:sz w:val="24"/>
          <w:szCs w:val="24"/>
          <w:lang w:val="en-GB"/>
        </w:rPr>
        <w:t xml:space="preserve">, </w:t>
      </w:r>
      <w:r w:rsidRPr="0027227E">
        <w:rPr>
          <w:i/>
          <w:iCs/>
          <w:sz w:val="24"/>
          <w:szCs w:val="24"/>
          <w:lang w:val="en-GB"/>
        </w:rPr>
        <w:t>7</w:t>
      </w:r>
      <w:r w:rsidRPr="0027227E">
        <w:rPr>
          <w:sz w:val="24"/>
          <w:szCs w:val="24"/>
          <w:lang w:val="en-GB"/>
        </w:rPr>
        <w:t>(2), pp.44-57. Available at:</w:t>
      </w:r>
      <w:hyperlink r:id="rId90">
        <w:r w:rsidRPr="0027227E">
          <w:rPr>
            <w:sz w:val="24"/>
            <w:szCs w:val="24"/>
            <w:lang w:val="en-GB"/>
          </w:rPr>
          <w:t xml:space="preserve"> </w:t>
        </w:r>
      </w:hyperlink>
      <w:hyperlink r:id="rId91">
        <w:r w:rsidRPr="0027227E">
          <w:rPr>
            <w:color w:val="1155CC"/>
            <w:sz w:val="24"/>
            <w:szCs w:val="24"/>
            <w:u w:val="single"/>
            <w:lang w:val="en-GB"/>
          </w:rPr>
          <w:t>https://doi.org/10.31674/ijmhs.2023.v07i02.006</w:t>
        </w:r>
      </w:hyperlink>
    </w:p>
    <w:p w14:paraId="2ADAA775"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Markova, M., (2026). Relation “Technology Leadership–Patent Activity-National Digital Competitiveness”–Methodological Overview And Good Examples. </w:t>
      </w:r>
      <w:r w:rsidRPr="0027227E">
        <w:rPr>
          <w:i/>
          <w:iCs/>
          <w:sz w:val="24"/>
          <w:szCs w:val="24"/>
          <w:lang w:val="en-GB"/>
        </w:rPr>
        <w:t>Economic Alternatives</w:t>
      </w:r>
      <w:r w:rsidRPr="0027227E">
        <w:rPr>
          <w:sz w:val="24"/>
          <w:szCs w:val="24"/>
          <w:lang w:val="en-GB"/>
        </w:rPr>
        <w:t>, (1), pp.256-285. Available at:</w:t>
      </w:r>
      <w:hyperlink r:id="rId92">
        <w:r w:rsidRPr="0027227E">
          <w:rPr>
            <w:sz w:val="24"/>
            <w:szCs w:val="24"/>
            <w:lang w:val="en-GB"/>
          </w:rPr>
          <w:t xml:space="preserve"> </w:t>
        </w:r>
      </w:hyperlink>
      <w:hyperlink r:id="rId93">
        <w:r w:rsidRPr="0027227E">
          <w:rPr>
            <w:color w:val="1155CC"/>
            <w:sz w:val="24"/>
            <w:szCs w:val="24"/>
            <w:u w:val="single"/>
            <w:lang w:val="en-GB"/>
          </w:rPr>
          <w:t>https://doi.org/10.37075/EA.2026.1.12</w:t>
        </w:r>
      </w:hyperlink>
    </w:p>
    <w:p w14:paraId="21570986"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Mehra, N., (2025). Bridging Business Cultures: Japan’s Relationship-Driven Model vs. the West’s Transactional Approach. </w:t>
      </w:r>
      <w:r w:rsidRPr="0027227E">
        <w:rPr>
          <w:i/>
          <w:iCs/>
          <w:sz w:val="24"/>
          <w:szCs w:val="24"/>
          <w:lang w:val="en-GB"/>
        </w:rPr>
        <w:t>Available at SSRN 5167932</w:t>
      </w:r>
      <w:r w:rsidRPr="0027227E">
        <w:rPr>
          <w:sz w:val="24"/>
          <w:szCs w:val="24"/>
          <w:lang w:val="en-GB"/>
        </w:rPr>
        <w:t>. Available at:</w:t>
      </w:r>
      <w:hyperlink r:id="rId94">
        <w:r w:rsidRPr="0027227E">
          <w:rPr>
            <w:sz w:val="24"/>
            <w:szCs w:val="24"/>
            <w:lang w:val="en-GB"/>
          </w:rPr>
          <w:t xml:space="preserve"> </w:t>
        </w:r>
      </w:hyperlink>
      <w:hyperlink r:id="rId95">
        <w:r w:rsidRPr="0027227E">
          <w:rPr>
            <w:color w:val="1155CC"/>
            <w:sz w:val="24"/>
            <w:szCs w:val="24"/>
            <w:u w:val="single"/>
            <w:lang w:val="en-GB"/>
          </w:rPr>
          <w:t>https://dx.doi.org/10.2139/ssrn.5167932</w:t>
        </w:r>
      </w:hyperlink>
    </w:p>
    <w:p w14:paraId="2315213D"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Melo, J.C., Souza, F.B.D., Luiz, J.V.R., Luiz, O.R. and Campos, R.D., (2024). Leanness level: analysis and systematic literature review. </w:t>
      </w:r>
      <w:r w:rsidRPr="0027227E">
        <w:rPr>
          <w:i/>
          <w:iCs/>
          <w:sz w:val="24"/>
          <w:szCs w:val="24"/>
          <w:lang w:val="en-GB"/>
        </w:rPr>
        <w:t>International Journal of Services and Operations Management</w:t>
      </w:r>
      <w:r w:rsidRPr="0027227E">
        <w:rPr>
          <w:sz w:val="24"/>
          <w:szCs w:val="24"/>
          <w:lang w:val="en-GB"/>
        </w:rPr>
        <w:t xml:space="preserve">, </w:t>
      </w:r>
      <w:r w:rsidRPr="0027227E">
        <w:rPr>
          <w:i/>
          <w:iCs/>
          <w:sz w:val="24"/>
          <w:szCs w:val="24"/>
          <w:lang w:val="en-GB"/>
        </w:rPr>
        <w:t>48</w:t>
      </w:r>
      <w:r w:rsidRPr="0027227E">
        <w:rPr>
          <w:sz w:val="24"/>
          <w:szCs w:val="24"/>
          <w:lang w:val="en-GB"/>
        </w:rPr>
        <w:t>(1), pp.26-61. Available at:</w:t>
      </w:r>
      <w:hyperlink r:id="rId96">
        <w:r w:rsidRPr="0027227E">
          <w:rPr>
            <w:sz w:val="24"/>
            <w:szCs w:val="24"/>
            <w:lang w:val="en-GB"/>
          </w:rPr>
          <w:t xml:space="preserve"> </w:t>
        </w:r>
      </w:hyperlink>
      <w:hyperlink r:id="rId97">
        <w:r w:rsidRPr="0027227E">
          <w:rPr>
            <w:color w:val="1155CC"/>
            <w:sz w:val="24"/>
            <w:szCs w:val="24"/>
            <w:u w:val="single"/>
            <w:lang w:val="en-GB"/>
          </w:rPr>
          <w:t>https://doi.org/10.1504/IJSOM.2024.138591</w:t>
        </w:r>
      </w:hyperlink>
    </w:p>
    <w:p w14:paraId="7CA8E68A"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Mittal, G., Garg, A. and Pareek, K., (2024). A review of the technologies, challenges and policies implications of electric vehicles and their future development in India. </w:t>
      </w:r>
      <w:r w:rsidRPr="0027227E">
        <w:rPr>
          <w:i/>
          <w:iCs/>
          <w:sz w:val="24"/>
          <w:szCs w:val="24"/>
          <w:lang w:val="en-GB"/>
        </w:rPr>
        <w:t>Energy Storage</w:t>
      </w:r>
      <w:r w:rsidRPr="0027227E">
        <w:rPr>
          <w:sz w:val="24"/>
          <w:szCs w:val="24"/>
          <w:lang w:val="en-GB"/>
        </w:rPr>
        <w:t xml:space="preserve">, </w:t>
      </w:r>
      <w:r w:rsidRPr="0027227E">
        <w:rPr>
          <w:i/>
          <w:iCs/>
          <w:sz w:val="24"/>
          <w:szCs w:val="24"/>
          <w:lang w:val="en-GB"/>
        </w:rPr>
        <w:t>6</w:t>
      </w:r>
      <w:r w:rsidRPr="0027227E">
        <w:rPr>
          <w:sz w:val="24"/>
          <w:szCs w:val="24"/>
          <w:lang w:val="en-GB"/>
        </w:rPr>
        <w:t>(1), p.e562. Available at:</w:t>
      </w:r>
      <w:hyperlink r:id="rId98">
        <w:r w:rsidRPr="0027227E">
          <w:rPr>
            <w:sz w:val="24"/>
            <w:szCs w:val="24"/>
            <w:lang w:val="en-GB"/>
          </w:rPr>
          <w:t xml:space="preserve"> </w:t>
        </w:r>
      </w:hyperlink>
      <w:hyperlink r:id="rId99">
        <w:r w:rsidRPr="0027227E">
          <w:rPr>
            <w:color w:val="1155CC"/>
            <w:sz w:val="24"/>
            <w:szCs w:val="24"/>
            <w:u w:val="single"/>
            <w:lang w:val="en-GB"/>
          </w:rPr>
          <w:t>https://doi.org/10.1002/est2.562</w:t>
        </w:r>
      </w:hyperlink>
    </w:p>
    <w:p w14:paraId="76A143FA"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Mittal, G., Garg, A. and Pareek, K., (2024). A review of the technologies, challenges and policies implications of electric vehicles and their future development in India. </w:t>
      </w:r>
      <w:r w:rsidRPr="00F73CEE">
        <w:rPr>
          <w:i/>
          <w:iCs/>
          <w:sz w:val="24"/>
          <w:szCs w:val="24"/>
          <w:lang w:val="en-GB"/>
        </w:rPr>
        <w:t>Energy Storage</w:t>
      </w:r>
      <w:r w:rsidRPr="00F73CEE">
        <w:rPr>
          <w:sz w:val="24"/>
          <w:szCs w:val="24"/>
          <w:lang w:val="en-GB"/>
        </w:rPr>
        <w:t xml:space="preserve">, </w:t>
      </w:r>
      <w:r w:rsidRPr="00F73CEE">
        <w:rPr>
          <w:i/>
          <w:iCs/>
          <w:sz w:val="24"/>
          <w:szCs w:val="24"/>
          <w:lang w:val="en-GB"/>
        </w:rPr>
        <w:t>6</w:t>
      </w:r>
      <w:r w:rsidRPr="00F73CEE">
        <w:rPr>
          <w:sz w:val="24"/>
          <w:szCs w:val="24"/>
          <w:lang w:val="en-GB"/>
        </w:rPr>
        <w:t>(1), p.e562. Available at:</w:t>
      </w:r>
      <w:hyperlink r:id="rId100">
        <w:r w:rsidRPr="00F73CEE">
          <w:rPr>
            <w:sz w:val="24"/>
            <w:szCs w:val="24"/>
            <w:lang w:val="en-GB"/>
          </w:rPr>
          <w:t xml:space="preserve"> </w:t>
        </w:r>
      </w:hyperlink>
      <w:hyperlink r:id="rId101">
        <w:r w:rsidRPr="00F73CEE">
          <w:rPr>
            <w:color w:val="1155CC"/>
            <w:sz w:val="24"/>
            <w:szCs w:val="24"/>
            <w:u w:val="single"/>
            <w:lang w:val="en-GB"/>
          </w:rPr>
          <w:t>https://onlinelibrary.wiley.com/doi/abs/10.1002/est2.562</w:t>
        </w:r>
      </w:hyperlink>
    </w:p>
    <w:p w14:paraId="23B9B3CD"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Mohan, G., Choudhary, A., Fatima, S. and Panigrahi, B.K., (2025). Viability and impact of electric vehicle transition in India's focus on Delhi: A comprehensive review. </w:t>
      </w:r>
      <w:r w:rsidRPr="0027227E">
        <w:rPr>
          <w:i/>
          <w:iCs/>
          <w:sz w:val="24"/>
          <w:szCs w:val="24"/>
          <w:lang w:val="en-GB"/>
        </w:rPr>
        <w:t>Transactions of the Indian National Academy of Engineering</w:t>
      </w:r>
      <w:r w:rsidRPr="0027227E">
        <w:rPr>
          <w:sz w:val="24"/>
          <w:szCs w:val="24"/>
          <w:lang w:val="en-GB"/>
        </w:rPr>
        <w:t xml:space="preserve">, </w:t>
      </w:r>
      <w:r w:rsidRPr="0027227E">
        <w:rPr>
          <w:i/>
          <w:iCs/>
          <w:sz w:val="24"/>
          <w:szCs w:val="24"/>
          <w:lang w:val="en-GB"/>
        </w:rPr>
        <w:t>10</w:t>
      </w:r>
      <w:r w:rsidRPr="0027227E">
        <w:rPr>
          <w:sz w:val="24"/>
          <w:szCs w:val="24"/>
          <w:lang w:val="en-GB"/>
        </w:rPr>
        <w:t>(2), pp.257-270. Available at:</w:t>
      </w:r>
      <w:hyperlink r:id="rId102">
        <w:r w:rsidRPr="0027227E">
          <w:rPr>
            <w:sz w:val="24"/>
            <w:szCs w:val="24"/>
            <w:lang w:val="en-GB"/>
          </w:rPr>
          <w:t xml:space="preserve"> </w:t>
        </w:r>
      </w:hyperlink>
      <w:hyperlink r:id="rId103">
        <w:r w:rsidRPr="0027227E">
          <w:rPr>
            <w:color w:val="1155CC"/>
            <w:sz w:val="24"/>
            <w:szCs w:val="24"/>
            <w:u w:val="single"/>
            <w:lang w:val="en-GB"/>
          </w:rPr>
          <w:t>https://doi.org/10.1007/s41403-025-00524-8</w:t>
        </w:r>
      </w:hyperlink>
    </w:p>
    <w:p w14:paraId="26337B31"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Noriko Higashizawa, (2026). </w:t>
      </w:r>
      <w:r w:rsidRPr="0027227E">
        <w:rPr>
          <w:i/>
          <w:iCs/>
          <w:sz w:val="24"/>
          <w:szCs w:val="24"/>
          <w:lang w:val="en-GB"/>
        </w:rPr>
        <w:t xml:space="preserve">Autonomous Vehicles — An Overview of the Current Situation in Japan. </w:t>
      </w:r>
      <w:r w:rsidRPr="0027227E">
        <w:rPr>
          <w:sz w:val="24"/>
          <w:szCs w:val="24"/>
          <w:lang w:val="en-GB"/>
        </w:rPr>
        <w:t xml:space="preserve">Available at:  </w:t>
      </w:r>
      <w:hyperlink r:id="rId104">
        <w:r w:rsidRPr="0027227E">
          <w:rPr>
            <w:color w:val="1155CC"/>
            <w:sz w:val="24"/>
            <w:szCs w:val="24"/>
            <w:u w:val="single"/>
            <w:lang w:val="en-GB"/>
          </w:rPr>
          <w:t>https://www.city-yuwa.com/wp/wp-content/uploads/2025/12/Autonomous-Vehicles-An-Overview-of-the-Current-Situation-in-Japan.pdf</w:t>
        </w:r>
      </w:hyperlink>
      <w:r w:rsidRPr="0027227E">
        <w:rPr>
          <w:sz w:val="24"/>
          <w:szCs w:val="24"/>
          <w:lang w:val="en-GB"/>
        </w:rPr>
        <w:t xml:space="preserve"> (Accessed: 05 August 2026).</w:t>
      </w:r>
    </w:p>
    <w:p w14:paraId="2009D7BA"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Ortiz-Ospino, L., González-Sarmiento, E. and Roa-Perez, J., (2025). Technology trends in the creative and cultural industries sector: a systematic literature review. </w:t>
      </w:r>
      <w:r w:rsidRPr="00F73CEE">
        <w:rPr>
          <w:i/>
          <w:iCs/>
          <w:sz w:val="24"/>
          <w:szCs w:val="24"/>
          <w:lang w:val="en-GB"/>
        </w:rPr>
        <w:t>Journal of Innovation and Entrepreneurship</w:t>
      </w:r>
      <w:r w:rsidRPr="00F73CEE">
        <w:rPr>
          <w:sz w:val="24"/>
          <w:szCs w:val="24"/>
          <w:lang w:val="en-GB"/>
        </w:rPr>
        <w:t xml:space="preserve">, </w:t>
      </w:r>
      <w:r w:rsidRPr="00F73CEE">
        <w:rPr>
          <w:i/>
          <w:iCs/>
          <w:sz w:val="24"/>
          <w:szCs w:val="24"/>
          <w:lang w:val="en-GB"/>
        </w:rPr>
        <w:t>14</w:t>
      </w:r>
      <w:r w:rsidRPr="00F73CEE">
        <w:rPr>
          <w:sz w:val="24"/>
          <w:szCs w:val="24"/>
          <w:lang w:val="en-GB"/>
        </w:rPr>
        <w:t>(1), p.39. Available at:</w:t>
      </w:r>
      <w:hyperlink r:id="rId105">
        <w:r w:rsidRPr="00F73CEE">
          <w:rPr>
            <w:sz w:val="24"/>
            <w:szCs w:val="24"/>
            <w:lang w:val="en-GB"/>
          </w:rPr>
          <w:t xml:space="preserve"> </w:t>
        </w:r>
      </w:hyperlink>
      <w:hyperlink r:id="rId106">
        <w:r w:rsidRPr="00F73CEE">
          <w:rPr>
            <w:color w:val="1155CC"/>
            <w:sz w:val="24"/>
            <w:szCs w:val="24"/>
            <w:u w:val="single"/>
            <w:lang w:val="en-GB"/>
          </w:rPr>
          <w:t>https://doi.org/10.1186/s13731-025-00497-6</w:t>
        </w:r>
      </w:hyperlink>
    </w:p>
    <w:p w14:paraId="34A5B4A4"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Pib.gov, (2025). </w:t>
      </w:r>
      <w:r w:rsidRPr="0027227E">
        <w:rPr>
          <w:i/>
          <w:iCs/>
          <w:sz w:val="24"/>
          <w:szCs w:val="24"/>
          <w:lang w:val="en-GB"/>
        </w:rPr>
        <w:t>India’s Growing Focus on Youth and Sports.</w:t>
      </w:r>
      <w:r w:rsidRPr="0027227E">
        <w:rPr>
          <w:sz w:val="24"/>
          <w:szCs w:val="24"/>
          <w:lang w:val="en-GB"/>
        </w:rPr>
        <w:t xml:space="preserve"> Available at:</w:t>
      </w:r>
      <w:hyperlink r:id="rId107">
        <w:r w:rsidRPr="0027227E">
          <w:rPr>
            <w:sz w:val="24"/>
            <w:szCs w:val="24"/>
            <w:lang w:val="en-GB"/>
          </w:rPr>
          <w:t xml:space="preserve"> </w:t>
        </w:r>
      </w:hyperlink>
      <w:hyperlink r:id="rId108">
        <w:r w:rsidRPr="0027227E">
          <w:rPr>
            <w:color w:val="1155CC"/>
            <w:sz w:val="24"/>
            <w:szCs w:val="24"/>
            <w:u w:val="single"/>
            <w:lang w:val="en-GB"/>
          </w:rPr>
          <w:t>https://www.pib.gov.in/FactsheetDetails.aspx?Id=149107&amp;reg=48&amp;lang=2</w:t>
        </w:r>
      </w:hyperlink>
      <w:r w:rsidRPr="0027227E">
        <w:rPr>
          <w:sz w:val="24"/>
          <w:szCs w:val="24"/>
          <w:lang w:val="en-GB"/>
        </w:rPr>
        <w:t xml:space="preserve"> (Accessed: 05 August 2026).</w:t>
      </w:r>
    </w:p>
    <w:p w14:paraId="540FC8A6"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Pib.gov, (2026). </w:t>
      </w:r>
      <w:r w:rsidRPr="0027227E">
        <w:rPr>
          <w:i/>
          <w:iCs/>
          <w:sz w:val="24"/>
          <w:szCs w:val="24"/>
          <w:lang w:val="en-GB"/>
        </w:rPr>
        <w:t>Production Linked Incentive (PLI) Scheme for Automobile and Auto Component Industry in India (PLI-Auto).</w:t>
      </w:r>
      <w:r w:rsidRPr="0027227E">
        <w:rPr>
          <w:sz w:val="24"/>
          <w:szCs w:val="24"/>
          <w:lang w:val="en-GB"/>
        </w:rPr>
        <w:t xml:space="preserve"> Available at:</w:t>
      </w:r>
      <w:hyperlink r:id="rId109">
        <w:r w:rsidRPr="0027227E">
          <w:rPr>
            <w:sz w:val="24"/>
            <w:szCs w:val="24"/>
            <w:lang w:val="en-GB"/>
          </w:rPr>
          <w:t xml:space="preserve"> </w:t>
        </w:r>
      </w:hyperlink>
      <w:hyperlink r:id="rId110">
        <w:r w:rsidRPr="0027227E">
          <w:rPr>
            <w:color w:val="1155CC"/>
            <w:sz w:val="24"/>
            <w:szCs w:val="24"/>
            <w:u w:val="single"/>
            <w:lang w:val="en-GB"/>
          </w:rPr>
          <w:t>https://www.pib.gov.in/PressReleasePage.aspx?PRID=2290691&amp;reg=48&amp;lang=2</w:t>
        </w:r>
      </w:hyperlink>
      <w:r w:rsidRPr="0027227E">
        <w:rPr>
          <w:sz w:val="24"/>
          <w:szCs w:val="24"/>
          <w:lang w:val="en-GB"/>
        </w:rPr>
        <w:t xml:space="preserve"> (Accessed: 05 August 2026).</w:t>
      </w:r>
    </w:p>
    <w:p w14:paraId="7C9176AC"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Rani, T.L. and Thomas, M.J.M., (2025). Principles of Marketing (Emerging Trends and Future Perspectives). Available at:</w:t>
      </w:r>
      <w:hyperlink r:id="rId111">
        <w:r w:rsidRPr="00F73CEE">
          <w:rPr>
            <w:sz w:val="24"/>
            <w:szCs w:val="24"/>
            <w:lang w:val="en-GB"/>
          </w:rPr>
          <w:t xml:space="preserve"> </w:t>
        </w:r>
      </w:hyperlink>
      <w:hyperlink r:id="rId112">
        <w:r w:rsidRPr="00F73CEE">
          <w:rPr>
            <w:color w:val="1155CC"/>
            <w:sz w:val="24"/>
            <w:szCs w:val="24"/>
            <w:u w:val="single"/>
            <w:lang w:val="en-GB"/>
          </w:rPr>
          <w:t>https://books.google.com/books?hl=en&amp;lr=&amp;id=hKCeEQAAQBAJ&amp;oi=fnd&amp;pg=PA1&amp;dq=Hofstede%27s+Cultural+Dimensions,+STP,+and+the+7Ps+marketing+mix&amp;ots=lg9x69v4G_&amp;sig=MN86c_dqEeD_qlUKjrJxchtUpvs</w:t>
        </w:r>
      </w:hyperlink>
    </w:p>
    <w:p w14:paraId="738293AD" w14:textId="77777777" w:rsidR="003F28F7" w:rsidRPr="00F73CEE" w:rsidRDefault="003F28F7" w:rsidP="003F28F7">
      <w:pPr>
        <w:spacing w:after="160" w:line="360" w:lineRule="auto"/>
        <w:jc w:val="both"/>
        <w:rPr>
          <w:color w:val="1155CC"/>
          <w:sz w:val="24"/>
          <w:szCs w:val="24"/>
          <w:u w:val="single"/>
          <w:lang w:val="en-GB"/>
        </w:rPr>
      </w:pPr>
      <w:r w:rsidRPr="00F73CEE">
        <w:rPr>
          <w:sz w:val="24"/>
          <w:szCs w:val="24"/>
          <w:lang w:val="en-GB"/>
        </w:rPr>
        <w:t xml:space="preserve">Santoso, R.P., Ningsih, L.S.R. and Irawati, W., (2024). Implementation of segmenting targeting and positioning strategies in improving marketing performance. </w:t>
      </w:r>
      <w:r w:rsidRPr="00F73CEE">
        <w:rPr>
          <w:i/>
          <w:iCs/>
          <w:sz w:val="24"/>
          <w:szCs w:val="24"/>
          <w:lang w:val="en-GB"/>
        </w:rPr>
        <w:t>BIMA: Journal of Business and Innovation Management</w:t>
      </w:r>
      <w:r w:rsidRPr="00F73CEE">
        <w:rPr>
          <w:sz w:val="24"/>
          <w:szCs w:val="24"/>
          <w:lang w:val="en-GB"/>
        </w:rPr>
        <w:t xml:space="preserve">, </w:t>
      </w:r>
      <w:r w:rsidRPr="00F73CEE">
        <w:rPr>
          <w:i/>
          <w:iCs/>
          <w:sz w:val="24"/>
          <w:szCs w:val="24"/>
          <w:lang w:val="en-GB"/>
        </w:rPr>
        <w:t>6</w:t>
      </w:r>
      <w:r w:rsidRPr="00F73CEE">
        <w:rPr>
          <w:sz w:val="24"/>
          <w:szCs w:val="24"/>
          <w:lang w:val="en-GB"/>
        </w:rPr>
        <w:t>(2), pp.280-292. Available at:</w:t>
      </w:r>
      <w:hyperlink r:id="rId113">
        <w:r w:rsidRPr="00F73CEE">
          <w:rPr>
            <w:sz w:val="24"/>
            <w:szCs w:val="24"/>
            <w:lang w:val="en-GB"/>
          </w:rPr>
          <w:t xml:space="preserve"> </w:t>
        </w:r>
      </w:hyperlink>
      <w:hyperlink r:id="rId114">
        <w:r w:rsidRPr="00F73CEE">
          <w:rPr>
            <w:color w:val="1155CC"/>
            <w:sz w:val="24"/>
            <w:szCs w:val="24"/>
            <w:u w:val="single"/>
            <w:lang w:val="en-GB"/>
          </w:rPr>
          <w:t>https://doi.org/10.33752/bima.v6i2.5939</w:t>
        </w:r>
      </w:hyperlink>
    </w:p>
    <w:p w14:paraId="736842F7"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Statista Research Department, (2026). </w:t>
      </w:r>
      <w:r w:rsidRPr="0027227E">
        <w:rPr>
          <w:i/>
          <w:iCs/>
          <w:sz w:val="24"/>
          <w:szCs w:val="24"/>
          <w:lang w:val="en-GB"/>
        </w:rPr>
        <w:t>Gross domestic product (GDP) in current prices in Japan from 1980 to 2031 (in trillion U.S. dollars).</w:t>
      </w:r>
      <w:r w:rsidRPr="0027227E">
        <w:rPr>
          <w:sz w:val="24"/>
          <w:szCs w:val="24"/>
          <w:lang w:val="en-GB"/>
        </w:rPr>
        <w:t xml:space="preserve"> Available at:</w:t>
      </w:r>
      <w:hyperlink r:id="rId115">
        <w:r w:rsidRPr="0027227E">
          <w:rPr>
            <w:sz w:val="24"/>
            <w:szCs w:val="24"/>
            <w:lang w:val="en-GB"/>
          </w:rPr>
          <w:t xml:space="preserve"> </w:t>
        </w:r>
      </w:hyperlink>
      <w:hyperlink r:id="rId116">
        <w:r w:rsidRPr="0027227E">
          <w:rPr>
            <w:color w:val="1155CC"/>
            <w:sz w:val="24"/>
            <w:szCs w:val="24"/>
            <w:u w:val="single"/>
            <w:lang w:val="en-GB"/>
          </w:rPr>
          <w:t>https://www.statista.com/statistics/263578/gross-domestic-product-gdp-of-japan/?srsltid=AfmBOoq08yiEVMtJTZzYmSRQvfdx7ayvQlNgaqkPs3bvGiC9VwtVmfty</w:t>
        </w:r>
      </w:hyperlink>
      <w:r w:rsidRPr="0027227E">
        <w:rPr>
          <w:sz w:val="24"/>
          <w:szCs w:val="24"/>
          <w:lang w:val="en-GB"/>
        </w:rPr>
        <w:t xml:space="preserve">  (Accessed: 05 August 2026).</w:t>
      </w:r>
    </w:p>
    <w:p w14:paraId="01DDE5F6" w14:textId="77777777" w:rsidR="003F28F7" w:rsidRPr="0027227E" w:rsidRDefault="003F28F7">
      <w:pPr>
        <w:spacing w:before="240" w:after="160" w:line="360" w:lineRule="auto"/>
        <w:jc w:val="both"/>
        <w:rPr>
          <w:color w:val="1155CC"/>
          <w:sz w:val="24"/>
          <w:szCs w:val="24"/>
          <w:u w:val="single"/>
          <w:lang w:val="en-GB"/>
        </w:rPr>
      </w:pPr>
      <w:r w:rsidRPr="0027227E">
        <w:rPr>
          <w:sz w:val="24"/>
          <w:szCs w:val="24"/>
          <w:lang w:val="en-GB"/>
        </w:rPr>
        <w:t xml:space="preserve">Takami, A., Kato, M., Deguchi, H. and Igarashi, A., (2023). Value elements and methods of value-based pricing for drugs in Japan: a systematic review. </w:t>
      </w:r>
      <w:r w:rsidRPr="0027227E">
        <w:rPr>
          <w:i/>
          <w:iCs/>
          <w:sz w:val="24"/>
          <w:szCs w:val="24"/>
          <w:lang w:val="en-GB"/>
        </w:rPr>
        <w:t>Expert Review of Pharmacoeconomics &amp; Outcomes Research</w:t>
      </w:r>
      <w:r w:rsidRPr="0027227E">
        <w:rPr>
          <w:sz w:val="24"/>
          <w:szCs w:val="24"/>
          <w:lang w:val="en-GB"/>
        </w:rPr>
        <w:t xml:space="preserve">, </w:t>
      </w:r>
      <w:r w:rsidRPr="0027227E">
        <w:rPr>
          <w:i/>
          <w:iCs/>
          <w:sz w:val="24"/>
          <w:szCs w:val="24"/>
          <w:lang w:val="en-GB"/>
        </w:rPr>
        <w:t>23</w:t>
      </w:r>
      <w:r w:rsidRPr="0027227E">
        <w:rPr>
          <w:sz w:val="24"/>
          <w:szCs w:val="24"/>
          <w:lang w:val="en-GB"/>
        </w:rPr>
        <w:t>(7), pp.749-759. Available at:</w:t>
      </w:r>
      <w:hyperlink r:id="rId117">
        <w:r w:rsidRPr="0027227E">
          <w:rPr>
            <w:sz w:val="24"/>
            <w:szCs w:val="24"/>
            <w:lang w:val="en-GB"/>
          </w:rPr>
          <w:t xml:space="preserve"> </w:t>
        </w:r>
      </w:hyperlink>
      <w:hyperlink r:id="rId118">
        <w:r w:rsidRPr="0027227E">
          <w:rPr>
            <w:color w:val="1155CC"/>
            <w:sz w:val="24"/>
            <w:szCs w:val="24"/>
            <w:u w:val="single"/>
            <w:lang w:val="en-GB"/>
          </w:rPr>
          <w:t>https://doi.org/10.1080/14737167.2023.2223984</w:t>
        </w:r>
      </w:hyperlink>
    </w:p>
    <w:p w14:paraId="38CBB4F5" w14:textId="77777777" w:rsidR="003F28F7" w:rsidRPr="00F73CEE" w:rsidRDefault="003F28F7" w:rsidP="003F28F7">
      <w:pPr>
        <w:spacing w:after="160" w:line="360" w:lineRule="auto"/>
        <w:jc w:val="both"/>
        <w:rPr>
          <w:sz w:val="24"/>
          <w:szCs w:val="24"/>
          <w:lang w:val="en-GB"/>
        </w:rPr>
      </w:pPr>
      <w:r w:rsidRPr="00F73CEE">
        <w:rPr>
          <w:sz w:val="24"/>
          <w:szCs w:val="24"/>
          <w:lang w:val="en-GB"/>
        </w:rPr>
        <w:t>Theculturefactor, (2025).</w:t>
      </w:r>
      <w:r w:rsidRPr="00F73CEE">
        <w:rPr>
          <w:i/>
          <w:iCs/>
          <w:sz w:val="24"/>
          <w:szCs w:val="24"/>
          <w:lang w:val="en-GB"/>
        </w:rPr>
        <w:t xml:space="preserve"> Country Comparison tool</w:t>
      </w:r>
      <w:r w:rsidRPr="00F73CEE">
        <w:rPr>
          <w:sz w:val="24"/>
          <w:szCs w:val="24"/>
          <w:lang w:val="en-GB"/>
        </w:rPr>
        <w:t>. Available at:</w:t>
      </w:r>
      <w:hyperlink r:id="rId119">
        <w:r w:rsidRPr="00F73CEE">
          <w:rPr>
            <w:sz w:val="24"/>
            <w:szCs w:val="24"/>
            <w:lang w:val="en-GB"/>
          </w:rPr>
          <w:t xml:space="preserve"> </w:t>
        </w:r>
      </w:hyperlink>
      <w:hyperlink r:id="rId120">
        <w:r w:rsidRPr="00F73CEE">
          <w:rPr>
            <w:color w:val="1155CC"/>
            <w:sz w:val="24"/>
            <w:szCs w:val="24"/>
            <w:u w:val="single"/>
            <w:lang w:val="en-GB"/>
          </w:rPr>
          <w:t>https://www.theculturefactor.com/country-comparison-tool?countries=india%2Cjapan</w:t>
        </w:r>
      </w:hyperlink>
      <w:r w:rsidRPr="00F73CEE">
        <w:rPr>
          <w:sz w:val="24"/>
          <w:szCs w:val="24"/>
          <w:lang w:val="en-GB"/>
        </w:rPr>
        <w:t xml:space="preserve"> (Accessed: 05 August 2026).</w:t>
      </w:r>
    </w:p>
    <w:p w14:paraId="79E9E362"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Toyota (2025a). </w:t>
      </w:r>
      <w:r w:rsidRPr="00F73CEE">
        <w:rPr>
          <w:i/>
          <w:iCs/>
          <w:sz w:val="24"/>
          <w:szCs w:val="24"/>
          <w:lang w:val="en-GB"/>
        </w:rPr>
        <w:t>FY2025 Financial Results.</w:t>
      </w:r>
      <w:r w:rsidRPr="00F73CEE">
        <w:rPr>
          <w:sz w:val="24"/>
          <w:szCs w:val="24"/>
          <w:lang w:val="en-GB"/>
        </w:rPr>
        <w:t xml:space="preserve"> Available at:</w:t>
      </w:r>
      <w:hyperlink r:id="rId121">
        <w:r w:rsidRPr="00F73CEE">
          <w:rPr>
            <w:sz w:val="24"/>
            <w:szCs w:val="24"/>
            <w:lang w:val="en-GB"/>
          </w:rPr>
          <w:t xml:space="preserve"> </w:t>
        </w:r>
      </w:hyperlink>
      <w:hyperlink r:id="rId122">
        <w:r w:rsidRPr="00F73CEE">
          <w:rPr>
            <w:color w:val="1155CC"/>
            <w:sz w:val="24"/>
            <w:szCs w:val="24"/>
            <w:u w:val="single"/>
            <w:lang w:val="en-GB"/>
          </w:rPr>
          <w:t>https://global.toyota/pages/global_toyota/ir/financial-results/2025_4q_presentation_2_en.pdf</w:t>
        </w:r>
      </w:hyperlink>
      <w:r w:rsidRPr="00F73CEE">
        <w:rPr>
          <w:sz w:val="24"/>
          <w:szCs w:val="24"/>
          <w:lang w:val="en-GB"/>
        </w:rPr>
        <w:t xml:space="preserve"> (Accessed: 05 August 2026).</w:t>
      </w:r>
    </w:p>
    <w:p w14:paraId="1CC52947"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Toyota Industries (2025). </w:t>
      </w:r>
      <w:r w:rsidRPr="00F73CEE">
        <w:rPr>
          <w:i/>
          <w:iCs/>
          <w:sz w:val="24"/>
          <w:szCs w:val="24"/>
          <w:lang w:val="en-GB"/>
        </w:rPr>
        <w:t>Annual Financial Report 2025</w:t>
      </w:r>
      <w:r w:rsidRPr="00F73CEE">
        <w:rPr>
          <w:sz w:val="24"/>
          <w:szCs w:val="24"/>
          <w:lang w:val="en-GB"/>
        </w:rPr>
        <w:t>. Available at:</w:t>
      </w:r>
      <w:hyperlink r:id="rId123">
        <w:r w:rsidRPr="00F73CEE">
          <w:rPr>
            <w:sz w:val="24"/>
            <w:szCs w:val="24"/>
            <w:lang w:val="en-GB"/>
          </w:rPr>
          <w:t xml:space="preserve"> </w:t>
        </w:r>
      </w:hyperlink>
      <w:hyperlink r:id="rId124">
        <w:r w:rsidRPr="00F73CEE">
          <w:rPr>
            <w:color w:val="1155CC"/>
            <w:sz w:val="24"/>
            <w:szCs w:val="24"/>
            <w:u w:val="single"/>
            <w:lang w:val="en-GB"/>
          </w:rPr>
          <w:t>https://www.toyota-industries.com/investors/item/2025_annual_financial_report_E.pdf</w:t>
        </w:r>
      </w:hyperlink>
      <w:r w:rsidRPr="00F73CEE">
        <w:rPr>
          <w:sz w:val="24"/>
          <w:szCs w:val="24"/>
          <w:lang w:val="en-GB"/>
        </w:rPr>
        <w:t xml:space="preserve"> (Accessed: 05 August 2026).</w:t>
      </w:r>
    </w:p>
    <w:p w14:paraId="52CD5A3D"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Toyota, (2025). </w:t>
      </w:r>
      <w:r w:rsidRPr="00F73CEE">
        <w:rPr>
          <w:i/>
          <w:iCs/>
          <w:sz w:val="24"/>
          <w:szCs w:val="24"/>
          <w:lang w:val="en-GB"/>
        </w:rPr>
        <w:t>Overview.</w:t>
      </w:r>
      <w:r w:rsidRPr="00F73CEE">
        <w:rPr>
          <w:sz w:val="24"/>
          <w:szCs w:val="24"/>
          <w:lang w:val="en-GB"/>
        </w:rPr>
        <w:t xml:space="preserve"> Available at:</w:t>
      </w:r>
      <w:hyperlink r:id="rId125">
        <w:r w:rsidRPr="00F73CEE">
          <w:rPr>
            <w:sz w:val="24"/>
            <w:szCs w:val="24"/>
            <w:lang w:val="en-GB"/>
          </w:rPr>
          <w:t xml:space="preserve"> </w:t>
        </w:r>
      </w:hyperlink>
      <w:hyperlink r:id="rId126">
        <w:r w:rsidRPr="00F73CEE">
          <w:rPr>
            <w:color w:val="1155CC"/>
            <w:sz w:val="24"/>
            <w:szCs w:val="24"/>
            <w:u w:val="single"/>
            <w:lang w:val="en-GB"/>
          </w:rPr>
          <w:t>https://global.toyota/en/company/profile/overview/</w:t>
        </w:r>
      </w:hyperlink>
      <w:r w:rsidRPr="00F73CEE">
        <w:rPr>
          <w:sz w:val="24"/>
          <w:szCs w:val="24"/>
          <w:lang w:val="en-GB"/>
        </w:rPr>
        <w:t xml:space="preserve"> (Accessed: 05 August 2026).</w:t>
      </w:r>
    </w:p>
    <w:p w14:paraId="2B0BC102"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Toyota, (2025c). </w:t>
      </w:r>
      <w:r w:rsidRPr="0027227E">
        <w:rPr>
          <w:i/>
          <w:iCs/>
          <w:sz w:val="24"/>
          <w:szCs w:val="24"/>
          <w:lang w:val="en-GB"/>
        </w:rPr>
        <w:t>Toyota's Views on Climate Public Policies 2025.</w:t>
      </w:r>
      <w:r w:rsidRPr="0027227E">
        <w:rPr>
          <w:sz w:val="24"/>
          <w:szCs w:val="24"/>
          <w:lang w:val="en-GB"/>
        </w:rPr>
        <w:t xml:space="preserve"> Available at:</w:t>
      </w:r>
      <w:hyperlink r:id="rId127">
        <w:r w:rsidRPr="0027227E">
          <w:rPr>
            <w:sz w:val="24"/>
            <w:szCs w:val="24"/>
            <w:lang w:val="en-GB"/>
          </w:rPr>
          <w:t xml:space="preserve"> </w:t>
        </w:r>
      </w:hyperlink>
      <w:hyperlink r:id="rId128">
        <w:r w:rsidRPr="0027227E">
          <w:rPr>
            <w:color w:val="1155CC"/>
            <w:sz w:val="24"/>
            <w:szCs w:val="24"/>
            <w:u w:val="single"/>
            <w:lang w:val="en-GB"/>
          </w:rPr>
          <w:t>https://global.toyota/pages/global_toyota/sustainability/esg/environmental/climate_public_policies_2025_en.pdf</w:t>
        </w:r>
      </w:hyperlink>
      <w:r w:rsidRPr="0027227E">
        <w:rPr>
          <w:sz w:val="24"/>
          <w:szCs w:val="24"/>
          <w:lang w:val="en-GB"/>
        </w:rPr>
        <w:t xml:space="preserve">  (Accessed: 05 August 2026).</w:t>
      </w:r>
    </w:p>
    <w:p w14:paraId="7CF84450" w14:textId="77777777" w:rsidR="003F28F7" w:rsidRPr="0027227E" w:rsidRDefault="003F28F7">
      <w:pPr>
        <w:spacing w:before="240" w:after="160" w:line="360" w:lineRule="auto"/>
        <w:jc w:val="both"/>
        <w:rPr>
          <w:sz w:val="24"/>
          <w:szCs w:val="24"/>
          <w:lang w:val="en-GB"/>
        </w:rPr>
      </w:pPr>
      <w:r w:rsidRPr="0027227E">
        <w:rPr>
          <w:sz w:val="24"/>
          <w:szCs w:val="24"/>
          <w:lang w:val="en-GB"/>
        </w:rPr>
        <w:t xml:space="preserve">Toyota, (2026). </w:t>
      </w:r>
      <w:r w:rsidRPr="0027227E">
        <w:rPr>
          <w:i/>
          <w:iCs/>
          <w:sz w:val="24"/>
          <w:szCs w:val="24"/>
          <w:lang w:val="en-GB"/>
        </w:rPr>
        <w:t>TKM established in India.</w:t>
      </w:r>
      <w:r w:rsidRPr="0027227E">
        <w:rPr>
          <w:sz w:val="24"/>
          <w:szCs w:val="24"/>
          <w:lang w:val="en-GB"/>
        </w:rPr>
        <w:t xml:space="preserve"> Available at:</w:t>
      </w:r>
      <w:hyperlink r:id="rId129">
        <w:r w:rsidRPr="0027227E">
          <w:rPr>
            <w:sz w:val="24"/>
            <w:szCs w:val="24"/>
            <w:lang w:val="en-GB"/>
          </w:rPr>
          <w:t xml:space="preserve"> </w:t>
        </w:r>
      </w:hyperlink>
      <w:hyperlink r:id="rId130">
        <w:r w:rsidRPr="0027227E">
          <w:rPr>
            <w:color w:val="1155CC"/>
            <w:sz w:val="24"/>
            <w:szCs w:val="24"/>
            <w:u w:val="single"/>
            <w:lang w:val="en-GB"/>
          </w:rPr>
          <w:t>https://www.toyota-global.com/company/history_of_toyota/75years/text/leaping_forward_as_a_global_corporation/chapter4/section3/item1_d.html</w:t>
        </w:r>
      </w:hyperlink>
      <w:r w:rsidRPr="0027227E">
        <w:rPr>
          <w:sz w:val="24"/>
          <w:szCs w:val="24"/>
          <w:lang w:val="en-GB"/>
        </w:rPr>
        <w:t xml:space="preserve">  (Accessed: 05 August 2026).</w:t>
      </w:r>
    </w:p>
    <w:p w14:paraId="5B61A20E" w14:textId="77777777" w:rsidR="003F28F7" w:rsidRPr="0027227E" w:rsidRDefault="003F28F7">
      <w:pPr>
        <w:spacing w:before="240" w:after="160" w:line="360" w:lineRule="auto"/>
        <w:jc w:val="both"/>
        <w:rPr>
          <w:sz w:val="24"/>
          <w:szCs w:val="24"/>
          <w:lang w:val="en-GB"/>
        </w:rPr>
      </w:pPr>
      <w:proofErr w:type="spellStart"/>
      <w:r w:rsidRPr="0027227E">
        <w:rPr>
          <w:sz w:val="24"/>
          <w:szCs w:val="24"/>
          <w:lang w:val="en-GB"/>
        </w:rPr>
        <w:t>Toyotabharat</w:t>
      </w:r>
      <w:proofErr w:type="spellEnd"/>
      <w:r w:rsidRPr="0027227E">
        <w:rPr>
          <w:sz w:val="24"/>
          <w:szCs w:val="24"/>
          <w:lang w:val="en-GB"/>
        </w:rPr>
        <w:t xml:space="preserve">, (2022). </w:t>
      </w:r>
      <w:r w:rsidRPr="0027227E">
        <w:rPr>
          <w:i/>
          <w:iCs/>
          <w:sz w:val="24"/>
          <w:szCs w:val="24"/>
          <w:lang w:val="en-GB"/>
        </w:rPr>
        <w:t>Toyota’s bigger efforts to further strengthen and contribute to ‘Make in India’ &amp; ‘Skill India’ mission.</w:t>
      </w:r>
      <w:r w:rsidRPr="0027227E">
        <w:rPr>
          <w:sz w:val="24"/>
          <w:szCs w:val="24"/>
          <w:lang w:val="en-GB"/>
        </w:rPr>
        <w:t xml:space="preserve"> Available at:</w:t>
      </w:r>
      <w:hyperlink r:id="rId131">
        <w:r w:rsidRPr="0027227E">
          <w:rPr>
            <w:sz w:val="24"/>
            <w:szCs w:val="24"/>
            <w:lang w:val="en-GB"/>
          </w:rPr>
          <w:t xml:space="preserve"> </w:t>
        </w:r>
      </w:hyperlink>
      <w:hyperlink r:id="rId132">
        <w:r w:rsidRPr="0027227E">
          <w:rPr>
            <w:color w:val="1155CC"/>
            <w:sz w:val="24"/>
            <w:szCs w:val="24"/>
            <w:u w:val="single"/>
            <w:lang w:val="en-GB"/>
          </w:rPr>
          <w:t>https://www.toyotabharat.com/news/2022/toyotas-bigger-efforts-to-further-strengthen-and-contribute-to-make-in-india-and-skill-india-mission.html</w:t>
        </w:r>
      </w:hyperlink>
      <w:r w:rsidRPr="0027227E">
        <w:rPr>
          <w:sz w:val="24"/>
          <w:szCs w:val="24"/>
          <w:lang w:val="en-GB"/>
        </w:rPr>
        <w:t xml:space="preserve"> (Accessed: 05 August 2026).</w:t>
      </w:r>
    </w:p>
    <w:p w14:paraId="4B92C9A1" w14:textId="77777777" w:rsidR="003F28F7" w:rsidRPr="00F73CEE" w:rsidRDefault="003F28F7" w:rsidP="003F28F7">
      <w:pPr>
        <w:spacing w:after="160" w:line="360" w:lineRule="auto"/>
        <w:jc w:val="both"/>
        <w:rPr>
          <w:sz w:val="24"/>
          <w:szCs w:val="24"/>
          <w:lang w:val="en-GB"/>
        </w:rPr>
      </w:pPr>
      <w:proofErr w:type="spellStart"/>
      <w:r w:rsidRPr="00F73CEE">
        <w:rPr>
          <w:sz w:val="24"/>
          <w:szCs w:val="24"/>
          <w:lang w:val="en-GB"/>
        </w:rPr>
        <w:t>Toyotafinance</w:t>
      </w:r>
      <w:proofErr w:type="spellEnd"/>
      <w:r w:rsidRPr="00F73CEE">
        <w:rPr>
          <w:sz w:val="24"/>
          <w:szCs w:val="24"/>
          <w:lang w:val="en-GB"/>
        </w:rPr>
        <w:t xml:space="preserve">, (2026). </w:t>
      </w:r>
      <w:r w:rsidRPr="00F73CEE">
        <w:rPr>
          <w:i/>
          <w:iCs/>
          <w:sz w:val="24"/>
          <w:szCs w:val="24"/>
          <w:lang w:val="en-GB"/>
        </w:rPr>
        <w:t>Flexi Finance</w:t>
      </w:r>
      <w:r w:rsidRPr="00F73CEE">
        <w:rPr>
          <w:sz w:val="24"/>
          <w:szCs w:val="24"/>
          <w:lang w:val="en-GB"/>
        </w:rPr>
        <w:t>. Available at:</w:t>
      </w:r>
      <w:hyperlink r:id="rId133">
        <w:r w:rsidRPr="00F73CEE">
          <w:rPr>
            <w:sz w:val="24"/>
            <w:szCs w:val="24"/>
            <w:lang w:val="en-GB"/>
          </w:rPr>
          <w:t xml:space="preserve"> </w:t>
        </w:r>
      </w:hyperlink>
      <w:hyperlink r:id="rId134">
        <w:r w:rsidRPr="00F73CEE">
          <w:rPr>
            <w:color w:val="1155CC"/>
            <w:sz w:val="24"/>
            <w:szCs w:val="24"/>
            <w:u w:val="single"/>
            <w:lang w:val="en-GB"/>
          </w:rPr>
          <w:t>https://www.toyotafinance.co.in/finance-plans/flexi-finance/</w:t>
        </w:r>
      </w:hyperlink>
      <w:r w:rsidRPr="00F73CEE">
        <w:rPr>
          <w:sz w:val="24"/>
          <w:szCs w:val="24"/>
          <w:lang w:val="en-GB"/>
        </w:rPr>
        <w:t xml:space="preserve"> (Accessed: 05 August 2026).</w:t>
      </w:r>
    </w:p>
    <w:p w14:paraId="594DF775"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Toyotalebanon, (2025). Toyota: Quality, Durability &amp; </w:t>
      </w:r>
      <w:proofErr w:type="spellStart"/>
      <w:r w:rsidRPr="00F73CEE">
        <w:rPr>
          <w:sz w:val="24"/>
          <w:szCs w:val="24"/>
          <w:lang w:val="en-GB"/>
        </w:rPr>
        <w:t>Reliability</w:t>
      </w:r>
      <w:r w:rsidRPr="00F73CEE">
        <w:rPr>
          <w:i/>
          <w:iCs/>
          <w:sz w:val="24"/>
          <w:szCs w:val="24"/>
          <w:lang w:val="en-GB"/>
        </w:rPr>
        <w:t>Toyota</w:t>
      </w:r>
      <w:proofErr w:type="spellEnd"/>
      <w:r w:rsidRPr="00F73CEE">
        <w:rPr>
          <w:i/>
          <w:iCs/>
          <w:sz w:val="24"/>
          <w:szCs w:val="24"/>
          <w:lang w:val="en-GB"/>
        </w:rPr>
        <w:t>: Quality, Durability &amp; Reliability.</w:t>
      </w:r>
      <w:r w:rsidRPr="00F73CEE">
        <w:rPr>
          <w:sz w:val="24"/>
          <w:szCs w:val="24"/>
          <w:lang w:val="en-GB"/>
        </w:rPr>
        <w:t xml:space="preserve"> Available at:</w:t>
      </w:r>
      <w:hyperlink r:id="rId135">
        <w:r w:rsidRPr="00F73CEE">
          <w:rPr>
            <w:sz w:val="24"/>
            <w:szCs w:val="24"/>
            <w:lang w:val="en-GB"/>
          </w:rPr>
          <w:t xml:space="preserve"> </w:t>
        </w:r>
      </w:hyperlink>
      <w:hyperlink r:id="rId136">
        <w:r w:rsidRPr="00F73CEE">
          <w:rPr>
            <w:color w:val="1155CC"/>
            <w:sz w:val="24"/>
            <w:szCs w:val="24"/>
            <w:u w:val="single"/>
            <w:lang w:val="en-GB"/>
          </w:rPr>
          <w:t>https://toyotalebanon.com/WhyToyota/toyota-quality,-durability-and-reliability</w:t>
        </w:r>
      </w:hyperlink>
      <w:r w:rsidRPr="00F73CEE">
        <w:rPr>
          <w:sz w:val="24"/>
          <w:szCs w:val="24"/>
          <w:lang w:val="en-GB"/>
        </w:rPr>
        <w:t xml:space="preserve"> (Accessed: 05 August 2026).</w:t>
      </w:r>
    </w:p>
    <w:p w14:paraId="1F1B38C5" w14:textId="77777777" w:rsidR="003F28F7" w:rsidRPr="00F73CEE" w:rsidRDefault="003F28F7" w:rsidP="003F28F7">
      <w:pPr>
        <w:spacing w:after="160" w:line="360" w:lineRule="auto"/>
        <w:jc w:val="both"/>
        <w:rPr>
          <w:color w:val="1155CC"/>
          <w:sz w:val="24"/>
          <w:szCs w:val="24"/>
          <w:u w:val="single"/>
          <w:lang w:val="en-GB"/>
        </w:rPr>
      </w:pPr>
      <w:proofErr w:type="spellStart"/>
      <w:r w:rsidRPr="00F73CEE">
        <w:rPr>
          <w:sz w:val="24"/>
          <w:szCs w:val="24"/>
          <w:lang w:val="en-GB"/>
        </w:rPr>
        <w:t>Widyaningrum</w:t>
      </w:r>
      <w:proofErr w:type="spellEnd"/>
      <w:r w:rsidRPr="00F73CEE">
        <w:rPr>
          <w:sz w:val="24"/>
          <w:szCs w:val="24"/>
          <w:lang w:val="en-GB"/>
        </w:rPr>
        <w:t xml:space="preserve">, I.Z., </w:t>
      </w:r>
      <w:proofErr w:type="spellStart"/>
      <w:r w:rsidRPr="00F73CEE">
        <w:rPr>
          <w:sz w:val="24"/>
          <w:szCs w:val="24"/>
          <w:lang w:val="en-GB"/>
        </w:rPr>
        <w:t>Guslan</w:t>
      </w:r>
      <w:proofErr w:type="spellEnd"/>
      <w:r w:rsidRPr="00F73CEE">
        <w:rPr>
          <w:sz w:val="24"/>
          <w:szCs w:val="24"/>
          <w:lang w:val="en-GB"/>
        </w:rPr>
        <w:t xml:space="preserve">, D.A. and Batu, K.L., (2025). Consumer Perception and Purchase Intention: A Literature Review of Toyota Indonesia. </w:t>
      </w:r>
      <w:r w:rsidRPr="00F73CEE">
        <w:rPr>
          <w:i/>
          <w:iCs/>
          <w:sz w:val="24"/>
          <w:szCs w:val="24"/>
          <w:lang w:val="en-GB"/>
        </w:rPr>
        <w:t>Finance Innovations Digest</w:t>
      </w:r>
      <w:r w:rsidRPr="00F73CEE">
        <w:rPr>
          <w:sz w:val="24"/>
          <w:szCs w:val="24"/>
          <w:lang w:val="en-GB"/>
        </w:rPr>
        <w:t xml:space="preserve">, </w:t>
      </w:r>
      <w:r w:rsidRPr="00F73CEE">
        <w:rPr>
          <w:i/>
          <w:iCs/>
          <w:sz w:val="24"/>
          <w:szCs w:val="24"/>
          <w:lang w:val="en-GB"/>
        </w:rPr>
        <w:t>3</w:t>
      </w:r>
      <w:r w:rsidRPr="00F73CEE">
        <w:rPr>
          <w:sz w:val="24"/>
          <w:szCs w:val="24"/>
          <w:lang w:val="en-GB"/>
        </w:rPr>
        <w:t>(1), pp.24-37. Available at:</w:t>
      </w:r>
      <w:hyperlink r:id="rId137">
        <w:r w:rsidRPr="00F73CEE">
          <w:rPr>
            <w:sz w:val="24"/>
            <w:szCs w:val="24"/>
            <w:lang w:val="en-GB"/>
          </w:rPr>
          <w:t xml:space="preserve"> </w:t>
        </w:r>
      </w:hyperlink>
      <w:hyperlink r:id="rId138">
        <w:r w:rsidRPr="00F73CEE">
          <w:rPr>
            <w:color w:val="1155CC"/>
            <w:sz w:val="24"/>
            <w:szCs w:val="24"/>
            <w:u w:val="single"/>
            <w:lang w:val="en-GB"/>
          </w:rPr>
          <w:t>http://journal.lifescifi.com/index.php/fid/article/download/1312/959</w:t>
        </w:r>
      </w:hyperlink>
    </w:p>
    <w:p w14:paraId="3FC38012" w14:textId="77777777" w:rsidR="003F28F7" w:rsidRPr="00F73CEE" w:rsidRDefault="003F28F7" w:rsidP="003F28F7">
      <w:pPr>
        <w:spacing w:after="160" w:line="360" w:lineRule="auto"/>
        <w:jc w:val="both"/>
        <w:rPr>
          <w:sz w:val="24"/>
          <w:szCs w:val="24"/>
          <w:lang w:val="en-GB"/>
        </w:rPr>
      </w:pPr>
      <w:r w:rsidRPr="00F73CEE">
        <w:rPr>
          <w:sz w:val="24"/>
          <w:szCs w:val="24"/>
          <w:lang w:val="en-GB"/>
        </w:rPr>
        <w:t xml:space="preserve"> </w:t>
      </w:r>
    </w:p>
    <w:p w14:paraId="6B45A4B2" w14:textId="77777777" w:rsidR="00CB1172" w:rsidRPr="0027227E" w:rsidRDefault="00CB1172">
      <w:pPr>
        <w:spacing w:before="200" w:after="200" w:line="360" w:lineRule="auto"/>
        <w:jc w:val="both"/>
        <w:rPr>
          <w:sz w:val="24"/>
          <w:szCs w:val="24"/>
          <w:lang w:val="en-GB"/>
        </w:rPr>
      </w:pPr>
    </w:p>
    <w:p w14:paraId="69CC2CEF" w14:textId="77777777" w:rsidR="00CB1172" w:rsidRPr="0027227E" w:rsidRDefault="00CB1172">
      <w:pPr>
        <w:spacing w:before="200" w:after="200" w:line="360" w:lineRule="auto"/>
        <w:jc w:val="both"/>
        <w:rPr>
          <w:sz w:val="24"/>
          <w:szCs w:val="24"/>
          <w:lang w:val="en-GB"/>
        </w:rPr>
      </w:pPr>
    </w:p>
    <w:sectPr w:rsidR="00CB1172" w:rsidRPr="0027227E" w:rsidSect="0027227E">
      <w:footerReference w:type="default" r:id="rId1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ABBE5" w14:textId="77777777" w:rsidR="00A23AA2" w:rsidRDefault="00A23AA2" w:rsidP="0027227E">
      <w:pPr>
        <w:spacing w:line="240" w:lineRule="auto"/>
      </w:pPr>
      <w:r>
        <w:separator/>
      </w:r>
    </w:p>
  </w:endnote>
  <w:endnote w:type="continuationSeparator" w:id="0">
    <w:p w14:paraId="582FD502" w14:textId="77777777" w:rsidR="00A23AA2" w:rsidRDefault="00A23AA2" w:rsidP="002722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2C62EB9-7F68-4BC1-879D-86ECE94028C3}"/>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2" w:fontKey="{B033150D-956D-4A8C-BB68-3823C0CC59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4399635"/>
      <w:docPartObj>
        <w:docPartGallery w:val="Page Numbers (Bottom of Page)"/>
        <w:docPartUnique/>
      </w:docPartObj>
    </w:sdtPr>
    <w:sdtEndPr>
      <w:rPr>
        <w:noProof/>
        <w:sz w:val="20"/>
        <w:szCs w:val="20"/>
      </w:rPr>
    </w:sdtEndPr>
    <w:sdtContent>
      <w:p w14:paraId="63A4C537" w14:textId="7FCF2D9E" w:rsidR="0027227E" w:rsidRPr="0027227E" w:rsidRDefault="0027227E">
        <w:pPr>
          <w:pStyle w:val="Footer"/>
          <w:jc w:val="right"/>
          <w:rPr>
            <w:sz w:val="20"/>
            <w:szCs w:val="20"/>
          </w:rPr>
        </w:pPr>
        <w:r w:rsidRPr="0027227E">
          <w:rPr>
            <w:sz w:val="20"/>
            <w:szCs w:val="20"/>
          </w:rPr>
          <w:fldChar w:fldCharType="begin"/>
        </w:r>
        <w:r w:rsidRPr="0027227E">
          <w:rPr>
            <w:sz w:val="20"/>
            <w:szCs w:val="20"/>
          </w:rPr>
          <w:instrText xml:space="preserve"> PAGE   \* MERGEFORMAT </w:instrText>
        </w:r>
        <w:r w:rsidRPr="0027227E">
          <w:rPr>
            <w:sz w:val="20"/>
            <w:szCs w:val="20"/>
          </w:rPr>
          <w:fldChar w:fldCharType="separate"/>
        </w:r>
        <w:r w:rsidRPr="0027227E">
          <w:rPr>
            <w:noProof/>
            <w:sz w:val="20"/>
            <w:szCs w:val="20"/>
          </w:rPr>
          <w:t>2</w:t>
        </w:r>
        <w:r w:rsidRPr="0027227E">
          <w:rPr>
            <w:noProof/>
            <w:sz w:val="20"/>
            <w:szCs w:val="20"/>
          </w:rPr>
          <w:fldChar w:fldCharType="end"/>
        </w:r>
      </w:p>
    </w:sdtContent>
  </w:sdt>
  <w:p w14:paraId="6341B0F7" w14:textId="77777777" w:rsidR="0027227E" w:rsidRDefault="002722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C344F" w14:textId="77777777" w:rsidR="00A23AA2" w:rsidRDefault="00A23AA2" w:rsidP="0027227E">
      <w:pPr>
        <w:spacing w:line="240" w:lineRule="auto"/>
      </w:pPr>
      <w:r>
        <w:separator/>
      </w:r>
    </w:p>
  </w:footnote>
  <w:footnote w:type="continuationSeparator" w:id="0">
    <w:p w14:paraId="7456A51D" w14:textId="77777777" w:rsidR="00A23AA2" w:rsidRDefault="00A23AA2" w:rsidP="002722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7FEE3B"/>
    <w:multiLevelType w:val="hybridMultilevel"/>
    <w:tmpl w:val="00000000"/>
    <w:lvl w:ilvl="0" w:tplc="9D4CD47E">
      <w:start w:val="1"/>
      <w:numFmt w:val="bullet"/>
      <w:lvlText w:val="●"/>
      <w:lvlJc w:val="left"/>
      <w:pPr>
        <w:ind w:left="720" w:hanging="360"/>
      </w:pPr>
      <w:rPr>
        <w:u w:val="none"/>
      </w:rPr>
    </w:lvl>
    <w:lvl w:ilvl="1" w:tplc="A1FCD114">
      <w:start w:val="1"/>
      <w:numFmt w:val="bullet"/>
      <w:lvlText w:val="○"/>
      <w:lvlJc w:val="left"/>
      <w:pPr>
        <w:ind w:left="1440" w:hanging="360"/>
      </w:pPr>
      <w:rPr>
        <w:u w:val="none"/>
      </w:rPr>
    </w:lvl>
    <w:lvl w:ilvl="2" w:tplc="66DED960">
      <w:start w:val="1"/>
      <w:numFmt w:val="bullet"/>
      <w:lvlText w:val="■"/>
      <w:lvlJc w:val="left"/>
      <w:pPr>
        <w:ind w:left="2160" w:hanging="360"/>
      </w:pPr>
      <w:rPr>
        <w:u w:val="none"/>
      </w:rPr>
    </w:lvl>
    <w:lvl w:ilvl="3" w:tplc="F5EC00DA">
      <w:start w:val="1"/>
      <w:numFmt w:val="bullet"/>
      <w:lvlText w:val="●"/>
      <w:lvlJc w:val="left"/>
      <w:pPr>
        <w:ind w:left="2880" w:hanging="360"/>
      </w:pPr>
      <w:rPr>
        <w:u w:val="none"/>
      </w:rPr>
    </w:lvl>
    <w:lvl w:ilvl="4" w:tplc="FF1EAAEE">
      <w:start w:val="1"/>
      <w:numFmt w:val="bullet"/>
      <w:lvlText w:val="○"/>
      <w:lvlJc w:val="left"/>
      <w:pPr>
        <w:ind w:left="3600" w:hanging="360"/>
      </w:pPr>
      <w:rPr>
        <w:u w:val="none"/>
      </w:rPr>
    </w:lvl>
    <w:lvl w:ilvl="5" w:tplc="E58A8EE6">
      <w:start w:val="1"/>
      <w:numFmt w:val="bullet"/>
      <w:lvlText w:val="■"/>
      <w:lvlJc w:val="left"/>
      <w:pPr>
        <w:ind w:left="4320" w:hanging="360"/>
      </w:pPr>
      <w:rPr>
        <w:u w:val="none"/>
      </w:rPr>
    </w:lvl>
    <w:lvl w:ilvl="6" w:tplc="76E81E2E">
      <w:start w:val="1"/>
      <w:numFmt w:val="bullet"/>
      <w:lvlText w:val="●"/>
      <w:lvlJc w:val="left"/>
      <w:pPr>
        <w:ind w:left="5040" w:hanging="360"/>
      </w:pPr>
      <w:rPr>
        <w:u w:val="none"/>
      </w:rPr>
    </w:lvl>
    <w:lvl w:ilvl="7" w:tplc="4E8E1C52">
      <w:start w:val="1"/>
      <w:numFmt w:val="bullet"/>
      <w:lvlText w:val="○"/>
      <w:lvlJc w:val="left"/>
      <w:pPr>
        <w:ind w:left="5760" w:hanging="360"/>
      </w:pPr>
      <w:rPr>
        <w:u w:val="none"/>
      </w:rPr>
    </w:lvl>
    <w:lvl w:ilvl="8" w:tplc="ED0ED6EA">
      <w:start w:val="1"/>
      <w:numFmt w:val="bullet"/>
      <w:lvlText w:val="■"/>
      <w:lvlJc w:val="left"/>
      <w:pPr>
        <w:ind w:left="6480" w:hanging="360"/>
      </w:pPr>
      <w:rPr>
        <w:u w:val="none"/>
      </w:rPr>
    </w:lvl>
  </w:abstractNum>
  <w:num w:numId="1" w16cid:durableId="2129199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AxMDW2NDYxMTM2MbRQ0lEKTi0uzszPAykwrAUAjMwNDywAAAA="/>
  </w:docVars>
  <w:rsids>
    <w:rsidRoot w:val="00CB1172"/>
    <w:rsid w:val="000043C8"/>
    <w:rsid w:val="0012354F"/>
    <w:rsid w:val="0027227E"/>
    <w:rsid w:val="00330FA9"/>
    <w:rsid w:val="003F28F7"/>
    <w:rsid w:val="00647470"/>
    <w:rsid w:val="00687CCE"/>
    <w:rsid w:val="006B14A1"/>
    <w:rsid w:val="0084719A"/>
    <w:rsid w:val="00865C44"/>
    <w:rsid w:val="0098564A"/>
    <w:rsid w:val="009F1C04"/>
    <w:rsid w:val="00A23AA2"/>
    <w:rsid w:val="00CB1172"/>
    <w:rsid w:val="00E164F5"/>
    <w:rsid w:val="00E901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31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jc w:val="both"/>
      <w:outlineLvl w:val="0"/>
    </w:pPr>
    <w:rPr>
      <w:b/>
      <w:bCs/>
      <w:sz w:val="28"/>
      <w:szCs w:val="28"/>
    </w:rPr>
  </w:style>
  <w:style w:type="paragraph" w:styleId="Heading2">
    <w:name w:val="heading 2"/>
    <w:basedOn w:val="Normal"/>
    <w:next w:val="Normal"/>
    <w:pPr>
      <w:keepNext/>
      <w:keepLines/>
      <w:spacing w:before="200" w:after="200" w:line="360" w:lineRule="auto"/>
      <w:jc w:val="both"/>
      <w:outlineLvl w:val="1"/>
    </w:pPr>
    <w:rPr>
      <w:b/>
      <w:bCs/>
      <w:sz w:val="24"/>
      <w:szCs w:val="24"/>
    </w:rPr>
  </w:style>
  <w:style w:type="paragraph" w:styleId="Heading3">
    <w:name w:val="heading 3"/>
    <w:basedOn w:val="Normal"/>
    <w:next w:val="Normal"/>
    <w:pPr>
      <w:keepNext/>
      <w:keepLines/>
      <w:spacing w:before="200" w:after="200" w:line="360" w:lineRule="auto"/>
      <w:jc w:val="both"/>
      <w:outlineLvl w:val="2"/>
    </w:pPr>
    <w:rPr>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27227E"/>
    <w:pPr>
      <w:tabs>
        <w:tab w:val="center" w:pos="4513"/>
        <w:tab w:val="right" w:pos="9026"/>
      </w:tabs>
      <w:spacing w:line="240" w:lineRule="auto"/>
    </w:pPr>
  </w:style>
  <w:style w:type="character" w:customStyle="1" w:styleId="HeaderChar">
    <w:name w:val="Header Char"/>
    <w:basedOn w:val="DefaultParagraphFont"/>
    <w:link w:val="Header"/>
    <w:uiPriority w:val="99"/>
    <w:rsid w:val="0027227E"/>
  </w:style>
  <w:style w:type="paragraph" w:styleId="Footer">
    <w:name w:val="footer"/>
    <w:basedOn w:val="Normal"/>
    <w:link w:val="FooterChar"/>
    <w:uiPriority w:val="99"/>
    <w:unhideWhenUsed/>
    <w:rsid w:val="0027227E"/>
    <w:pPr>
      <w:tabs>
        <w:tab w:val="center" w:pos="4513"/>
        <w:tab w:val="right" w:pos="9026"/>
      </w:tabs>
      <w:spacing w:line="240" w:lineRule="auto"/>
    </w:pPr>
  </w:style>
  <w:style w:type="character" w:customStyle="1" w:styleId="FooterChar">
    <w:name w:val="Footer Char"/>
    <w:basedOn w:val="DefaultParagraphFont"/>
    <w:link w:val="Footer"/>
    <w:uiPriority w:val="99"/>
    <w:rsid w:val="0027227E"/>
  </w:style>
  <w:style w:type="paragraph" w:styleId="TOCHeading">
    <w:name w:val="TOC Heading"/>
    <w:basedOn w:val="Heading1"/>
    <w:next w:val="Normal"/>
    <w:uiPriority w:val="39"/>
    <w:unhideWhenUsed/>
    <w:qFormat/>
    <w:rsid w:val="0027227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7227E"/>
    <w:pPr>
      <w:spacing w:after="100"/>
    </w:pPr>
  </w:style>
  <w:style w:type="paragraph" w:styleId="TOC2">
    <w:name w:val="toc 2"/>
    <w:basedOn w:val="Normal"/>
    <w:next w:val="Normal"/>
    <w:autoRedefine/>
    <w:uiPriority w:val="39"/>
    <w:unhideWhenUsed/>
    <w:rsid w:val="0027227E"/>
    <w:pPr>
      <w:spacing w:after="100"/>
      <w:ind w:left="220"/>
    </w:pPr>
  </w:style>
  <w:style w:type="paragraph" w:styleId="TOC3">
    <w:name w:val="toc 3"/>
    <w:basedOn w:val="Normal"/>
    <w:next w:val="Normal"/>
    <w:autoRedefine/>
    <w:uiPriority w:val="39"/>
    <w:unhideWhenUsed/>
    <w:rsid w:val="0027227E"/>
    <w:pPr>
      <w:spacing w:after="100"/>
      <w:ind w:left="440"/>
    </w:pPr>
  </w:style>
  <w:style w:type="character" w:styleId="Hyperlink">
    <w:name w:val="Hyperlink"/>
    <w:basedOn w:val="DefaultParagraphFont"/>
    <w:uiPriority w:val="99"/>
    <w:unhideWhenUsed/>
    <w:rsid w:val="002722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90/su17072795" TargetMode="External" /><Relationship Id="rId117" Type="http://schemas.openxmlformats.org/officeDocument/2006/relationships/hyperlink" Target="https://doi.org/10.1080/14737167.2023.2223984" TargetMode="External" /><Relationship Id="rId21" Type="http://schemas.openxmlformats.org/officeDocument/2006/relationships/hyperlink" Target="https://doi.org/10.1016/j.jik.2024.100580" TargetMode="External" /><Relationship Id="rId42" Type="http://schemas.openxmlformats.org/officeDocument/2006/relationships/hyperlink" Target="https://doi.org/10.1007/s10098-025-03281-y" TargetMode="External" /><Relationship Id="rId47" Type="http://schemas.openxmlformats.org/officeDocument/2006/relationships/hyperlink" Target="https://doi.org/10.1007/978-3-031-27512-8_3" TargetMode="External" /><Relationship Id="rId63" Type="http://schemas.openxmlformats.org/officeDocument/2006/relationships/hyperlink" Target="https://doi.org/10.1016/j.rser.2022.112416" TargetMode="External" /><Relationship Id="rId68" Type="http://schemas.openxmlformats.org/officeDocument/2006/relationships/hyperlink" Target="https://www.imarcgroup.com/insight/key-challenges-and-opportunities-japan-hybrid-vehicles-industry" TargetMode="External" /><Relationship Id="rId84" Type="http://schemas.openxmlformats.org/officeDocument/2006/relationships/hyperlink" Target="https://urn.fi/URN:NBN:fi:amk-2025052113897" TargetMode="External" /><Relationship Id="rId89" Type="http://schemas.openxmlformats.org/officeDocument/2006/relationships/hyperlink" Target="https://doi.org/10.3390/en19112557" TargetMode="External" /><Relationship Id="rId112" Type="http://schemas.openxmlformats.org/officeDocument/2006/relationships/hyperlink" Target="https://books.google.com/books?hl=en&amp;lr=&amp;id=hKCeEQAAQBAJ&amp;oi=fnd&amp;pg=PA1&amp;dq=Hofstede%27s+Cultural+Dimensions,+STP,+and+the+7Ps+marketing+mix&amp;ots=lg9x69v4G_&amp;sig=MN86c_dqEeD_qlUKjrJxchtUpvs" TargetMode="External" /><Relationship Id="rId133" Type="http://schemas.openxmlformats.org/officeDocument/2006/relationships/hyperlink" Target="https://www.toyotafinance.co.in/finance-plans/flexi-finance/" TargetMode="External" /><Relationship Id="rId138" Type="http://schemas.openxmlformats.org/officeDocument/2006/relationships/hyperlink" Target="http://journal.lifescifi.com/index.php/fid/article/download/1312/959" TargetMode="External" /><Relationship Id="rId16" Type="http://schemas.openxmlformats.org/officeDocument/2006/relationships/hyperlink" Target="https://doi.org/10.1108/IJQRM-03-2021-0084" TargetMode="External" /><Relationship Id="rId107" Type="http://schemas.openxmlformats.org/officeDocument/2006/relationships/hyperlink" Target="https://www.pib.gov.in/FactsheetDetails.aspx?Id=149107&amp;reg=48&amp;lang=2" TargetMode="External" /><Relationship Id="rId11" Type="http://schemas.openxmlformats.org/officeDocument/2006/relationships/image" Target="media/image4.png" /><Relationship Id="rId32" Type="http://schemas.openxmlformats.org/officeDocument/2006/relationships/hyperlink" Target="https://www.emerald.com/bij/article/33/7/2196/1252399" TargetMode="External" /><Relationship Id="rId37" Type="http://schemas.openxmlformats.org/officeDocument/2006/relationships/hyperlink" Target="https://www.statista.com/chart/15483/the-main-passenger-car-features-required-by-consumers-in-japan/?srsltid=AfmBOorx78veS0a9lfDvjl4qpfCe6fD5g33ZgXReO84_lrkz1YywPRlI" TargetMode="External" /><Relationship Id="rId53" Type="http://schemas.openxmlformats.org/officeDocument/2006/relationships/hyperlink" Target="https://doi.org/10.55942/pssj.v6i2.1588" TargetMode="External" /><Relationship Id="rId58" Type="http://schemas.openxmlformats.org/officeDocument/2006/relationships/hyperlink" Target="https://doi.org/10.1016/j.jeoa.2016.02.001" TargetMode="External" /><Relationship Id="rId74" Type="http://schemas.openxmlformats.org/officeDocument/2006/relationships/hyperlink" Target="https://www.imf.org/en/news/articles/2025/02/26/pr25045-india-imf-executive-board-concludes-2024-article-iv-consultation-with-india" TargetMode="External" /><Relationship Id="rId79" Type="http://schemas.openxmlformats.org/officeDocument/2006/relationships/hyperlink" Target="https://www.researchgate.net/profile/Baye-Boucar-Diouf/publication/400718596_The_Electric_Vehicle_Transition_in_Emerging_Economies/links/698e01f97247bc6473dffbaa/The-Electric-Vehicle-Transition-in-Emerging-Economies.pdf" TargetMode="External" /><Relationship Id="rId102" Type="http://schemas.openxmlformats.org/officeDocument/2006/relationships/hyperlink" Target="https://doi.org/10.1007/s41403-025-00524-8" TargetMode="External" /><Relationship Id="rId123" Type="http://schemas.openxmlformats.org/officeDocument/2006/relationships/hyperlink" Target="https://www.toyota-industries.com/investors/item/2025_annual_financial_report_E.pdf" TargetMode="External" /><Relationship Id="rId128" Type="http://schemas.openxmlformats.org/officeDocument/2006/relationships/hyperlink" Target="https://global.toyota/pages/global_toyota/sustainability/esg/environmental/climate_public_policies_2025_en.pdf" TargetMode="External" /><Relationship Id="rId5" Type="http://schemas.openxmlformats.org/officeDocument/2006/relationships/webSettings" Target="webSettings.xml" /><Relationship Id="rId90" Type="http://schemas.openxmlformats.org/officeDocument/2006/relationships/hyperlink" Target="https://doi.org/10.31674/ijmhs.2023.v07i02.006" TargetMode="External" /><Relationship Id="rId95" Type="http://schemas.openxmlformats.org/officeDocument/2006/relationships/hyperlink" Target="https://dx.doi.org/10.2139/ssrn.5167932" TargetMode="External" /><Relationship Id="rId22" Type="http://schemas.openxmlformats.org/officeDocument/2006/relationships/hyperlink" Target="https://www.scienceopen.com/document_file/c832436c-0ba1-4cb7-b790-47171294b263/ScienceOpenPreprint/1..%20MANAGEMENT_IN_JAPAN.pdf" TargetMode="External" /><Relationship Id="rId27" Type="http://schemas.openxmlformats.org/officeDocument/2006/relationships/hyperlink" Target="https://doi.org/10.3390/su17072795" TargetMode="External" /><Relationship Id="rId43" Type="http://schemas.openxmlformats.org/officeDocument/2006/relationships/hyperlink" Target="https://doi.org/10.3390/recycling11070118" TargetMode="External" /><Relationship Id="rId48" Type="http://schemas.openxmlformats.org/officeDocument/2006/relationships/hyperlink" Target="https://doi.org/10.1007/978-3-031-27512-8_3" TargetMode="External" /><Relationship Id="rId64" Type="http://schemas.openxmlformats.org/officeDocument/2006/relationships/hyperlink" Target="https://www.tandfonline.com/doi/pdf/10.1080/23311975.2025.2534528" TargetMode="External" /><Relationship Id="rId69" Type="http://schemas.openxmlformats.org/officeDocument/2006/relationships/hyperlink" Target="https://www.imarcgroup.com/insight/key-challenges-and-opportunities-japan-hybrid-vehicles-industry" TargetMode="External" /><Relationship Id="rId113" Type="http://schemas.openxmlformats.org/officeDocument/2006/relationships/hyperlink" Target="https://doi.org/10.33752/bima.v6i2.5939" TargetMode="External" /><Relationship Id="rId118" Type="http://schemas.openxmlformats.org/officeDocument/2006/relationships/hyperlink" Target="https://doi.org/10.1080/14737167.2023.2223984" TargetMode="External" /><Relationship Id="rId134" Type="http://schemas.openxmlformats.org/officeDocument/2006/relationships/hyperlink" Target="https://www.toyotafinance.co.in/finance-plans/flexi-finance/" TargetMode="External" /><Relationship Id="rId139" Type="http://schemas.openxmlformats.org/officeDocument/2006/relationships/footer" Target="footer1.xml" /><Relationship Id="rId8" Type="http://schemas.openxmlformats.org/officeDocument/2006/relationships/image" Target="media/image1.jpeg" /><Relationship Id="rId51" Type="http://schemas.openxmlformats.org/officeDocument/2006/relationships/hyperlink" Target="https://econofact.org/indias-path-to-becoming-one-of-the-worlds-largest-economies" TargetMode="External" /><Relationship Id="rId72" Type="http://schemas.openxmlformats.org/officeDocument/2006/relationships/hyperlink" Target="https://theicct.org/wp-content/uploads/2021/06/India-BS-VI-Policy-Update-vF.pdf" TargetMode="External" /><Relationship Id="rId80" Type="http://schemas.openxmlformats.org/officeDocument/2006/relationships/hyperlink" Target="https://doi.org/10.1002/wene.459" TargetMode="External" /><Relationship Id="rId85" Type="http://schemas.openxmlformats.org/officeDocument/2006/relationships/hyperlink" Target="https://urn.fi/URN:NBN:fi:amk-2025052113897" TargetMode="External" /><Relationship Id="rId93" Type="http://schemas.openxmlformats.org/officeDocument/2006/relationships/hyperlink" Target="https://doi.org/10.37075/EA.2026.1.12" TargetMode="External" /><Relationship Id="rId98" Type="http://schemas.openxmlformats.org/officeDocument/2006/relationships/hyperlink" Target="https://doi.org/10.1002/est2.562" TargetMode="External" /><Relationship Id="rId121" Type="http://schemas.openxmlformats.org/officeDocument/2006/relationships/hyperlink" Target="https://global.toyota/pages/global_toyota/ir/financial-results/2025_4q_presentation_2_en.pdf"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hyperlink" Target="https://doi.org/10.1108/IJQRM-03-2021-0084" TargetMode="External" /><Relationship Id="rId25" Type="http://schemas.openxmlformats.org/officeDocument/2006/relationships/hyperlink" Target="https://doi.org/10.3390/wevj16030142" TargetMode="External" /><Relationship Id="rId33" Type="http://schemas.openxmlformats.org/officeDocument/2006/relationships/hyperlink" Target="https://www.emerald.com/bij/article/33/7/2196/1252399" TargetMode="External" /><Relationship Id="rId38" Type="http://schemas.openxmlformats.org/officeDocument/2006/relationships/hyperlink" Target="https://doi.org/10.30574/wjarr.2024.22.2.1470" TargetMode="External" /><Relationship Id="rId46" Type="http://schemas.openxmlformats.org/officeDocument/2006/relationships/hyperlink" Target="https://doi.org/10.1016/j.joitmc.2023.100039" TargetMode="External" /><Relationship Id="rId59" Type="http://schemas.openxmlformats.org/officeDocument/2006/relationships/hyperlink" Target="https://doi.org/10.1016/j.jeoa.2016.02.001" TargetMode="External" /><Relationship Id="rId67" Type="http://schemas.openxmlformats.org/officeDocument/2006/relationships/hyperlink" Target="https://www.ibef.org/industry/india-automobiles" TargetMode="External" /><Relationship Id="rId103" Type="http://schemas.openxmlformats.org/officeDocument/2006/relationships/hyperlink" Target="https://doi.org/10.1007/s41403-025-00524-8" TargetMode="External" /><Relationship Id="rId108" Type="http://schemas.openxmlformats.org/officeDocument/2006/relationships/hyperlink" Target="https://www.pib.gov.in/FactsheetDetails.aspx?Id=149107&amp;reg=48&amp;lang=2" TargetMode="External" /><Relationship Id="rId116" Type="http://schemas.openxmlformats.org/officeDocument/2006/relationships/hyperlink" Target="https://www.statista.com/statistics/263578/gross-domestic-product-gdp-of-japan/?srsltid=AfmBOoq08yiEVMtJTZzYmSRQvfdx7ayvQlNgaqkPs3bvGiC9VwtVmfty" TargetMode="External" /><Relationship Id="rId124" Type="http://schemas.openxmlformats.org/officeDocument/2006/relationships/hyperlink" Target="https://www.toyota-industries.com/investors/item/2025_annual_financial_report_E.pdf" TargetMode="External" /><Relationship Id="rId129" Type="http://schemas.openxmlformats.org/officeDocument/2006/relationships/hyperlink" Target="https://www.toyota-global.com/company/history_of_toyota/75years/text/leaping_forward_as_a_global_corporation/chapter4/section3/item1_d.html" TargetMode="External" /><Relationship Id="rId137" Type="http://schemas.openxmlformats.org/officeDocument/2006/relationships/hyperlink" Target="http://journal.lifescifi.com/index.php/fid/article/download/1312/959" TargetMode="External" /><Relationship Id="rId20" Type="http://schemas.openxmlformats.org/officeDocument/2006/relationships/hyperlink" Target="https://doi.org/10.1016/j.jik.2024.100580" TargetMode="External" /><Relationship Id="rId41" Type="http://schemas.openxmlformats.org/officeDocument/2006/relationships/hyperlink" Target="https://doi.org/10.1007/s10098-025-03281-y" TargetMode="External" /><Relationship Id="rId54" Type="http://schemas.openxmlformats.org/officeDocument/2006/relationships/hyperlink" Target="https://doi.org/10.1002/tie.22369" TargetMode="External" /><Relationship Id="rId62" Type="http://schemas.openxmlformats.org/officeDocument/2006/relationships/hyperlink" Target="https://doi.org/10.1016/j.rser.2022.112416" TargetMode="External" /><Relationship Id="rId70" Type="http://schemas.openxmlformats.org/officeDocument/2006/relationships/hyperlink" Target="https://www.imarcgroup.com/india-connected-vehicles-market" TargetMode="External" /><Relationship Id="rId75" Type="http://schemas.openxmlformats.org/officeDocument/2006/relationships/hyperlink" Target="https://www.imf.org/en/news/articles/2025/02/26/pr25045-india-imf-executive-board-concludes-2024-article-iv-consultation-with-india" TargetMode="External" /><Relationship Id="rId83" Type="http://schemas.openxmlformats.org/officeDocument/2006/relationships/hyperlink" Target="https://doi.org/10.1007/978-981-96-6732-1_21" TargetMode="External" /><Relationship Id="rId88" Type="http://schemas.openxmlformats.org/officeDocument/2006/relationships/hyperlink" Target="https://doi.org/10.3390/en19112557" TargetMode="External" /><Relationship Id="rId91" Type="http://schemas.openxmlformats.org/officeDocument/2006/relationships/hyperlink" Target="https://doi.org/10.31674/ijmhs.2023.v07i02.006" TargetMode="External" /><Relationship Id="rId96" Type="http://schemas.openxmlformats.org/officeDocument/2006/relationships/hyperlink" Target="https://doi.org/10.1504/IJSOM.2024.138591" TargetMode="External" /><Relationship Id="rId111" Type="http://schemas.openxmlformats.org/officeDocument/2006/relationships/hyperlink" Target="https://books.google.com/books?hl=en&amp;lr=&amp;id=hKCeEQAAQBAJ&amp;oi=fnd&amp;pg=PA1&amp;dq=Hofstede%27s+Cultural+Dimensions,+STP,+and+the+7Ps+marketing+mix&amp;ots=lg9x69v4G_&amp;sig=MN86c_dqEeD_qlUKjrJxchtUpvs" TargetMode="External" /><Relationship Id="rId132" Type="http://schemas.openxmlformats.org/officeDocument/2006/relationships/hyperlink" Target="https://www.toyotabharat.com/news/2022/toyotas-bigger-efforts-to-further-strengthen-and-contribute-to-make-in-india-and-skill-india-mission.html" TargetMode="External" /><Relationship Id="rId14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hyperlink" Target="https://www.scienceopen.com/document_file/c832436c-0ba1-4cb7-b790-47171294b263/ScienceOpenPreprint/1..%20MANAGEMENT_IN_JAPAN.pdf" TargetMode="External" /><Relationship Id="rId28" Type="http://schemas.openxmlformats.org/officeDocument/2006/relationships/hyperlink" Target="https://doi.org/10.3390/su17072795" TargetMode="External" /><Relationship Id="rId36" Type="http://schemas.openxmlformats.org/officeDocument/2006/relationships/hyperlink" Target="https://www.statista.com/chart/15483/the-main-passenger-car-features-required-by-consumers-in-japan/?srsltid=AfmBOorx78veS0a9lfDvjl4qpfCe6fD5g33ZgXReO84_lrkz1YywPRlI" TargetMode="External" /><Relationship Id="rId49" Type="http://schemas.openxmlformats.org/officeDocument/2006/relationships/hyperlink" Target="https://econofact.org/author/harald-finger" TargetMode="External" /><Relationship Id="rId57" Type="http://schemas.openxmlformats.org/officeDocument/2006/relationships/hyperlink" Target="https://doi.org/10.3390/su151511501" TargetMode="External" /><Relationship Id="rId106" Type="http://schemas.openxmlformats.org/officeDocument/2006/relationships/hyperlink" Target="https://doi.org/10.1186/s13731-025-00497-6" TargetMode="External" /><Relationship Id="rId114" Type="http://schemas.openxmlformats.org/officeDocument/2006/relationships/hyperlink" Target="https://doi.org/10.33752/bima.v6i2.5939" TargetMode="External" /><Relationship Id="rId119" Type="http://schemas.openxmlformats.org/officeDocument/2006/relationships/hyperlink" Target="https://www.theculturefactor.com/country-comparison-tool?countries=india%2Cjapan" TargetMode="External" /><Relationship Id="rId127" Type="http://schemas.openxmlformats.org/officeDocument/2006/relationships/hyperlink" Target="https://global.toyota/pages/global_toyota/sustainability/esg/environmental/climate_public_policies_2025_en.pdf" TargetMode="External" /><Relationship Id="rId10" Type="http://schemas.openxmlformats.org/officeDocument/2006/relationships/image" Target="media/image3.png" /><Relationship Id="rId31" Type="http://schemas.openxmlformats.org/officeDocument/2006/relationships/hyperlink" Target="https://www.carwale.com/compare-cars/toyota-hyryder-vs-toyota-innova-hycross-vs-toyota-fortuner/?c1=20311&amp;c2=11305&amp;c3=7717" TargetMode="External" /><Relationship Id="rId44" Type="http://schemas.openxmlformats.org/officeDocument/2006/relationships/hyperlink" Target="https://doi.org/10.3390/recycling11070118" TargetMode="External" /><Relationship Id="rId52" Type="http://schemas.openxmlformats.org/officeDocument/2006/relationships/hyperlink" Target="https://econofact.org/indias-path-to-becoming-one-of-the-worlds-largest-economies" TargetMode="External" /><Relationship Id="rId60" Type="http://schemas.openxmlformats.org/officeDocument/2006/relationships/hyperlink" Target="https://doi.org/10.1051/bioconf/202413008001" TargetMode="External" /><Relationship Id="rId65" Type="http://schemas.openxmlformats.org/officeDocument/2006/relationships/hyperlink" Target="https://www.tandfonline.com/doi/pdf/10.1080/23311975.2025.2534528" TargetMode="External" /><Relationship Id="rId73" Type="http://schemas.openxmlformats.org/officeDocument/2006/relationships/hyperlink" Target="https://theicct.org/wp-content/uploads/2021/06/India-BS-VI-Policy-Update-vF.pdf" TargetMode="External" /><Relationship Id="rId78" Type="http://schemas.openxmlformats.org/officeDocument/2006/relationships/hyperlink" Target="https://www.researchgate.net/profile/Baye-Boucar-Diouf/publication/400718596_The_Electric_Vehicle_Transition_in_Emerging_Economies/links/698e01f97247bc6473dffbaa/The-Electric-Vehicle-Transition-in-Emerging-Economies.pdf" TargetMode="External" /><Relationship Id="rId81" Type="http://schemas.openxmlformats.org/officeDocument/2006/relationships/hyperlink" Target="https://doi.org/10.1002/wene.459" TargetMode="External" /><Relationship Id="rId86" Type="http://schemas.openxmlformats.org/officeDocument/2006/relationships/hyperlink" Target="https://doi.org/10.1007/978-981-99-1517-0_20" TargetMode="External" /><Relationship Id="rId94" Type="http://schemas.openxmlformats.org/officeDocument/2006/relationships/hyperlink" Target="https://dx.doi.org/10.2139/ssrn.5167932" TargetMode="External" /><Relationship Id="rId99" Type="http://schemas.openxmlformats.org/officeDocument/2006/relationships/hyperlink" Target="https://doi.org/10.1002/est2.562" TargetMode="External" /><Relationship Id="rId101" Type="http://schemas.openxmlformats.org/officeDocument/2006/relationships/hyperlink" Target="https://onlinelibrary.wiley.com/doi/abs/10.1002/est2.562" TargetMode="External" /><Relationship Id="rId122" Type="http://schemas.openxmlformats.org/officeDocument/2006/relationships/hyperlink" Target="https://global.toyota/pages/global_toyota/ir/financial-results/2025_4q_presentation_2_en.pdf" TargetMode="External" /><Relationship Id="rId130" Type="http://schemas.openxmlformats.org/officeDocument/2006/relationships/hyperlink" Target="https://www.toyota-global.com/company/history_of_toyota/75years/text/leaping_forward_as_a_global_corporation/chapter4/section3/item1_d.html" TargetMode="External" /><Relationship Id="rId135" Type="http://schemas.openxmlformats.org/officeDocument/2006/relationships/hyperlink" Target="https://toyotalebanon.com/WhyToyota/toyota-quality,-durability-and-reliability" TargetMode="External"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hyperlink" Target="https://doi.org/10.1108/IJPPM-02-2025-0149" TargetMode="External" /><Relationship Id="rId39" Type="http://schemas.openxmlformats.org/officeDocument/2006/relationships/hyperlink" Target="https://doi.org/10.30574/wjarr.2024.22.2.1470" TargetMode="External" /><Relationship Id="rId109" Type="http://schemas.openxmlformats.org/officeDocument/2006/relationships/hyperlink" Target="https://www.pib.gov.in/PressReleasePage.aspx?PRID=2290691&amp;reg=48&amp;lang=2" TargetMode="External" /><Relationship Id="rId34" Type="http://schemas.openxmlformats.org/officeDocument/2006/relationships/hyperlink" Target="https://www.meti.go.jp/english/policy/energy_environment/global_warming/ggs2050/index.html" TargetMode="External" /><Relationship Id="rId50" Type="http://schemas.openxmlformats.org/officeDocument/2006/relationships/hyperlink" Target="https://econofact.org/author/nujin-suphaphiphat" TargetMode="External" /><Relationship Id="rId55" Type="http://schemas.openxmlformats.org/officeDocument/2006/relationships/hyperlink" Target="https://doi.org/10.1002/tie.22369" TargetMode="External" /><Relationship Id="rId76" Type="http://schemas.openxmlformats.org/officeDocument/2006/relationships/hyperlink" Target="https://doi.org/10.1007/s10209-022-00930-7" TargetMode="External" /><Relationship Id="rId97" Type="http://schemas.openxmlformats.org/officeDocument/2006/relationships/hyperlink" Target="https://doi.org/10.1504/IJSOM.2024.138591" TargetMode="External" /><Relationship Id="rId104" Type="http://schemas.openxmlformats.org/officeDocument/2006/relationships/hyperlink" Target="https://www.city-yuwa.com/wp/wp-content/uploads/2025/12/Autonomous-Vehicles-An-Overview-of-the-Current-Situation-in-Japan.pdf" TargetMode="External" /><Relationship Id="rId120" Type="http://schemas.openxmlformats.org/officeDocument/2006/relationships/hyperlink" Target="https://www.theculturefactor.com/country-comparison-tool?countries=india%2Cjapan" TargetMode="External" /><Relationship Id="rId125" Type="http://schemas.openxmlformats.org/officeDocument/2006/relationships/hyperlink" Target="https://global.toyota/en/company/profile/overview/" TargetMode="External" /><Relationship Id="rId141" Type="http://schemas.openxmlformats.org/officeDocument/2006/relationships/theme" Target="theme/theme1.xml" /><Relationship Id="rId7" Type="http://schemas.openxmlformats.org/officeDocument/2006/relationships/endnotes" Target="endnotes.xml" /><Relationship Id="rId71" Type="http://schemas.openxmlformats.org/officeDocument/2006/relationships/hyperlink" Target="https://www.imarcgroup.com/india-connected-vehicles-market" TargetMode="External" /><Relationship Id="rId92" Type="http://schemas.openxmlformats.org/officeDocument/2006/relationships/hyperlink" Target="https://doi.org/10.37075/EA.2026.1.12" TargetMode="External" /><Relationship Id="rId2" Type="http://schemas.openxmlformats.org/officeDocument/2006/relationships/numbering" Target="numbering.xml" /><Relationship Id="rId29" Type="http://schemas.openxmlformats.org/officeDocument/2006/relationships/hyperlink" Target="https://doi.org/10.3390/su17072795" TargetMode="External" /><Relationship Id="rId24" Type="http://schemas.openxmlformats.org/officeDocument/2006/relationships/hyperlink" Target="https://doi.org/10.3390/wevj16030142" TargetMode="External" /><Relationship Id="rId40" Type="http://schemas.openxmlformats.org/officeDocument/2006/relationships/hyperlink" Target="https://doi.org/10.59653/jimat.v3i03.1906" TargetMode="External" /><Relationship Id="rId45" Type="http://schemas.openxmlformats.org/officeDocument/2006/relationships/hyperlink" Target="https://doi.org/10.1016/j.joitmc.2023.100039" TargetMode="External" /><Relationship Id="rId66" Type="http://schemas.openxmlformats.org/officeDocument/2006/relationships/hyperlink" Target="https://www.ibef.org/industry/india-automobiles" TargetMode="External" /><Relationship Id="rId87" Type="http://schemas.openxmlformats.org/officeDocument/2006/relationships/hyperlink" Target="https://doi.org/10.1007/978-981-99-1517-0_20" TargetMode="External" /><Relationship Id="rId110" Type="http://schemas.openxmlformats.org/officeDocument/2006/relationships/hyperlink" Target="https://www.pib.gov.in/PressReleasePage.aspx?PRID=2290691&amp;reg=48&amp;lang=2" TargetMode="External" /><Relationship Id="rId115" Type="http://schemas.openxmlformats.org/officeDocument/2006/relationships/hyperlink" Target="https://www.statista.com/statistics/263578/gross-domestic-product-gdp-of-japan/?srsltid=AfmBOoq08yiEVMtJTZzYmSRQvfdx7ayvQlNgaqkPs3bvGiC9VwtVmfty" TargetMode="External" /><Relationship Id="rId131" Type="http://schemas.openxmlformats.org/officeDocument/2006/relationships/hyperlink" Target="https://www.toyotabharat.com/news/2022/toyotas-bigger-efforts-to-further-strengthen-and-contribute-to-make-in-india-and-skill-india-mission.html" TargetMode="External" /><Relationship Id="rId136" Type="http://schemas.openxmlformats.org/officeDocument/2006/relationships/hyperlink" Target="https://toyotalebanon.com/WhyToyota/toyota-quality,-durability-and-reliability" TargetMode="External" /><Relationship Id="rId61" Type="http://schemas.openxmlformats.org/officeDocument/2006/relationships/hyperlink" Target="https://doi.org/10.1051/bioconf/202413008001" TargetMode="External" /><Relationship Id="rId82" Type="http://schemas.openxmlformats.org/officeDocument/2006/relationships/hyperlink" Target="https://doi.org/10.1007/978-981-96-6732-1_21" TargetMode="External" /><Relationship Id="rId19" Type="http://schemas.openxmlformats.org/officeDocument/2006/relationships/hyperlink" Target="https://doi.org/10.1108/IJPPM-02-2025-0149" TargetMode="External" /><Relationship Id="rId14" Type="http://schemas.openxmlformats.org/officeDocument/2006/relationships/image" Target="media/image7.png" /><Relationship Id="rId30" Type="http://schemas.openxmlformats.org/officeDocument/2006/relationships/hyperlink" Target="https://www.carwale.com/compare-cars/toyota-hyryder-vs-toyota-innova-hycross-vs-toyota-fortuner/?c1=20311&amp;c2=11305&amp;c3=7717" TargetMode="External" /><Relationship Id="rId35" Type="http://schemas.openxmlformats.org/officeDocument/2006/relationships/hyperlink" Target="https://www.meti.go.jp/english/policy/energy_environment/global_warming/ggs2050/index.html" TargetMode="External" /><Relationship Id="rId56" Type="http://schemas.openxmlformats.org/officeDocument/2006/relationships/hyperlink" Target="https://doi.org/10.3390/su151511501" TargetMode="External" /><Relationship Id="rId77" Type="http://schemas.openxmlformats.org/officeDocument/2006/relationships/hyperlink" Target="https://doi.org/10.1007/s10209-022-00930-7" TargetMode="External" /><Relationship Id="rId100" Type="http://schemas.openxmlformats.org/officeDocument/2006/relationships/hyperlink" Target="https://onlinelibrary.wiley.com/doi/abs/10.1002/est2.562" TargetMode="External" /><Relationship Id="rId105" Type="http://schemas.openxmlformats.org/officeDocument/2006/relationships/hyperlink" Target="https://doi.org/10.1186/s13731-025-00497-6" TargetMode="External" /><Relationship Id="rId126" Type="http://schemas.openxmlformats.org/officeDocument/2006/relationships/hyperlink" Target="https://global.toyota/en/company/profile/overview/"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A6599-D618-4EA7-B66F-F09B792307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9843</Words>
  <Characters>56107</Characters>
  <Application>Microsoft Office Word</Application>
  <DocSecurity>0</DocSecurity>
  <Lines>467</Lines>
  <Paragraphs>131</Paragraphs>
  <ScaleCrop>false</ScaleCrop>
  <Company/>
  <LinksUpToDate>false</LinksUpToDate>
  <CharactersWithSpaces>65819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2026-08-10T23:41:00Z</dcterms:created>
  <dcterms:modified xsi:type="dcterms:W3CDTF">2026-08-10T23:41:00Z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6990a619-c8e5-4291-b97d-e1a82bdd935a</vt:lpwstr>
  </property>
</Properties>
</file>