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14411C" w14:textId="1716E223" w:rsidR="00E05099" w:rsidRPr="009E0B5A" w:rsidRDefault="00E05099" w:rsidP="00E05099">
      <w:pPr>
        <w:rPr>
          <w:sz w:val="52"/>
          <w:szCs w:val="52"/>
        </w:rPr>
      </w:pPr>
      <w:r w:rsidRPr="009E0B5A">
        <w:rPr>
          <w:sz w:val="52"/>
          <w:szCs w:val="52"/>
        </w:rPr>
        <w:t xml:space="preserve">Assignment </w:t>
      </w:r>
      <w:r>
        <w:rPr>
          <w:sz w:val="52"/>
          <w:szCs w:val="52"/>
        </w:rPr>
        <w:t>1</w:t>
      </w:r>
    </w:p>
    <w:p w14:paraId="4812B9CB" w14:textId="77777777" w:rsidR="00E05099" w:rsidRDefault="00E05099" w:rsidP="00E05099">
      <w:pPr>
        <w:rPr>
          <w:sz w:val="52"/>
          <w:szCs w:val="52"/>
        </w:rPr>
      </w:pPr>
    </w:p>
    <w:p w14:paraId="116E8CDF" w14:textId="5A463ABB" w:rsidR="00E05099" w:rsidRDefault="00E05099" w:rsidP="00E05099">
      <w:pPr>
        <w:jc w:val="center"/>
        <w:rPr>
          <w:sz w:val="52"/>
          <w:szCs w:val="52"/>
        </w:rPr>
      </w:pPr>
      <w:r>
        <w:rPr>
          <w:sz w:val="52"/>
          <w:szCs w:val="52"/>
        </w:rPr>
        <w:t xml:space="preserve">Business review of </w:t>
      </w:r>
      <w:r w:rsidR="00C848E4">
        <w:rPr>
          <w:sz w:val="52"/>
          <w:szCs w:val="52"/>
        </w:rPr>
        <w:t>Aston Martin</w:t>
      </w:r>
      <w:r>
        <w:rPr>
          <w:sz w:val="52"/>
          <w:szCs w:val="52"/>
        </w:rPr>
        <w:t xml:space="preserve"> utilizing their published Financial Statements</w:t>
      </w:r>
    </w:p>
    <w:p w14:paraId="38159B99" w14:textId="2F25E532" w:rsidR="00E05099" w:rsidRDefault="00E05099" w:rsidP="00E05099">
      <w:pPr>
        <w:rPr>
          <w:sz w:val="52"/>
          <w:szCs w:val="52"/>
        </w:rPr>
      </w:pPr>
      <w:r>
        <w:rPr>
          <w:noProof/>
          <w:lang w:val="en-GB" w:eastAsia="en-GB"/>
        </w:rPr>
        <w:drawing>
          <wp:anchor distT="0" distB="0" distL="114300" distR="114300" simplePos="0" relativeHeight="251660288" behindDoc="0" locked="0" layoutInCell="1" allowOverlap="1" wp14:anchorId="3A532864" wp14:editId="5B4140D5">
            <wp:simplePos x="0" y="0"/>
            <wp:positionH relativeFrom="margin">
              <wp:align>center</wp:align>
            </wp:positionH>
            <wp:positionV relativeFrom="paragraph">
              <wp:posOffset>293116</wp:posOffset>
            </wp:positionV>
            <wp:extent cx="1901825" cy="1901825"/>
            <wp:effectExtent l="0" t="0" r="3175" b="3175"/>
            <wp:wrapNone/>
            <wp:docPr id="4" name="Picture 4" descr="Aston Mar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ton Mart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1825" cy="1901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1EFE9B" w14:textId="6725B980" w:rsidR="00E05099" w:rsidRDefault="00E05099" w:rsidP="00E05099">
      <w:pPr>
        <w:rPr>
          <w:sz w:val="52"/>
          <w:szCs w:val="52"/>
        </w:rPr>
      </w:pPr>
    </w:p>
    <w:p w14:paraId="151A77F9" w14:textId="77777777" w:rsidR="00E05099" w:rsidRDefault="00E05099" w:rsidP="00E05099">
      <w:pPr>
        <w:rPr>
          <w:sz w:val="32"/>
          <w:szCs w:val="32"/>
        </w:rPr>
      </w:pPr>
    </w:p>
    <w:p w14:paraId="33794202" w14:textId="5BD688ED" w:rsidR="00E05099" w:rsidRDefault="00E05099" w:rsidP="00E05099">
      <w:pPr>
        <w:rPr>
          <w:sz w:val="32"/>
          <w:szCs w:val="32"/>
        </w:rPr>
      </w:pPr>
    </w:p>
    <w:p w14:paraId="504FDD2A" w14:textId="22E471C5" w:rsidR="00E05099" w:rsidRDefault="00E05099" w:rsidP="00E05099">
      <w:pPr>
        <w:rPr>
          <w:sz w:val="32"/>
          <w:szCs w:val="32"/>
        </w:rPr>
      </w:pPr>
    </w:p>
    <w:p w14:paraId="30ED606B" w14:textId="1D98B826" w:rsidR="00E05099" w:rsidRDefault="00E05099" w:rsidP="00E05099">
      <w:pPr>
        <w:rPr>
          <w:sz w:val="32"/>
          <w:szCs w:val="32"/>
        </w:rPr>
      </w:pPr>
    </w:p>
    <w:p w14:paraId="06DD4407" w14:textId="71877930" w:rsidR="00E05099" w:rsidRDefault="00E05099" w:rsidP="00E05099">
      <w:pPr>
        <w:rPr>
          <w:sz w:val="32"/>
          <w:szCs w:val="32"/>
        </w:rPr>
      </w:pPr>
    </w:p>
    <w:p w14:paraId="75410C90" w14:textId="794F51E0" w:rsidR="00E05099" w:rsidRDefault="00E05099" w:rsidP="00E05099">
      <w:pPr>
        <w:rPr>
          <w:sz w:val="32"/>
          <w:szCs w:val="32"/>
        </w:rPr>
      </w:pPr>
    </w:p>
    <w:p w14:paraId="7304EA0B" w14:textId="77777777" w:rsidR="00402354" w:rsidRDefault="00402354" w:rsidP="00E05099">
      <w:pPr>
        <w:rPr>
          <w:sz w:val="32"/>
          <w:szCs w:val="32"/>
        </w:rPr>
      </w:pPr>
    </w:p>
    <w:p w14:paraId="4DE60331" w14:textId="77777777" w:rsidR="00E05099" w:rsidRPr="00B4726C" w:rsidRDefault="00E05099" w:rsidP="00E05099">
      <w:pPr>
        <w:rPr>
          <w:sz w:val="32"/>
          <w:szCs w:val="32"/>
        </w:rPr>
      </w:pPr>
      <w:r w:rsidRPr="00B4726C">
        <w:rPr>
          <w:sz w:val="32"/>
          <w:szCs w:val="32"/>
        </w:rPr>
        <w:t>By</w:t>
      </w:r>
    </w:p>
    <w:p w14:paraId="0C155F0C" w14:textId="77777777" w:rsidR="00E05099" w:rsidRPr="00B4726C" w:rsidRDefault="00E05099" w:rsidP="00E05099">
      <w:pPr>
        <w:rPr>
          <w:sz w:val="32"/>
          <w:szCs w:val="32"/>
        </w:rPr>
      </w:pPr>
      <w:r w:rsidRPr="00B4726C">
        <w:rPr>
          <w:sz w:val="32"/>
          <w:szCs w:val="32"/>
        </w:rPr>
        <w:t>Aista Phillips</w:t>
      </w:r>
    </w:p>
    <w:p w14:paraId="2AEC0695" w14:textId="77777777" w:rsidR="00E05099" w:rsidRPr="00B4726C" w:rsidRDefault="00E05099" w:rsidP="00E05099">
      <w:pPr>
        <w:rPr>
          <w:sz w:val="32"/>
          <w:szCs w:val="32"/>
        </w:rPr>
      </w:pPr>
      <w:r w:rsidRPr="00B4726C">
        <w:rPr>
          <w:sz w:val="32"/>
          <w:szCs w:val="32"/>
        </w:rPr>
        <w:t>Student Number: 2126964</w:t>
      </w:r>
    </w:p>
    <w:p w14:paraId="3BC556F3" w14:textId="64D31230" w:rsidR="00E05099" w:rsidRPr="00B4726C" w:rsidRDefault="00E05099" w:rsidP="00E05099">
      <w:pPr>
        <w:rPr>
          <w:sz w:val="32"/>
          <w:szCs w:val="32"/>
        </w:rPr>
      </w:pPr>
      <w:r w:rsidRPr="00B4726C">
        <w:rPr>
          <w:rFonts w:ascii="Segoe UI" w:hAnsi="Segoe UI" w:cs="Segoe UI"/>
          <w:b/>
          <w:bCs/>
          <w:color w:val="1D1D1D"/>
          <w:sz w:val="32"/>
          <w:szCs w:val="32"/>
          <w:shd w:val="clear" w:color="auto" w:fill="F9F9F9"/>
        </w:rPr>
        <w:t xml:space="preserve">Module Code: </w:t>
      </w:r>
      <w:r>
        <w:rPr>
          <w:rFonts w:ascii="Segoe UI" w:hAnsi="Segoe UI" w:cs="Segoe UI"/>
          <w:color w:val="1D1D1D"/>
          <w:sz w:val="32"/>
          <w:szCs w:val="32"/>
          <w:shd w:val="clear" w:color="auto" w:fill="F1F1F1"/>
        </w:rPr>
        <w:t>ACPA7002</w:t>
      </w:r>
    </w:p>
    <w:p w14:paraId="1CA5736F" w14:textId="77777777" w:rsidR="00E05099" w:rsidRDefault="00E05099" w:rsidP="00E05099">
      <w:r>
        <w:rPr>
          <w:noProof/>
          <w:lang w:val="en-GB" w:eastAsia="en-GB"/>
        </w:rPr>
        <w:drawing>
          <wp:anchor distT="0" distB="0" distL="114300" distR="114300" simplePos="0" relativeHeight="251659264" behindDoc="0" locked="0" layoutInCell="1" allowOverlap="1" wp14:anchorId="2BAAB6F1" wp14:editId="4F38F8EB">
            <wp:simplePos x="0" y="0"/>
            <wp:positionH relativeFrom="margin">
              <wp:align>right</wp:align>
            </wp:positionH>
            <wp:positionV relativeFrom="paragraph">
              <wp:posOffset>250190</wp:posOffset>
            </wp:positionV>
            <wp:extent cx="2914650" cy="571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571500"/>
                    </a:xfrm>
                    <a:prstGeom prst="rect">
                      <a:avLst/>
                    </a:prstGeom>
                    <a:noFill/>
                  </pic:spPr>
                </pic:pic>
              </a:graphicData>
            </a:graphic>
            <wp14:sizeRelH relativeFrom="margin">
              <wp14:pctWidth>0</wp14:pctWidth>
            </wp14:sizeRelH>
          </wp:anchor>
        </w:drawing>
      </w:r>
    </w:p>
    <w:p w14:paraId="124A23EC" w14:textId="77777777" w:rsidR="00E05099" w:rsidRDefault="00E05099" w:rsidP="00E05099">
      <w:r>
        <w:rPr>
          <w:noProof/>
          <w:lang w:val="en-GB" w:eastAsia="en-GB"/>
        </w:rPr>
        <mc:AlternateContent>
          <mc:Choice Requires="wps">
            <w:drawing>
              <wp:inline distT="0" distB="0" distL="0" distR="0" wp14:anchorId="57B22025" wp14:editId="6787FDEF">
                <wp:extent cx="304800" cy="304800"/>
                <wp:effectExtent l="0" t="0" r="0" b="0"/>
                <wp:docPr id="2" name="AutoShape 2" descr="UWTS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FA26980" id="AutoShape 2" o:spid="_x0000_s1026" alt="UWTSD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" filled="f" stroked="f">
                <o:lock v:ext="edit" aspectratio="t"/>
                <w10:anchorlock/>
              </v:rect>
            </w:pict>
          </mc:Fallback>
        </mc:AlternateContent>
      </w:r>
    </w:p>
    <w:p w14:paraId="4150C9DC" w14:textId="77777777" w:rsidR="00E05099" w:rsidRDefault="00E05099" w:rsidP="00E05099"/>
    <w:p w14:paraId="356D8059" w14:textId="786D3F3F" w:rsidR="00E05099" w:rsidRPr="00E05099" w:rsidRDefault="00402354" w:rsidP="00402354">
      <w:pPr>
        <w:shd w:val="clear" w:color="auto" w:fill="F1F1F1"/>
        <w:spacing w:after="0" w:line="240" w:lineRule="auto"/>
        <w:rPr>
          <w:rFonts w:ascii="Segoe UI" w:eastAsia="Times New Roman" w:hAnsi="Segoe UI" w:cs="Segoe UI"/>
          <w:b/>
          <w:bCs/>
          <w:color w:val="1D1D1D"/>
          <w:sz w:val="20"/>
          <w:szCs w:val="20"/>
        </w:rPr>
      </w:pPr>
      <w:r>
        <w:rPr>
          <w:rFonts w:ascii="Segoe UI" w:eastAsia="Times New Roman" w:hAnsi="Segoe UI" w:cs="Segoe UI"/>
          <w:b/>
          <w:bCs/>
          <w:color w:val="1D1D1D"/>
          <w:sz w:val="20"/>
          <w:szCs w:val="20"/>
        </w:rPr>
        <w:t xml:space="preserve">FINANCIAL Management and Planning                                                                                              </w:t>
      </w:r>
    </w:p>
    <w:p w14:paraId="2A68B6DE" w14:textId="2072A232" w:rsidR="00E05099" w:rsidRDefault="00E05099" w:rsidP="00E05099">
      <w:pPr>
        <w:rPr>
          <w:rFonts w:ascii="Segoe UI" w:eastAsia="Times New Roman" w:hAnsi="Segoe UI" w:cs="Segoe UI"/>
          <w:color w:val="1D1D1D"/>
          <w:sz w:val="20"/>
          <w:szCs w:val="20"/>
        </w:rPr>
      </w:pPr>
      <w:r w:rsidRPr="00B4726C">
        <w:rPr>
          <w:rFonts w:ascii="Segoe UI" w:eastAsia="Times New Roman" w:hAnsi="Segoe UI" w:cs="Segoe UI"/>
          <w:color w:val="1D1D1D"/>
          <w:sz w:val="20"/>
          <w:szCs w:val="20"/>
        </w:rPr>
        <w:t>MSC-IIM International Innovation Management</w:t>
      </w:r>
    </w:p>
    <w:p w14:paraId="21C53CFC" w14:textId="77777777" w:rsidR="00402354" w:rsidRDefault="00402354" w:rsidP="00E05099">
      <w:pPr>
        <w:rPr>
          <w:rFonts w:ascii="Arial" w:hAnsi="Arial" w:cs="Arial"/>
          <w:color w:val="000000"/>
          <w:sz w:val="27"/>
          <w:szCs w:val="27"/>
          <w:shd w:val="clear" w:color="auto" w:fill="FFFFFF"/>
        </w:rPr>
      </w:pPr>
    </w:p>
    <w:p w14:paraId="24F5AC4F" w14:textId="1E93A8F3" w:rsidR="00B94ACD" w:rsidRPr="00894D0F" w:rsidRDefault="00B94ACD" w:rsidP="00E05099">
      <w:pPr>
        <w:rPr>
          <w:rFonts w:ascii="Arial" w:hAnsi="Arial" w:cs="Arial"/>
          <w:color w:val="000000"/>
          <w:sz w:val="40"/>
          <w:szCs w:val="40"/>
          <w:shd w:val="clear" w:color="auto" w:fill="FFFFFF"/>
        </w:rPr>
      </w:pPr>
      <w:r w:rsidRPr="00894D0F">
        <w:rPr>
          <w:rFonts w:ascii="Arial" w:hAnsi="Arial" w:cs="Arial"/>
          <w:color w:val="000000"/>
          <w:sz w:val="40"/>
          <w:szCs w:val="40"/>
          <w:shd w:val="clear" w:color="auto" w:fill="FFFFFF"/>
        </w:rPr>
        <w:lastRenderedPageBreak/>
        <w:t>Contents</w:t>
      </w:r>
    </w:p>
    <w:p w14:paraId="432C3B30" w14:textId="12E7861E" w:rsidR="00B94ACD" w:rsidRDefault="00B94ACD" w:rsidP="00E05099">
      <w:pPr>
        <w:rPr>
          <w:rFonts w:ascii="Arial" w:hAnsi="Arial" w:cs="Arial"/>
          <w:color w:val="000000"/>
          <w:sz w:val="27"/>
          <w:szCs w:val="27"/>
          <w:shd w:val="clear" w:color="auto" w:fill="FFFFFF"/>
        </w:rPr>
      </w:pPr>
    </w:p>
    <w:p w14:paraId="53E7643C" w14:textId="3EB41C1C" w:rsidR="00B94ACD" w:rsidRPr="00894D0F" w:rsidRDefault="00894D0F" w:rsidP="00B94ACD">
      <w:pPr>
        <w:pStyle w:val="ListParagraph"/>
        <w:numPr>
          <w:ilvl w:val="0"/>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Introduction………………………………..…………..3</w:t>
      </w:r>
    </w:p>
    <w:p w14:paraId="71D74B29" w14:textId="09375FBA" w:rsidR="00B94ACD" w:rsidRPr="00894D0F" w:rsidRDefault="00B94ACD" w:rsidP="00B94ACD">
      <w:pPr>
        <w:pStyle w:val="ListParagraph"/>
        <w:numPr>
          <w:ilvl w:val="0"/>
          <w:numId w:val="8"/>
        </w:numPr>
        <w:rPr>
          <w:rFonts w:ascii="Arial" w:hAnsi="Arial" w:cs="Arial"/>
          <w:color w:val="000000"/>
          <w:sz w:val="36"/>
          <w:szCs w:val="36"/>
          <w:shd w:val="clear" w:color="auto" w:fill="FFFFFF"/>
        </w:rPr>
      </w:pPr>
      <w:r w:rsidRPr="00894D0F">
        <w:rPr>
          <w:rFonts w:ascii="Arial" w:hAnsi="Arial" w:cs="Arial"/>
          <w:color w:val="000000"/>
          <w:sz w:val="36"/>
          <w:szCs w:val="36"/>
          <w:shd w:val="clear" w:color="auto" w:fill="FFFFFF"/>
        </w:rPr>
        <w:t>Aston Mart</w:t>
      </w:r>
      <w:r w:rsidR="00894D0F">
        <w:rPr>
          <w:rFonts w:ascii="Arial" w:hAnsi="Arial" w:cs="Arial"/>
          <w:color w:val="000000"/>
          <w:sz w:val="36"/>
          <w:szCs w:val="36"/>
          <w:shd w:val="clear" w:color="auto" w:fill="FFFFFF"/>
        </w:rPr>
        <w:t>in 3 years Ratio Results………..</w:t>
      </w:r>
      <w:r w:rsidRPr="00894D0F">
        <w:rPr>
          <w:rFonts w:ascii="Arial" w:hAnsi="Arial" w:cs="Arial"/>
          <w:color w:val="000000"/>
          <w:sz w:val="36"/>
          <w:szCs w:val="36"/>
          <w:shd w:val="clear" w:color="auto" w:fill="FFFFFF"/>
        </w:rPr>
        <w:t>……….3</w:t>
      </w:r>
    </w:p>
    <w:p w14:paraId="5578DD35" w14:textId="48DDBD3C" w:rsidR="00B94ACD" w:rsidRPr="00894D0F" w:rsidRDefault="00894D0F" w:rsidP="00B94ACD">
      <w:pPr>
        <w:pStyle w:val="ListParagraph"/>
        <w:numPr>
          <w:ilvl w:val="0"/>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Analysis……………………………………………….</w:t>
      </w:r>
      <w:r w:rsidR="00B94ACD" w:rsidRPr="00894D0F">
        <w:rPr>
          <w:rFonts w:ascii="Arial" w:hAnsi="Arial" w:cs="Arial"/>
          <w:color w:val="000000"/>
          <w:sz w:val="36"/>
          <w:szCs w:val="36"/>
          <w:shd w:val="clear" w:color="auto" w:fill="FFFFFF"/>
        </w:rPr>
        <w:t>.</w:t>
      </w:r>
      <w:r>
        <w:rPr>
          <w:rFonts w:ascii="Arial" w:hAnsi="Arial" w:cs="Arial"/>
          <w:color w:val="000000"/>
          <w:sz w:val="36"/>
          <w:szCs w:val="36"/>
          <w:shd w:val="clear" w:color="auto" w:fill="FFFFFF"/>
        </w:rPr>
        <w:t>4</w:t>
      </w:r>
    </w:p>
    <w:p w14:paraId="5B553503" w14:textId="6C17C195" w:rsidR="00B94ACD" w:rsidRPr="00894D0F" w:rsidRDefault="00894D0F" w:rsidP="00B94ACD">
      <w:pPr>
        <w:pStyle w:val="ListParagraph"/>
        <w:numPr>
          <w:ilvl w:val="1"/>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Limitations of Ratio……..</w:t>
      </w:r>
      <w:r w:rsidR="00B94ACD" w:rsidRPr="00894D0F">
        <w:rPr>
          <w:rFonts w:ascii="Arial" w:hAnsi="Arial" w:cs="Arial"/>
          <w:color w:val="000000"/>
          <w:sz w:val="36"/>
          <w:szCs w:val="36"/>
          <w:shd w:val="clear" w:color="auto" w:fill="FFFFFF"/>
        </w:rPr>
        <w:t>……………………….</w:t>
      </w:r>
      <w:r>
        <w:rPr>
          <w:rFonts w:ascii="Arial" w:hAnsi="Arial" w:cs="Arial"/>
          <w:color w:val="000000"/>
          <w:sz w:val="36"/>
          <w:szCs w:val="36"/>
          <w:shd w:val="clear" w:color="auto" w:fill="FFFFFF"/>
        </w:rPr>
        <w:t>5</w:t>
      </w:r>
    </w:p>
    <w:p w14:paraId="4B0C59C8" w14:textId="563CE5AF" w:rsidR="00B94ACD" w:rsidRPr="00894D0F" w:rsidRDefault="00B94ACD" w:rsidP="00B94ACD">
      <w:pPr>
        <w:pStyle w:val="ListParagraph"/>
        <w:numPr>
          <w:ilvl w:val="1"/>
          <w:numId w:val="8"/>
        </w:numPr>
        <w:rPr>
          <w:rFonts w:ascii="Arial" w:hAnsi="Arial" w:cs="Arial"/>
          <w:color w:val="000000"/>
          <w:sz w:val="36"/>
          <w:szCs w:val="36"/>
          <w:shd w:val="clear" w:color="auto" w:fill="FFFFFF"/>
        </w:rPr>
      </w:pPr>
      <w:bookmarkStart w:id="0" w:name="_Hlk125039778"/>
      <w:r w:rsidRPr="00894D0F">
        <w:rPr>
          <w:rFonts w:ascii="Arial" w:hAnsi="Arial" w:cs="Arial"/>
          <w:color w:val="000000"/>
          <w:sz w:val="36"/>
          <w:szCs w:val="36"/>
          <w:shd w:val="clear" w:color="auto" w:fill="FFFFFF"/>
        </w:rPr>
        <w:t>Profitability</w:t>
      </w:r>
      <w:bookmarkEnd w:id="0"/>
      <w:r w:rsidR="00894D0F">
        <w:rPr>
          <w:rFonts w:ascii="Arial" w:hAnsi="Arial" w:cs="Arial"/>
          <w:color w:val="000000"/>
          <w:sz w:val="36"/>
          <w:szCs w:val="36"/>
          <w:shd w:val="clear" w:color="auto" w:fill="FFFFFF"/>
        </w:rPr>
        <w:t>………………………………………</w:t>
      </w:r>
      <w:r w:rsidR="001841AA">
        <w:rPr>
          <w:rFonts w:ascii="Arial" w:hAnsi="Arial" w:cs="Arial"/>
          <w:color w:val="000000"/>
          <w:sz w:val="36"/>
          <w:szCs w:val="36"/>
          <w:shd w:val="clear" w:color="auto" w:fill="FFFFFF"/>
        </w:rPr>
        <w:t>.5</w:t>
      </w:r>
    </w:p>
    <w:p w14:paraId="1A3778C2" w14:textId="6912CA25" w:rsidR="00B94ACD" w:rsidRPr="00894D0F" w:rsidRDefault="001841AA" w:rsidP="00B94ACD">
      <w:pPr>
        <w:pStyle w:val="ListParagraph"/>
        <w:numPr>
          <w:ilvl w:val="1"/>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Efficiency…………………………………………8</w:t>
      </w:r>
    </w:p>
    <w:p w14:paraId="64769B83" w14:textId="7CA6642D" w:rsidR="00B94ACD" w:rsidRPr="00894D0F" w:rsidRDefault="001841AA" w:rsidP="00B94ACD">
      <w:pPr>
        <w:pStyle w:val="ListParagraph"/>
        <w:numPr>
          <w:ilvl w:val="1"/>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Liquidity………………………………………….10</w:t>
      </w:r>
    </w:p>
    <w:p w14:paraId="10E6A202" w14:textId="6E4ACD53" w:rsidR="00B94ACD" w:rsidRPr="00894D0F" w:rsidRDefault="001841AA" w:rsidP="00B94ACD">
      <w:pPr>
        <w:pStyle w:val="ListParagraph"/>
        <w:numPr>
          <w:ilvl w:val="1"/>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Investment………………………………………12</w:t>
      </w:r>
    </w:p>
    <w:p w14:paraId="317D6996" w14:textId="6627E318" w:rsidR="00B94ACD" w:rsidRPr="00894D0F" w:rsidRDefault="001841AA" w:rsidP="00B94ACD">
      <w:pPr>
        <w:pStyle w:val="ListParagraph"/>
        <w:numPr>
          <w:ilvl w:val="1"/>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Leverage ratios…………………………………13</w:t>
      </w:r>
    </w:p>
    <w:p w14:paraId="71DF379B" w14:textId="69EAF6C0" w:rsidR="00B94ACD" w:rsidRPr="00894D0F" w:rsidRDefault="001841AA" w:rsidP="00B94ACD">
      <w:pPr>
        <w:pStyle w:val="ListParagraph"/>
        <w:numPr>
          <w:ilvl w:val="0"/>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Conclusion……………………………………………14</w:t>
      </w:r>
    </w:p>
    <w:p w14:paraId="1A7E9BE8" w14:textId="1CE8AE0C" w:rsidR="00B94ACD" w:rsidRPr="00894D0F" w:rsidRDefault="001841AA" w:rsidP="00B94ACD">
      <w:pPr>
        <w:pStyle w:val="ListParagraph"/>
        <w:numPr>
          <w:ilvl w:val="0"/>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Recommendations…………………………………..15</w:t>
      </w:r>
    </w:p>
    <w:p w14:paraId="4B407803" w14:textId="57268094" w:rsidR="00B94ACD" w:rsidRPr="00894D0F" w:rsidRDefault="0037345D" w:rsidP="00B94ACD">
      <w:pPr>
        <w:pStyle w:val="ListParagraph"/>
        <w:numPr>
          <w:ilvl w:val="0"/>
          <w:numId w:val="8"/>
        </w:numPr>
        <w:rPr>
          <w:rFonts w:ascii="Arial" w:hAnsi="Arial" w:cs="Arial"/>
          <w:color w:val="000000"/>
          <w:sz w:val="36"/>
          <w:szCs w:val="36"/>
          <w:shd w:val="clear" w:color="auto" w:fill="FFFFFF"/>
        </w:rPr>
      </w:pPr>
      <w:r>
        <w:rPr>
          <w:rFonts w:ascii="Arial" w:hAnsi="Arial" w:cs="Arial"/>
          <w:color w:val="000000"/>
          <w:sz w:val="36"/>
          <w:szCs w:val="36"/>
          <w:shd w:val="clear" w:color="auto" w:fill="FFFFFF"/>
        </w:rPr>
        <w:t>References………………………………………...</w:t>
      </w:r>
      <w:r w:rsidR="00B94ACD" w:rsidRPr="00894D0F">
        <w:rPr>
          <w:rFonts w:ascii="Arial" w:hAnsi="Arial" w:cs="Arial"/>
          <w:color w:val="000000"/>
          <w:sz w:val="36"/>
          <w:szCs w:val="36"/>
          <w:shd w:val="clear" w:color="auto" w:fill="FFFFFF"/>
        </w:rPr>
        <w:t>…</w:t>
      </w:r>
      <w:r>
        <w:rPr>
          <w:rFonts w:ascii="Arial" w:hAnsi="Arial" w:cs="Arial"/>
          <w:color w:val="000000"/>
          <w:sz w:val="36"/>
          <w:szCs w:val="36"/>
          <w:shd w:val="clear" w:color="auto" w:fill="FFFFFF"/>
        </w:rPr>
        <w:t>16</w:t>
      </w:r>
    </w:p>
    <w:p w14:paraId="21373361" w14:textId="515F8EF5" w:rsidR="00B94ACD" w:rsidRDefault="00E00420" w:rsidP="00E00420">
      <w:pPr>
        <w:pStyle w:val="ListParagraph"/>
        <w:numPr>
          <w:ilvl w:val="0"/>
          <w:numId w:val="8"/>
        </w:numPr>
        <w:rPr>
          <w:rFonts w:ascii="Arial" w:hAnsi="Arial" w:cs="Arial"/>
          <w:color w:val="000000"/>
          <w:sz w:val="27"/>
          <w:szCs w:val="27"/>
          <w:shd w:val="clear" w:color="auto" w:fill="FFFFFF"/>
        </w:rPr>
      </w:pPr>
      <w:r>
        <w:rPr>
          <w:rFonts w:ascii="Arial" w:hAnsi="Arial" w:cs="Arial"/>
          <w:color w:val="000000"/>
          <w:sz w:val="36"/>
          <w:szCs w:val="36"/>
          <w:shd w:val="clear" w:color="auto" w:fill="FFFFFF"/>
        </w:rPr>
        <w:t>Appendices……………………………………..……18</w:t>
      </w:r>
    </w:p>
    <w:p w14:paraId="7C2B42BD" w14:textId="1CF01F04" w:rsidR="00894D0F" w:rsidRDefault="00894D0F" w:rsidP="00E05099">
      <w:pPr>
        <w:rPr>
          <w:rFonts w:ascii="Arial" w:hAnsi="Arial" w:cs="Arial"/>
          <w:color w:val="000000"/>
          <w:sz w:val="27"/>
          <w:szCs w:val="27"/>
          <w:shd w:val="clear" w:color="auto" w:fill="FFFFFF"/>
        </w:rPr>
      </w:pPr>
    </w:p>
    <w:p w14:paraId="42E29506" w14:textId="2F23CBC1" w:rsidR="00894D0F" w:rsidRDefault="00894D0F" w:rsidP="00E05099">
      <w:pPr>
        <w:rPr>
          <w:rFonts w:ascii="Arial" w:hAnsi="Arial" w:cs="Arial"/>
          <w:color w:val="000000"/>
          <w:sz w:val="27"/>
          <w:szCs w:val="27"/>
          <w:shd w:val="clear" w:color="auto" w:fill="FFFFFF"/>
        </w:rPr>
      </w:pPr>
    </w:p>
    <w:p w14:paraId="0B4C89E7" w14:textId="355321C0" w:rsidR="001841AA" w:rsidRDefault="001841AA" w:rsidP="00E05099">
      <w:pPr>
        <w:rPr>
          <w:rFonts w:ascii="Arial" w:hAnsi="Arial" w:cs="Arial"/>
          <w:color w:val="000000"/>
          <w:sz w:val="27"/>
          <w:szCs w:val="27"/>
          <w:shd w:val="clear" w:color="auto" w:fill="FFFFFF"/>
        </w:rPr>
      </w:pPr>
    </w:p>
    <w:p w14:paraId="51428C41" w14:textId="21FC37EB" w:rsidR="001841AA" w:rsidRDefault="001841AA" w:rsidP="00E05099">
      <w:pPr>
        <w:rPr>
          <w:rFonts w:ascii="Arial" w:hAnsi="Arial" w:cs="Arial"/>
          <w:color w:val="000000"/>
          <w:sz w:val="27"/>
          <w:szCs w:val="27"/>
          <w:shd w:val="clear" w:color="auto" w:fill="FFFFFF"/>
        </w:rPr>
      </w:pPr>
    </w:p>
    <w:p w14:paraId="63FA09E3" w14:textId="237AA052" w:rsidR="001841AA" w:rsidRDefault="001841AA" w:rsidP="00E05099">
      <w:pPr>
        <w:rPr>
          <w:rFonts w:ascii="Arial" w:hAnsi="Arial" w:cs="Arial"/>
          <w:color w:val="000000"/>
          <w:sz w:val="27"/>
          <w:szCs w:val="27"/>
          <w:shd w:val="clear" w:color="auto" w:fill="FFFFFF"/>
        </w:rPr>
      </w:pPr>
    </w:p>
    <w:p w14:paraId="32654102" w14:textId="50BEF531" w:rsidR="001841AA" w:rsidRDefault="001841AA" w:rsidP="00E05099">
      <w:pPr>
        <w:rPr>
          <w:rFonts w:ascii="Arial" w:hAnsi="Arial" w:cs="Arial"/>
          <w:color w:val="000000"/>
          <w:sz w:val="27"/>
          <w:szCs w:val="27"/>
          <w:shd w:val="clear" w:color="auto" w:fill="FFFFFF"/>
        </w:rPr>
      </w:pPr>
    </w:p>
    <w:p w14:paraId="48D1478B" w14:textId="3583E986" w:rsidR="001841AA" w:rsidRDefault="001841AA" w:rsidP="00E05099">
      <w:pPr>
        <w:rPr>
          <w:rFonts w:ascii="Arial" w:hAnsi="Arial" w:cs="Arial"/>
          <w:color w:val="000000"/>
          <w:sz w:val="27"/>
          <w:szCs w:val="27"/>
          <w:shd w:val="clear" w:color="auto" w:fill="FFFFFF"/>
        </w:rPr>
      </w:pPr>
    </w:p>
    <w:p w14:paraId="20A28B6E" w14:textId="7675F94F" w:rsidR="00E00420" w:rsidRDefault="00E00420" w:rsidP="00E05099">
      <w:pPr>
        <w:rPr>
          <w:rFonts w:ascii="Arial" w:hAnsi="Arial" w:cs="Arial"/>
          <w:color w:val="000000"/>
          <w:sz w:val="27"/>
          <w:szCs w:val="27"/>
          <w:shd w:val="clear" w:color="auto" w:fill="FFFFFF"/>
        </w:rPr>
      </w:pPr>
    </w:p>
    <w:p w14:paraId="26EA4F6D" w14:textId="340732F9" w:rsidR="00E00420" w:rsidRDefault="00E00420" w:rsidP="00E05099">
      <w:pPr>
        <w:rPr>
          <w:rFonts w:ascii="Arial" w:hAnsi="Arial" w:cs="Arial"/>
          <w:color w:val="000000"/>
          <w:sz w:val="27"/>
          <w:szCs w:val="27"/>
          <w:shd w:val="clear" w:color="auto" w:fill="FFFFFF"/>
        </w:rPr>
      </w:pPr>
    </w:p>
    <w:p w14:paraId="133B46D0" w14:textId="20232C92" w:rsidR="00E00420" w:rsidRDefault="00E00420" w:rsidP="00E05099">
      <w:pPr>
        <w:rPr>
          <w:rFonts w:ascii="Arial" w:hAnsi="Arial" w:cs="Arial"/>
          <w:color w:val="000000"/>
          <w:sz w:val="27"/>
          <w:szCs w:val="27"/>
          <w:shd w:val="clear" w:color="auto" w:fill="FFFFFF"/>
        </w:rPr>
      </w:pPr>
    </w:p>
    <w:p w14:paraId="0071B17D" w14:textId="79549C31" w:rsidR="00E00420" w:rsidRDefault="00E00420" w:rsidP="00E05099">
      <w:pPr>
        <w:rPr>
          <w:rFonts w:ascii="Arial" w:hAnsi="Arial" w:cs="Arial"/>
          <w:color w:val="000000"/>
          <w:sz w:val="27"/>
          <w:szCs w:val="27"/>
          <w:shd w:val="clear" w:color="auto" w:fill="FFFFFF"/>
        </w:rPr>
      </w:pPr>
    </w:p>
    <w:p w14:paraId="3DF8F52B" w14:textId="77777777" w:rsidR="00E00420" w:rsidRDefault="00E00420" w:rsidP="00E05099">
      <w:pPr>
        <w:rPr>
          <w:rFonts w:ascii="Arial" w:hAnsi="Arial" w:cs="Arial"/>
          <w:color w:val="000000"/>
          <w:sz w:val="27"/>
          <w:szCs w:val="27"/>
          <w:shd w:val="clear" w:color="auto" w:fill="FFFFFF"/>
        </w:rPr>
      </w:pPr>
    </w:p>
    <w:p w14:paraId="447B9D75" w14:textId="77777777" w:rsidR="001841AA" w:rsidRDefault="001841AA" w:rsidP="00E05099">
      <w:pPr>
        <w:rPr>
          <w:rFonts w:ascii="Arial" w:hAnsi="Arial" w:cs="Arial"/>
          <w:color w:val="000000"/>
          <w:sz w:val="27"/>
          <w:szCs w:val="27"/>
          <w:shd w:val="clear" w:color="auto" w:fill="FFFFFF"/>
        </w:rPr>
      </w:pPr>
    </w:p>
    <w:p w14:paraId="4B9AEBA1" w14:textId="77777777" w:rsidR="00894D0F" w:rsidRDefault="00894D0F" w:rsidP="00E05099">
      <w:pPr>
        <w:rPr>
          <w:rFonts w:ascii="Arial" w:hAnsi="Arial" w:cs="Arial"/>
          <w:color w:val="000000"/>
          <w:sz w:val="27"/>
          <w:szCs w:val="27"/>
          <w:shd w:val="clear" w:color="auto" w:fill="FFFFFF"/>
        </w:rPr>
      </w:pPr>
    </w:p>
    <w:p w14:paraId="35A3CEA3" w14:textId="5D2C3CAA" w:rsidR="00430BB8" w:rsidRPr="0042788D" w:rsidRDefault="00430BB8" w:rsidP="0042788D">
      <w:pPr>
        <w:pStyle w:val="ListParagraph"/>
        <w:numPr>
          <w:ilvl w:val="0"/>
          <w:numId w:val="9"/>
        </w:numPr>
        <w:rPr>
          <w:rFonts w:cs="Arial"/>
          <w:b/>
          <w:bCs/>
          <w:color w:val="000000"/>
          <w:sz w:val="32"/>
          <w:szCs w:val="32"/>
          <w:shd w:val="clear" w:color="auto" w:fill="FFFFFF"/>
        </w:rPr>
      </w:pPr>
      <w:r w:rsidRPr="0042788D">
        <w:rPr>
          <w:rFonts w:cs="Arial"/>
          <w:b/>
          <w:bCs/>
          <w:color w:val="000000"/>
          <w:sz w:val="32"/>
          <w:szCs w:val="32"/>
          <w:shd w:val="clear" w:color="auto" w:fill="FFFFFF"/>
        </w:rPr>
        <w:lastRenderedPageBreak/>
        <w:t>Introduction</w:t>
      </w:r>
    </w:p>
    <w:p w14:paraId="260406E5" w14:textId="678E05D1" w:rsidR="00364B44" w:rsidRPr="0026057C" w:rsidRDefault="00364B44" w:rsidP="0026057C">
      <w:pPr>
        <w:jc w:val="both"/>
        <w:rPr>
          <w:sz w:val="24"/>
          <w:szCs w:val="24"/>
          <w:shd w:val="clear" w:color="auto" w:fill="FFFFFF"/>
        </w:rPr>
      </w:pPr>
      <w:r w:rsidRPr="0026057C">
        <w:rPr>
          <w:rStyle w:val="sw"/>
          <w:rFonts w:cs="Arial"/>
          <w:sz w:val="24"/>
          <w:szCs w:val="24"/>
        </w:rPr>
        <w:t>Aston</w:t>
      </w:r>
      <w:r w:rsidRPr="0026057C">
        <w:rPr>
          <w:sz w:val="24"/>
          <w:szCs w:val="24"/>
          <w:shd w:val="clear" w:color="auto" w:fill="FFFFFF"/>
        </w:rPr>
        <w:t xml:space="preserve"> </w:t>
      </w:r>
      <w:r w:rsidRPr="0026057C">
        <w:rPr>
          <w:rStyle w:val="sw"/>
          <w:rFonts w:cs="Arial"/>
          <w:sz w:val="24"/>
          <w:szCs w:val="24"/>
        </w:rPr>
        <w:t>Martin</w:t>
      </w:r>
      <w:r w:rsidRPr="0026057C">
        <w:rPr>
          <w:sz w:val="24"/>
          <w:szCs w:val="24"/>
          <w:shd w:val="clear" w:color="auto" w:fill="FFFFFF"/>
        </w:rPr>
        <w:t xml:space="preserve"> </w:t>
      </w:r>
      <w:r w:rsidRPr="0026057C">
        <w:rPr>
          <w:rStyle w:val="sw"/>
          <w:rFonts w:cs="Arial"/>
          <w:sz w:val="24"/>
          <w:szCs w:val="24"/>
        </w:rPr>
        <w:t>-</w:t>
      </w:r>
      <w:r w:rsidRPr="0026057C">
        <w:rPr>
          <w:sz w:val="24"/>
          <w:szCs w:val="24"/>
          <w:shd w:val="clear" w:color="auto" w:fill="FFFFFF"/>
        </w:rPr>
        <w:t xml:space="preserve"> </w:t>
      </w:r>
      <w:r w:rsidRPr="0026057C">
        <w:rPr>
          <w:rStyle w:val="sw"/>
          <w:rFonts w:cs="Arial"/>
          <w:sz w:val="24"/>
          <w:szCs w:val="24"/>
        </w:rPr>
        <w:t>An</w:t>
      </w:r>
      <w:r w:rsidRPr="0026057C">
        <w:rPr>
          <w:sz w:val="24"/>
          <w:szCs w:val="24"/>
          <w:shd w:val="clear" w:color="auto" w:fill="FFFFFF"/>
        </w:rPr>
        <w:t xml:space="preserve"> </w:t>
      </w:r>
      <w:r w:rsidRPr="0026057C">
        <w:rPr>
          <w:rStyle w:val="sw"/>
          <w:rFonts w:cs="Arial"/>
          <w:sz w:val="24"/>
          <w:szCs w:val="24"/>
        </w:rPr>
        <w:t>iconic</w:t>
      </w:r>
      <w:r w:rsidRPr="0026057C">
        <w:rPr>
          <w:sz w:val="24"/>
          <w:szCs w:val="24"/>
          <w:shd w:val="clear" w:color="auto" w:fill="FFFFFF"/>
        </w:rPr>
        <w:t xml:space="preserve"> </w:t>
      </w:r>
      <w:r w:rsidRPr="0026057C">
        <w:rPr>
          <w:rStyle w:val="sw"/>
          <w:rFonts w:cs="Arial"/>
          <w:sz w:val="24"/>
          <w:szCs w:val="24"/>
        </w:rPr>
        <w:t>brand</w:t>
      </w:r>
      <w:r w:rsidRPr="0026057C">
        <w:rPr>
          <w:sz w:val="24"/>
          <w:szCs w:val="24"/>
          <w:shd w:val="clear" w:color="auto" w:fill="FFFFFF"/>
        </w:rPr>
        <w:t xml:space="preserve"> </w:t>
      </w:r>
      <w:r w:rsidRPr="0026057C">
        <w:rPr>
          <w:rStyle w:val="sw"/>
          <w:rFonts w:cs="Arial"/>
          <w:sz w:val="24"/>
          <w:szCs w:val="24"/>
        </w:rPr>
        <w:t>with</w:t>
      </w:r>
      <w:r w:rsidRPr="0026057C">
        <w:rPr>
          <w:sz w:val="24"/>
          <w:szCs w:val="24"/>
          <w:shd w:val="clear" w:color="auto" w:fill="FFFFFF"/>
        </w:rPr>
        <w:t xml:space="preserve"> </w:t>
      </w:r>
      <w:r w:rsidRPr="0026057C">
        <w:rPr>
          <w:rStyle w:val="sw"/>
          <w:rFonts w:cs="Arial"/>
          <w:sz w:val="24"/>
          <w:szCs w:val="24"/>
        </w:rPr>
        <w:t>an</w:t>
      </w:r>
      <w:r w:rsidRPr="0026057C">
        <w:rPr>
          <w:sz w:val="24"/>
          <w:szCs w:val="24"/>
          <w:shd w:val="clear" w:color="auto" w:fill="FFFFFF"/>
        </w:rPr>
        <w:t xml:space="preserve"> </w:t>
      </w:r>
      <w:r w:rsidRPr="0026057C">
        <w:rPr>
          <w:rStyle w:val="sw"/>
          <w:rFonts w:cs="Arial"/>
          <w:sz w:val="24"/>
          <w:szCs w:val="24"/>
        </w:rPr>
        <w:t>unparalleled</w:t>
      </w:r>
      <w:r w:rsidRPr="0026057C">
        <w:rPr>
          <w:sz w:val="24"/>
          <w:szCs w:val="24"/>
          <w:shd w:val="clear" w:color="auto" w:fill="FFFFFF"/>
        </w:rPr>
        <w:t xml:space="preserve"> </w:t>
      </w:r>
      <w:r w:rsidRPr="0026057C">
        <w:rPr>
          <w:rStyle w:val="sw"/>
          <w:rFonts w:cs="Arial"/>
          <w:sz w:val="24"/>
          <w:szCs w:val="24"/>
        </w:rPr>
        <w:t>heritage</w:t>
      </w:r>
      <w:r w:rsidRPr="0026057C">
        <w:rPr>
          <w:sz w:val="24"/>
          <w:szCs w:val="24"/>
          <w:shd w:val="clear" w:color="auto" w:fill="FFFFFF"/>
        </w:rPr>
        <w:t xml:space="preserve"> </w:t>
      </w:r>
      <w:r w:rsidRPr="0026057C">
        <w:rPr>
          <w:rStyle w:val="sw"/>
          <w:rFonts w:cs="Arial"/>
          <w:sz w:val="24"/>
          <w:szCs w:val="24"/>
        </w:rPr>
        <w:t>has</w:t>
      </w:r>
      <w:r w:rsidRPr="0026057C">
        <w:rPr>
          <w:sz w:val="24"/>
          <w:szCs w:val="24"/>
          <w:shd w:val="clear" w:color="auto" w:fill="FFFFFF"/>
        </w:rPr>
        <w:t xml:space="preserve"> </w:t>
      </w:r>
      <w:r w:rsidRPr="0026057C">
        <w:rPr>
          <w:rStyle w:val="sw"/>
          <w:rFonts w:cs="Arial"/>
          <w:sz w:val="24"/>
          <w:szCs w:val="24"/>
        </w:rPr>
        <w:t>entered</w:t>
      </w:r>
      <w:r w:rsidRPr="0026057C">
        <w:rPr>
          <w:sz w:val="24"/>
          <w:szCs w:val="24"/>
          <w:shd w:val="clear" w:color="auto" w:fill="FFFFFF"/>
        </w:rPr>
        <w:t xml:space="preserve"> </w:t>
      </w:r>
      <w:r w:rsidRPr="0026057C">
        <w:rPr>
          <w:rStyle w:val="sw"/>
          <w:rFonts w:cs="Arial"/>
          <w:sz w:val="24"/>
          <w:szCs w:val="24"/>
        </w:rPr>
        <w:t>its</w:t>
      </w:r>
      <w:r w:rsidRPr="0026057C">
        <w:rPr>
          <w:sz w:val="24"/>
          <w:szCs w:val="24"/>
          <w:shd w:val="clear" w:color="auto" w:fill="FFFFFF"/>
        </w:rPr>
        <w:t xml:space="preserve"> </w:t>
      </w:r>
      <w:r w:rsidRPr="0026057C">
        <w:rPr>
          <w:rStyle w:val="sw"/>
          <w:rFonts w:cs="Arial"/>
          <w:sz w:val="24"/>
          <w:szCs w:val="24"/>
        </w:rPr>
        <w:t>second</w:t>
      </w:r>
      <w:r w:rsidRPr="0026057C">
        <w:rPr>
          <w:sz w:val="24"/>
          <w:szCs w:val="24"/>
          <w:shd w:val="clear" w:color="auto" w:fill="FFFFFF"/>
        </w:rPr>
        <w:t xml:space="preserve"> </w:t>
      </w:r>
      <w:r w:rsidRPr="0026057C">
        <w:rPr>
          <w:rStyle w:val="sw"/>
          <w:rFonts w:cs="Arial"/>
          <w:sz w:val="24"/>
          <w:szCs w:val="24"/>
        </w:rPr>
        <w:t>century.</w:t>
      </w:r>
      <w:r w:rsidRPr="0026057C">
        <w:rPr>
          <w:sz w:val="24"/>
          <w:szCs w:val="24"/>
          <w:shd w:val="clear" w:color="auto" w:fill="FFFFFF"/>
        </w:rPr>
        <w:t xml:space="preserve"> </w:t>
      </w:r>
      <w:r w:rsidRPr="0026057C">
        <w:rPr>
          <w:rStyle w:val="sw"/>
          <w:rFonts w:cs="Arial"/>
          <w:sz w:val="24"/>
          <w:szCs w:val="24"/>
        </w:rPr>
        <w:t>With</w:t>
      </w:r>
      <w:r w:rsidRPr="0026057C">
        <w:rPr>
          <w:sz w:val="24"/>
          <w:szCs w:val="24"/>
          <w:shd w:val="clear" w:color="auto" w:fill="FFFFFF"/>
        </w:rPr>
        <w:t xml:space="preserve"> </w:t>
      </w:r>
      <w:r w:rsidRPr="0026057C">
        <w:rPr>
          <w:rStyle w:val="sw"/>
          <w:rFonts w:cs="Arial"/>
          <w:sz w:val="24"/>
          <w:szCs w:val="24"/>
        </w:rPr>
        <w:t>new</w:t>
      </w:r>
      <w:r w:rsidRPr="0026057C">
        <w:rPr>
          <w:sz w:val="24"/>
          <w:szCs w:val="24"/>
          <w:shd w:val="clear" w:color="auto" w:fill="FFFFFF"/>
        </w:rPr>
        <w:t xml:space="preserve"> </w:t>
      </w:r>
      <w:r w:rsidRPr="0026057C">
        <w:rPr>
          <w:rStyle w:val="sw"/>
          <w:rFonts w:cs="Arial"/>
          <w:sz w:val="24"/>
          <w:szCs w:val="24"/>
        </w:rPr>
        <w:t>investments,</w:t>
      </w:r>
      <w:r w:rsidRPr="0026057C">
        <w:rPr>
          <w:sz w:val="24"/>
          <w:szCs w:val="24"/>
          <w:shd w:val="clear" w:color="auto" w:fill="FFFFFF"/>
        </w:rPr>
        <w:t xml:space="preserve"> </w:t>
      </w:r>
      <w:r w:rsidRPr="0026057C">
        <w:rPr>
          <w:rStyle w:val="sw"/>
          <w:rFonts w:cs="Arial"/>
          <w:sz w:val="24"/>
          <w:szCs w:val="24"/>
        </w:rPr>
        <w:t>a</w:t>
      </w:r>
      <w:r w:rsidRPr="0026057C">
        <w:rPr>
          <w:sz w:val="24"/>
          <w:szCs w:val="24"/>
          <w:shd w:val="clear" w:color="auto" w:fill="FFFFFF"/>
        </w:rPr>
        <w:t xml:space="preserve"> </w:t>
      </w:r>
      <w:r w:rsidRPr="0026057C">
        <w:rPr>
          <w:rStyle w:val="sw"/>
          <w:rFonts w:cs="Arial"/>
          <w:sz w:val="24"/>
          <w:szCs w:val="24"/>
        </w:rPr>
        <w:t>new</w:t>
      </w:r>
      <w:r w:rsidRPr="0026057C">
        <w:rPr>
          <w:sz w:val="24"/>
          <w:szCs w:val="24"/>
          <w:shd w:val="clear" w:color="auto" w:fill="FFFFFF"/>
        </w:rPr>
        <w:t xml:space="preserve"> </w:t>
      </w:r>
      <w:r w:rsidRPr="0026057C">
        <w:rPr>
          <w:rStyle w:val="sw"/>
          <w:rFonts w:cs="Arial"/>
          <w:sz w:val="24"/>
          <w:szCs w:val="24"/>
        </w:rPr>
        <w:t>CEO</w:t>
      </w:r>
      <w:r w:rsidRPr="0026057C">
        <w:rPr>
          <w:sz w:val="24"/>
          <w:szCs w:val="24"/>
          <w:shd w:val="clear" w:color="auto" w:fill="FFFFFF"/>
        </w:rPr>
        <w:t xml:space="preserve"> </w:t>
      </w:r>
      <w:r w:rsidRPr="0026057C">
        <w:rPr>
          <w:rStyle w:val="sw"/>
          <w:rFonts w:cs="Arial"/>
          <w:sz w:val="24"/>
          <w:szCs w:val="24"/>
        </w:rPr>
        <w:t>and</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most</w:t>
      </w:r>
      <w:r w:rsidRPr="0026057C">
        <w:rPr>
          <w:sz w:val="24"/>
          <w:szCs w:val="24"/>
          <w:shd w:val="clear" w:color="auto" w:fill="FFFFFF"/>
        </w:rPr>
        <w:t xml:space="preserve"> </w:t>
      </w:r>
      <w:r w:rsidRPr="0026057C">
        <w:rPr>
          <w:rStyle w:val="sw"/>
          <w:rFonts w:cs="Arial"/>
          <w:sz w:val="24"/>
          <w:szCs w:val="24"/>
        </w:rPr>
        <w:t>powerful</w:t>
      </w:r>
      <w:r w:rsidRPr="0026057C">
        <w:rPr>
          <w:sz w:val="24"/>
          <w:szCs w:val="24"/>
          <w:shd w:val="clear" w:color="auto" w:fill="FFFFFF"/>
        </w:rPr>
        <w:t xml:space="preserve"> </w:t>
      </w:r>
      <w:r w:rsidRPr="0026057C">
        <w:rPr>
          <w:rStyle w:val="sw"/>
          <w:rFonts w:cs="Arial"/>
          <w:sz w:val="24"/>
          <w:szCs w:val="24"/>
        </w:rPr>
        <w:t>model</w:t>
      </w:r>
      <w:r w:rsidRPr="0026057C">
        <w:rPr>
          <w:sz w:val="24"/>
          <w:szCs w:val="24"/>
          <w:shd w:val="clear" w:color="auto" w:fill="FFFFFF"/>
        </w:rPr>
        <w:t xml:space="preserve"> </w:t>
      </w:r>
      <w:r w:rsidRPr="0026057C">
        <w:rPr>
          <w:rStyle w:val="sw"/>
          <w:rFonts w:cs="Arial"/>
          <w:sz w:val="24"/>
          <w:szCs w:val="24"/>
        </w:rPr>
        <w:t>range</w:t>
      </w:r>
      <w:r w:rsidRPr="0026057C">
        <w:rPr>
          <w:sz w:val="24"/>
          <w:szCs w:val="24"/>
          <w:shd w:val="clear" w:color="auto" w:fill="FFFFFF"/>
        </w:rPr>
        <w:t xml:space="preserve"> </w:t>
      </w:r>
      <w:r w:rsidRPr="0026057C">
        <w:rPr>
          <w:rStyle w:val="sw"/>
          <w:rFonts w:cs="Arial"/>
          <w:sz w:val="24"/>
          <w:szCs w:val="24"/>
        </w:rPr>
        <w:t>in</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company's</w:t>
      </w:r>
      <w:r w:rsidRPr="0026057C">
        <w:rPr>
          <w:sz w:val="24"/>
          <w:szCs w:val="24"/>
          <w:shd w:val="clear" w:color="auto" w:fill="FFFFFF"/>
        </w:rPr>
        <w:t xml:space="preserve"> </w:t>
      </w:r>
      <w:r w:rsidRPr="0026057C">
        <w:rPr>
          <w:rStyle w:val="sw"/>
          <w:rFonts w:cs="Arial"/>
          <w:sz w:val="24"/>
          <w:szCs w:val="24"/>
        </w:rPr>
        <w:t>history,</w:t>
      </w:r>
      <w:r w:rsidRPr="0026057C">
        <w:rPr>
          <w:sz w:val="24"/>
          <w:szCs w:val="24"/>
          <w:shd w:val="clear" w:color="auto" w:fill="FFFFFF"/>
        </w:rPr>
        <w:t xml:space="preserve"> </w:t>
      </w:r>
      <w:r w:rsidRPr="0026057C">
        <w:rPr>
          <w:rStyle w:val="sw"/>
          <w:rFonts w:cs="Arial"/>
          <w:sz w:val="24"/>
          <w:szCs w:val="24"/>
        </w:rPr>
        <w:t>we</w:t>
      </w:r>
      <w:r w:rsidRPr="0026057C">
        <w:rPr>
          <w:sz w:val="24"/>
          <w:szCs w:val="24"/>
          <w:shd w:val="clear" w:color="auto" w:fill="FFFFFF"/>
        </w:rPr>
        <w:t xml:space="preserve"> </w:t>
      </w:r>
      <w:r w:rsidRPr="0026057C">
        <w:rPr>
          <w:rStyle w:val="sw"/>
          <w:rFonts w:cs="Arial"/>
          <w:sz w:val="24"/>
          <w:szCs w:val="24"/>
        </w:rPr>
        <w:t>now</w:t>
      </w:r>
      <w:r w:rsidRPr="0026057C">
        <w:rPr>
          <w:sz w:val="24"/>
          <w:szCs w:val="24"/>
          <w:shd w:val="clear" w:color="auto" w:fill="FFFFFF"/>
        </w:rPr>
        <w:t xml:space="preserve"> </w:t>
      </w:r>
      <w:r w:rsidRPr="0026057C">
        <w:rPr>
          <w:rStyle w:val="sw"/>
          <w:rFonts w:cs="Arial"/>
          <w:sz w:val="24"/>
          <w:szCs w:val="24"/>
        </w:rPr>
        <w:t>look</w:t>
      </w:r>
      <w:r w:rsidRPr="0026057C">
        <w:rPr>
          <w:sz w:val="24"/>
          <w:szCs w:val="24"/>
          <w:shd w:val="clear" w:color="auto" w:fill="FFFFFF"/>
        </w:rPr>
        <w:t xml:space="preserve"> </w:t>
      </w:r>
      <w:r w:rsidRPr="0026057C">
        <w:rPr>
          <w:rStyle w:val="sw"/>
          <w:rFonts w:cs="Arial"/>
          <w:sz w:val="24"/>
          <w:szCs w:val="24"/>
        </w:rPr>
        <w:t>ahead</w:t>
      </w:r>
      <w:r w:rsidRPr="0026057C">
        <w:rPr>
          <w:sz w:val="24"/>
          <w:szCs w:val="24"/>
          <w:shd w:val="clear" w:color="auto" w:fill="FFFFFF"/>
        </w:rPr>
        <w:t xml:space="preserve"> </w:t>
      </w:r>
      <w:r w:rsidRPr="0026057C">
        <w:rPr>
          <w:rStyle w:val="sw"/>
          <w:rFonts w:cs="Arial"/>
          <w:sz w:val="24"/>
          <w:szCs w:val="24"/>
        </w:rPr>
        <w:t>to</w:t>
      </w:r>
      <w:r w:rsidRPr="0026057C">
        <w:rPr>
          <w:sz w:val="24"/>
          <w:szCs w:val="24"/>
          <w:shd w:val="clear" w:color="auto" w:fill="FFFFFF"/>
        </w:rPr>
        <w:t xml:space="preserve"> </w:t>
      </w:r>
      <w:r w:rsidRPr="0026057C">
        <w:rPr>
          <w:rStyle w:val="sw"/>
          <w:rFonts w:cs="Arial"/>
          <w:sz w:val="24"/>
          <w:szCs w:val="24"/>
        </w:rPr>
        <w:t>an</w:t>
      </w:r>
      <w:r w:rsidRPr="0026057C">
        <w:rPr>
          <w:sz w:val="24"/>
          <w:szCs w:val="24"/>
          <w:shd w:val="clear" w:color="auto" w:fill="FFFFFF"/>
        </w:rPr>
        <w:t xml:space="preserve"> </w:t>
      </w:r>
      <w:r w:rsidRPr="0026057C">
        <w:rPr>
          <w:rStyle w:val="sw"/>
          <w:rFonts w:cs="Arial"/>
          <w:sz w:val="24"/>
          <w:szCs w:val="24"/>
        </w:rPr>
        <w:t>exciting</w:t>
      </w:r>
      <w:r w:rsidRPr="0026057C">
        <w:rPr>
          <w:sz w:val="24"/>
          <w:szCs w:val="24"/>
          <w:shd w:val="clear" w:color="auto" w:fill="FFFFFF"/>
        </w:rPr>
        <w:t xml:space="preserve"> </w:t>
      </w:r>
      <w:r w:rsidRPr="0026057C">
        <w:rPr>
          <w:rStyle w:val="sw"/>
          <w:rFonts w:cs="Arial"/>
          <w:sz w:val="24"/>
          <w:szCs w:val="24"/>
        </w:rPr>
        <w:t>future.</w:t>
      </w:r>
      <w:r w:rsidRPr="0026057C">
        <w:rPr>
          <w:sz w:val="24"/>
          <w:szCs w:val="24"/>
          <w:shd w:val="clear" w:color="auto" w:fill="FFFFFF"/>
        </w:rPr>
        <w:t xml:space="preserve"> H</w:t>
      </w:r>
      <w:r w:rsidRPr="0026057C">
        <w:rPr>
          <w:rStyle w:val="sw"/>
          <w:rFonts w:cs="Arial"/>
          <w:sz w:val="24"/>
          <w:szCs w:val="24"/>
        </w:rPr>
        <w:t>eadquarters</w:t>
      </w:r>
      <w:r w:rsidRPr="0026057C">
        <w:rPr>
          <w:sz w:val="24"/>
          <w:szCs w:val="24"/>
          <w:shd w:val="clear" w:color="auto" w:fill="FFFFFF"/>
        </w:rPr>
        <w:t xml:space="preserve"> </w:t>
      </w:r>
      <w:r w:rsidRPr="0026057C">
        <w:rPr>
          <w:rStyle w:val="sw"/>
          <w:rFonts w:cs="Arial"/>
          <w:sz w:val="24"/>
          <w:szCs w:val="24"/>
        </w:rPr>
        <w:t>is</w:t>
      </w:r>
      <w:r w:rsidRPr="0026057C">
        <w:rPr>
          <w:sz w:val="24"/>
          <w:szCs w:val="24"/>
          <w:shd w:val="clear" w:color="auto" w:fill="FFFFFF"/>
        </w:rPr>
        <w:t xml:space="preserve"> </w:t>
      </w:r>
      <w:r w:rsidRPr="0026057C">
        <w:rPr>
          <w:rStyle w:val="sw"/>
          <w:rFonts w:cs="Arial"/>
          <w:sz w:val="24"/>
          <w:szCs w:val="24"/>
        </w:rPr>
        <w:t>built</w:t>
      </w:r>
      <w:r w:rsidRPr="0026057C">
        <w:rPr>
          <w:sz w:val="24"/>
          <w:szCs w:val="24"/>
          <w:shd w:val="clear" w:color="auto" w:fill="FFFFFF"/>
        </w:rPr>
        <w:t xml:space="preserve"> </w:t>
      </w:r>
      <w:r w:rsidRPr="0026057C">
        <w:rPr>
          <w:rStyle w:val="sw"/>
          <w:rFonts w:cs="Arial"/>
          <w:sz w:val="24"/>
          <w:szCs w:val="24"/>
        </w:rPr>
        <w:t>on</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passion,</w:t>
      </w:r>
      <w:r w:rsidRPr="0026057C">
        <w:rPr>
          <w:sz w:val="24"/>
          <w:szCs w:val="24"/>
          <w:shd w:val="clear" w:color="auto" w:fill="FFFFFF"/>
        </w:rPr>
        <w:t xml:space="preserve"> </w:t>
      </w:r>
      <w:r w:rsidRPr="0026057C">
        <w:rPr>
          <w:rStyle w:val="sw"/>
          <w:rFonts w:cs="Arial"/>
          <w:sz w:val="24"/>
          <w:szCs w:val="24"/>
        </w:rPr>
        <w:t>skill</w:t>
      </w:r>
      <w:r w:rsidRPr="0026057C">
        <w:rPr>
          <w:sz w:val="24"/>
          <w:szCs w:val="24"/>
          <w:shd w:val="clear" w:color="auto" w:fill="FFFFFF"/>
        </w:rPr>
        <w:t xml:space="preserve"> </w:t>
      </w:r>
      <w:r w:rsidRPr="0026057C">
        <w:rPr>
          <w:rStyle w:val="sw"/>
          <w:rFonts w:cs="Arial"/>
          <w:sz w:val="24"/>
          <w:szCs w:val="24"/>
        </w:rPr>
        <w:t>and</w:t>
      </w:r>
      <w:r w:rsidRPr="0026057C">
        <w:rPr>
          <w:sz w:val="24"/>
          <w:szCs w:val="24"/>
          <w:shd w:val="clear" w:color="auto" w:fill="FFFFFF"/>
        </w:rPr>
        <w:t xml:space="preserve"> </w:t>
      </w:r>
      <w:r w:rsidRPr="0026057C">
        <w:rPr>
          <w:rStyle w:val="sw"/>
          <w:rFonts w:cs="Arial"/>
          <w:sz w:val="24"/>
          <w:szCs w:val="24"/>
        </w:rPr>
        <w:t>creativity</w:t>
      </w:r>
      <w:r w:rsidRPr="0026057C">
        <w:rPr>
          <w:sz w:val="24"/>
          <w:szCs w:val="24"/>
          <w:shd w:val="clear" w:color="auto" w:fill="FFFFFF"/>
        </w:rPr>
        <w:t xml:space="preserve"> </w:t>
      </w:r>
      <w:r w:rsidRPr="0026057C">
        <w:rPr>
          <w:rStyle w:val="sw"/>
          <w:rFonts w:cs="Arial"/>
          <w:sz w:val="24"/>
          <w:szCs w:val="24"/>
        </w:rPr>
        <w:t>of</w:t>
      </w:r>
      <w:r w:rsidRPr="0026057C">
        <w:rPr>
          <w:sz w:val="24"/>
          <w:szCs w:val="24"/>
          <w:shd w:val="clear" w:color="auto" w:fill="FFFFFF"/>
        </w:rPr>
        <w:t xml:space="preserve"> </w:t>
      </w:r>
      <w:r w:rsidRPr="0026057C">
        <w:rPr>
          <w:rStyle w:val="sw"/>
          <w:rFonts w:cs="Arial"/>
          <w:sz w:val="24"/>
          <w:szCs w:val="24"/>
        </w:rPr>
        <w:t>people</w:t>
      </w:r>
      <w:r w:rsidRPr="0026057C">
        <w:rPr>
          <w:sz w:val="24"/>
          <w:szCs w:val="24"/>
          <w:shd w:val="clear" w:color="auto" w:fill="FFFFFF"/>
        </w:rPr>
        <w:t xml:space="preserve"> </w:t>
      </w:r>
      <w:r w:rsidRPr="0026057C">
        <w:rPr>
          <w:rStyle w:val="sw"/>
          <w:rFonts w:cs="Arial"/>
          <w:sz w:val="24"/>
          <w:szCs w:val="24"/>
        </w:rPr>
        <w:t>who</w:t>
      </w:r>
      <w:r w:rsidRPr="0026057C">
        <w:rPr>
          <w:sz w:val="24"/>
          <w:szCs w:val="24"/>
          <w:shd w:val="clear" w:color="auto" w:fill="FFFFFF"/>
        </w:rPr>
        <w:t xml:space="preserve"> </w:t>
      </w:r>
      <w:r w:rsidRPr="0026057C">
        <w:rPr>
          <w:rStyle w:val="sw"/>
          <w:rFonts w:cs="Arial"/>
          <w:sz w:val="24"/>
          <w:szCs w:val="24"/>
        </w:rPr>
        <w:t>dedicate</w:t>
      </w:r>
      <w:r w:rsidRPr="0026057C">
        <w:rPr>
          <w:sz w:val="24"/>
          <w:szCs w:val="24"/>
          <w:shd w:val="clear" w:color="auto" w:fill="FFFFFF"/>
        </w:rPr>
        <w:t xml:space="preserve"> </w:t>
      </w:r>
      <w:r w:rsidRPr="0026057C">
        <w:rPr>
          <w:rStyle w:val="sw"/>
          <w:rFonts w:cs="Arial"/>
          <w:sz w:val="24"/>
          <w:szCs w:val="24"/>
        </w:rPr>
        <w:t>their</w:t>
      </w:r>
      <w:r w:rsidRPr="0026057C">
        <w:rPr>
          <w:sz w:val="24"/>
          <w:szCs w:val="24"/>
          <w:shd w:val="clear" w:color="auto" w:fill="FFFFFF"/>
        </w:rPr>
        <w:t xml:space="preserve"> </w:t>
      </w:r>
      <w:r w:rsidRPr="0026057C">
        <w:rPr>
          <w:rStyle w:val="sw"/>
          <w:rFonts w:cs="Arial"/>
          <w:sz w:val="24"/>
          <w:szCs w:val="24"/>
        </w:rPr>
        <w:t>lives</w:t>
      </w:r>
      <w:r w:rsidRPr="0026057C">
        <w:rPr>
          <w:sz w:val="24"/>
          <w:szCs w:val="24"/>
          <w:shd w:val="clear" w:color="auto" w:fill="FFFFFF"/>
        </w:rPr>
        <w:t xml:space="preserve"> </w:t>
      </w:r>
      <w:r w:rsidRPr="0026057C">
        <w:rPr>
          <w:rStyle w:val="sw"/>
          <w:rFonts w:cs="Arial"/>
          <w:sz w:val="24"/>
          <w:szCs w:val="24"/>
        </w:rPr>
        <w:t>to</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world's</w:t>
      </w:r>
      <w:r w:rsidRPr="0026057C">
        <w:rPr>
          <w:sz w:val="24"/>
          <w:szCs w:val="24"/>
          <w:shd w:val="clear" w:color="auto" w:fill="FFFFFF"/>
        </w:rPr>
        <w:t xml:space="preserve"> </w:t>
      </w:r>
      <w:r w:rsidRPr="0026057C">
        <w:rPr>
          <w:rStyle w:val="sw"/>
          <w:rFonts w:cs="Arial"/>
          <w:sz w:val="24"/>
          <w:szCs w:val="24"/>
        </w:rPr>
        <w:t>most</w:t>
      </w:r>
      <w:r w:rsidRPr="0026057C">
        <w:rPr>
          <w:sz w:val="24"/>
          <w:szCs w:val="24"/>
          <w:shd w:val="clear" w:color="auto" w:fill="FFFFFF"/>
        </w:rPr>
        <w:t xml:space="preserve"> </w:t>
      </w:r>
      <w:r w:rsidRPr="0026057C">
        <w:rPr>
          <w:rStyle w:val="sw"/>
          <w:rFonts w:cs="Arial"/>
          <w:sz w:val="24"/>
          <w:szCs w:val="24"/>
        </w:rPr>
        <w:t>famous</w:t>
      </w:r>
      <w:r w:rsidRPr="0026057C">
        <w:rPr>
          <w:sz w:val="24"/>
          <w:szCs w:val="24"/>
          <w:shd w:val="clear" w:color="auto" w:fill="FFFFFF"/>
        </w:rPr>
        <w:t xml:space="preserve"> </w:t>
      </w:r>
      <w:r w:rsidRPr="0026057C">
        <w:rPr>
          <w:rStyle w:val="sw"/>
          <w:rFonts w:cs="Arial"/>
          <w:sz w:val="24"/>
          <w:szCs w:val="24"/>
        </w:rPr>
        <w:t>brands.</w:t>
      </w:r>
      <w:r w:rsidRPr="0026057C">
        <w:rPr>
          <w:sz w:val="24"/>
          <w:szCs w:val="24"/>
          <w:shd w:val="clear" w:color="auto" w:fill="FFFFFF"/>
        </w:rPr>
        <w:t xml:space="preserve"> </w:t>
      </w:r>
      <w:r w:rsidRPr="0026057C">
        <w:rPr>
          <w:rStyle w:val="sw"/>
          <w:rFonts w:cs="Arial"/>
          <w:sz w:val="24"/>
          <w:szCs w:val="24"/>
        </w:rPr>
        <w:t>Every</w:t>
      </w:r>
      <w:r w:rsidRPr="0026057C">
        <w:rPr>
          <w:sz w:val="24"/>
          <w:szCs w:val="24"/>
          <w:shd w:val="clear" w:color="auto" w:fill="FFFFFF"/>
        </w:rPr>
        <w:t xml:space="preserve"> </w:t>
      </w:r>
      <w:r w:rsidRPr="0026057C">
        <w:rPr>
          <w:rStyle w:val="sw"/>
          <w:rFonts w:cs="Arial"/>
          <w:sz w:val="24"/>
          <w:szCs w:val="24"/>
        </w:rPr>
        <w:t>intricate</w:t>
      </w:r>
      <w:r w:rsidRPr="0026057C">
        <w:rPr>
          <w:sz w:val="24"/>
          <w:szCs w:val="24"/>
          <w:shd w:val="clear" w:color="auto" w:fill="FFFFFF"/>
        </w:rPr>
        <w:t xml:space="preserve"> </w:t>
      </w:r>
      <w:r w:rsidRPr="0026057C">
        <w:rPr>
          <w:rStyle w:val="sw"/>
          <w:rFonts w:cs="Arial"/>
          <w:sz w:val="24"/>
          <w:szCs w:val="24"/>
        </w:rPr>
        <w:t>stitch,</w:t>
      </w:r>
      <w:r w:rsidRPr="0026057C">
        <w:rPr>
          <w:sz w:val="24"/>
          <w:szCs w:val="24"/>
          <w:shd w:val="clear" w:color="auto" w:fill="FFFFFF"/>
        </w:rPr>
        <w:t xml:space="preserve"> </w:t>
      </w:r>
      <w:r w:rsidRPr="0026057C">
        <w:rPr>
          <w:rStyle w:val="sw"/>
          <w:rFonts w:cs="Arial"/>
          <w:sz w:val="24"/>
          <w:szCs w:val="24"/>
        </w:rPr>
        <w:t>every</w:t>
      </w:r>
      <w:r w:rsidRPr="0026057C">
        <w:rPr>
          <w:sz w:val="24"/>
          <w:szCs w:val="24"/>
          <w:shd w:val="clear" w:color="auto" w:fill="FFFFFF"/>
        </w:rPr>
        <w:t xml:space="preserve"> </w:t>
      </w:r>
      <w:r w:rsidRPr="0026057C">
        <w:rPr>
          <w:rStyle w:val="sw"/>
          <w:rFonts w:cs="Arial"/>
          <w:sz w:val="24"/>
          <w:szCs w:val="24"/>
        </w:rPr>
        <w:t>beautifully</w:t>
      </w:r>
      <w:r w:rsidRPr="0026057C">
        <w:rPr>
          <w:sz w:val="24"/>
          <w:szCs w:val="24"/>
          <w:shd w:val="clear" w:color="auto" w:fill="FFFFFF"/>
        </w:rPr>
        <w:t xml:space="preserve"> </w:t>
      </w:r>
      <w:r w:rsidRPr="0026057C">
        <w:rPr>
          <w:rStyle w:val="sw"/>
          <w:rFonts w:cs="Arial"/>
          <w:sz w:val="24"/>
          <w:szCs w:val="24"/>
        </w:rPr>
        <w:t>drawn</w:t>
      </w:r>
      <w:r w:rsidRPr="0026057C">
        <w:rPr>
          <w:sz w:val="24"/>
          <w:szCs w:val="24"/>
          <w:shd w:val="clear" w:color="auto" w:fill="FFFFFF"/>
        </w:rPr>
        <w:t xml:space="preserve"> </w:t>
      </w:r>
      <w:r w:rsidRPr="0026057C">
        <w:rPr>
          <w:rStyle w:val="sw"/>
          <w:rFonts w:cs="Arial"/>
          <w:sz w:val="24"/>
          <w:szCs w:val="24"/>
        </w:rPr>
        <w:t>line,</w:t>
      </w:r>
      <w:r w:rsidRPr="0026057C">
        <w:rPr>
          <w:sz w:val="24"/>
          <w:szCs w:val="24"/>
          <w:shd w:val="clear" w:color="auto" w:fill="FFFFFF"/>
        </w:rPr>
        <w:t xml:space="preserve"> </w:t>
      </w:r>
      <w:r w:rsidRPr="0026057C">
        <w:rPr>
          <w:rStyle w:val="sw"/>
          <w:rFonts w:cs="Arial"/>
          <w:sz w:val="24"/>
          <w:szCs w:val="24"/>
        </w:rPr>
        <w:t>and</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evocative</w:t>
      </w:r>
      <w:r w:rsidRPr="0026057C">
        <w:rPr>
          <w:sz w:val="24"/>
          <w:szCs w:val="24"/>
          <w:shd w:val="clear" w:color="auto" w:fill="FFFFFF"/>
        </w:rPr>
        <w:t xml:space="preserve"> </w:t>
      </w:r>
      <w:r w:rsidRPr="0026057C">
        <w:rPr>
          <w:rStyle w:val="sw"/>
          <w:rFonts w:cs="Arial"/>
          <w:sz w:val="24"/>
          <w:szCs w:val="24"/>
        </w:rPr>
        <w:t>engine</w:t>
      </w:r>
      <w:r w:rsidRPr="0026057C">
        <w:rPr>
          <w:sz w:val="24"/>
          <w:szCs w:val="24"/>
          <w:shd w:val="clear" w:color="auto" w:fill="FFFFFF"/>
        </w:rPr>
        <w:t xml:space="preserve"> </w:t>
      </w:r>
      <w:r w:rsidRPr="0026057C">
        <w:rPr>
          <w:rStyle w:val="sw"/>
          <w:rFonts w:cs="Arial"/>
          <w:sz w:val="24"/>
          <w:szCs w:val="24"/>
        </w:rPr>
        <w:t>sound</w:t>
      </w:r>
      <w:r w:rsidRPr="0026057C">
        <w:rPr>
          <w:sz w:val="24"/>
          <w:szCs w:val="24"/>
          <w:shd w:val="clear" w:color="auto" w:fill="FFFFFF"/>
        </w:rPr>
        <w:t xml:space="preserve"> </w:t>
      </w:r>
      <w:r w:rsidRPr="0026057C">
        <w:rPr>
          <w:rStyle w:val="sw"/>
          <w:rFonts w:cs="Arial"/>
          <w:sz w:val="24"/>
          <w:szCs w:val="24"/>
        </w:rPr>
        <w:t>are</w:t>
      </w:r>
      <w:r w:rsidRPr="0026057C">
        <w:rPr>
          <w:sz w:val="24"/>
          <w:szCs w:val="24"/>
          <w:shd w:val="clear" w:color="auto" w:fill="FFFFFF"/>
        </w:rPr>
        <w:t xml:space="preserve"> </w:t>
      </w:r>
      <w:r w:rsidRPr="0026057C">
        <w:rPr>
          <w:rStyle w:val="sw"/>
          <w:rFonts w:cs="Arial"/>
          <w:sz w:val="24"/>
          <w:szCs w:val="24"/>
        </w:rPr>
        <w:t>a</w:t>
      </w:r>
      <w:r w:rsidRPr="0026057C">
        <w:rPr>
          <w:sz w:val="24"/>
          <w:szCs w:val="24"/>
          <w:shd w:val="clear" w:color="auto" w:fill="FFFFFF"/>
        </w:rPr>
        <w:t xml:space="preserve"> </w:t>
      </w:r>
      <w:r w:rsidRPr="0026057C">
        <w:rPr>
          <w:rStyle w:val="sw"/>
          <w:rFonts w:cs="Arial"/>
          <w:sz w:val="24"/>
          <w:szCs w:val="24"/>
        </w:rPr>
        <w:t>manifestation</w:t>
      </w:r>
      <w:r w:rsidRPr="0026057C">
        <w:rPr>
          <w:sz w:val="24"/>
          <w:szCs w:val="24"/>
          <w:shd w:val="clear" w:color="auto" w:fill="FFFFFF"/>
        </w:rPr>
        <w:t xml:space="preserve"> </w:t>
      </w:r>
      <w:r w:rsidRPr="0026057C">
        <w:rPr>
          <w:rStyle w:val="sw"/>
          <w:rFonts w:cs="Arial"/>
          <w:sz w:val="24"/>
          <w:szCs w:val="24"/>
        </w:rPr>
        <w:t>of</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desire</w:t>
      </w:r>
      <w:r w:rsidRPr="0026057C">
        <w:rPr>
          <w:sz w:val="24"/>
          <w:szCs w:val="24"/>
          <w:shd w:val="clear" w:color="auto" w:fill="FFFFFF"/>
        </w:rPr>
        <w:t xml:space="preserve"> </w:t>
      </w:r>
      <w:r w:rsidRPr="0026057C">
        <w:rPr>
          <w:rStyle w:val="sw"/>
          <w:rFonts w:cs="Arial"/>
          <w:sz w:val="24"/>
          <w:szCs w:val="24"/>
        </w:rPr>
        <w:t>and</w:t>
      </w:r>
      <w:r w:rsidRPr="0026057C">
        <w:rPr>
          <w:sz w:val="24"/>
          <w:szCs w:val="24"/>
          <w:shd w:val="clear" w:color="auto" w:fill="FFFFFF"/>
        </w:rPr>
        <w:t xml:space="preserve"> </w:t>
      </w:r>
      <w:r w:rsidRPr="0026057C">
        <w:rPr>
          <w:rStyle w:val="sw"/>
          <w:rFonts w:cs="Arial"/>
          <w:sz w:val="24"/>
          <w:szCs w:val="24"/>
        </w:rPr>
        <w:t>collective</w:t>
      </w:r>
      <w:r w:rsidRPr="0026057C">
        <w:rPr>
          <w:sz w:val="24"/>
          <w:szCs w:val="24"/>
          <w:shd w:val="clear" w:color="auto" w:fill="FFFFFF"/>
        </w:rPr>
        <w:t xml:space="preserve"> </w:t>
      </w:r>
      <w:r w:rsidRPr="0026057C">
        <w:rPr>
          <w:rStyle w:val="sw"/>
          <w:rFonts w:cs="Arial"/>
          <w:sz w:val="24"/>
          <w:szCs w:val="24"/>
        </w:rPr>
        <w:t>spirit</w:t>
      </w:r>
      <w:r w:rsidRPr="0026057C">
        <w:rPr>
          <w:sz w:val="24"/>
          <w:szCs w:val="24"/>
          <w:shd w:val="clear" w:color="auto" w:fill="FFFFFF"/>
        </w:rPr>
        <w:t xml:space="preserve"> </w:t>
      </w:r>
      <w:r w:rsidRPr="0026057C">
        <w:rPr>
          <w:rStyle w:val="sw"/>
          <w:rFonts w:cs="Arial"/>
          <w:sz w:val="24"/>
          <w:szCs w:val="24"/>
        </w:rPr>
        <w:t>to</w:t>
      </w:r>
      <w:r w:rsidRPr="0026057C">
        <w:rPr>
          <w:sz w:val="24"/>
          <w:szCs w:val="24"/>
          <w:shd w:val="clear" w:color="auto" w:fill="FFFFFF"/>
        </w:rPr>
        <w:t xml:space="preserve"> </w:t>
      </w:r>
      <w:r w:rsidRPr="0026057C">
        <w:rPr>
          <w:rStyle w:val="sw"/>
          <w:rFonts w:cs="Arial"/>
          <w:sz w:val="24"/>
          <w:szCs w:val="24"/>
        </w:rPr>
        <w:t>create</w:t>
      </w:r>
      <w:r w:rsidRPr="0026057C">
        <w:rPr>
          <w:sz w:val="24"/>
          <w:szCs w:val="24"/>
          <w:shd w:val="clear" w:color="auto" w:fill="FFFFFF"/>
        </w:rPr>
        <w:t xml:space="preserve"> </w:t>
      </w:r>
      <w:r w:rsidRPr="0026057C">
        <w:rPr>
          <w:rStyle w:val="sw"/>
          <w:rFonts w:cs="Arial"/>
          <w:sz w:val="24"/>
          <w:szCs w:val="24"/>
        </w:rPr>
        <w:t>the</w:t>
      </w:r>
      <w:r w:rsidRPr="0026057C">
        <w:rPr>
          <w:sz w:val="24"/>
          <w:szCs w:val="24"/>
          <w:shd w:val="clear" w:color="auto" w:fill="FFFFFF"/>
        </w:rPr>
        <w:t xml:space="preserve"> </w:t>
      </w:r>
      <w:r w:rsidRPr="0026057C">
        <w:rPr>
          <w:rStyle w:val="sw"/>
          <w:rFonts w:cs="Arial"/>
          <w:sz w:val="24"/>
          <w:szCs w:val="24"/>
        </w:rPr>
        <w:t>most</w:t>
      </w:r>
      <w:r w:rsidRPr="0026057C">
        <w:rPr>
          <w:sz w:val="24"/>
          <w:szCs w:val="24"/>
          <w:shd w:val="clear" w:color="auto" w:fill="FFFFFF"/>
        </w:rPr>
        <w:t xml:space="preserve"> </w:t>
      </w:r>
      <w:r w:rsidRPr="0026057C">
        <w:rPr>
          <w:rStyle w:val="sw"/>
          <w:rFonts w:cs="Arial"/>
          <w:sz w:val="24"/>
          <w:szCs w:val="24"/>
        </w:rPr>
        <w:t>beautiful</w:t>
      </w:r>
      <w:r w:rsidRPr="0026057C">
        <w:rPr>
          <w:sz w:val="24"/>
          <w:szCs w:val="24"/>
          <w:shd w:val="clear" w:color="auto" w:fill="FFFFFF"/>
        </w:rPr>
        <w:t xml:space="preserve"> </w:t>
      </w:r>
      <w:r w:rsidRPr="0026057C">
        <w:rPr>
          <w:rStyle w:val="sw"/>
          <w:rFonts w:cs="Arial"/>
          <w:sz w:val="24"/>
          <w:szCs w:val="24"/>
        </w:rPr>
        <w:t>cars.</w:t>
      </w:r>
    </w:p>
    <w:p w14:paraId="7EADE6AC" w14:textId="47A52833" w:rsidR="00430BB8" w:rsidRPr="0026057C" w:rsidRDefault="00430BB8" w:rsidP="0026057C">
      <w:pPr>
        <w:jc w:val="both"/>
        <w:rPr>
          <w:sz w:val="24"/>
          <w:szCs w:val="24"/>
          <w:shd w:val="clear" w:color="auto" w:fill="FFFFFF"/>
        </w:rPr>
      </w:pPr>
      <w:r w:rsidRPr="0026057C">
        <w:rPr>
          <w:sz w:val="24"/>
          <w:szCs w:val="24"/>
          <w:shd w:val="clear" w:color="auto" w:fill="FFFFFF"/>
        </w:rPr>
        <w:t>Aston Martin Lagonda Global Holdings PLC is an independent manufacturer of luxury vehicles. The company designs, engineers and manufactures sports cars in Warwickshire, England and sells these models through a network of dealers. It also maintains sports cars, all under the Aston Martin brand name. Geographically, we are present in the United Kingdom, the Americas, the rest of Europe, the Middle East and Africa, and Asia Pacific, with the Americas generating the largest turnover.</w:t>
      </w:r>
    </w:p>
    <w:p w14:paraId="6E884241" w14:textId="61531393" w:rsidR="00430BB8" w:rsidRPr="0026057C" w:rsidRDefault="00364B44" w:rsidP="0026057C">
      <w:pPr>
        <w:jc w:val="both"/>
        <w:rPr>
          <w:sz w:val="24"/>
          <w:szCs w:val="24"/>
          <w:shd w:val="clear" w:color="auto" w:fill="FFFFFF"/>
        </w:rPr>
      </w:pPr>
      <w:r w:rsidRPr="0026057C">
        <w:rPr>
          <w:sz w:val="24"/>
          <w:szCs w:val="24"/>
          <w:shd w:val="clear" w:color="auto" w:fill="FFFFFF"/>
        </w:rPr>
        <w:t xml:space="preserve">In this </w:t>
      </w:r>
      <w:r w:rsidR="00F5745A" w:rsidRPr="0026057C">
        <w:rPr>
          <w:sz w:val="24"/>
          <w:szCs w:val="24"/>
          <w:shd w:val="clear" w:color="auto" w:fill="FFFFFF"/>
        </w:rPr>
        <w:t>report,</w:t>
      </w:r>
      <w:r w:rsidRPr="0026057C">
        <w:rPr>
          <w:sz w:val="24"/>
          <w:szCs w:val="24"/>
          <w:shd w:val="clear" w:color="auto" w:fill="FFFFFF"/>
        </w:rPr>
        <w:t xml:space="preserve"> we will look into Aston Martin profit and losses, balance sheets and other reports from 2020, 2021 and 2022 to analyze Profitability, Liquidity, Efficiency, Investment and Gearing ratios.</w:t>
      </w:r>
    </w:p>
    <w:p w14:paraId="4B22E9A9" w14:textId="595AB540" w:rsidR="00F5745A" w:rsidRPr="00F5745A" w:rsidRDefault="00F5745A" w:rsidP="00F5745A">
      <w:pPr>
        <w:pStyle w:val="ListParagraph"/>
        <w:numPr>
          <w:ilvl w:val="0"/>
          <w:numId w:val="9"/>
        </w:numPr>
        <w:jc w:val="both"/>
        <w:rPr>
          <w:rFonts w:cs="Arial"/>
          <w:b/>
          <w:sz w:val="32"/>
          <w:szCs w:val="32"/>
          <w:shd w:val="clear" w:color="auto" w:fill="FFFFFF"/>
        </w:rPr>
      </w:pPr>
      <w:r w:rsidRPr="00F5745A">
        <w:rPr>
          <w:rFonts w:cs="Arial"/>
          <w:b/>
          <w:sz w:val="32"/>
          <w:szCs w:val="32"/>
          <w:shd w:val="clear" w:color="auto" w:fill="FFFFFF"/>
        </w:rPr>
        <w:t>Aston Martin Ratio results</w:t>
      </w:r>
    </w:p>
    <w:p w14:paraId="2C8CF630" w14:textId="77777777" w:rsidR="00F5745A" w:rsidRPr="0026057C" w:rsidRDefault="00F5745A" w:rsidP="0026057C">
      <w:pPr>
        <w:jc w:val="both"/>
        <w:rPr>
          <w:sz w:val="24"/>
          <w:szCs w:val="24"/>
          <w:shd w:val="clear" w:color="auto" w:fill="FFFFFF"/>
        </w:rPr>
      </w:pPr>
      <w:r w:rsidRPr="0026057C">
        <w:rPr>
          <w:sz w:val="24"/>
          <w:szCs w:val="24"/>
          <w:shd w:val="clear" w:color="auto" w:fill="FFFFFF"/>
        </w:rPr>
        <w:t>Financial statements are important reports that summarize a company's financial results, financial position, and cash flows. They provide important accounting information that helps companies track their financial activities and attract potential investors. There are different types, each with its own method of calculation and interpretation.</w:t>
      </w:r>
    </w:p>
    <w:p w14:paraId="234CCF06" w14:textId="36CD4C0E" w:rsidR="00F5745A" w:rsidRPr="0026057C" w:rsidRDefault="00F5745A" w:rsidP="0026057C">
      <w:pPr>
        <w:jc w:val="both"/>
        <w:rPr>
          <w:sz w:val="24"/>
          <w:szCs w:val="24"/>
          <w:shd w:val="clear" w:color="auto" w:fill="FFFFFF"/>
        </w:rPr>
      </w:pPr>
      <w:r w:rsidRPr="0026057C">
        <w:rPr>
          <w:sz w:val="24"/>
          <w:szCs w:val="24"/>
          <w:shd w:val="clear" w:color="auto" w:fill="FFFFFF"/>
        </w:rPr>
        <w:t>In comprehensive balance sheet analysis, analysts typically use multiple years of data to perform horizontal analysis. Each deal is also analyzed in vertical analysis to understand how different categories of deals affect the outcome. Finally, ratio analysis can be used to isolate some performance metrics for each statement and join data points across statements.</w:t>
      </w:r>
    </w:p>
    <w:p w14:paraId="2681E8F3" w14:textId="60D28C1D" w:rsidR="00F5745A" w:rsidRDefault="00F5745A" w:rsidP="00F5745A">
      <w:pPr>
        <w:rPr>
          <w:rFonts w:cs="Arial"/>
          <w:b/>
          <w:bCs/>
          <w:color w:val="000000"/>
          <w:sz w:val="32"/>
          <w:szCs w:val="32"/>
          <w:shd w:val="clear" w:color="auto" w:fill="FFFFFF"/>
        </w:rPr>
      </w:pPr>
    </w:p>
    <w:p w14:paraId="075CA474" w14:textId="2C6B3EA1" w:rsidR="00F5745A" w:rsidRDefault="00F5745A" w:rsidP="00F5745A">
      <w:pPr>
        <w:rPr>
          <w:rFonts w:cs="Arial"/>
          <w:b/>
          <w:bCs/>
          <w:color w:val="000000"/>
          <w:sz w:val="32"/>
          <w:szCs w:val="32"/>
          <w:shd w:val="clear" w:color="auto" w:fill="FFFFFF"/>
        </w:rPr>
      </w:pPr>
    </w:p>
    <w:p w14:paraId="294E6607" w14:textId="3FACF595" w:rsidR="0026057C" w:rsidRDefault="0026057C" w:rsidP="00F5745A">
      <w:pPr>
        <w:rPr>
          <w:rFonts w:cs="Arial"/>
          <w:b/>
          <w:bCs/>
          <w:color w:val="000000"/>
          <w:sz w:val="32"/>
          <w:szCs w:val="32"/>
          <w:shd w:val="clear" w:color="auto" w:fill="FFFFFF"/>
        </w:rPr>
      </w:pPr>
    </w:p>
    <w:p w14:paraId="69562334" w14:textId="7F13B508" w:rsidR="0026057C" w:rsidRDefault="0026057C" w:rsidP="00F5745A">
      <w:pPr>
        <w:rPr>
          <w:rFonts w:cs="Arial"/>
          <w:b/>
          <w:bCs/>
          <w:color w:val="000000"/>
          <w:sz w:val="32"/>
          <w:szCs w:val="32"/>
          <w:shd w:val="clear" w:color="auto" w:fill="FFFFFF"/>
        </w:rPr>
      </w:pPr>
    </w:p>
    <w:p w14:paraId="3214E161" w14:textId="77777777" w:rsidR="00894D0F" w:rsidRDefault="00894D0F" w:rsidP="00F5745A">
      <w:pPr>
        <w:rPr>
          <w:rFonts w:cs="Arial"/>
          <w:b/>
          <w:bCs/>
          <w:color w:val="000000"/>
          <w:sz w:val="32"/>
          <w:szCs w:val="32"/>
          <w:shd w:val="clear" w:color="auto" w:fill="FFFFFF"/>
        </w:rPr>
      </w:pPr>
    </w:p>
    <w:p w14:paraId="6D0594C2" w14:textId="0A28B69D" w:rsidR="0026057C" w:rsidRDefault="0026057C" w:rsidP="00F5745A">
      <w:pPr>
        <w:rPr>
          <w:rFonts w:cs="Arial"/>
          <w:b/>
          <w:bCs/>
          <w:color w:val="000000"/>
          <w:sz w:val="32"/>
          <w:szCs w:val="32"/>
          <w:shd w:val="clear" w:color="auto" w:fill="FFFFFF"/>
        </w:rPr>
      </w:pPr>
    </w:p>
    <w:p w14:paraId="56F25A4F" w14:textId="77777777" w:rsidR="0026057C" w:rsidRPr="00F5745A" w:rsidRDefault="0026057C" w:rsidP="00F5745A">
      <w:pPr>
        <w:rPr>
          <w:rFonts w:cs="Arial"/>
          <w:b/>
          <w:bCs/>
          <w:color w:val="000000"/>
          <w:sz w:val="32"/>
          <w:szCs w:val="32"/>
          <w:shd w:val="clear" w:color="auto" w:fill="FFFFFF"/>
        </w:rPr>
      </w:pPr>
    </w:p>
    <w:tbl>
      <w:tblPr>
        <w:tblW w:w="10373" w:type="dxa"/>
        <w:tblLook w:val="04A0" w:firstRow="1" w:lastRow="0" w:firstColumn="1" w:lastColumn="0" w:noHBand="0" w:noVBand="1"/>
      </w:tblPr>
      <w:tblGrid>
        <w:gridCol w:w="2694"/>
        <w:gridCol w:w="719"/>
        <w:gridCol w:w="719"/>
        <w:gridCol w:w="830"/>
        <w:gridCol w:w="283"/>
        <w:gridCol w:w="2410"/>
        <w:gridCol w:w="875"/>
        <w:gridCol w:w="968"/>
        <w:gridCol w:w="875"/>
      </w:tblGrid>
      <w:tr w:rsidR="00F5745A" w:rsidRPr="00402354" w14:paraId="7353BBB8" w14:textId="77777777" w:rsidTr="00592876">
        <w:trPr>
          <w:trHeight w:val="300"/>
        </w:trPr>
        <w:tc>
          <w:tcPr>
            <w:tcW w:w="4962" w:type="dxa"/>
            <w:gridSpan w:val="4"/>
            <w:tcBorders>
              <w:top w:val="nil"/>
              <w:left w:val="nil"/>
              <w:bottom w:val="nil"/>
              <w:right w:val="nil"/>
            </w:tcBorders>
            <w:shd w:val="clear" w:color="auto" w:fill="auto"/>
            <w:noWrap/>
            <w:vAlign w:val="bottom"/>
            <w:hideMark/>
          </w:tcPr>
          <w:p w14:paraId="05AF7939" w14:textId="4F35E305" w:rsidR="00F5745A" w:rsidRPr="00F5745A" w:rsidRDefault="00F5745A" w:rsidP="00F5745A">
            <w:pPr>
              <w:pStyle w:val="ListParagraph"/>
              <w:spacing w:after="0" w:line="240" w:lineRule="auto"/>
              <w:ind w:left="360"/>
              <w:rPr>
                <w:rFonts w:eastAsia="Times New Roman" w:cs="Times New Roman"/>
                <w:b/>
                <w:sz w:val="32"/>
                <w:szCs w:val="32"/>
                <w:lang w:val="en-GB" w:eastAsia="en-GB"/>
              </w:rPr>
            </w:pPr>
          </w:p>
        </w:tc>
        <w:tc>
          <w:tcPr>
            <w:tcW w:w="283" w:type="dxa"/>
            <w:tcBorders>
              <w:top w:val="nil"/>
              <w:left w:val="nil"/>
              <w:bottom w:val="nil"/>
              <w:right w:val="nil"/>
            </w:tcBorders>
            <w:shd w:val="clear" w:color="auto" w:fill="auto"/>
            <w:noWrap/>
            <w:vAlign w:val="bottom"/>
            <w:hideMark/>
          </w:tcPr>
          <w:p w14:paraId="37CA2D6A" w14:textId="77777777" w:rsidR="00F5745A" w:rsidRPr="00402354" w:rsidRDefault="00F5745A" w:rsidP="00402354">
            <w:pPr>
              <w:spacing w:after="0" w:line="240" w:lineRule="auto"/>
              <w:rPr>
                <w:rFonts w:ascii="Times New Roman" w:eastAsia="Times New Roman" w:hAnsi="Times New Roman" w:cs="Times New Roman"/>
                <w:sz w:val="20"/>
                <w:szCs w:val="20"/>
                <w:lang w:val="en-GB" w:eastAsia="en-GB"/>
              </w:rPr>
            </w:pPr>
          </w:p>
        </w:tc>
        <w:tc>
          <w:tcPr>
            <w:tcW w:w="2410" w:type="dxa"/>
            <w:tcBorders>
              <w:top w:val="nil"/>
              <w:left w:val="nil"/>
              <w:bottom w:val="nil"/>
              <w:right w:val="nil"/>
            </w:tcBorders>
            <w:shd w:val="clear" w:color="auto" w:fill="auto"/>
            <w:noWrap/>
            <w:vAlign w:val="bottom"/>
            <w:hideMark/>
          </w:tcPr>
          <w:p w14:paraId="623D0DB4" w14:textId="77777777" w:rsidR="00F5745A" w:rsidRPr="00402354" w:rsidRDefault="00F5745A"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B439632" w14:textId="77777777" w:rsidR="00F5745A" w:rsidRPr="00402354" w:rsidRDefault="00F5745A"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AE5D3E8" w14:textId="77777777" w:rsidR="00F5745A" w:rsidRPr="00402354" w:rsidRDefault="00F5745A"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DFF39A7" w14:textId="77777777" w:rsidR="00F5745A" w:rsidRPr="00402354" w:rsidRDefault="00F5745A"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5399BEF3" w14:textId="77777777" w:rsidTr="00F5745A">
        <w:trPr>
          <w:trHeight w:val="30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556C04"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lastRenderedPageBreak/>
              <w:t xml:space="preserve">Year </w:t>
            </w:r>
          </w:p>
        </w:tc>
        <w:tc>
          <w:tcPr>
            <w:tcW w:w="719" w:type="dxa"/>
            <w:tcBorders>
              <w:top w:val="single" w:sz="4" w:space="0" w:color="auto"/>
              <w:left w:val="nil"/>
              <w:bottom w:val="single" w:sz="4" w:space="0" w:color="auto"/>
              <w:right w:val="single" w:sz="4" w:space="0" w:color="auto"/>
            </w:tcBorders>
            <w:shd w:val="clear" w:color="auto" w:fill="auto"/>
            <w:noWrap/>
            <w:vAlign w:val="bottom"/>
            <w:hideMark/>
          </w:tcPr>
          <w:p w14:paraId="5E1DBE2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2020</w:t>
            </w:r>
          </w:p>
        </w:tc>
        <w:tc>
          <w:tcPr>
            <w:tcW w:w="719" w:type="dxa"/>
            <w:tcBorders>
              <w:top w:val="single" w:sz="4" w:space="0" w:color="auto"/>
              <w:left w:val="nil"/>
              <w:bottom w:val="single" w:sz="4" w:space="0" w:color="auto"/>
              <w:right w:val="single" w:sz="4" w:space="0" w:color="auto"/>
            </w:tcBorders>
            <w:shd w:val="clear" w:color="auto" w:fill="auto"/>
            <w:noWrap/>
            <w:vAlign w:val="bottom"/>
            <w:hideMark/>
          </w:tcPr>
          <w:p w14:paraId="3613C86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2021</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2FFB53F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2022 H1</w:t>
            </w:r>
          </w:p>
        </w:tc>
        <w:tc>
          <w:tcPr>
            <w:tcW w:w="283" w:type="dxa"/>
            <w:tcBorders>
              <w:top w:val="nil"/>
              <w:left w:val="nil"/>
              <w:bottom w:val="nil"/>
              <w:right w:val="nil"/>
            </w:tcBorders>
            <w:shd w:val="clear" w:color="auto" w:fill="auto"/>
            <w:noWrap/>
            <w:vAlign w:val="bottom"/>
            <w:hideMark/>
          </w:tcPr>
          <w:p w14:paraId="57D1B21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22AA7B32"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144E84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B8FF80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D2C327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5A914E6D" w14:textId="77777777" w:rsidTr="00F5745A">
        <w:trPr>
          <w:trHeight w:val="113"/>
        </w:trPr>
        <w:tc>
          <w:tcPr>
            <w:tcW w:w="2694" w:type="dxa"/>
            <w:tcBorders>
              <w:top w:val="nil"/>
              <w:left w:val="nil"/>
              <w:bottom w:val="nil"/>
              <w:right w:val="nil"/>
            </w:tcBorders>
            <w:shd w:val="clear" w:color="auto" w:fill="auto"/>
            <w:noWrap/>
            <w:vAlign w:val="bottom"/>
            <w:hideMark/>
          </w:tcPr>
          <w:p w14:paraId="4C3F4C83"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719" w:type="dxa"/>
            <w:tcBorders>
              <w:top w:val="nil"/>
              <w:left w:val="nil"/>
              <w:bottom w:val="nil"/>
              <w:right w:val="nil"/>
            </w:tcBorders>
            <w:shd w:val="clear" w:color="auto" w:fill="auto"/>
            <w:noWrap/>
            <w:vAlign w:val="bottom"/>
            <w:hideMark/>
          </w:tcPr>
          <w:p w14:paraId="33672E6F" w14:textId="77777777" w:rsidR="00402354" w:rsidRPr="00402354" w:rsidRDefault="00402354" w:rsidP="00402354">
            <w:pPr>
              <w:spacing w:after="0" w:line="240" w:lineRule="auto"/>
              <w:jc w:val="center"/>
              <w:rPr>
                <w:rFonts w:ascii="Times New Roman" w:eastAsia="Times New Roman" w:hAnsi="Times New Roman" w:cs="Times New Roman"/>
                <w:sz w:val="20"/>
                <w:szCs w:val="20"/>
                <w:lang w:val="en-GB" w:eastAsia="en-GB"/>
              </w:rPr>
            </w:pPr>
          </w:p>
        </w:tc>
        <w:tc>
          <w:tcPr>
            <w:tcW w:w="719" w:type="dxa"/>
            <w:tcBorders>
              <w:top w:val="nil"/>
              <w:left w:val="nil"/>
              <w:bottom w:val="nil"/>
              <w:right w:val="nil"/>
            </w:tcBorders>
            <w:shd w:val="clear" w:color="auto" w:fill="auto"/>
            <w:noWrap/>
            <w:vAlign w:val="bottom"/>
            <w:hideMark/>
          </w:tcPr>
          <w:p w14:paraId="186D20E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30" w:type="dxa"/>
            <w:tcBorders>
              <w:top w:val="nil"/>
              <w:left w:val="nil"/>
              <w:bottom w:val="nil"/>
              <w:right w:val="nil"/>
            </w:tcBorders>
            <w:shd w:val="clear" w:color="auto" w:fill="auto"/>
            <w:noWrap/>
            <w:vAlign w:val="bottom"/>
            <w:hideMark/>
          </w:tcPr>
          <w:p w14:paraId="2D9524AD"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283" w:type="dxa"/>
            <w:tcBorders>
              <w:top w:val="nil"/>
              <w:left w:val="nil"/>
              <w:bottom w:val="nil"/>
              <w:right w:val="nil"/>
            </w:tcBorders>
            <w:shd w:val="clear" w:color="auto" w:fill="auto"/>
            <w:noWrap/>
            <w:vAlign w:val="bottom"/>
            <w:hideMark/>
          </w:tcPr>
          <w:p w14:paraId="4DACCEF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2410" w:type="dxa"/>
            <w:tcBorders>
              <w:top w:val="nil"/>
              <w:left w:val="nil"/>
              <w:bottom w:val="nil"/>
              <w:right w:val="nil"/>
            </w:tcBorders>
            <w:shd w:val="clear" w:color="auto" w:fill="auto"/>
            <w:noWrap/>
            <w:vAlign w:val="bottom"/>
            <w:hideMark/>
          </w:tcPr>
          <w:p w14:paraId="798DF7C8"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667AA1E"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61F6217B"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3A6F4AB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6C131F20" w14:textId="77777777" w:rsidTr="00F5745A">
        <w:trPr>
          <w:trHeight w:val="30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7A9B8B"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Revenue</w:t>
            </w:r>
          </w:p>
        </w:tc>
        <w:tc>
          <w:tcPr>
            <w:tcW w:w="719" w:type="dxa"/>
            <w:tcBorders>
              <w:top w:val="single" w:sz="4" w:space="0" w:color="auto"/>
              <w:left w:val="nil"/>
              <w:bottom w:val="single" w:sz="4" w:space="0" w:color="auto"/>
              <w:right w:val="single" w:sz="4" w:space="0" w:color="auto"/>
            </w:tcBorders>
            <w:shd w:val="clear" w:color="auto" w:fill="auto"/>
            <w:noWrap/>
            <w:vAlign w:val="bottom"/>
            <w:hideMark/>
          </w:tcPr>
          <w:p w14:paraId="61ADE535"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612</w:t>
            </w:r>
          </w:p>
        </w:tc>
        <w:tc>
          <w:tcPr>
            <w:tcW w:w="719" w:type="dxa"/>
            <w:tcBorders>
              <w:top w:val="single" w:sz="4" w:space="0" w:color="auto"/>
              <w:left w:val="nil"/>
              <w:bottom w:val="single" w:sz="4" w:space="0" w:color="auto"/>
              <w:right w:val="nil"/>
            </w:tcBorders>
            <w:shd w:val="clear" w:color="auto" w:fill="auto"/>
            <w:noWrap/>
            <w:vAlign w:val="bottom"/>
            <w:hideMark/>
          </w:tcPr>
          <w:p w14:paraId="673F078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1,095</w:t>
            </w:r>
          </w:p>
        </w:tc>
        <w:tc>
          <w:tcPr>
            <w:tcW w:w="8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11C29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542</w:t>
            </w:r>
          </w:p>
        </w:tc>
        <w:tc>
          <w:tcPr>
            <w:tcW w:w="283" w:type="dxa"/>
            <w:tcBorders>
              <w:top w:val="nil"/>
              <w:left w:val="nil"/>
              <w:bottom w:val="nil"/>
              <w:right w:val="nil"/>
            </w:tcBorders>
            <w:shd w:val="clear" w:color="auto" w:fill="auto"/>
            <w:noWrap/>
            <w:vAlign w:val="bottom"/>
            <w:hideMark/>
          </w:tcPr>
          <w:p w14:paraId="5C637CF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FBED73D"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7543D7E"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5C7C7D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1C4A5E5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4293B523"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349E0CCE"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COGS/ cost of sales</w:t>
            </w:r>
          </w:p>
        </w:tc>
        <w:tc>
          <w:tcPr>
            <w:tcW w:w="719" w:type="dxa"/>
            <w:tcBorders>
              <w:top w:val="nil"/>
              <w:left w:val="nil"/>
              <w:bottom w:val="single" w:sz="4" w:space="0" w:color="auto"/>
              <w:right w:val="single" w:sz="4" w:space="0" w:color="auto"/>
            </w:tcBorders>
            <w:shd w:val="clear" w:color="auto" w:fill="auto"/>
            <w:noWrap/>
            <w:vAlign w:val="bottom"/>
            <w:hideMark/>
          </w:tcPr>
          <w:p w14:paraId="2E5E102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501</w:t>
            </w:r>
          </w:p>
        </w:tc>
        <w:tc>
          <w:tcPr>
            <w:tcW w:w="719" w:type="dxa"/>
            <w:tcBorders>
              <w:top w:val="nil"/>
              <w:left w:val="nil"/>
              <w:bottom w:val="single" w:sz="4" w:space="0" w:color="auto"/>
              <w:right w:val="nil"/>
            </w:tcBorders>
            <w:shd w:val="clear" w:color="auto" w:fill="auto"/>
            <w:noWrap/>
            <w:vAlign w:val="bottom"/>
            <w:hideMark/>
          </w:tcPr>
          <w:p w14:paraId="699F8A4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752</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888B045"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354</w:t>
            </w:r>
          </w:p>
        </w:tc>
        <w:tc>
          <w:tcPr>
            <w:tcW w:w="283" w:type="dxa"/>
            <w:tcBorders>
              <w:top w:val="nil"/>
              <w:left w:val="nil"/>
              <w:bottom w:val="nil"/>
              <w:right w:val="nil"/>
            </w:tcBorders>
            <w:shd w:val="clear" w:color="auto" w:fill="auto"/>
            <w:noWrap/>
            <w:vAlign w:val="bottom"/>
            <w:hideMark/>
          </w:tcPr>
          <w:p w14:paraId="1EDEFED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BE250CB"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44276C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64D3940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3E27AF4"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31ADC7FE"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3798D908"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7DCACF2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687A4E2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37143A1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1E05E9C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3E6A4E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251067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1970CC5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175BA3F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6C1F2F40"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72DE3AE1"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Gross Profit</w:t>
            </w:r>
          </w:p>
        </w:tc>
        <w:tc>
          <w:tcPr>
            <w:tcW w:w="719" w:type="dxa"/>
            <w:tcBorders>
              <w:top w:val="nil"/>
              <w:left w:val="nil"/>
              <w:bottom w:val="single" w:sz="4" w:space="0" w:color="auto"/>
              <w:right w:val="single" w:sz="4" w:space="0" w:color="auto"/>
            </w:tcBorders>
            <w:shd w:val="clear" w:color="auto" w:fill="auto"/>
            <w:noWrap/>
            <w:vAlign w:val="bottom"/>
            <w:hideMark/>
          </w:tcPr>
          <w:p w14:paraId="5285C14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111</w:t>
            </w:r>
          </w:p>
        </w:tc>
        <w:tc>
          <w:tcPr>
            <w:tcW w:w="719" w:type="dxa"/>
            <w:tcBorders>
              <w:top w:val="nil"/>
              <w:left w:val="nil"/>
              <w:bottom w:val="single" w:sz="4" w:space="0" w:color="auto"/>
              <w:right w:val="nil"/>
            </w:tcBorders>
            <w:shd w:val="clear" w:color="auto" w:fill="auto"/>
            <w:noWrap/>
            <w:vAlign w:val="bottom"/>
            <w:hideMark/>
          </w:tcPr>
          <w:p w14:paraId="7053834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344</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4EE0ECA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188</w:t>
            </w:r>
          </w:p>
        </w:tc>
        <w:tc>
          <w:tcPr>
            <w:tcW w:w="283" w:type="dxa"/>
            <w:tcBorders>
              <w:top w:val="nil"/>
              <w:left w:val="nil"/>
              <w:bottom w:val="nil"/>
              <w:right w:val="nil"/>
            </w:tcBorders>
            <w:shd w:val="clear" w:color="auto" w:fill="auto"/>
            <w:noWrap/>
            <w:vAlign w:val="bottom"/>
            <w:hideMark/>
          </w:tcPr>
          <w:p w14:paraId="25E387D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24DE9C98"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B2A3F2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6EC4622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EF730F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364B6E46"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0364A643"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74AFD2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22DDBBF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F800E6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5EB556F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DD5270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54627D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0F72E18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4542FF5D"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771B3E8A"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06D244F5"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SG&amp;A</w:t>
            </w:r>
          </w:p>
        </w:tc>
        <w:tc>
          <w:tcPr>
            <w:tcW w:w="719" w:type="dxa"/>
            <w:tcBorders>
              <w:top w:val="nil"/>
              <w:left w:val="nil"/>
              <w:bottom w:val="single" w:sz="4" w:space="0" w:color="auto"/>
              <w:right w:val="single" w:sz="4" w:space="0" w:color="auto"/>
            </w:tcBorders>
            <w:shd w:val="clear" w:color="auto" w:fill="auto"/>
            <w:noWrap/>
            <w:vAlign w:val="bottom"/>
            <w:hideMark/>
          </w:tcPr>
          <w:p w14:paraId="4BAC101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-434</w:t>
            </w:r>
          </w:p>
        </w:tc>
        <w:tc>
          <w:tcPr>
            <w:tcW w:w="719" w:type="dxa"/>
            <w:tcBorders>
              <w:top w:val="nil"/>
              <w:left w:val="nil"/>
              <w:bottom w:val="single" w:sz="4" w:space="0" w:color="auto"/>
              <w:right w:val="nil"/>
            </w:tcBorders>
            <w:shd w:val="clear" w:color="auto" w:fill="auto"/>
            <w:noWrap/>
            <w:vAlign w:val="bottom"/>
            <w:hideMark/>
          </w:tcPr>
          <w:p w14:paraId="22F23F3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-420</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426EDF7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-260</w:t>
            </w:r>
          </w:p>
        </w:tc>
        <w:tc>
          <w:tcPr>
            <w:tcW w:w="283" w:type="dxa"/>
            <w:tcBorders>
              <w:top w:val="nil"/>
              <w:left w:val="nil"/>
              <w:bottom w:val="nil"/>
              <w:right w:val="nil"/>
            </w:tcBorders>
            <w:shd w:val="clear" w:color="auto" w:fill="auto"/>
            <w:noWrap/>
            <w:vAlign w:val="bottom"/>
            <w:hideMark/>
          </w:tcPr>
          <w:p w14:paraId="327EC51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445B274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7FE52D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72BCD49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134F15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53CABE6D"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6B3B2D37"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5842853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0AFCD6D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0CB8DE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3C0F20B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2B680CB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1BC8D5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98719A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EF0B7D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0C292582"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23F84254"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Operating Profit</w:t>
            </w:r>
          </w:p>
        </w:tc>
        <w:tc>
          <w:tcPr>
            <w:tcW w:w="719" w:type="dxa"/>
            <w:tcBorders>
              <w:top w:val="nil"/>
              <w:left w:val="nil"/>
              <w:bottom w:val="single" w:sz="4" w:space="0" w:color="auto"/>
              <w:right w:val="single" w:sz="4" w:space="0" w:color="auto"/>
            </w:tcBorders>
            <w:shd w:val="clear" w:color="auto" w:fill="auto"/>
            <w:noWrap/>
            <w:vAlign w:val="bottom"/>
            <w:hideMark/>
          </w:tcPr>
          <w:p w14:paraId="0615451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-323</w:t>
            </w:r>
          </w:p>
        </w:tc>
        <w:tc>
          <w:tcPr>
            <w:tcW w:w="719" w:type="dxa"/>
            <w:tcBorders>
              <w:top w:val="nil"/>
              <w:left w:val="nil"/>
              <w:bottom w:val="single" w:sz="4" w:space="0" w:color="auto"/>
              <w:right w:val="nil"/>
            </w:tcBorders>
            <w:shd w:val="clear" w:color="auto" w:fill="auto"/>
            <w:noWrap/>
            <w:vAlign w:val="bottom"/>
            <w:hideMark/>
          </w:tcPr>
          <w:p w14:paraId="7909570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-77</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65BA9A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-90</w:t>
            </w:r>
          </w:p>
        </w:tc>
        <w:tc>
          <w:tcPr>
            <w:tcW w:w="283" w:type="dxa"/>
            <w:tcBorders>
              <w:top w:val="nil"/>
              <w:left w:val="nil"/>
              <w:bottom w:val="nil"/>
              <w:right w:val="nil"/>
            </w:tcBorders>
            <w:shd w:val="clear" w:color="auto" w:fill="auto"/>
            <w:noWrap/>
            <w:vAlign w:val="bottom"/>
            <w:hideMark/>
          </w:tcPr>
          <w:p w14:paraId="3588B29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5838A1A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F9F3AA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6A98B84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FE1954A"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318E6138"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219095D0"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42D01F2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45473BA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58C79F5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7D390FF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11257F0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685CC9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36066910"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EF96B1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6955E5ED"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3E347198" w14:textId="74334646"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Interest /</w:t>
            </w:r>
            <w:r w:rsidR="00F5745A" w:rsidRPr="00402354">
              <w:rPr>
                <w:rFonts w:ascii="Calibri" w:eastAsia="Times New Roman" w:hAnsi="Calibri" w:cs="Times New Roman"/>
                <w:color w:val="000000"/>
                <w:lang w:val="en-GB" w:eastAsia="en-GB"/>
              </w:rPr>
              <w:t>finance</w:t>
            </w:r>
            <w:r w:rsidRPr="00402354">
              <w:rPr>
                <w:rFonts w:ascii="Calibri" w:eastAsia="Times New Roman" w:hAnsi="Calibri" w:cs="Times New Roman"/>
                <w:color w:val="000000"/>
                <w:lang w:val="en-GB" w:eastAsia="en-GB"/>
              </w:rPr>
              <w:t xml:space="preserve"> expenses</w:t>
            </w:r>
          </w:p>
        </w:tc>
        <w:tc>
          <w:tcPr>
            <w:tcW w:w="719" w:type="dxa"/>
            <w:tcBorders>
              <w:top w:val="nil"/>
              <w:left w:val="nil"/>
              <w:bottom w:val="single" w:sz="4" w:space="0" w:color="auto"/>
              <w:right w:val="single" w:sz="4" w:space="0" w:color="auto"/>
            </w:tcBorders>
            <w:shd w:val="clear" w:color="auto" w:fill="auto"/>
            <w:noWrap/>
            <w:vAlign w:val="bottom"/>
            <w:hideMark/>
          </w:tcPr>
          <w:p w14:paraId="7CF69C4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-183</w:t>
            </w:r>
          </w:p>
        </w:tc>
        <w:tc>
          <w:tcPr>
            <w:tcW w:w="719" w:type="dxa"/>
            <w:tcBorders>
              <w:top w:val="nil"/>
              <w:left w:val="nil"/>
              <w:bottom w:val="single" w:sz="4" w:space="0" w:color="auto"/>
              <w:right w:val="nil"/>
            </w:tcBorders>
            <w:shd w:val="clear" w:color="auto" w:fill="auto"/>
            <w:noWrap/>
            <w:vAlign w:val="bottom"/>
            <w:hideMark/>
          </w:tcPr>
          <w:p w14:paraId="1BD705C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-174</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30541A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-221</w:t>
            </w:r>
          </w:p>
        </w:tc>
        <w:tc>
          <w:tcPr>
            <w:tcW w:w="283" w:type="dxa"/>
            <w:tcBorders>
              <w:top w:val="nil"/>
              <w:left w:val="nil"/>
              <w:bottom w:val="nil"/>
              <w:right w:val="nil"/>
            </w:tcBorders>
            <w:shd w:val="clear" w:color="auto" w:fill="auto"/>
            <w:noWrap/>
            <w:vAlign w:val="bottom"/>
            <w:hideMark/>
          </w:tcPr>
          <w:p w14:paraId="1BB3F9B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27F796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4F607C44"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38C2A7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34641C4"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1F8EDF7F"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1F629A54"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Tax</w:t>
            </w:r>
          </w:p>
        </w:tc>
        <w:tc>
          <w:tcPr>
            <w:tcW w:w="719" w:type="dxa"/>
            <w:tcBorders>
              <w:top w:val="nil"/>
              <w:left w:val="nil"/>
              <w:bottom w:val="single" w:sz="4" w:space="0" w:color="auto"/>
              <w:right w:val="single" w:sz="4" w:space="0" w:color="auto"/>
            </w:tcBorders>
            <w:shd w:val="clear" w:color="auto" w:fill="auto"/>
            <w:noWrap/>
            <w:vAlign w:val="bottom"/>
            <w:hideMark/>
          </w:tcPr>
          <w:p w14:paraId="24C74B3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-56</w:t>
            </w:r>
          </w:p>
        </w:tc>
        <w:tc>
          <w:tcPr>
            <w:tcW w:w="719" w:type="dxa"/>
            <w:tcBorders>
              <w:top w:val="nil"/>
              <w:left w:val="nil"/>
              <w:bottom w:val="single" w:sz="4" w:space="0" w:color="auto"/>
              <w:right w:val="nil"/>
            </w:tcBorders>
            <w:shd w:val="clear" w:color="auto" w:fill="auto"/>
            <w:noWrap/>
            <w:vAlign w:val="bottom"/>
            <w:hideMark/>
          </w:tcPr>
          <w:p w14:paraId="0C9CD6B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-25</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7E5251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w:t>
            </w:r>
          </w:p>
        </w:tc>
        <w:tc>
          <w:tcPr>
            <w:tcW w:w="283" w:type="dxa"/>
            <w:tcBorders>
              <w:top w:val="nil"/>
              <w:left w:val="nil"/>
              <w:bottom w:val="nil"/>
              <w:right w:val="nil"/>
            </w:tcBorders>
            <w:shd w:val="clear" w:color="auto" w:fill="auto"/>
            <w:noWrap/>
            <w:vAlign w:val="bottom"/>
            <w:hideMark/>
          </w:tcPr>
          <w:p w14:paraId="2CCD70B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06A430B"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79AF50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3EB70D4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F85EAD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12910014" w14:textId="77777777" w:rsidTr="00F5745A">
        <w:trPr>
          <w:trHeight w:val="107"/>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4720D71D"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51E9546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7F58616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C9D0EF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3054319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29000EB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240F1DA"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108ADF3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3AA2CCA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05A4EC78" w14:textId="77777777" w:rsidTr="00F5745A">
        <w:trPr>
          <w:trHeight w:val="300"/>
        </w:trPr>
        <w:tc>
          <w:tcPr>
            <w:tcW w:w="2694" w:type="dxa"/>
            <w:tcBorders>
              <w:top w:val="nil"/>
              <w:left w:val="single" w:sz="4" w:space="0" w:color="auto"/>
              <w:bottom w:val="nil"/>
              <w:right w:val="single" w:sz="4" w:space="0" w:color="auto"/>
            </w:tcBorders>
            <w:shd w:val="clear" w:color="auto" w:fill="auto"/>
            <w:noWrap/>
            <w:vAlign w:val="bottom"/>
            <w:hideMark/>
          </w:tcPr>
          <w:p w14:paraId="5FBCAC98"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Net Income/loss of the year</w:t>
            </w:r>
          </w:p>
        </w:tc>
        <w:tc>
          <w:tcPr>
            <w:tcW w:w="719" w:type="dxa"/>
            <w:tcBorders>
              <w:top w:val="nil"/>
              <w:left w:val="nil"/>
              <w:bottom w:val="nil"/>
              <w:right w:val="single" w:sz="4" w:space="0" w:color="auto"/>
            </w:tcBorders>
            <w:shd w:val="clear" w:color="auto" w:fill="auto"/>
            <w:noWrap/>
            <w:vAlign w:val="bottom"/>
            <w:hideMark/>
          </w:tcPr>
          <w:p w14:paraId="64363F4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-411</w:t>
            </w:r>
          </w:p>
        </w:tc>
        <w:tc>
          <w:tcPr>
            <w:tcW w:w="719" w:type="dxa"/>
            <w:tcBorders>
              <w:top w:val="nil"/>
              <w:left w:val="nil"/>
              <w:bottom w:val="nil"/>
              <w:right w:val="nil"/>
            </w:tcBorders>
            <w:shd w:val="clear" w:color="auto" w:fill="auto"/>
            <w:noWrap/>
            <w:vAlign w:val="bottom"/>
            <w:hideMark/>
          </w:tcPr>
          <w:p w14:paraId="10273F0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-189</w:t>
            </w:r>
          </w:p>
        </w:tc>
        <w:tc>
          <w:tcPr>
            <w:tcW w:w="830" w:type="dxa"/>
            <w:tcBorders>
              <w:top w:val="nil"/>
              <w:left w:val="single" w:sz="4" w:space="0" w:color="auto"/>
              <w:bottom w:val="nil"/>
              <w:right w:val="single" w:sz="4" w:space="0" w:color="auto"/>
            </w:tcBorders>
            <w:shd w:val="clear" w:color="auto" w:fill="auto"/>
            <w:noWrap/>
            <w:vAlign w:val="bottom"/>
            <w:hideMark/>
          </w:tcPr>
          <w:p w14:paraId="4CA978A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-290</w:t>
            </w:r>
          </w:p>
        </w:tc>
        <w:tc>
          <w:tcPr>
            <w:tcW w:w="283" w:type="dxa"/>
            <w:tcBorders>
              <w:top w:val="nil"/>
              <w:left w:val="nil"/>
              <w:bottom w:val="nil"/>
              <w:right w:val="nil"/>
            </w:tcBorders>
            <w:shd w:val="clear" w:color="auto" w:fill="auto"/>
            <w:noWrap/>
            <w:vAlign w:val="bottom"/>
            <w:hideMark/>
          </w:tcPr>
          <w:p w14:paraId="1C87B18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1CB38894"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E8B5023"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318E154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32D3E27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6F009A82" w14:textId="77777777" w:rsidTr="00F5745A">
        <w:trPr>
          <w:trHeight w:val="300"/>
        </w:trPr>
        <w:tc>
          <w:tcPr>
            <w:tcW w:w="2694" w:type="dxa"/>
            <w:tcBorders>
              <w:top w:val="single" w:sz="4" w:space="0" w:color="auto"/>
              <w:left w:val="single" w:sz="4" w:space="0" w:color="auto"/>
              <w:bottom w:val="single" w:sz="4" w:space="0" w:color="auto"/>
              <w:right w:val="nil"/>
            </w:tcBorders>
            <w:shd w:val="clear" w:color="auto" w:fill="auto"/>
            <w:noWrap/>
            <w:vAlign w:val="bottom"/>
            <w:hideMark/>
          </w:tcPr>
          <w:p w14:paraId="23107244"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single" w:sz="4" w:space="0" w:color="auto"/>
              <w:left w:val="nil"/>
              <w:bottom w:val="single" w:sz="4" w:space="0" w:color="auto"/>
              <w:right w:val="nil"/>
            </w:tcBorders>
            <w:shd w:val="clear" w:color="auto" w:fill="auto"/>
            <w:noWrap/>
            <w:vAlign w:val="bottom"/>
            <w:hideMark/>
          </w:tcPr>
          <w:p w14:paraId="48FC56CC"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single" w:sz="4" w:space="0" w:color="auto"/>
              <w:left w:val="nil"/>
              <w:bottom w:val="single" w:sz="4" w:space="0" w:color="auto"/>
              <w:right w:val="nil"/>
            </w:tcBorders>
            <w:shd w:val="clear" w:color="auto" w:fill="auto"/>
            <w:noWrap/>
            <w:vAlign w:val="bottom"/>
            <w:hideMark/>
          </w:tcPr>
          <w:p w14:paraId="139A9D83"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2D99766B"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7360B9D0" w14:textId="77777777" w:rsidR="00402354" w:rsidRPr="00402354" w:rsidRDefault="00402354" w:rsidP="00402354">
            <w:pPr>
              <w:spacing w:after="0" w:line="240" w:lineRule="auto"/>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0C563AF"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F8E2BFC" w14:textId="77777777" w:rsidR="00402354" w:rsidRPr="00402354" w:rsidRDefault="00402354" w:rsidP="00402354">
            <w:pPr>
              <w:spacing w:after="0" w:line="240" w:lineRule="auto"/>
              <w:jc w:val="right"/>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2020</w:t>
            </w:r>
          </w:p>
        </w:tc>
        <w:tc>
          <w:tcPr>
            <w:tcW w:w="968" w:type="dxa"/>
            <w:tcBorders>
              <w:top w:val="nil"/>
              <w:left w:val="nil"/>
              <w:bottom w:val="nil"/>
              <w:right w:val="nil"/>
            </w:tcBorders>
            <w:shd w:val="clear" w:color="auto" w:fill="auto"/>
            <w:noWrap/>
            <w:vAlign w:val="bottom"/>
            <w:hideMark/>
          </w:tcPr>
          <w:p w14:paraId="5C3A1C3E" w14:textId="77777777" w:rsidR="00402354" w:rsidRPr="00402354" w:rsidRDefault="00402354" w:rsidP="00402354">
            <w:pPr>
              <w:spacing w:after="0" w:line="240" w:lineRule="auto"/>
              <w:jc w:val="right"/>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2021</w:t>
            </w:r>
          </w:p>
        </w:tc>
        <w:tc>
          <w:tcPr>
            <w:tcW w:w="875" w:type="dxa"/>
            <w:tcBorders>
              <w:top w:val="nil"/>
              <w:left w:val="nil"/>
              <w:bottom w:val="nil"/>
              <w:right w:val="nil"/>
            </w:tcBorders>
            <w:shd w:val="clear" w:color="auto" w:fill="auto"/>
            <w:noWrap/>
            <w:vAlign w:val="bottom"/>
            <w:hideMark/>
          </w:tcPr>
          <w:p w14:paraId="3C5A4B1E" w14:textId="77777777" w:rsidR="00402354" w:rsidRPr="00402354" w:rsidRDefault="00402354" w:rsidP="00402354">
            <w:pPr>
              <w:spacing w:after="0" w:line="240" w:lineRule="auto"/>
              <w:jc w:val="right"/>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2022</w:t>
            </w:r>
          </w:p>
        </w:tc>
      </w:tr>
      <w:tr w:rsidR="00F5745A" w:rsidRPr="00402354" w14:paraId="69EAB161"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05345A8D" w14:textId="77777777" w:rsidR="00402354" w:rsidRPr="00402354" w:rsidRDefault="00402354" w:rsidP="00402354">
            <w:pPr>
              <w:spacing w:after="0" w:line="240" w:lineRule="auto"/>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xml:space="preserve">Balance Sheet </w:t>
            </w:r>
          </w:p>
        </w:tc>
        <w:tc>
          <w:tcPr>
            <w:tcW w:w="719" w:type="dxa"/>
            <w:tcBorders>
              <w:top w:val="nil"/>
              <w:left w:val="nil"/>
              <w:bottom w:val="nil"/>
              <w:right w:val="nil"/>
            </w:tcBorders>
            <w:shd w:val="clear" w:color="auto" w:fill="auto"/>
            <w:noWrap/>
            <w:vAlign w:val="bottom"/>
            <w:hideMark/>
          </w:tcPr>
          <w:p w14:paraId="4482874C" w14:textId="77777777" w:rsidR="00402354" w:rsidRPr="00402354" w:rsidRDefault="00402354" w:rsidP="00402354">
            <w:pPr>
              <w:spacing w:after="0" w:line="240" w:lineRule="auto"/>
              <w:rPr>
                <w:rFonts w:ascii="Calibri" w:eastAsia="Times New Roman" w:hAnsi="Calibri" w:cs="Times New Roman"/>
                <w:b/>
                <w:bCs/>
                <w:color w:val="000000"/>
                <w:lang w:val="en-GB" w:eastAsia="en-GB"/>
              </w:rPr>
            </w:pPr>
          </w:p>
        </w:tc>
        <w:tc>
          <w:tcPr>
            <w:tcW w:w="719" w:type="dxa"/>
            <w:tcBorders>
              <w:top w:val="nil"/>
              <w:left w:val="nil"/>
              <w:bottom w:val="nil"/>
              <w:right w:val="nil"/>
            </w:tcBorders>
            <w:shd w:val="clear" w:color="auto" w:fill="auto"/>
            <w:noWrap/>
            <w:vAlign w:val="bottom"/>
            <w:hideMark/>
          </w:tcPr>
          <w:p w14:paraId="5E8D51AA"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6E82C58A" w14:textId="77777777" w:rsidR="00402354" w:rsidRPr="00402354" w:rsidRDefault="00402354" w:rsidP="00402354">
            <w:pPr>
              <w:spacing w:after="0" w:line="240" w:lineRule="auto"/>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29E136B8" w14:textId="77777777" w:rsidR="00402354" w:rsidRPr="00402354" w:rsidRDefault="00402354" w:rsidP="00402354">
            <w:pPr>
              <w:spacing w:after="0" w:line="240" w:lineRule="auto"/>
              <w:rPr>
                <w:rFonts w:ascii="Calibri" w:eastAsia="Times New Roman" w:hAnsi="Calibri" w:cs="Times New Roman"/>
                <w:color w:val="000000"/>
                <w:lang w:val="en-GB"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FD06C9"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Gross Margin %</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68FA33F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18.2%</w:t>
            </w:r>
          </w:p>
        </w:tc>
        <w:tc>
          <w:tcPr>
            <w:tcW w:w="968" w:type="dxa"/>
            <w:tcBorders>
              <w:top w:val="single" w:sz="4" w:space="0" w:color="auto"/>
              <w:left w:val="nil"/>
              <w:bottom w:val="single" w:sz="4" w:space="0" w:color="auto"/>
              <w:right w:val="single" w:sz="4" w:space="0" w:color="auto"/>
            </w:tcBorders>
            <w:shd w:val="clear" w:color="auto" w:fill="auto"/>
            <w:noWrap/>
            <w:vAlign w:val="bottom"/>
            <w:hideMark/>
          </w:tcPr>
          <w:p w14:paraId="61A8A0F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31.4%</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1D33DE7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34.7%</w:t>
            </w:r>
          </w:p>
        </w:tc>
      </w:tr>
      <w:tr w:rsidR="00F5745A" w:rsidRPr="00402354" w14:paraId="0F5C49B6"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6BA3C5E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xml:space="preserve">Year </w:t>
            </w:r>
          </w:p>
        </w:tc>
        <w:tc>
          <w:tcPr>
            <w:tcW w:w="719" w:type="dxa"/>
            <w:tcBorders>
              <w:top w:val="single" w:sz="4" w:space="0" w:color="auto"/>
              <w:left w:val="nil"/>
              <w:bottom w:val="single" w:sz="4" w:space="0" w:color="auto"/>
              <w:right w:val="single" w:sz="4" w:space="0" w:color="auto"/>
            </w:tcBorders>
            <w:shd w:val="clear" w:color="auto" w:fill="auto"/>
            <w:noWrap/>
            <w:vAlign w:val="bottom"/>
            <w:hideMark/>
          </w:tcPr>
          <w:p w14:paraId="04EB3B4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2020</w:t>
            </w:r>
          </w:p>
        </w:tc>
        <w:tc>
          <w:tcPr>
            <w:tcW w:w="719" w:type="dxa"/>
            <w:tcBorders>
              <w:top w:val="single" w:sz="4" w:space="0" w:color="auto"/>
              <w:left w:val="nil"/>
              <w:bottom w:val="single" w:sz="4" w:space="0" w:color="auto"/>
              <w:right w:val="nil"/>
            </w:tcBorders>
            <w:shd w:val="clear" w:color="auto" w:fill="auto"/>
            <w:noWrap/>
            <w:vAlign w:val="bottom"/>
            <w:hideMark/>
          </w:tcPr>
          <w:p w14:paraId="4F4EEED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2021</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22D56D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2022</w:t>
            </w:r>
          </w:p>
        </w:tc>
        <w:tc>
          <w:tcPr>
            <w:tcW w:w="283" w:type="dxa"/>
            <w:tcBorders>
              <w:top w:val="nil"/>
              <w:left w:val="nil"/>
              <w:bottom w:val="nil"/>
              <w:right w:val="nil"/>
            </w:tcBorders>
            <w:shd w:val="clear" w:color="auto" w:fill="auto"/>
            <w:noWrap/>
            <w:vAlign w:val="bottom"/>
            <w:hideMark/>
          </w:tcPr>
          <w:p w14:paraId="406A554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4A57057F"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Operating Profit %</w:t>
            </w:r>
          </w:p>
        </w:tc>
        <w:tc>
          <w:tcPr>
            <w:tcW w:w="875" w:type="dxa"/>
            <w:tcBorders>
              <w:top w:val="nil"/>
              <w:left w:val="nil"/>
              <w:bottom w:val="single" w:sz="4" w:space="0" w:color="auto"/>
              <w:right w:val="single" w:sz="4" w:space="0" w:color="auto"/>
            </w:tcBorders>
            <w:shd w:val="clear" w:color="auto" w:fill="auto"/>
            <w:noWrap/>
            <w:vAlign w:val="bottom"/>
            <w:hideMark/>
          </w:tcPr>
          <w:p w14:paraId="077ABE85"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-52.8%</w:t>
            </w:r>
          </w:p>
        </w:tc>
        <w:tc>
          <w:tcPr>
            <w:tcW w:w="968" w:type="dxa"/>
            <w:tcBorders>
              <w:top w:val="nil"/>
              <w:left w:val="nil"/>
              <w:bottom w:val="single" w:sz="4" w:space="0" w:color="auto"/>
              <w:right w:val="single" w:sz="4" w:space="0" w:color="auto"/>
            </w:tcBorders>
            <w:shd w:val="clear" w:color="auto" w:fill="auto"/>
            <w:noWrap/>
            <w:vAlign w:val="bottom"/>
            <w:hideMark/>
          </w:tcPr>
          <w:p w14:paraId="0AEB9E9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-7.0%</w:t>
            </w:r>
          </w:p>
        </w:tc>
        <w:tc>
          <w:tcPr>
            <w:tcW w:w="875" w:type="dxa"/>
            <w:tcBorders>
              <w:top w:val="nil"/>
              <w:left w:val="nil"/>
              <w:bottom w:val="single" w:sz="4" w:space="0" w:color="auto"/>
              <w:right w:val="single" w:sz="4" w:space="0" w:color="auto"/>
            </w:tcBorders>
            <w:shd w:val="clear" w:color="auto" w:fill="auto"/>
            <w:noWrap/>
            <w:vAlign w:val="bottom"/>
            <w:hideMark/>
          </w:tcPr>
          <w:p w14:paraId="0C2F585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-16.6%</w:t>
            </w:r>
          </w:p>
        </w:tc>
      </w:tr>
      <w:tr w:rsidR="00F5745A" w:rsidRPr="00402354" w14:paraId="371E53D8"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6284919F" w14:textId="25A05E6E" w:rsidR="00402354" w:rsidRPr="00402354" w:rsidRDefault="00F5745A" w:rsidP="00402354">
            <w:pPr>
              <w:spacing w:after="0" w:line="240" w:lineRule="auto"/>
              <w:jc w:val="center"/>
              <w:rPr>
                <w:rFonts w:ascii="Calibri" w:eastAsia="Times New Roman" w:hAnsi="Calibri" w:cs="Times New Roman"/>
                <w:color w:val="000000"/>
                <w:lang w:val="en-GB" w:eastAsia="en-GB"/>
              </w:rPr>
            </w:pPr>
            <w:r>
              <w:rPr>
                <w:rFonts w:ascii="Calibri" w:eastAsia="Times New Roman" w:hAnsi="Calibri" w:cs="Times New Roman"/>
                <w:color w:val="000000"/>
                <w:lang w:val="en-GB" w:eastAsia="en-GB"/>
              </w:rPr>
              <w:t>Fixed Assets / non-cu</w:t>
            </w:r>
            <w:r w:rsidRPr="00402354">
              <w:rPr>
                <w:rFonts w:ascii="Calibri" w:eastAsia="Times New Roman" w:hAnsi="Calibri" w:cs="Times New Roman"/>
                <w:color w:val="000000"/>
                <w:lang w:val="en-GB" w:eastAsia="en-GB"/>
              </w:rPr>
              <w:t>rrent</w:t>
            </w:r>
          </w:p>
        </w:tc>
        <w:tc>
          <w:tcPr>
            <w:tcW w:w="719" w:type="dxa"/>
            <w:tcBorders>
              <w:top w:val="nil"/>
              <w:left w:val="nil"/>
              <w:bottom w:val="single" w:sz="4" w:space="0" w:color="auto"/>
              <w:right w:val="single" w:sz="4" w:space="0" w:color="auto"/>
            </w:tcBorders>
            <w:shd w:val="clear" w:color="auto" w:fill="auto"/>
            <w:noWrap/>
            <w:vAlign w:val="bottom"/>
            <w:hideMark/>
          </w:tcPr>
          <w:p w14:paraId="12D37E0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1,905</w:t>
            </w:r>
          </w:p>
        </w:tc>
        <w:tc>
          <w:tcPr>
            <w:tcW w:w="719" w:type="dxa"/>
            <w:tcBorders>
              <w:top w:val="nil"/>
              <w:left w:val="nil"/>
              <w:bottom w:val="single" w:sz="4" w:space="0" w:color="auto"/>
              <w:right w:val="nil"/>
            </w:tcBorders>
            <w:shd w:val="clear" w:color="auto" w:fill="auto"/>
            <w:noWrap/>
            <w:vAlign w:val="bottom"/>
            <w:hideMark/>
          </w:tcPr>
          <w:p w14:paraId="56973A7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1,975</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02AA081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1,981</w:t>
            </w:r>
          </w:p>
        </w:tc>
        <w:tc>
          <w:tcPr>
            <w:tcW w:w="283" w:type="dxa"/>
            <w:tcBorders>
              <w:top w:val="nil"/>
              <w:left w:val="nil"/>
              <w:bottom w:val="nil"/>
              <w:right w:val="nil"/>
            </w:tcBorders>
            <w:shd w:val="clear" w:color="auto" w:fill="auto"/>
            <w:noWrap/>
            <w:vAlign w:val="bottom"/>
            <w:hideMark/>
          </w:tcPr>
          <w:p w14:paraId="5004808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57C329F6"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Net Profit %</w:t>
            </w:r>
          </w:p>
        </w:tc>
        <w:tc>
          <w:tcPr>
            <w:tcW w:w="875" w:type="dxa"/>
            <w:tcBorders>
              <w:top w:val="nil"/>
              <w:left w:val="nil"/>
              <w:bottom w:val="single" w:sz="4" w:space="0" w:color="auto"/>
              <w:right w:val="single" w:sz="4" w:space="0" w:color="auto"/>
            </w:tcBorders>
            <w:shd w:val="clear" w:color="auto" w:fill="auto"/>
            <w:noWrap/>
            <w:vAlign w:val="bottom"/>
            <w:hideMark/>
          </w:tcPr>
          <w:p w14:paraId="752DA35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-67.1%</w:t>
            </w:r>
          </w:p>
        </w:tc>
        <w:tc>
          <w:tcPr>
            <w:tcW w:w="968" w:type="dxa"/>
            <w:tcBorders>
              <w:top w:val="nil"/>
              <w:left w:val="nil"/>
              <w:bottom w:val="single" w:sz="4" w:space="0" w:color="auto"/>
              <w:right w:val="single" w:sz="4" w:space="0" w:color="auto"/>
            </w:tcBorders>
            <w:shd w:val="clear" w:color="auto" w:fill="auto"/>
            <w:noWrap/>
            <w:vAlign w:val="bottom"/>
            <w:hideMark/>
          </w:tcPr>
          <w:p w14:paraId="72DF82A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-17.3%</w:t>
            </w:r>
          </w:p>
        </w:tc>
        <w:tc>
          <w:tcPr>
            <w:tcW w:w="875" w:type="dxa"/>
            <w:tcBorders>
              <w:top w:val="nil"/>
              <w:left w:val="nil"/>
              <w:bottom w:val="single" w:sz="4" w:space="0" w:color="auto"/>
              <w:right w:val="single" w:sz="4" w:space="0" w:color="auto"/>
            </w:tcBorders>
            <w:shd w:val="clear" w:color="auto" w:fill="auto"/>
            <w:noWrap/>
            <w:vAlign w:val="bottom"/>
            <w:hideMark/>
          </w:tcPr>
          <w:p w14:paraId="03A39F2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-53.5%</w:t>
            </w:r>
          </w:p>
        </w:tc>
      </w:tr>
      <w:tr w:rsidR="00F5745A" w:rsidRPr="00402354" w14:paraId="3B7D2EEC" w14:textId="77777777" w:rsidTr="00F5745A">
        <w:trPr>
          <w:trHeight w:val="300"/>
        </w:trPr>
        <w:tc>
          <w:tcPr>
            <w:tcW w:w="2694" w:type="dxa"/>
            <w:tcBorders>
              <w:top w:val="nil"/>
              <w:left w:val="nil"/>
              <w:bottom w:val="single" w:sz="4" w:space="0" w:color="auto"/>
              <w:right w:val="nil"/>
            </w:tcBorders>
            <w:shd w:val="clear" w:color="auto" w:fill="auto"/>
            <w:noWrap/>
            <w:vAlign w:val="bottom"/>
            <w:hideMark/>
          </w:tcPr>
          <w:p w14:paraId="21835EC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47D80C4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465BCFA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4B3A9EB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22E8039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39DF60C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Return on Assets</w:t>
            </w:r>
          </w:p>
        </w:tc>
        <w:tc>
          <w:tcPr>
            <w:tcW w:w="875" w:type="dxa"/>
            <w:tcBorders>
              <w:top w:val="nil"/>
              <w:left w:val="nil"/>
              <w:bottom w:val="single" w:sz="4" w:space="0" w:color="auto"/>
              <w:right w:val="single" w:sz="4" w:space="0" w:color="auto"/>
            </w:tcBorders>
            <w:shd w:val="clear" w:color="auto" w:fill="auto"/>
            <w:noWrap/>
            <w:vAlign w:val="bottom"/>
            <w:hideMark/>
          </w:tcPr>
          <w:p w14:paraId="499145E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-14.7%</w:t>
            </w:r>
          </w:p>
        </w:tc>
        <w:tc>
          <w:tcPr>
            <w:tcW w:w="968" w:type="dxa"/>
            <w:tcBorders>
              <w:top w:val="nil"/>
              <w:left w:val="nil"/>
              <w:bottom w:val="single" w:sz="4" w:space="0" w:color="auto"/>
              <w:right w:val="single" w:sz="4" w:space="0" w:color="auto"/>
            </w:tcBorders>
            <w:shd w:val="clear" w:color="auto" w:fill="auto"/>
            <w:noWrap/>
            <w:vAlign w:val="bottom"/>
            <w:hideMark/>
          </w:tcPr>
          <w:p w14:paraId="6532A56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-6.7%</w:t>
            </w:r>
          </w:p>
        </w:tc>
        <w:tc>
          <w:tcPr>
            <w:tcW w:w="875" w:type="dxa"/>
            <w:tcBorders>
              <w:top w:val="nil"/>
              <w:left w:val="nil"/>
              <w:bottom w:val="single" w:sz="4" w:space="0" w:color="auto"/>
              <w:right w:val="single" w:sz="4" w:space="0" w:color="auto"/>
            </w:tcBorders>
            <w:shd w:val="clear" w:color="auto" w:fill="auto"/>
            <w:noWrap/>
            <w:vAlign w:val="bottom"/>
            <w:hideMark/>
          </w:tcPr>
          <w:p w14:paraId="63011485"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-10.6%</w:t>
            </w:r>
          </w:p>
        </w:tc>
      </w:tr>
      <w:tr w:rsidR="00F5745A" w:rsidRPr="00402354" w14:paraId="52489217"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4C7DF03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Stock / inventory</w:t>
            </w:r>
          </w:p>
        </w:tc>
        <w:tc>
          <w:tcPr>
            <w:tcW w:w="719" w:type="dxa"/>
            <w:tcBorders>
              <w:top w:val="nil"/>
              <w:left w:val="nil"/>
              <w:bottom w:val="single" w:sz="4" w:space="0" w:color="auto"/>
              <w:right w:val="single" w:sz="4" w:space="0" w:color="auto"/>
            </w:tcBorders>
            <w:shd w:val="clear" w:color="auto" w:fill="auto"/>
            <w:noWrap/>
            <w:vAlign w:val="bottom"/>
            <w:hideMark/>
          </w:tcPr>
          <w:p w14:paraId="16748D8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207</w:t>
            </w:r>
          </w:p>
        </w:tc>
        <w:tc>
          <w:tcPr>
            <w:tcW w:w="719" w:type="dxa"/>
            <w:tcBorders>
              <w:top w:val="nil"/>
              <w:left w:val="nil"/>
              <w:bottom w:val="single" w:sz="4" w:space="0" w:color="auto"/>
              <w:right w:val="nil"/>
            </w:tcBorders>
            <w:shd w:val="clear" w:color="auto" w:fill="auto"/>
            <w:noWrap/>
            <w:vAlign w:val="bottom"/>
            <w:hideMark/>
          </w:tcPr>
          <w:p w14:paraId="1067167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197</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5DD5AE9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308</w:t>
            </w:r>
          </w:p>
        </w:tc>
        <w:tc>
          <w:tcPr>
            <w:tcW w:w="283" w:type="dxa"/>
            <w:tcBorders>
              <w:top w:val="nil"/>
              <w:left w:val="nil"/>
              <w:bottom w:val="nil"/>
              <w:right w:val="nil"/>
            </w:tcBorders>
            <w:shd w:val="clear" w:color="auto" w:fill="auto"/>
            <w:noWrap/>
            <w:vAlign w:val="bottom"/>
            <w:hideMark/>
          </w:tcPr>
          <w:p w14:paraId="6996DA9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5B4DFFD2"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Return on Shareholder Equity</w:t>
            </w:r>
          </w:p>
        </w:tc>
        <w:tc>
          <w:tcPr>
            <w:tcW w:w="875" w:type="dxa"/>
            <w:tcBorders>
              <w:top w:val="nil"/>
              <w:left w:val="nil"/>
              <w:bottom w:val="single" w:sz="4" w:space="0" w:color="auto"/>
              <w:right w:val="single" w:sz="4" w:space="0" w:color="auto"/>
            </w:tcBorders>
            <w:shd w:val="clear" w:color="auto" w:fill="auto"/>
            <w:noWrap/>
            <w:vAlign w:val="bottom"/>
            <w:hideMark/>
          </w:tcPr>
          <w:p w14:paraId="5A5BF10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-51.1%</w:t>
            </w:r>
          </w:p>
        </w:tc>
        <w:tc>
          <w:tcPr>
            <w:tcW w:w="968" w:type="dxa"/>
            <w:tcBorders>
              <w:top w:val="nil"/>
              <w:left w:val="nil"/>
              <w:bottom w:val="single" w:sz="4" w:space="0" w:color="auto"/>
              <w:right w:val="single" w:sz="4" w:space="0" w:color="auto"/>
            </w:tcBorders>
            <w:shd w:val="clear" w:color="auto" w:fill="auto"/>
            <w:noWrap/>
            <w:vAlign w:val="bottom"/>
            <w:hideMark/>
          </w:tcPr>
          <w:p w14:paraId="1439ABC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-28.7%</w:t>
            </w:r>
          </w:p>
        </w:tc>
        <w:tc>
          <w:tcPr>
            <w:tcW w:w="875" w:type="dxa"/>
            <w:tcBorders>
              <w:top w:val="nil"/>
              <w:left w:val="nil"/>
              <w:bottom w:val="single" w:sz="4" w:space="0" w:color="auto"/>
              <w:right w:val="single" w:sz="4" w:space="0" w:color="auto"/>
            </w:tcBorders>
            <w:shd w:val="clear" w:color="auto" w:fill="auto"/>
            <w:noWrap/>
            <w:vAlign w:val="bottom"/>
            <w:hideMark/>
          </w:tcPr>
          <w:p w14:paraId="037FA0C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-76.7%</w:t>
            </w:r>
          </w:p>
        </w:tc>
      </w:tr>
      <w:tr w:rsidR="00F5745A" w:rsidRPr="00402354" w14:paraId="4B233D30"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4519705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Cash and Cash Equivalents</w:t>
            </w:r>
          </w:p>
        </w:tc>
        <w:tc>
          <w:tcPr>
            <w:tcW w:w="719" w:type="dxa"/>
            <w:tcBorders>
              <w:top w:val="nil"/>
              <w:left w:val="nil"/>
              <w:bottom w:val="single" w:sz="4" w:space="0" w:color="auto"/>
              <w:right w:val="single" w:sz="4" w:space="0" w:color="auto"/>
            </w:tcBorders>
            <w:shd w:val="clear" w:color="auto" w:fill="auto"/>
            <w:noWrap/>
            <w:vAlign w:val="bottom"/>
            <w:hideMark/>
          </w:tcPr>
          <w:p w14:paraId="7BF7C0B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489</w:t>
            </w:r>
          </w:p>
        </w:tc>
        <w:tc>
          <w:tcPr>
            <w:tcW w:w="719" w:type="dxa"/>
            <w:tcBorders>
              <w:top w:val="nil"/>
              <w:left w:val="nil"/>
              <w:bottom w:val="single" w:sz="4" w:space="0" w:color="auto"/>
              <w:right w:val="nil"/>
            </w:tcBorders>
            <w:shd w:val="clear" w:color="auto" w:fill="auto"/>
            <w:noWrap/>
            <w:vAlign w:val="bottom"/>
            <w:hideMark/>
          </w:tcPr>
          <w:p w14:paraId="6AA87FF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419</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5D42517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156</w:t>
            </w:r>
          </w:p>
        </w:tc>
        <w:tc>
          <w:tcPr>
            <w:tcW w:w="283" w:type="dxa"/>
            <w:tcBorders>
              <w:top w:val="nil"/>
              <w:left w:val="nil"/>
              <w:bottom w:val="nil"/>
              <w:right w:val="nil"/>
            </w:tcBorders>
            <w:shd w:val="clear" w:color="auto" w:fill="auto"/>
            <w:noWrap/>
            <w:vAlign w:val="bottom"/>
            <w:hideMark/>
          </w:tcPr>
          <w:p w14:paraId="543D270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490F836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Current Ratio</w:t>
            </w:r>
          </w:p>
        </w:tc>
        <w:tc>
          <w:tcPr>
            <w:tcW w:w="875" w:type="dxa"/>
            <w:tcBorders>
              <w:top w:val="nil"/>
              <w:left w:val="nil"/>
              <w:bottom w:val="single" w:sz="4" w:space="0" w:color="auto"/>
              <w:right w:val="single" w:sz="4" w:space="0" w:color="auto"/>
            </w:tcBorders>
            <w:shd w:val="clear" w:color="auto" w:fill="auto"/>
            <w:noWrap/>
            <w:vAlign w:val="bottom"/>
            <w:hideMark/>
          </w:tcPr>
          <w:p w14:paraId="7331A97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1.10</w:t>
            </w:r>
          </w:p>
        </w:tc>
        <w:tc>
          <w:tcPr>
            <w:tcW w:w="968" w:type="dxa"/>
            <w:tcBorders>
              <w:top w:val="nil"/>
              <w:left w:val="nil"/>
              <w:bottom w:val="single" w:sz="4" w:space="0" w:color="auto"/>
              <w:right w:val="single" w:sz="4" w:space="0" w:color="auto"/>
            </w:tcBorders>
            <w:shd w:val="clear" w:color="auto" w:fill="auto"/>
            <w:noWrap/>
            <w:vAlign w:val="bottom"/>
            <w:hideMark/>
          </w:tcPr>
          <w:p w14:paraId="533E1A6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0.96</w:t>
            </w:r>
          </w:p>
        </w:tc>
        <w:tc>
          <w:tcPr>
            <w:tcW w:w="875" w:type="dxa"/>
            <w:tcBorders>
              <w:top w:val="nil"/>
              <w:left w:val="nil"/>
              <w:bottom w:val="single" w:sz="4" w:space="0" w:color="auto"/>
              <w:right w:val="single" w:sz="4" w:space="0" w:color="auto"/>
            </w:tcBorders>
            <w:shd w:val="clear" w:color="auto" w:fill="auto"/>
            <w:noWrap/>
            <w:vAlign w:val="bottom"/>
            <w:hideMark/>
          </w:tcPr>
          <w:p w14:paraId="1087F73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0.80</w:t>
            </w:r>
          </w:p>
        </w:tc>
      </w:tr>
      <w:tr w:rsidR="00F5745A" w:rsidRPr="00402354" w14:paraId="29A987DC"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21EF363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Trade and other receivables</w:t>
            </w:r>
          </w:p>
        </w:tc>
        <w:tc>
          <w:tcPr>
            <w:tcW w:w="719" w:type="dxa"/>
            <w:tcBorders>
              <w:top w:val="nil"/>
              <w:left w:val="nil"/>
              <w:bottom w:val="single" w:sz="4" w:space="0" w:color="auto"/>
              <w:right w:val="single" w:sz="4" w:space="0" w:color="auto"/>
            </w:tcBorders>
            <w:shd w:val="clear" w:color="auto" w:fill="auto"/>
            <w:noWrap/>
            <w:vAlign w:val="bottom"/>
            <w:hideMark/>
          </w:tcPr>
          <w:p w14:paraId="7100161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178</w:t>
            </w:r>
          </w:p>
        </w:tc>
        <w:tc>
          <w:tcPr>
            <w:tcW w:w="719" w:type="dxa"/>
            <w:tcBorders>
              <w:top w:val="nil"/>
              <w:left w:val="nil"/>
              <w:bottom w:val="single" w:sz="4" w:space="0" w:color="auto"/>
              <w:right w:val="nil"/>
            </w:tcBorders>
            <w:shd w:val="clear" w:color="auto" w:fill="auto"/>
            <w:noWrap/>
            <w:vAlign w:val="bottom"/>
            <w:hideMark/>
          </w:tcPr>
          <w:p w14:paraId="2B5CC4C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243</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0F5DE5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288</w:t>
            </w:r>
          </w:p>
        </w:tc>
        <w:tc>
          <w:tcPr>
            <w:tcW w:w="283" w:type="dxa"/>
            <w:tcBorders>
              <w:top w:val="nil"/>
              <w:left w:val="nil"/>
              <w:bottom w:val="nil"/>
              <w:right w:val="nil"/>
            </w:tcBorders>
            <w:shd w:val="clear" w:color="auto" w:fill="auto"/>
            <w:noWrap/>
            <w:vAlign w:val="bottom"/>
            <w:hideMark/>
          </w:tcPr>
          <w:p w14:paraId="135F4D2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4A1EB431"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Quick Ratio</w:t>
            </w:r>
          </w:p>
        </w:tc>
        <w:tc>
          <w:tcPr>
            <w:tcW w:w="875" w:type="dxa"/>
            <w:tcBorders>
              <w:top w:val="nil"/>
              <w:left w:val="nil"/>
              <w:bottom w:val="single" w:sz="4" w:space="0" w:color="auto"/>
              <w:right w:val="single" w:sz="4" w:space="0" w:color="auto"/>
            </w:tcBorders>
            <w:shd w:val="clear" w:color="auto" w:fill="auto"/>
            <w:noWrap/>
            <w:vAlign w:val="bottom"/>
            <w:hideMark/>
          </w:tcPr>
          <w:p w14:paraId="16F3A76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0.84</w:t>
            </w:r>
          </w:p>
        </w:tc>
        <w:tc>
          <w:tcPr>
            <w:tcW w:w="968" w:type="dxa"/>
            <w:tcBorders>
              <w:top w:val="nil"/>
              <w:left w:val="nil"/>
              <w:bottom w:val="single" w:sz="4" w:space="0" w:color="auto"/>
              <w:right w:val="single" w:sz="4" w:space="0" w:color="auto"/>
            </w:tcBorders>
            <w:shd w:val="clear" w:color="auto" w:fill="auto"/>
            <w:noWrap/>
            <w:vAlign w:val="bottom"/>
            <w:hideMark/>
          </w:tcPr>
          <w:p w14:paraId="1C69C79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0.74</w:t>
            </w:r>
          </w:p>
        </w:tc>
        <w:tc>
          <w:tcPr>
            <w:tcW w:w="875" w:type="dxa"/>
            <w:tcBorders>
              <w:top w:val="nil"/>
              <w:left w:val="nil"/>
              <w:bottom w:val="single" w:sz="4" w:space="0" w:color="auto"/>
              <w:right w:val="single" w:sz="4" w:space="0" w:color="auto"/>
            </w:tcBorders>
            <w:shd w:val="clear" w:color="auto" w:fill="auto"/>
            <w:noWrap/>
            <w:vAlign w:val="bottom"/>
            <w:hideMark/>
          </w:tcPr>
          <w:p w14:paraId="211B26B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0.48</w:t>
            </w:r>
          </w:p>
        </w:tc>
      </w:tr>
      <w:tr w:rsidR="00F5745A" w:rsidRPr="00402354" w14:paraId="3F4095F1"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67CDD80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Other Current Assets</w:t>
            </w:r>
          </w:p>
        </w:tc>
        <w:tc>
          <w:tcPr>
            <w:tcW w:w="719" w:type="dxa"/>
            <w:tcBorders>
              <w:top w:val="nil"/>
              <w:left w:val="nil"/>
              <w:bottom w:val="single" w:sz="4" w:space="0" w:color="auto"/>
              <w:right w:val="single" w:sz="4" w:space="0" w:color="auto"/>
            </w:tcBorders>
            <w:shd w:val="clear" w:color="auto" w:fill="auto"/>
            <w:noWrap/>
            <w:vAlign w:val="bottom"/>
            <w:hideMark/>
          </w:tcPr>
          <w:p w14:paraId="5EE5DEA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15</w:t>
            </w:r>
          </w:p>
        </w:tc>
        <w:tc>
          <w:tcPr>
            <w:tcW w:w="719" w:type="dxa"/>
            <w:tcBorders>
              <w:top w:val="nil"/>
              <w:left w:val="nil"/>
              <w:bottom w:val="single" w:sz="4" w:space="0" w:color="auto"/>
              <w:right w:val="nil"/>
            </w:tcBorders>
            <w:shd w:val="clear" w:color="auto" w:fill="auto"/>
            <w:noWrap/>
            <w:vAlign w:val="bottom"/>
            <w:hideMark/>
          </w:tcPr>
          <w:p w14:paraId="339BC9D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A9C26A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9</w:t>
            </w:r>
          </w:p>
        </w:tc>
        <w:tc>
          <w:tcPr>
            <w:tcW w:w="283" w:type="dxa"/>
            <w:tcBorders>
              <w:top w:val="nil"/>
              <w:left w:val="nil"/>
              <w:bottom w:val="nil"/>
              <w:right w:val="nil"/>
            </w:tcBorders>
            <w:shd w:val="clear" w:color="auto" w:fill="auto"/>
            <w:noWrap/>
            <w:vAlign w:val="bottom"/>
            <w:hideMark/>
          </w:tcPr>
          <w:p w14:paraId="5382FEA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6370126D"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Cash Ratio</w:t>
            </w:r>
          </w:p>
        </w:tc>
        <w:tc>
          <w:tcPr>
            <w:tcW w:w="875" w:type="dxa"/>
            <w:tcBorders>
              <w:top w:val="nil"/>
              <w:left w:val="nil"/>
              <w:bottom w:val="single" w:sz="4" w:space="0" w:color="auto"/>
              <w:right w:val="single" w:sz="4" w:space="0" w:color="auto"/>
            </w:tcBorders>
            <w:shd w:val="clear" w:color="auto" w:fill="auto"/>
            <w:noWrap/>
            <w:vAlign w:val="bottom"/>
            <w:hideMark/>
          </w:tcPr>
          <w:p w14:paraId="5D7FBD8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0.61</w:t>
            </w:r>
          </w:p>
        </w:tc>
        <w:tc>
          <w:tcPr>
            <w:tcW w:w="968" w:type="dxa"/>
            <w:tcBorders>
              <w:top w:val="nil"/>
              <w:left w:val="nil"/>
              <w:bottom w:val="single" w:sz="4" w:space="0" w:color="auto"/>
              <w:right w:val="single" w:sz="4" w:space="0" w:color="auto"/>
            </w:tcBorders>
            <w:shd w:val="clear" w:color="auto" w:fill="auto"/>
            <w:noWrap/>
            <w:vAlign w:val="bottom"/>
            <w:hideMark/>
          </w:tcPr>
          <w:p w14:paraId="0897E84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0.46</w:t>
            </w:r>
          </w:p>
        </w:tc>
        <w:tc>
          <w:tcPr>
            <w:tcW w:w="875" w:type="dxa"/>
            <w:tcBorders>
              <w:top w:val="nil"/>
              <w:left w:val="nil"/>
              <w:bottom w:val="single" w:sz="4" w:space="0" w:color="auto"/>
              <w:right w:val="single" w:sz="4" w:space="0" w:color="auto"/>
            </w:tcBorders>
            <w:shd w:val="clear" w:color="auto" w:fill="auto"/>
            <w:noWrap/>
            <w:vAlign w:val="bottom"/>
            <w:hideMark/>
          </w:tcPr>
          <w:p w14:paraId="46B595C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0.16</w:t>
            </w:r>
          </w:p>
        </w:tc>
      </w:tr>
      <w:tr w:rsidR="00F5745A" w:rsidRPr="00402354" w14:paraId="59417C3E"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2BC5086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Current Assets</w:t>
            </w:r>
          </w:p>
        </w:tc>
        <w:tc>
          <w:tcPr>
            <w:tcW w:w="719" w:type="dxa"/>
            <w:tcBorders>
              <w:top w:val="nil"/>
              <w:left w:val="nil"/>
              <w:bottom w:val="single" w:sz="4" w:space="0" w:color="auto"/>
              <w:right w:val="single" w:sz="4" w:space="0" w:color="auto"/>
            </w:tcBorders>
            <w:shd w:val="clear" w:color="auto" w:fill="auto"/>
            <w:noWrap/>
            <w:vAlign w:val="bottom"/>
            <w:hideMark/>
          </w:tcPr>
          <w:p w14:paraId="40E1418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889</w:t>
            </w:r>
          </w:p>
        </w:tc>
        <w:tc>
          <w:tcPr>
            <w:tcW w:w="719" w:type="dxa"/>
            <w:tcBorders>
              <w:top w:val="nil"/>
              <w:left w:val="nil"/>
              <w:bottom w:val="single" w:sz="4" w:space="0" w:color="auto"/>
              <w:right w:val="nil"/>
            </w:tcBorders>
            <w:shd w:val="clear" w:color="auto" w:fill="auto"/>
            <w:noWrap/>
            <w:vAlign w:val="bottom"/>
            <w:hideMark/>
          </w:tcPr>
          <w:p w14:paraId="1C9C6CA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866</w:t>
            </w:r>
          </w:p>
        </w:tc>
        <w:tc>
          <w:tcPr>
            <w:tcW w:w="830" w:type="dxa"/>
            <w:tcBorders>
              <w:top w:val="nil"/>
              <w:left w:val="single" w:sz="4" w:space="0" w:color="auto"/>
              <w:bottom w:val="single" w:sz="4" w:space="0" w:color="auto"/>
              <w:right w:val="nil"/>
            </w:tcBorders>
            <w:shd w:val="clear" w:color="auto" w:fill="auto"/>
            <w:noWrap/>
            <w:vAlign w:val="bottom"/>
            <w:hideMark/>
          </w:tcPr>
          <w:p w14:paraId="38021A5D"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761</w:t>
            </w:r>
          </w:p>
        </w:tc>
        <w:tc>
          <w:tcPr>
            <w:tcW w:w="283" w:type="dxa"/>
            <w:tcBorders>
              <w:top w:val="nil"/>
              <w:left w:val="nil"/>
              <w:bottom w:val="nil"/>
              <w:right w:val="nil"/>
            </w:tcBorders>
            <w:shd w:val="clear" w:color="auto" w:fill="auto"/>
            <w:noWrap/>
            <w:vAlign w:val="bottom"/>
            <w:hideMark/>
          </w:tcPr>
          <w:p w14:paraId="43BA42B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5B9F4E82"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xml:space="preserve">Days Sales Outstanding </w:t>
            </w:r>
          </w:p>
        </w:tc>
        <w:tc>
          <w:tcPr>
            <w:tcW w:w="875" w:type="dxa"/>
            <w:tcBorders>
              <w:top w:val="nil"/>
              <w:left w:val="nil"/>
              <w:bottom w:val="single" w:sz="4" w:space="0" w:color="auto"/>
              <w:right w:val="single" w:sz="4" w:space="0" w:color="auto"/>
            </w:tcBorders>
            <w:shd w:val="clear" w:color="auto" w:fill="auto"/>
            <w:noWrap/>
            <w:vAlign w:val="bottom"/>
            <w:hideMark/>
          </w:tcPr>
          <w:p w14:paraId="0993C91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106.14</w:t>
            </w:r>
          </w:p>
        </w:tc>
        <w:tc>
          <w:tcPr>
            <w:tcW w:w="968" w:type="dxa"/>
            <w:tcBorders>
              <w:top w:val="nil"/>
              <w:left w:val="nil"/>
              <w:bottom w:val="single" w:sz="4" w:space="0" w:color="auto"/>
              <w:right w:val="single" w:sz="4" w:space="0" w:color="auto"/>
            </w:tcBorders>
            <w:shd w:val="clear" w:color="auto" w:fill="auto"/>
            <w:noWrap/>
            <w:vAlign w:val="bottom"/>
            <w:hideMark/>
          </w:tcPr>
          <w:p w14:paraId="059728F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81.11</w:t>
            </w:r>
          </w:p>
        </w:tc>
        <w:tc>
          <w:tcPr>
            <w:tcW w:w="875" w:type="dxa"/>
            <w:tcBorders>
              <w:top w:val="nil"/>
              <w:left w:val="nil"/>
              <w:bottom w:val="single" w:sz="4" w:space="0" w:color="auto"/>
              <w:right w:val="single" w:sz="4" w:space="0" w:color="auto"/>
            </w:tcBorders>
            <w:shd w:val="clear" w:color="auto" w:fill="auto"/>
            <w:noWrap/>
            <w:vAlign w:val="bottom"/>
            <w:hideMark/>
          </w:tcPr>
          <w:p w14:paraId="130C486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97.06</w:t>
            </w:r>
          </w:p>
        </w:tc>
      </w:tr>
      <w:tr w:rsidR="00F5745A" w:rsidRPr="00402354" w14:paraId="3DB27AD3" w14:textId="77777777" w:rsidTr="00F5745A">
        <w:trPr>
          <w:trHeight w:val="300"/>
        </w:trPr>
        <w:tc>
          <w:tcPr>
            <w:tcW w:w="2694" w:type="dxa"/>
            <w:tcBorders>
              <w:top w:val="nil"/>
              <w:left w:val="nil"/>
              <w:bottom w:val="single" w:sz="4" w:space="0" w:color="auto"/>
              <w:right w:val="nil"/>
            </w:tcBorders>
            <w:shd w:val="clear" w:color="auto" w:fill="auto"/>
            <w:noWrap/>
            <w:vAlign w:val="bottom"/>
            <w:hideMark/>
          </w:tcPr>
          <w:p w14:paraId="4048298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2B6E9D3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4D928AD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09E552F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3DACA70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23913E9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Inventory Turns</w:t>
            </w:r>
          </w:p>
        </w:tc>
        <w:tc>
          <w:tcPr>
            <w:tcW w:w="875" w:type="dxa"/>
            <w:tcBorders>
              <w:top w:val="nil"/>
              <w:left w:val="nil"/>
              <w:bottom w:val="single" w:sz="4" w:space="0" w:color="auto"/>
              <w:right w:val="single" w:sz="4" w:space="0" w:color="auto"/>
            </w:tcBorders>
            <w:shd w:val="clear" w:color="auto" w:fill="auto"/>
            <w:noWrap/>
            <w:vAlign w:val="bottom"/>
            <w:hideMark/>
          </w:tcPr>
          <w:p w14:paraId="161C034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2.41</w:t>
            </w:r>
          </w:p>
        </w:tc>
        <w:tc>
          <w:tcPr>
            <w:tcW w:w="968" w:type="dxa"/>
            <w:tcBorders>
              <w:top w:val="nil"/>
              <w:left w:val="nil"/>
              <w:bottom w:val="single" w:sz="4" w:space="0" w:color="auto"/>
              <w:right w:val="single" w:sz="4" w:space="0" w:color="auto"/>
            </w:tcBorders>
            <w:shd w:val="clear" w:color="auto" w:fill="auto"/>
            <w:noWrap/>
            <w:vAlign w:val="bottom"/>
            <w:hideMark/>
          </w:tcPr>
          <w:p w14:paraId="4BB6600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3.72</w:t>
            </w:r>
          </w:p>
        </w:tc>
        <w:tc>
          <w:tcPr>
            <w:tcW w:w="875" w:type="dxa"/>
            <w:tcBorders>
              <w:top w:val="nil"/>
              <w:left w:val="nil"/>
              <w:bottom w:val="single" w:sz="4" w:space="0" w:color="auto"/>
              <w:right w:val="single" w:sz="4" w:space="0" w:color="auto"/>
            </w:tcBorders>
            <w:shd w:val="clear" w:color="auto" w:fill="auto"/>
            <w:noWrap/>
            <w:vAlign w:val="bottom"/>
            <w:hideMark/>
          </w:tcPr>
          <w:p w14:paraId="2E8EF75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1.40</w:t>
            </w:r>
          </w:p>
        </w:tc>
      </w:tr>
      <w:tr w:rsidR="00F5745A" w:rsidRPr="00402354" w14:paraId="5DA2C11C"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031EC46D"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Total Assets</w:t>
            </w:r>
          </w:p>
        </w:tc>
        <w:tc>
          <w:tcPr>
            <w:tcW w:w="719" w:type="dxa"/>
            <w:tcBorders>
              <w:top w:val="nil"/>
              <w:left w:val="nil"/>
              <w:bottom w:val="single" w:sz="4" w:space="0" w:color="auto"/>
              <w:right w:val="single" w:sz="4" w:space="0" w:color="auto"/>
            </w:tcBorders>
            <w:shd w:val="clear" w:color="auto" w:fill="auto"/>
            <w:noWrap/>
            <w:vAlign w:val="bottom"/>
            <w:hideMark/>
          </w:tcPr>
          <w:p w14:paraId="4E623FE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2,795</w:t>
            </w:r>
          </w:p>
        </w:tc>
        <w:tc>
          <w:tcPr>
            <w:tcW w:w="719" w:type="dxa"/>
            <w:tcBorders>
              <w:top w:val="nil"/>
              <w:left w:val="nil"/>
              <w:bottom w:val="single" w:sz="4" w:space="0" w:color="auto"/>
              <w:right w:val="nil"/>
            </w:tcBorders>
            <w:shd w:val="clear" w:color="auto" w:fill="auto"/>
            <w:noWrap/>
            <w:vAlign w:val="bottom"/>
            <w:hideMark/>
          </w:tcPr>
          <w:p w14:paraId="2A3B0EAA"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2,841</w:t>
            </w:r>
          </w:p>
        </w:tc>
        <w:tc>
          <w:tcPr>
            <w:tcW w:w="830" w:type="dxa"/>
            <w:tcBorders>
              <w:top w:val="nil"/>
              <w:left w:val="single" w:sz="4" w:space="0" w:color="auto"/>
              <w:bottom w:val="single" w:sz="4" w:space="0" w:color="auto"/>
              <w:right w:val="nil"/>
            </w:tcBorders>
            <w:shd w:val="clear" w:color="auto" w:fill="auto"/>
            <w:noWrap/>
            <w:vAlign w:val="bottom"/>
            <w:hideMark/>
          </w:tcPr>
          <w:p w14:paraId="36AE56A4"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2,743</w:t>
            </w:r>
          </w:p>
        </w:tc>
        <w:tc>
          <w:tcPr>
            <w:tcW w:w="283" w:type="dxa"/>
            <w:tcBorders>
              <w:top w:val="nil"/>
              <w:left w:val="nil"/>
              <w:bottom w:val="nil"/>
              <w:right w:val="nil"/>
            </w:tcBorders>
            <w:shd w:val="clear" w:color="auto" w:fill="auto"/>
            <w:noWrap/>
            <w:vAlign w:val="bottom"/>
            <w:hideMark/>
          </w:tcPr>
          <w:p w14:paraId="593EA4F9"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534BC4AA"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Days Payable Outstanding</w:t>
            </w:r>
          </w:p>
        </w:tc>
        <w:tc>
          <w:tcPr>
            <w:tcW w:w="875" w:type="dxa"/>
            <w:tcBorders>
              <w:top w:val="nil"/>
              <w:left w:val="nil"/>
              <w:bottom w:val="single" w:sz="4" w:space="0" w:color="auto"/>
              <w:right w:val="single" w:sz="4" w:space="0" w:color="auto"/>
            </w:tcBorders>
            <w:shd w:val="clear" w:color="auto" w:fill="auto"/>
            <w:noWrap/>
            <w:vAlign w:val="bottom"/>
            <w:hideMark/>
          </w:tcPr>
          <w:p w14:paraId="1CC4904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422.88</w:t>
            </w:r>
          </w:p>
        </w:tc>
        <w:tc>
          <w:tcPr>
            <w:tcW w:w="968" w:type="dxa"/>
            <w:tcBorders>
              <w:top w:val="nil"/>
              <w:left w:val="nil"/>
              <w:bottom w:val="single" w:sz="4" w:space="0" w:color="auto"/>
              <w:right w:val="single" w:sz="4" w:space="0" w:color="auto"/>
            </w:tcBorders>
            <w:shd w:val="clear" w:color="auto" w:fill="auto"/>
            <w:noWrap/>
            <w:vAlign w:val="bottom"/>
            <w:hideMark/>
          </w:tcPr>
          <w:p w14:paraId="3BE03B4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352.81</w:t>
            </w:r>
          </w:p>
        </w:tc>
        <w:tc>
          <w:tcPr>
            <w:tcW w:w="875" w:type="dxa"/>
            <w:tcBorders>
              <w:top w:val="nil"/>
              <w:left w:val="nil"/>
              <w:bottom w:val="single" w:sz="4" w:space="0" w:color="auto"/>
              <w:right w:val="single" w:sz="4" w:space="0" w:color="auto"/>
            </w:tcBorders>
            <w:shd w:val="clear" w:color="auto" w:fill="auto"/>
            <w:noWrap/>
            <w:vAlign w:val="bottom"/>
            <w:hideMark/>
          </w:tcPr>
          <w:p w14:paraId="244DF452"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434.99</w:t>
            </w:r>
          </w:p>
        </w:tc>
      </w:tr>
      <w:tr w:rsidR="00F5745A" w:rsidRPr="00402354" w14:paraId="1409BF57" w14:textId="77777777" w:rsidTr="00F5745A">
        <w:trPr>
          <w:trHeight w:val="300"/>
        </w:trPr>
        <w:tc>
          <w:tcPr>
            <w:tcW w:w="2694" w:type="dxa"/>
            <w:tcBorders>
              <w:top w:val="nil"/>
              <w:left w:val="nil"/>
              <w:bottom w:val="single" w:sz="4" w:space="0" w:color="auto"/>
              <w:right w:val="nil"/>
            </w:tcBorders>
            <w:shd w:val="clear" w:color="auto" w:fill="auto"/>
            <w:noWrap/>
            <w:vAlign w:val="bottom"/>
            <w:hideMark/>
          </w:tcPr>
          <w:p w14:paraId="47D7286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24362AC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4D14A81B"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2C81DF0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0D56443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41830988"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Gearing Ratio</w:t>
            </w:r>
          </w:p>
        </w:tc>
        <w:tc>
          <w:tcPr>
            <w:tcW w:w="875" w:type="dxa"/>
            <w:tcBorders>
              <w:top w:val="nil"/>
              <w:left w:val="nil"/>
              <w:bottom w:val="single" w:sz="4" w:space="0" w:color="auto"/>
              <w:right w:val="single" w:sz="4" w:space="0" w:color="auto"/>
            </w:tcBorders>
            <w:shd w:val="clear" w:color="auto" w:fill="auto"/>
            <w:noWrap/>
            <w:vAlign w:val="bottom"/>
            <w:hideMark/>
          </w:tcPr>
          <w:p w14:paraId="5B11784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59.52%</w:t>
            </w:r>
          </w:p>
        </w:tc>
        <w:tc>
          <w:tcPr>
            <w:tcW w:w="968" w:type="dxa"/>
            <w:tcBorders>
              <w:top w:val="nil"/>
              <w:left w:val="nil"/>
              <w:bottom w:val="single" w:sz="4" w:space="0" w:color="auto"/>
              <w:right w:val="single" w:sz="4" w:space="0" w:color="auto"/>
            </w:tcBorders>
            <w:shd w:val="clear" w:color="auto" w:fill="auto"/>
            <w:noWrap/>
            <w:vAlign w:val="bottom"/>
            <w:hideMark/>
          </w:tcPr>
          <w:p w14:paraId="4841104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65.91%</w:t>
            </w:r>
          </w:p>
        </w:tc>
        <w:tc>
          <w:tcPr>
            <w:tcW w:w="875" w:type="dxa"/>
            <w:tcBorders>
              <w:top w:val="nil"/>
              <w:left w:val="nil"/>
              <w:bottom w:val="single" w:sz="4" w:space="0" w:color="auto"/>
              <w:right w:val="single" w:sz="4" w:space="0" w:color="auto"/>
            </w:tcBorders>
            <w:shd w:val="clear" w:color="auto" w:fill="auto"/>
            <w:noWrap/>
            <w:vAlign w:val="bottom"/>
            <w:hideMark/>
          </w:tcPr>
          <w:p w14:paraId="0319E8E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78.94%</w:t>
            </w:r>
          </w:p>
        </w:tc>
      </w:tr>
      <w:tr w:rsidR="00F5745A" w:rsidRPr="00402354" w14:paraId="74019B49"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54FE2E05"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Cash and Cash Equivalents</w:t>
            </w:r>
          </w:p>
        </w:tc>
        <w:tc>
          <w:tcPr>
            <w:tcW w:w="719" w:type="dxa"/>
            <w:tcBorders>
              <w:top w:val="nil"/>
              <w:left w:val="nil"/>
              <w:bottom w:val="single" w:sz="4" w:space="0" w:color="auto"/>
              <w:right w:val="single" w:sz="4" w:space="0" w:color="auto"/>
            </w:tcBorders>
            <w:shd w:val="clear" w:color="auto" w:fill="auto"/>
            <w:noWrap/>
            <w:vAlign w:val="bottom"/>
            <w:hideMark/>
          </w:tcPr>
          <w:p w14:paraId="3638564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489</w:t>
            </w:r>
          </w:p>
        </w:tc>
        <w:tc>
          <w:tcPr>
            <w:tcW w:w="719" w:type="dxa"/>
            <w:tcBorders>
              <w:top w:val="nil"/>
              <w:left w:val="nil"/>
              <w:bottom w:val="single" w:sz="4" w:space="0" w:color="auto"/>
              <w:right w:val="nil"/>
            </w:tcBorders>
            <w:shd w:val="clear" w:color="auto" w:fill="auto"/>
            <w:noWrap/>
            <w:vAlign w:val="bottom"/>
            <w:hideMark/>
          </w:tcPr>
          <w:p w14:paraId="2A51A65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419</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1966862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156</w:t>
            </w:r>
          </w:p>
        </w:tc>
        <w:tc>
          <w:tcPr>
            <w:tcW w:w="283" w:type="dxa"/>
            <w:tcBorders>
              <w:top w:val="nil"/>
              <w:left w:val="nil"/>
              <w:bottom w:val="nil"/>
              <w:right w:val="nil"/>
            </w:tcBorders>
            <w:shd w:val="clear" w:color="auto" w:fill="auto"/>
            <w:noWrap/>
            <w:vAlign w:val="bottom"/>
            <w:hideMark/>
          </w:tcPr>
          <w:p w14:paraId="0D359BB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5CA3F753"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Debt / Equity Ratio</w:t>
            </w:r>
          </w:p>
        </w:tc>
        <w:tc>
          <w:tcPr>
            <w:tcW w:w="875" w:type="dxa"/>
            <w:tcBorders>
              <w:top w:val="nil"/>
              <w:left w:val="nil"/>
              <w:bottom w:val="single" w:sz="4" w:space="0" w:color="auto"/>
              <w:right w:val="single" w:sz="4" w:space="0" w:color="auto"/>
            </w:tcBorders>
            <w:shd w:val="clear" w:color="auto" w:fill="auto"/>
            <w:noWrap/>
            <w:vAlign w:val="bottom"/>
            <w:hideMark/>
          </w:tcPr>
          <w:p w14:paraId="1954134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2.48</w:t>
            </w:r>
          </w:p>
        </w:tc>
        <w:tc>
          <w:tcPr>
            <w:tcW w:w="968" w:type="dxa"/>
            <w:tcBorders>
              <w:top w:val="nil"/>
              <w:left w:val="nil"/>
              <w:bottom w:val="single" w:sz="4" w:space="0" w:color="auto"/>
              <w:right w:val="single" w:sz="4" w:space="0" w:color="auto"/>
            </w:tcBorders>
            <w:shd w:val="clear" w:color="auto" w:fill="auto"/>
            <w:noWrap/>
            <w:vAlign w:val="bottom"/>
            <w:hideMark/>
          </w:tcPr>
          <w:p w14:paraId="49755D3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3.30</w:t>
            </w:r>
          </w:p>
        </w:tc>
        <w:tc>
          <w:tcPr>
            <w:tcW w:w="875" w:type="dxa"/>
            <w:tcBorders>
              <w:top w:val="nil"/>
              <w:left w:val="nil"/>
              <w:bottom w:val="single" w:sz="4" w:space="0" w:color="auto"/>
              <w:right w:val="single" w:sz="4" w:space="0" w:color="auto"/>
            </w:tcBorders>
            <w:shd w:val="clear" w:color="auto" w:fill="auto"/>
            <w:noWrap/>
            <w:vAlign w:val="bottom"/>
            <w:hideMark/>
          </w:tcPr>
          <w:p w14:paraId="3686FF6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6.26</w:t>
            </w:r>
          </w:p>
        </w:tc>
      </w:tr>
      <w:tr w:rsidR="00F5745A" w:rsidRPr="00402354" w14:paraId="76CC7EC5"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7CAF438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Creditors/trade and other payables</w:t>
            </w:r>
          </w:p>
        </w:tc>
        <w:tc>
          <w:tcPr>
            <w:tcW w:w="719" w:type="dxa"/>
            <w:tcBorders>
              <w:top w:val="nil"/>
              <w:left w:val="nil"/>
              <w:bottom w:val="single" w:sz="4" w:space="0" w:color="auto"/>
              <w:right w:val="single" w:sz="4" w:space="0" w:color="auto"/>
            </w:tcBorders>
            <w:shd w:val="clear" w:color="auto" w:fill="auto"/>
            <w:noWrap/>
            <w:vAlign w:val="bottom"/>
            <w:hideMark/>
          </w:tcPr>
          <w:p w14:paraId="6ABF076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580</w:t>
            </w:r>
          </w:p>
        </w:tc>
        <w:tc>
          <w:tcPr>
            <w:tcW w:w="719" w:type="dxa"/>
            <w:tcBorders>
              <w:top w:val="nil"/>
              <w:left w:val="nil"/>
              <w:bottom w:val="single" w:sz="4" w:space="0" w:color="auto"/>
              <w:right w:val="nil"/>
            </w:tcBorders>
            <w:shd w:val="clear" w:color="auto" w:fill="auto"/>
            <w:noWrap/>
            <w:vAlign w:val="bottom"/>
            <w:hideMark/>
          </w:tcPr>
          <w:p w14:paraId="3D8D025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727</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65A0B03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843</w:t>
            </w:r>
          </w:p>
        </w:tc>
        <w:tc>
          <w:tcPr>
            <w:tcW w:w="283" w:type="dxa"/>
            <w:tcBorders>
              <w:top w:val="nil"/>
              <w:left w:val="nil"/>
              <w:bottom w:val="nil"/>
              <w:right w:val="nil"/>
            </w:tcBorders>
            <w:shd w:val="clear" w:color="auto" w:fill="auto"/>
            <w:noWrap/>
            <w:vAlign w:val="bottom"/>
            <w:hideMark/>
          </w:tcPr>
          <w:p w14:paraId="6094B5D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44112272"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LT Debt / Equity Ratio</w:t>
            </w:r>
          </w:p>
        </w:tc>
        <w:tc>
          <w:tcPr>
            <w:tcW w:w="875" w:type="dxa"/>
            <w:tcBorders>
              <w:top w:val="nil"/>
              <w:left w:val="nil"/>
              <w:bottom w:val="single" w:sz="4" w:space="0" w:color="auto"/>
              <w:right w:val="single" w:sz="4" w:space="0" w:color="auto"/>
            </w:tcBorders>
            <w:shd w:val="clear" w:color="auto" w:fill="auto"/>
            <w:noWrap/>
            <w:vAlign w:val="bottom"/>
            <w:hideMark/>
          </w:tcPr>
          <w:p w14:paraId="6063365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1.47</w:t>
            </w:r>
          </w:p>
        </w:tc>
        <w:tc>
          <w:tcPr>
            <w:tcW w:w="968" w:type="dxa"/>
            <w:tcBorders>
              <w:top w:val="nil"/>
              <w:left w:val="nil"/>
              <w:bottom w:val="single" w:sz="4" w:space="0" w:color="auto"/>
              <w:right w:val="single" w:sz="4" w:space="0" w:color="auto"/>
            </w:tcBorders>
            <w:shd w:val="clear" w:color="auto" w:fill="auto"/>
            <w:noWrap/>
            <w:vAlign w:val="bottom"/>
            <w:hideMark/>
          </w:tcPr>
          <w:p w14:paraId="5929B4E0"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1.93</w:t>
            </w:r>
          </w:p>
        </w:tc>
        <w:tc>
          <w:tcPr>
            <w:tcW w:w="875" w:type="dxa"/>
            <w:tcBorders>
              <w:top w:val="nil"/>
              <w:left w:val="nil"/>
              <w:bottom w:val="single" w:sz="4" w:space="0" w:color="auto"/>
              <w:right w:val="single" w:sz="4" w:space="0" w:color="auto"/>
            </w:tcBorders>
            <w:shd w:val="clear" w:color="auto" w:fill="auto"/>
            <w:noWrap/>
            <w:vAlign w:val="bottom"/>
            <w:hideMark/>
          </w:tcPr>
          <w:p w14:paraId="300CD177"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3.75</w:t>
            </w:r>
          </w:p>
        </w:tc>
      </w:tr>
      <w:tr w:rsidR="00F5745A" w:rsidRPr="00402354" w14:paraId="5F5B730A"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1E2842C8" w14:textId="2D56B36A" w:rsidR="00402354" w:rsidRPr="00402354" w:rsidRDefault="00F5745A"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Accruals</w:t>
            </w:r>
          </w:p>
        </w:tc>
        <w:tc>
          <w:tcPr>
            <w:tcW w:w="719" w:type="dxa"/>
            <w:tcBorders>
              <w:top w:val="nil"/>
              <w:left w:val="nil"/>
              <w:bottom w:val="single" w:sz="4" w:space="0" w:color="auto"/>
              <w:right w:val="single" w:sz="4" w:space="0" w:color="auto"/>
            </w:tcBorders>
            <w:shd w:val="clear" w:color="auto" w:fill="auto"/>
            <w:noWrap/>
            <w:vAlign w:val="bottom"/>
            <w:hideMark/>
          </w:tcPr>
          <w:p w14:paraId="0996A5D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7364B88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7A087001"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30BDC98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7BE920E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xml:space="preserve">Interest Coverage </w:t>
            </w:r>
          </w:p>
        </w:tc>
        <w:tc>
          <w:tcPr>
            <w:tcW w:w="875" w:type="dxa"/>
            <w:tcBorders>
              <w:top w:val="nil"/>
              <w:left w:val="nil"/>
              <w:bottom w:val="single" w:sz="4" w:space="0" w:color="auto"/>
              <w:right w:val="single" w:sz="4" w:space="0" w:color="auto"/>
            </w:tcBorders>
            <w:shd w:val="clear" w:color="auto" w:fill="auto"/>
            <w:noWrap/>
            <w:vAlign w:val="bottom"/>
            <w:hideMark/>
          </w:tcPr>
          <w:p w14:paraId="39A0F89E"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1.76</w:t>
            </w:r>
          </w:p>
        </w:tc>
        <w:tc>
          <w:tcPr>
            <w:tcW w:w="968" w:type="dxa"/>
            <w:tcBorders>
              <w:top w:val="nil"/>
              <w:left w:val="nil"/>
              <w:bottom w:val="single" w:sz="4" w:space="0" w:color="auto"/>
              <w:right w:val="single" w:sz="4" w:space="0" w:color="auto"/>
            </w:tcBorders>
            <w:shd w:val="clear" w:color="auto" w:fill="auto"/>
            <w:noWrap/>
            <w:vAlign w:val="bottom"/>
            <w:hideMark/>
          </w:tcPr>
          <w:p w14:paraId="6F6E9B0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0.44</w:t>
            </w:r>
          </w:p>
        </w:tc>
        <w:tc>
          <w:tcPr>
            <w:tcW w:w="875" w:type="dxa"/>
            <w:tcBorders>
              <w:top w:val="nil"/>
              <w:left w:val="nil"/>
              <w:bottom w:val="single" w:sz="4" w:space="0" w:color="auto"/>
              <w:right w:val="single" w:sz="4" w:space="0" w:color="auto"/>
            </w:tcBorders>
            <w:shd w:val="clear" w:color="auto" w:fill="auto"/>
            <w:noWrap/>
            <w:vAlign w:val="bottom"/>
            <w:hideMark/>
          </w:tcPr>
          <w:p w14:paraId="013EC01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0.41</w:t>
            </w:r>
          </w:p>
        </w:tc>
      </w:tr>
      <w:tr w:rsidR="00F5745A" w:rsidRPr="00402354" w14:paraId="66326FDB"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5259342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Current Liabilities</w:t>
            </w:r>
          </w:p>
        </w:tc>
        <w:tc>
          <w:tcPr>
            <w:tcW w:w="719" w:type="dxa"/>
            <w:tcBorders>
              <w:top w:val="nil"/>
              <w:left w:val="nil"/>
              <w:bottom w:val="single" w:sz="4" w:space="0" w:color="auto"/>
              <w:right w:val="single" w:sz="4" w:space="0" w:color="auto"/>
            </w:tcBorders>
            <w:shd w:val="clear" w:color="auto" w:fill="auto"/>
            <w:noWrap/>
            <w:vAlign w:val="bottom"/>
            <w:hideMark/>
          </w:tcPr>
          <w:p w14:paraId="43339D15"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808</w:t>
            </w:r>
          </w:p>
        </w:tc>
        <w:tc>
          <w:tcPr>
            <w:tcW w:w="719" w:type="dxa"/>
            <w:tcBorders>
              <w:top w:val="nil"/>
              <w:left w:val="nil"/>
              <w:bottom w:val="single" w:sz="4" w:space="0" w:color="auto"/>
              <w:right w:val="nil"/>
            </w:tcBorders>
            <w:shd w:val="clear" w:color="auto" w:fill="auto"/>
            <w:noWrap/>
            <w:vAlign w:val="bottom"/>
            <w:hideMark/>
          </w:tcPr>
          <w:p w14:paraId="2E1DF656"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905</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4E801490"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950</w:t>
            </w:r>
          </w:p>
        </w:tc>
        <w:tc>
          <w:tcPr>
            <w:tcW w:w="283" w:type="dxa"/>
            <w:tcBorders>
              <w:top w:val="nil"/>
              <w:left w:val="nil"/>
              <w:bottom w:val="nil"/>
              <w:right w:val="nil"/>
            </w:tcBorders>
            <w:shd w:val="clear" w:color="auto" w:fill="auto"/>
            <w:noWrap/>
            <w:vAlign w:val="bottom"/>
            <w:hideMark/>
          </w:tcPr>
          <w:p w14:paraId="22A1B18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single" w:sz="4" w:space="0" w:color="auto"/>
              <w:bottom w:val="single" w:sz="4" w:space="0" w:color="auto"/>
              <w:right w:val="single" w:sz="4" w:space="0" w:color="auto"/>
            </w:tcBorders>
            <w:shd w:val="clear" w:color="auto" w:fill="auto"/>
            <w:noWrap/>
            <w:vAlign w:val="bottom"/>
            <w:hideMark/>
          </w:tcPr>
          <w:p w14:paraId="302554E0"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Ordinary Shares</w:t>
            </w:r>
          </w:p>
        </w:tc>
        <w:tc>
          <w:tcPr>
            <w:tcW w:w="875" w:type="dxa"/>
            <w:tcBorders>
              <w:top w:val="nil"/>
              <w:left w:val="nil"/>
              <w:bottom w:val="single" w:sz="4" w:space="0" w:color="auto"/>
              <w:right w:val="single" w:sz="4" w:space="0" w:color="auto"/>
            </w:tcBorders>
            <w:shd w:val="clear" w:color="auto" w:fill="auto"/>
            <w:noWrap/>
            <w:vAlign w:val="bottom"/>
            <w:hideMark/>
          </w:tcPr>
          <w:p w14:paraId="2335E95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-543</w:t>
            </w:r>
          </w:p>
        </w:tc>
        <w:tc>
          <w:tcPr>
            <w:tcW w:w="968" w:type="dxa"/>
            <w:tcBorders>
              <w:top w:val="nil"/>
              <w:left w:val="nil"/>
              <w:bottom w:val="single" w:sz="4" w:space="0" w:color="auto"/>
              <w:right w:val="nil"/>
            </w:tcBorders>
            <w:shd w:val="clear" w:color="auto" w:fill="auto"/>
            <w:noWrap/>
            <w:vAlign w:val="bottom"/>
            <w:hideMark/>
          </w:tcPr>
          <w:p w14:paraId="6646ACB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-166</w:t>
            </w:r>
          </w:p>
        </w:tc>
        <w:tc>
          <w:tcPr>
            <w:tcW w:w="875" w:type="dxa"/>
            <w:tcBorders>
              <w:top w:val="nil"/>
              <w:left w:val="single" w:sz="4" w:space="0" w:color="auto"/>
              <w:bottom w:val="single" w:sz="4" w:space="0" w:color="auto"/>
              <w:right w:val="single" w:sz="4" w:space="0" w:color="auto"/>
            </w:tcBorders>
            <w:shd w:val="clear" w:color="auto" w:fill="auto"/>
            <w:noWrap/>
            <w:vAlign w:val="bottom"/>
            <w:hideMark/>
          </w:tcPr>
          <w:p w14:paraId="405DB696"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-290</w:t>
            </w:r>
          </w:p>
        </w:tc>
      </w:tr>
      <w:tr w:rsidR="00F5745A" w:rsidRPr="00402354" w14:paraId="4BA18D12"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37FA1CD2" w14:textId="61B2D9CA" w:rsidR="00402354" w:rsidRPr="00402354" w:rsidRDefault="00F5745A"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non-current</w:t>
            </w:r>
            <w:r w:rsidR="00402354" w:rsidRPr="00402354">
              <w:rPr>
                <w:rFonts w:ascii="Calibri" w:eastAsia="Times New Roman" w:hAnsi="Calibri" w:cs="Times New Roman"/>
                <w:color w:val="000000"/>
                <w:lang w:val="en-GB" w:eastAsia="en-GB"/>
              </w:rPr>
              <w:t xml:space="preserve"> liabilities</w:t>
            </w:r>
          </w:p>
        </w:tc>
        <w:tc>
          <w:tcPr>
            <w:tcW w:w="719" w:type="dxa"/>
            <w:tcBorders>
              <w:top w:val="nil"/>
              <w:left w:val="nil"/>
              <w:bottom w:val="single" w:sz="4" w:space="0" w:color="auto"/>
              <w:right w:val="single" w:sz="4" w:space="0" w:color="auto"/>
            </w:tcBorders>
            <w:shd w:val="clear" w:color="auto" w:fill="auto"/>
            <w:noWrap/>
            <w:vAlign w:val="bottom"/>
            <w:hideMark/>
          </w:tcPr>
          <w:p w14:paraId="11306C3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1,182</w:t>
            </w:r>
          </w:p>
        </w:tc>
        <w:tc>
          <w:tcPr>
            <w:tcW w:w="719" w:type="dxa"/>
            <w:tcBorders>
              <w:top w:val="nil"/>
              <w:left w:val="nil"/>
              <w:bottom w:val="single" w:sz="4" w:space="0" w:color="auto"/>
              <w:right w:val="nil"/>
            </w:tcBorders>
            <w:shd w:val="clear" w:color="auto" w:fill="auto"/>
            <w:noWrap/>
            <w:vAlign w:val="bottom"/>
            <w:hideMark/>
          </w:tcPr>
          <w:p w14:paraId="09B48893"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1,277</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6DE815EA"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1,416</w:t>
            </w:r>
          </w:p>
        </w:tc>
        <w:tc>
          <w:tcPr>
            <w:tcW w:w="283" w:type="dxa"/>
            <w:tcBorders>
              <w:top w:val="nil"/>
              <w:left w:val="nil"/>
              <w:bottom w:val="nil"/>
              <w:right w:val="nil"/>
            </w:tcBorders>
            <w:shd w:val="clear" w:color="auto" w:fill="auto"/>
            <w:noWrap/>
            <w:vAlign w:val="bottom"/>
            <w:hideMark/>
          </w:tcPr>
          <w:p w14:paraId="7B9D99C8"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68217D8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67D95ED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19190E5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146FE9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5A195590"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0FADB798"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Total Liabilities</w:t>
            </w:r>
          </w:p>
        </w:tc>
        <w:tc>
          <w:tcPr>
            <w:tcW w:w="719" w:type="dxa"/>
            <w:tcBorders>
              <w:top w:val="nil"/>
              <w:left w:val="nil"/>
              <w:bottom w:val="single" w:sz="4" w:space="0" w:color="auto"/>
              <w:right w:val="single" w:sz="4" w:space="0" w:color="auto"/>
            </w:tcBorders>
            <w:shd w:val="clear" w:color="auto" w:fill="auto"/>
            <w:noWrap/>
            <w:vAlign w:val="bottom"/>
            <w:hideMark/>
          </w:tcPr>
          <w:p w14:paraId="166903B5"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1,991</w:t>
            </w:r>
          </w:p>
        </w:tc>
        <w:tc>
          <w:tcPr>
            <w:tcW w:w="719" w:type="dxa"/>
            <w:tcBorders>
              <w:top w:val="nil"/>
              <w:left w:val="nil"/>
              <w:bottom w:val="single" w:sz="4" w:space="0" w:color="auto"/>
              <w:right w:val="nil"/>
            </w:tcBorders>
            <w:shd w:val="clear" w:color="auto" w:fill="auto"/>
            <w:noWrap/>
            <w:vAlign w:val="bottom"/>
            <w:hideMark/>
          </w:tcPr>
          <w:p w14:paraId="55C00727"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2,182</w:t>
            </w:r>
          </w:p>
        </w:tc>
        <w:tc>
          <w:tcPr>
            <w:tcW w:w="830" w:type="dxa"/>
            <w:tcBorders>
              <w:top w:val="nil"/>
              <w:left w:val="single" w:sz="4" w:space="0" w:color="auto"/>
              <w:bottom w:val="single" w:sz="4" w:space="0" w:color="auto"/>
              <w:right w:val="nil"/>
            </w:tcBorders>
            <w:shd w:val="clear" w:color="auto" w:fill="auto"/>
            <w:noWrap/>
            <w:vAlign w:val="bottom"/>
            <w:hideMark/>
          </w:tcPr>
          <w:p w14:paraId="42DF3930"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2,366</w:t>
            </w:r>
          </w:p>
        </w:tc>
        <w:tc>
          <w:tcPr>
            <w:tcW w:w="283" w:type="dxa"/>
            <w:tcBorders>
              <w:top w:val="nil"/>
              <w:left w:val="nil"/>
              <w:bottom w:val="nil"/>
              <w:right w:val="nil"/>
            </w:tcBorders>
            <w:shd w:val="clear" w:color="auto" w:fill="auto"/>
            <w:noWrap/>
            <w:vAlign w:val="bottom"/>
            <w:hideMark/>
          </w:tcPr>
          <w:p w14:paraId="08A1ADFF"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nil"/>
              <w:bottom w:val="nil"/>
              <w:right w:val="nil"/>
            </w:tcBorders>
            <w:shd w:val="clear" w:color="auto" w:fill="auto"/>
            <w:noWrap/>
            <w:vAlign w:val="bottom"/>
            <w:hideMark/>
          </w:tcPr>
          <w:p w14:paraId="3D9CD505"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44A5024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09560384"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43D193A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32326CAF" w14:textId="77777777" w:rsidTr="00F5745A">
        <w:trPr>
          <w:trHeight w:val="70"/>
        </w:trPr>
        <w:tc>
          <w:tcPr>
            <w:tcW w:w="2694" w:type="dxa"/>
            <w:tcBorders>
              <w:top w:val="nil"/>
              <w:left w:val="nil"/>
              <w:bottom w:val="single" w:sz="4" w:space="0" w:color="auto"/>
              <w:right w:val="nil"/>
            </w:tcBorders>
            <w:shd w:val="clear" w:color="auto" w:fill="auto"/>
            <w:noWrap/>
            <w:vAlign w:val="bottom"/>
            <w:hideMark/>
          </w:tcPr>
          <w:p w14:paraId="18F4597F"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711A0AFD"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0F249269"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09117B6C"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r w:rsidRPr="00402354">
              <w:rPr>
                <w:rFonts w:ascii="Calibri" w:eastAsia="Times New Roman" w:hAnsi="Calibri" w:cs="Times New Roman"/>
                <w:color w:val="000000"/>
                <w:lang w:val="en-GB" w:eastAsia="en-GB"/>
              </w:rPr>
              <w:t> </w:t>
            </w:r>
          </w:p>
        </w:tc>
        <w:tc>
          <w:tcPr>
            <w:tcW w:w="283" w:type="dxa"/>
            <w:tcBorders>
              <w:top w:val="nil"/>
              <w:left w:val="nil"/>
              <w:bottom w:val="nil"/>
              <w:right w:val="nil"/>
            </w:tcBorders>
            <w:shd w:val="clear" w:color="auto" w:fill="auto"/>
            <w:noWrap/>
            <w:vAlign w:val="bottom"/>
            <w:hideMark/>
          </w:tcPr>
          <w:p w14:paraId="7EB89754" w14:textId="77777777" w:rsidR="00402354" w:rsidRPr="00402354" w:rsidRDefault="00402354" w:rsidP="00402354">
            <w:pPr>
              <w:spacing w:after="0" w:line="240" w:lineRule="auto"/>
              <w:jc w:val="center"/>
              <w:rPr>
                <w:rFonts w:ascii="Calibri" w:eastAsia="Times New Roman" w:hAnsi="Calibri" w:cs="Times New Roman"/>
                <w:color w:val="000000"/>
                <w:lang w:val="en-GB" w:eastAsia="en-GB"/>
              </w:rPr>
            </w:pPr>
          </w:p>
        </w:tc>
        <w:tc>
          <w:tcPr>
            <w:tcW w:w="2410" w:type="dxa"/>
            <w:tcBorders>
              <w:top w:val="nil"/>
              <w:left w:val="nil"/>
              <w:bottom w:val="nil"/>
              <w:right w:val="nil"/>
            </w:tcBorders>
            <w:shd w:val="clear" w:color="auto" w:fill="auto"/>
            <w:noWrap/>
            <w:vAlign w:val="bottom"/>
            <w:hideMark/>
          </w:tcPr>
          <w:p w14:paraId="0A925B18"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BBD58A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19FEA33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58C900D9"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7F6455EF"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538045F9"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xml:space="preserve">Net Assets </w:t>
            </w:r>
          </w:p>
        </w:tc>
        <w:tc>
          <w:tcPr>
            <w:tcW w:w="719" w:type="dxa"/>
            <w:tcBorders>
              <w:top w:val="nil"/>
              <w:left w:val="nil"/>
              <w:bottom w:val="single" w:sz="4" w:space="0" w:color="auto"/>
              <w:right w:val="single" w:sz="4" w:space="0" w:color="auto"/>
            </w:tcBorders>
            <w:shd w:val="clear" w:color="auto" w:fill="auto"/>
            <w:noWrap/>
            <w:vAlign w:val="bottom"/>
            <w:hideMark/>
          </w:tcPr>
          <w:p w14:paraId="7B093779"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804</w:t>
            </w:r>
          </w:p>
        </w:tc>
        <w:tc>
          <w:tcPr>
            <w:tcW w:w="719" w:type="dxa"/>
            <w:tcBorders>
              <w:top w:val="nil"/>
              <w:left w:val="nil"/>
              <w:bottom w:val="single" w:sz="4" w:space="0" w:color="auto"/>
              <w:right w:val="nil"/>
            </w:tcBorders>
            <w:shd w:val="clear" w:color="auto" w:fill="auto"/>
            <w:noWrap/>
            <w:vAlign w:val="bottom"/>
            <w:hideMark/>
          </w:tcPr>
          <w:p w14:paraId="2BA20AE1"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659</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02881F33"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378</w:t>
            </w:r>
          </w:p>
        </w:tc>
        <w:tc>
          <w:tcPr>
            <w:tcW w:w="283" w:type="dxa"/>
            <w:tcBorders>
              <w:top w:val="nil"/>
              <w:left w:val="nil"/>
              <w:bottom w:val="nil"/>
              <w:right w:val="nil"/>
            </w:tcBorders>
            <w:shd w:val="clear" w:color="auto" w:fill="auto"/>
            <w:noWrap/>
            <w:vAlign w:val="bottom"/>
            <w:hideMark/>
          </w:tcPr>
          <w:p w14:paraId="3B21A99D"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nil"/>
              <w:bottom w:val="nil"/>
              <w:right w:val="nil"/>
            </w:tcBorders>
            <w:shd w:val="clear" w:color="auto" w:fill="auto"/>
            <w:noWrap/>
            <w:vAlign w:val="bottom"/>
            <w:hideMark/>
          </w:tcPr>
          <w:p w14:paraId="1574CDD2"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3D08BD5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13549A76"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2FB64AE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20516BE5"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47419FBE"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14:paraId="3B9A27D9"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w:t>
            </w:r>
          </w:p>
        </w:tc>
        <w:tc>
          <w:tcPr>
            <w:tcW w:w="719" w:type="dxa"/>
            <w:tcBorders>
              <w:top w:val="nil"/>
              <w:left w:val="nil"/>
              <w:bottom w:val="single" w:sz="4" w:space="0" w:color="auto"/>
              <w:right w:val="nil"/>
            </w:tcBorders>
            <w:shd w:val="clear" w:color="auto" w:fill="auto"/>
            <w:noWrap/>
            <w:vAlign w:val="bottom"/>
            <w:hideMark/>
          </w:tcPr>
          <w:p w14:paraId="23F771EC"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66DA2627"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 </w:t>
            </w:r>
          </w:p>
        </w:tc>
        <w:tc>
          <w:tcPr>
            <w:tcW w:w="283" w:type="dxa"/>
            <w:tcBorders>
              <w:top w:val="nil"/>
              <w:left w:val="nil"/>
              <w:bottom w:val="nil"/>
              <w:right w:val="nil"/>
            </w:tcBorders>
            <w:shd w:val="clear" w:color="auto" w:fill="auto"/>
            <w:noWrap/>
            <w:vAlign w:val="bottom"/>
            <w:hideMark/>
          </w:tcPr>
          <w:p w14:paraId="59F68194"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nil"/>
              <w:bottom w:val="nil"/>
              <w:right w:val="nil"/>
            </w:tcBorders>
            <w:shd w:val="clear" w:color="auto" w:fill="auto"/>
            <w:noWrap/>
            <w:vAlign w:val="bottom"/>
            <w:hideMark/>
          </w:tcPr>
          <w:p w14:paraId="60D5FBAE"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0C25382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0AE7DFE7"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C854913"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r w:rsidR="00F5745A" w:rsidRPr="00402354" w14:paraId="6E47641A" w14:textId="77777777" w:rsidTr="00F5745A">
        <w:trPr>
          <w:trHeight w:val="300"/>
        </w:trPr>
        <w:tc>
          <w:tcPr>
            <w:tcW w:w="2694" w:type="dxa"/>
            <w:tcBorders>
              <w:top w:val="nil"/>
              <w:left w:val="single" w:sz="4" w:space="0" w:color="auto"/>
              <w:bottom w:val="single" w:sz="4" w:space="0" w:color="auto"/>
              <w:right w:val="single" w:sz="4" w:space="0" w:color="auto"/>
            </w:tcBorders>
            <w:shd w:val="clear" w:color="auto" w:fill="auto"/>
            <w:noWrap/>
            <w:vAlign w:val="bottom"/>
            <w:hideMark/>
          </w:tcPr>
          <w:p w14:paraId="6EA4EBC2"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Shareholders Equity</w:t>
            </w:r>
          </w:p>
        </w:tc>
        <w:tc>
          <w:tcPr>
            <w:tcW w:w="719" w:type="dxa"/>
            <w:tcBorders>
              <w:top w:val="nil"/>
              <w:left w:val="nil"/>
              <w:bottom w:val="single" w:sz="4" w:space="0" w:color="auto"/>
              <w:right w:val="single" w:sz="4" w:space="0" w:color="auto"/>
            </w:tcBorders>
            <w:shd w:val="clear" w:color="auto" w:fill="auto"/>
            <w:noWrap/>
            <w:vAlign w:val="bottom"/>
            <w:hideMark/>
          </w:tcPr>
          <w:p w14:paraId="47F55AD3"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804</w:t>
            </w:r>
          </w:p>
        </w:tc>
        <w:tc>
          <w:tcPr>
            <w:tcW w:w="719" w:type="dxa"/>
            <w:tcBorders>
              <w:top w:val="nil"/>
              <w:left w:val="nil"/>
              <w:bottom w:val="single" w:sz="4" w:space="0" w:color="auto"/>
              <w:right w:val="nil"/>
            </w:tcBorders>
            <w:shd w:val="clear" w:color="auto" w:fill="auto"/>
            <w:noWrap/>
            <w:vAlign w:val="bottom"/>
            <w:hideMark/>
          </w:tcPr>
          <w:p w14:paraId="2AAA397B"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660</w:t>
            </w:r>
          </w:p>
        </w:tc>
        <w:tc>
          <w:tcPr>
            <w:tcW w:w="830" w:type="dxa"/>
            <w:tcBorders>
              <w:top w:val="nil"/>
              <w:left w:val="single" w:sz="4" w:space="0" w:color="auto"/>
              <w:bottom w:val="single" w:sz="4" w:space="0" w:color="auto"/>
              <w:right w:val="single" w:sz="4" w:space="0" w:color="auto"/>
            </w:tcBorders>
            <w:shd w:val="clear" w:color="auto" w:fill="auto"/>
            <w:noWrap/>
            <w:vAlign w:val="bottom"/>
            <w:hideMark/>
          </w:tcPr>
          <w:p w14:paraId="5F6BDB94"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r w:rsidRPr="00402354">
              <w:rPr>
                <w:rFonts w:ascii="Calibri" w:eastAsia="Times New Roman" w:hAnsi="Calibri" w:cs="Times New Roman"/>
                <w:b/>
                <w:bCs/>
                <w:color w:val="000000"/>
                <w:lang w:val="en-GB" w:eastAsia="en-GB"/>
              </w:rPr>
              <w:t>378</w:t>
            </w:r>
          </w:p>
        </w:tc>
        <w:tc>
          <w:tcPr>
            <w:tcW w:w="283" w:type="dxa"/>
            <w:tcBorders>
              <w:top w:val="nil"/>
              <w:left w:val="nil"/>
              <w:bottom w:val="nil"/>
              <w:right w:val="nil"/>
            </w:tcBorders>
            <w:shd w:val="clear" w:color="auto" w:fill="auto"/>
            <w:noWrap/>
            <w:vAlign w:val="bottom"/>
            <w:hideMark/>
          </w:tcPr>
          <w:p w14:paraId="47D3A9F0" w14:textId="77777777" w:rsidR="00402354" w:rsidRPr="00402354" w:rsidRDefault="00402354" w:rsidP="00402354">
            <w:pPr>
              <w:spacing w:after="0" w:line="240" w:lineRule="auto"/>
              <w:jc w:val="center"/>
              <w:rPr>
                <w:rFonts w:ascii="Calibri" w:eastAsia="Times New Roman" w:hAnsi="Calibri" w:cs="Times New Roman"/>
                <w:b/>
                <w:bCs/>
                <w:color w:val="000000"/>
                <w:lang w:val="en-GB" w:eastAsia="en-GB"/>
              </w:rPr>
            </w:pPr>
          </w:p>
        </w:tc>
        <w:tc>
          <w:tcPr>
            <w:tcW w:w="2410" w:type="dxa"/>
            <w:tcBorders>
              <w:top w:val="nil"/>
              <w:left w:val="nil"/>
              <w:bottom w:val="nil"/>
              <w:right w:val="nil"/>
            </w:tcBorders>
            <w:shd w:val="clear" w:color="auto" w:fill="auto"/>
            <w:noWrap/>
            <w:vAlign w:val="bottom"/>
            <w:hideMark/>
          </w:tcPr>
          <w:p w14:paraId="1E2B289E"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78C1F35C"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968" w:type="dxa"/>
            <w:tcBorders>
              <w:top w:val="nil"/>
              <w:left w:val="nil"/>
              <w:bottom w:val="nil"/>
              <w:right w:val="nil"/>
            </w:tcBorders>
            <w:shd w:val="clear" w:color="auto" w:fill="auto"/>
            <w:noWrap/>
            <w:vAlign w:val="bottom"/>
            <w:hideMark/>
          </w:tcPr>
          <w:p w14:paraId="43A218F1"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c>
          <w:tcPr>
            <w:tcW w:w="875" w:type="dxa"/>
            <w:tcBorders>
              <w:top w:val="nil"/>
              <w:left w:val="nil"/>
              <w:bottom w:val="nil"/>
              <w:right w:val="nil"/>
            </w:tcBorders>
            <w:shd w:val="clear" w:color="auto" w:fill="auto"/>
            <w:noWrap/>
            <w:vAlign w:val="bottom"/>
            <w:hideMark/>
          </w:tcPr>
          <w:p w14:paraId="3CA3AD98" w14:textId="77777777" w:rsidR="00402354" w:rsidRPr="00402354" w:rsidRDefault="00402354" w:rsidP="00402354">
            <w:pPr>
              <w:spacing w:after="0" w:line="240" w:lineRule="auto"/>
              <w:rPr>
                <w:rFonts w:ascii="Times New Roman" w:eastAsia="Times New Roman" w:hAnsi="Times New Roman" w:cs="Times New Roman"/>
                <w:sz w:val="20"/>
                <w:szCs w:val="20"/>
                <w:lang w:val="en-GB" w:eastAsia="en-GB"/>
              </w:rPr>
            </w:pPr>
          </w:p>
        </w:tc>
      </w:tr>
    </w:tbl>
    <w:p w14:paraId="177981B9" w14:textId="10BFFCB2" w:rsidR="00402354" w:rsidRPr="0026057C" w:rsidRDefault="00F5745A" w:rsidP="0042788D">
      <w:pPr>
        <w:jc w:val="both"/>
        <w:rPr>
          <w:rFonts w:cs="Arial"/>
          <w:b/>
          <w:i/>
          <w:sz w:val="28"/>
          <w:szCs w:val="28"/>
          <w:shd w:val="clear" w:color="auto" w:fill="FFFFFF"/>
        </w:rPr>
      </w:pPr>
      <w:r w:rsidRPr="0026057C">
        <w:rPr>
          <w:rFonts w:cs="Arial"/>
          <w:b/>
          <w:i/>
          <w:sz w:val="28"/>
          <w:szCs w:val="28"/>
          <w:shd w:val="clear" w:color="auto" w:fill="FFFFFF"/>
        </w:rPr>
        <w:t>Figure1 – summary of Aston Martyn Annual Report</w:t>
      </w:r>
    </w:p>
    <w:p w14:paraId="304DF1C3" w14:textId="77777777" w:rsidR="00F5745A" w:rsidRPr="0042788D" w:rsidRDefault="00F5745A" w:rsidP="0042788D">
      <w:pPr>
        <w:jc w:val="both"/>
        <w:rPr>
          <w:rFonts w:cs="Arial"/>
          <w:sz w:val="28"/>
          <w:szCs w:val="28"/>
          <w:shd w:val="clear" w:color="auto" w:fill="FFFFFF"/>
        </w:rPr>
      </w:pPr>
    </w:p>
    <w:p w14:paraId="4D612C05" w14:textId="53DE8075" w:rsidR="0042788D" w:rsidRPr="00F5745A" w:rsidRDefault="0042788D" w:rsidP="00F5745A">
      <w:pPr>
        <w:pStyle w:val="ListParagraph"/>
        <w:numPr>
          <w:ilvl w:val="0"/>
          <w:numId w:val="9"/>
        </w:numPr>
        <w:rPr>
          <w:rFonts w:cs="Arial"/>
          <w:b/>
          <w:bCs/>
          <w:color w:val="000000"/>
          <w:sz w:val="32"/>
          <w:szCs w:val="32"/>
          <w:shd w:val="clear" w:color="auto" w:fill="FFFFFF"/>
        </w:rPr>
      </w:pPr>
      <w:r w:rsidRPr="00F5745A">
        <w:rPr>
          <w:rFonts w:cs="Arial"/>
          <w:b/>
          <w:bCs/>
          <w:color w:val="000000"/>
          <w:sz w:val="32"/>
          <w:szCs w:val="32"/>
          <w:shd w:val="clear" w:color="auto" w:fill="FFFFFF"/>
        </w:rPr>
        <w:lastRenderedPageBreak/>
        <w:t>Analysis</w:t>
      </w:r>
    </w:p>
    <w:p w14:paraId="5C819835" w14:textId="7C1B3B49" w:rsidR="0042788D" w:rsidRPr="00E00420" w:rsidRDefault="0042788D" w:rsidP="0042788D">
      <w:pPr>
        <w:shd w:val="clear" w:color="auto" w:fill="FFFFFF"/>
        <w:spacing w:before="100" w:beforeAutospacing="1" w:after="100" w:afterAutospacing="1" w:line="240" w:lineRule="auto"/>
        <w:outlineLvl w:val="2"/>
        <w:rPr>
          <w:rFonts w:cs="Arial"/>
          <w:b/>
          <w:bCs/>
          <w:color w:val="000000"/>
          <w:sz w:val="28"/>
          <w:szCs w:val="28"/>
          <w:shd w:val="clear" w:color="auto" w:fill="FFFFFF"/>
        </w:rPr>
      </w:pPr>
      <w:r w:rsidRPr="00E00420">
        <w:rPr>
          <w:rFonts w:cs="Arial"/>
          <w:b/>
          <w:bCs/>
          <w:color w:val="000000"/>
          <w:sz w:val="28"/>
          <w:szCs w:val="28"/>
          <w:shd w:val="clear" w:color="auto" w:fill="FFFFFF"/>
        </w:rPr>
        <w:t xml:space="preserve">3.1 </w:t>
      </w:r>
      <w:r w:rsidR="00097AEE" w:rsidRPr="00E00420">
        <w:rPr>
          <w:rFonts w:cs="Arial"/>
          <w:b/>
          <w:bCs/>
          <w:color w:val="000000"/>
          <w:sz w:val="28"/>
          <w:szCs w:val="28"/>
          <w:shd w:val="clear" w:color="auto" w:fill="FFFFFF"/>
        </w:rPr>
        <w:t>Ratio Limitations</w:t>
      </w:r>
    </w:p>
    <w:p w14:paraId="0B1BF7C3" w14:textId="400FC33C" w:rsidR="002E1B12" w:rsidRPr="0026057C" w:rsidRDefault="002E1B12" w:rsidP="00E00420">
      <w:pPr>
        <w:jc w:val="both"/>
        <w:rPr>
          <w:sz w:val="24"/>
          <w:szCs w:val="24"/>
          <w:shd w:val="clear" w:color="auto" w:fill="FFFFFF"/>
        </w:rPr>
      </w:pPr>
      <w:r w:rsidRPr="0026057C">
        <w:rPr>
          <w:sz w:val="24"/>
          <w:szCs w:val="24"/>
          <w:shd w:val="clear" w:color="auto" w:fill="FFFFFF"/>
        </w:rPr>
        <w:t xml:space="preserve">Analyzing financial statements using "accounting ratios" is called ratio analysis. Relationship analysis is the process for determining and interpreting relationships between financial statement items. Its purpose is to provide a meaningful understanding of the company's performance and financial position. As such, it is a technique for calculating ratios and analyzing financial statements. </w:t>
      </w:r>
    </w:p>
    <w:p w14:paraId="37C1B60E" w14:textId="4C24F258" w:rsidR="002E1B12" w:rsidRPr="0026057C" w:rsidRDefault="002E1B12" w:rsidP="00E00420">
      <w:pPr>
        <w:jc w:val="both"/>
        <w:rPr>
          <w:sz w:val="24"/>
          <w:szCs w:val="24"/>
          <w:shd w:val="clear" w:color="auto" w:fill="FFFFFF"/>
        </w:rPr>
      </w:pPr>
      <w:r w:rsidRPr="0026057C">
        <w:rPr>
          <w:sz w:val="24"/>
          <w:szCs w:val="24"/>
          <w:shd w:val="clear" w:color="auto" w:fill="FFFFFF"/>
        </w:rPr>
        <w:t>Users are more interested in the future than financial documents with past data, which are the foundation for ratio analysis. The future can be predicted using historical trends, but there will always be some degree of uncertainty. For instance, just because the net profit margin has increased over the last three years does not mean that it will continue to do so.</w:t>
      </w:r>
    </w:p>
    <w:p w14:paraId="4071FED3" w14:textId="2B32D19A" w:rsidR="002E1B12" w:rsidRPr="0026057C" w:rsidRDefault="009959FA" w:rsidP="00E00420">
      <w:pPr>
        <w:jc w:val="both"/>
        <w:rPr>
          <w:sz w:val="24"/>
          <w:szCs w:val="24"/>
          <w:shd w:val="clear" w:color="auto" w:fill="FFFFFF"/>
        </w:rPr>
      </w:pPr>
      <w:r w:rsidRPr="0026057C">
        <w:rPr>
          <w:sz w:val="24"/>
          <w:szCs w:val="24"/>
          <w:shd w:val="clear" w:color="auto" w:fill="FFFFFF"/>
        </w:rPr>
        <w:t xml:space="preserve">Ratio analysis </w:t>
      </w:r>
      <w:r w:rsidR="00E00420" w:rsidRPr="0026057C">
        <w:rPr>
          <w:sz w:val="24"/>
          <w:szCs w:val="24"/>
          <w:shd w:val="clear" w:color="auto" w:fill="FFFFFF"/>
        </w:rPr>
        <w:t>does not</w:t>
      </w:r>
      <w:r w:rsidRPr="0026057C">
        <w:rPr>
          <w:sz w:val="24"/>
          <w:szCs w:val="24"/>
          <w:shd w:val="clear" w:color="auto" w:fill="FFFFFF"/>
        </w:rPr>
        <w:t xml:space="preserve"> account for inflation. Trend analysis would be less useful if the rate of inflation was changing quickly because the numbers from different </w:t>
      </w:r>
      <w:r w:rsidR="00E00420" w:rsidRPr="0026057C">
        <w:rPr>
          <w:sz w:val="24"/>
          <w:szCs w:val="24"/>
          <w:shd w:val="clear" w:color="auto" w:fill="FFFFFF"/>
        </w:rPr>
        <w:t>times</w:t>
      </w:r>
      <w:r w:rsidRPr="0026057C">
        <w:rPr>
          <w:sz w:val="24"/>
          <w:szCs w:val="24"/>
          <w:shd w:val="clear" w:color="auto" w:fill="FFFFFF"/>
        </w:rPr>
        <w:t xml:space="preserve"> would not be comparable.</w:t>
      </w:r>
    </w:p>
    <w:p w14:paraId="1057828C" w14:textId="2031B4C3" w:rsidR="002E1B12" w:rsidRPr="0026057C" w:rsidRDefault="009959FA" w:rsidP="00E00420">
      <w:pPr>
        <w:jc w:val="both"/>
        <w:rPr>
          <w:sz w:val="24"/>
          <w:szCs w:val="24"/>
          <w:shd w:val="clear" w:color="auto" w:fill="FFFFFF"/>
        </w:rPr>
      </w:pPr>
      <w:r w:rsidRPr="0026057C">
        <w:rPr>
          <w:sz w:val="24"/>
          <w:szCs w:val="24"/>
          <w:shd w:val="clear" w:color="auto" w:fill="FFFFFF"/>
        </w:rPr>
        <w:t>Signi</w:t>
      </w:r>
      <w:r w:rsidR="00E00420">
        <w:rPr>
          <w:sz w:val="24"/>
          <w:szCs w:val="24"/>
          <w:shd w:val="clear" w:color="auto" w:fill="FFFFFF"/>
        </w:rPr>
        <w:t xml:space="preserve">ficant management estimates </w:t>
      </w:r>
      <w:r w:rsidRPr="0026057C">
        <w:rPr>
          <w:sz w:val="24"/>
          <w:szCs w:val="24"/>
          <w:shd w:val="clear" w:color="auto" w:fill="FFFFFF"/>
        </w:rPr>
        <w:t xml:space="preserve">used in financial accounting in areas like the useful life of fixed assets and the provision for doubtful debts, among others. This indicates that the management has the ability to alter these hypotheses in order to </w:t>
      </w:r>
      <w:r w:rsidR="00E00420" w:rsidRPr="0026057C">
        <w:rPr>
          <w:sz w:val="24"/>
          <w:szCs w:val="24"/>
          <w:shd w:val="clear" w:color="auto" w:fill="FFFFFF"/>
        </w:rPr>
        <w:t>affect</w:t>
      </w:r>
      <w:r w:rsidRPr="0026057C">
        <w:rPr>
          <w:sz w:val="24"/>
          <w:szCs w:val="24"/>
          <w:shd w:val="clear" w:color="auto" w:fill="FFFFFF"/>
        </w:rPr>
        <w:t xml:space="preserve"> the ratios, </w:t>
      </w:r>
      <w:r w:rsidR="00E00420" w:rsidRPr="0026057C">
        <w:rPr>
          <w:sz w:val="24"/>
          <w:szCs w:val="24"/>
          <w:shd w:val="clear" w:color="auto" w:fill="FFFFFF"/>
        </w:rPr>
        <w:t>jeopardizing</w:t>
      </w:r>
      <w:r w:rsidRPr="0026057C">
        <w:rPr>
          <w:sz w:val="24"/>
          <w:szCs w:val="24"/>
          <w:shd w:val="clear" w:color="auto" w:fill="FFFFFF"/>
        </w:rPr>
        <w:t xml:space="preserve"> the general comparability of ratios between periods.</w:t>
      </w:r>
    </w:p>
    <w:p w14:paraId="45C5D202" w14:textId="2A1602E0" w:rsidR="00B8288A" w:rsidRPr="00E00420" w:rsidRDefault="009959FA" w:rsidP="002E1B12">
      <w:pPr>
        <w:jc w:val="both"/>
        <w:rPr>
          <w:rFonts w:eastAsia="Times New Roman" w:cs="Arial"/>
          <w:b/>
          <w:bCs/>
          <w:color w:val="2D2D2D"/>
          <w:sz w:val="28"/>
          <w:szCs w:val="28"/>
        </w:rPr>
      </w:pPr>
      <w:r w:rsidRPr="00E00420">
        <w:rPr>
          <w:rFonts w:eastAsia="Times New Roman" w:cs="Arial"/>
          <w:b/>
          <w:bCs/>
          <w:color w:val="2D2D2D"/>
          <w:sz w:val="28"/>
          <w:szCs w:val="28"/>
        </w:rPr>
        <w:t xml:space="preserve">3.2 </w:t>
      </w:r>
      <w:r w:rsidR="00B8288A" w:rsidRPr="00E00420">
        <w:rPr>
          <w:rFonts w:eastAsia="Times New Roman" w:cs="Arial"/>
          <w:b/>
          <w:bCs/>
          <w:color w:val="2D2D2D"/>
          <w:sz w:val="28"/>
          <w:szCs w:val="28"/>
        </w:rPr>
        <w:t>Profitability ratios</w:t>
      </w:r>
    </w:p>
    <w:p w14:paraId="1221B538" w14:textId="55B7B721" w:rsidR="00F50595" w:rsidRPr="0026057C" w:rsidRDefault="00F50595" w:rsidP="0026057C">
      <w:pPr>
        <w:jc w:val="both"/>
        <w:rPr>
          <w:rFonts w:eastAsia="Times New Roman"/>
          <w:sz w:val="24"/>
          <w:szCs w:val="24"/>
        </w:rPr>
      </w:pPr>
      <w:r w:rsidRPr="0026057C">
        <w:rPr>
          <w:rStyle w:val="sw"/>
          <w:rFonts w:cs="Arial"/>
          <w:sz w:val="24"/>
          <w:szCs w:val="24"/>
        </w:rPr>
        <w:t>Accountants</w:t>
      </w:r>
      <w:r w:rsidRPr="0026057C">
        <w:rPr>
          <w:sz w:val="24"/>
          <w:szCs w:val="24"/>
          <w:shd w:val="clear" w:color="auto" w:fill="FFFFFF"/>
        </w:rPr>
        <w:t xml:space="preserve"> </w:t>
      </w:r>
      <w:r w:rsidRPr="0026057C">
        <w:rPr>
          <w:rStyle w:val="sw"/>
          <w:rFonts w:cs="Arial"/>
          <w:sz w:val="24"/>
          <w:szCs w:val="24"/>
        </w:rPr>
        <w:t>use</w:t>
      </w:r>
      <w:r w:rsidRPr="0026057C">
        <w:rPr>
          <w:sz w:val="24"/>
          <w:szCs w:val="24"/>
          <w:shd w:val="clear" w:color="auto" w:fill="FFFFFF"/>
        </w:rPr>
        <w:t xml:space="preserve"> </w:t>
      </w:r>
      <w:r w:rsidRPr="0026057C">
        <w:rPr>
          <w:rStyle w:val="sw"/>
          <w:rFonts w:cs="Arial"/>
          <w:sz w:val="24"/>
          <w:szCs w:val="24"/>
        </w:rPr>
        <w:t>these</w:t>
      </w:r>
      <w:r w:rsidRPr="0026057C">
        <w:rPr>
          <w:sz w:val="24"/>
          <w:szCs w:val="24"/>
          <w:shd w:val="clear" w:color="auto" w:fill="FFFFFF"/>
        </w:rPr>
        <w:t xml:space="preserve"> </w:t>
      </w:r>
      <w:r w:rsidRPr="0026057C">
        <w:rPr>
          <w:rStyle w:val="sw"/>
          <w:rFonts w:cs="Arial"/>
          <w:sz w:val="24"/>
          <w:szCs w:val="24"/>
        </w:rPr>
        <w:t>metrics</w:t>
      </w:r>
      <w:r w:rsidRPr="0026057C">
        <w:rPr>
          <w:sz w:val="24"/>
          <w:szCs w:val="24"/>
          <w:shd w:val="clear" w:color="auto" w:fill="FFFFFF"/>
        </w:rPr>
        <w:t xml:space="preserve"> </w:t>
      </w:r>
      <w:r w:rsidRPr="0026057C">
        <w:rPr>
          <w:rStyle w:val="sw"/>
          <w:rFonts w:cs="Arial"/>
          <w:sz w:val="24"/>
          <w:szCs w:val="24"/>
        </w:rPr>
        <w:t>to</w:t>
      </w:r>
      <w:r w:rsidRPr="0026057C">
        <w:rPr>
          <w:sz w:val="24"/>
          <w:szCs w:val="24"/>
          <w:shd w:val="clear" w:color="auto" w:fill="FFFFFF"/>
        </w:rPr>
        <w:t xml:space="preserve"> </w:t>
      </w:r>
      <w:r w:rsidRPr="0026057C">
        <w:rPr>
          <w:rStyle w:val="sw"/>
          <w:rFonts w:cs="Arial"/>
          <w:sz w:val="24"/>
          <w:szCs w:val="24"/>
        </w:rPr>
        <w:t>measure</w:t>
      </w:r>
      <w:r w:rsidRPr="0026057C">
        <w:rPr>
          <w:sz w:val="24"/>
          <w:szCs w:val="24"/>
          <w:shd w:val="clear" w:color="auto" w:fill="FFFFFF"/>
        </w:rPr>
        <w:t xml:space="preserve"> </w:t>
      </w:r>
      <w:r w:rsidRPr="0026057C">
        <w:rPr>
          <w:rStyle w:val="sw"/>
          <w:rFonts w:cs="Arial"/>
          <w:sz w:val="24"/>
          <w:szCs w:val="24"/>
        </w:rPr>
        <w:t>a</w:t>
      </w:r>
      <w:r w:rsidRPr="0026057C">
        <w:rPr>
          <w:sz w:val="24"/>
          <w:szCs w:val="24"/>
          <w:shd w:val="clear" w:color="auto" w:fill="FFFFFF"/>
        </w:rPr>
        <w:t xml:space="preserve"> </w:t>
      </w:r>
      <w:r w:rsidRPr="0026057C">
        <w:rPr>
          <w:rStyle w:val="sw"/>
          <w:rFonts w:cs="Arial"/>
          <w:sz w:val="24"/>
          <w:szCs w:val="24"/>
        </w:rPr>
        <w:t>company's</w:t>
      </w:r>
      <w:r w:rsidRPr="0026057C">
        <w:rPr>
          <w:sz w:val="24"/>
          <w:szCs w:val="24"/>
          <w:shd w:val="clear" w:color="auto" w:fill="FFFFFF"/>
        </w:rPr>
        <w:t xml:space="preserve"> </w:t>
      </w:r>
      <w:r w:rsidRPr="0026057C">
        <w:rPr>
          <w:rStyle w:val="sw"/>
          <w:rFonts w:cs="Arial"/>
          <w:sz w:val="24"/>
          <w:szCs w:val="24"/>
        </w:rPr>
        <w:t>revenues</w:t>
      </w:r>
      <w:r w:rsidRPr="0026057C">
        <w:rPr>
          <w:sz w:val="24"/>
          <w:szCs w:val="24"/>
          <w:shd w:val="clear" w:color="auto" w:fill="FFFFFF"/>
        </w:rPr>
        <w:t xml:space="preserve"> </w:t>
      </w:r>
      <w:r w:rsidRPr="0026057C">
        <w:rPr>
          <w:rStyle w:val="sw"/>
          <w:rFonts w:cs="Arial"/>
          <w:sz w:val="24"/>
          <w:szCs w:val="24"/>
        </w:rPr>
        <w:t>and</w:t>
      </w:r>
      <w:r w:rsidRPr="0026057C">
        <w:rPr>
          <w:sz w:val="24"/>
          <w:szCs w:val="24"/>
          <w:shd w:val="clear" w:color="auto" w:fill="FFFFFF"/>
        </w:rPr>
        <w:t xml:space="preserve"> </w:t>
      </w:r>
      <w:r w:rsidRPr="0026057C">
        <w:rPr>
          <w:rStyle w:val="sw"/>
          <w:rFonts w:cs="Arial"/>
          <w:sz w:val="24"/>
          <w:szCs w:val="24"/>
        </w:rPr>
        <w:t>expenses.</w:t>
      </w:r>
      <w:r w:rsidRPr="0026057C">
        <w:rPr>
          <w:sz w:val="24"/>
          <w:szCs w:val="24"/>
          <w:shd w:val="clear" w:color="auto" w:fill="FFFFFF"/>
        </w:rPr>
        <w:t xml:space="preserve"> </w:t>
      </w:r>
      <w:r w:rsidRPr="0026057C">
        <w:rPr>
          <w:rStyle w:val="sw"/>
          <w:rFonts w:cs="Arial"/>
          <w:sz w:val="24"/>
          <w:szCs w:val="24"/>
        </w:rPr>
        <w:t>These</w:t>
      </w:r>
      <w:r w:rsidRPr="0026057C">
        <w:rPr>
          <w:sz w:val="24"/>
          <w:szCs w:val="24"/>
          <w:shd w:val="clear" w:color="auto" w:fill="FFFFFF"/>
        </w:rPr>
        <w:t xml:space="preserve"> </w:t>
      </w:r>
      <w:r w:rsidRPr="0026057C">
        <w:rPr>
          <w:rStyle w:val="sw"/>
          <w:rFonts w:cs="Arial"/>
          <w:sz w:val="24"/>
          <w:szCs w:val="24"/>
        </w:rPr>
        <w:t>are</w:t>
      </w:r>
      <w:r w:rsidRPr="0026057C">
        <w:rPr>
          <w:sz w:val="24"/>
          <w:szCs w:val="24"/>
          <w:shd w:val="clear" w:color="auto" w:fill="FFFFFF"/>
        </w:rPr>
        <w:t xml:space="preserve"> </w:t>
      </w:r>
      <w:r w:rsidRPr="0026057C">
        <w:rPr>
          <w:rStyle w:val="sw"/>
          <w:rFonts w:cs="Arial"/>
          <w:sz w:val="24"/>
          <w:szCs w:val="24"/>
        </w:rPr>
        <w:t>some</w:t>
      </w:r>
      <w:r w:rsidRPr="0026057C">
        <w:rPr>
          <w:sz w:val="24"/>
          <w:szCs w:val="24"/>
          <w:shd w:val="clear" w:color="auto" w:fill="FFFFFF"/>
        </w:rPr>
        <w:t xml:space="preserve"> </w:t>
      </w:r>
      <w:r w:rsidRPr="0026057C">
        <w:rPr>
          <w:rStyle w:val="sw"/>
          <w:rFonts w:cs="Arial"/>
          <w:sz w:val="24"/>
          <w:szCs w:val="24"/>
        </w:rPr>
        <w:t>common</w:t>
      </w:r>
      <w:r w:rsidRPr="0026057C">
        <w:rPr>
          <w:sz w:val="24"/>
          <w:szCs w:val="24"/>
          <w:shd w:val="clear" w:color="auto" w:fill="FFFFFF"/>
        </w:rPr>
        <w:t xml:space="preserve"> </w:t>
      </w:r>
      <w:r w:rsidRPr="0026057C">
        <w:rPr>
          <w:rStyle w:val="sw"/>
          <w:rFonts w:cs="Arial"/>
          <w:sz w:val="24"/>
          <w:szCs w:val="24"/>
        </w:rPr>
        <w:t>profitability</w:t>
      </w:r>
      <w:r w:rsidRPr="0026057C">
        <w:rPr>
          <w:sz w:val="24"/>
          <w:szCs w:val="24"/>
          <w:shd w:val="clear" w:color="auto" w:fill="FFFFFF"/>
        </w:rPr>
        <w:t xml:space="preserve"> </w:t>
      </w:r>
      <w:r w:rsidRPr="0026057C">
        <w:rPr>
          <w:rStyle w:val="sw"/>
          <w:rFonts w:cs="Arial"/>
          <w:sz w:val="24"/>
          <w:szCs w:val="24"/>
        </w:rPr>
        <w:t>indicators.</w:t>
      </w:r>
    </w:p>
    <w:p w14:paraId="082330ED" w14:textId="01402781" w:rsidR="00B8288A" w:rsidRPr="00B8288A" w:rsidRDefault="0026057C" w:rsidP="00B8288A">
      <w:pPr>
        <w:jc w:val="both"/>
        <w:rPr>
          <w:sz w:val="28"/>
          <w:szCs w:val="28"/>
          <w:shd w:val="clear" w:color="auto" w:fill="FFFFFF"/>
        </w:rPr>
      </w:pPr>
      <w:r>
        <w:rPr>
          <w:noProof/>
          <w:sz w:val="28"/>
          <w:szCs w:val="28"/>
          <w:shd w:val="clear" w:color="auto" w:fill="FFFFFF"/>
          <w:lang w:val="en-GB" w:eastAsia="en-GB"/>
        </w:rPr>
        <w:drawing>
          <wp:anchor distT="0" distB="0" distL="114300" distR="114300" simplePos="0" relativeHeight="251663360" behindDoc="0" locked="0" layoutInCell="1" allowOverlap="1" wp14:anchorId="394C4A8A" wp14:editId="1538433A">
            <wp:simplePos x="0" y="0"/>
            <wp:positionH relativeFrom="margin">
              <wp:align>center</wp:align>
            </wp:positionH>
            <wp:positionV relativeFrom="paragraph">
              <wp:posOffset>141605</wp:posOffset>
            </wp:positionV>
            <wp:extent cx="5650865" cy="2626360"/>
            <wp:effectExtent l="0" t="0" r="6985" b="25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0865" cy="2626360"/>
                    </a:xfrm>
                    <a:prstGeom prst="rect">
                      <a:avLst/>
                    </a:prstGeom>
                    <a:noFill/>
                  </pic:spPr>
                </pic:pic>
              </a:graphicData>
            </a:graphic>
            <wp14:sizeRelH relativeFrom="margin">
              <wp14:pctWidth>0</wp14:pctWidth>
            </wp14:sizeRelH>
            <wp14:sizeRelV relativeFrom="margin">
              <wp14:pctHeight>0</wp14:pctHeight>
            </wp14:sizeRelV>
          </wp:anchor>
        </w:drawing>
      </w:r>
      <w:r w:rsidR="00B8288A">
        <w:rPr>
          <w:noProof/>
          <w:lang w:val="en-GB" w:eastAsia="en-GB"/>
        </w:rPr>
        <mc:AlternateContent>
          <mc:Choice Requires="wps">
            <w:drawing>
              <wp:inline distT="0" distB="0" distL="0" distR="0" wp14:anchorId="3F2BCC46" wp14:editId="2A9F3229">
                <wp:extent cx="301625" cy="301625"/>
                <wp:effectExtent l="0" t="0" r="0" b="0"/>
                <wp:docPr id="8" name="AutoShape 1" descr="Profitability Ratios Formul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40C72D" id="AutoShape 1" o:spid="_x0000_s1026" alt="Profitability Ratios Formula"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" filled="f" stroked="f">
                <o:lock v:ext="edit" aspectratio="t"/>
                <w10:anchorlock/>
              </v:rect>
            </w:pict>
          </mc:Fallback>
        </mc:AlternateContent>
      </w:r>
    </w:p>
    <w:p w14:paraId="2D7ACA1E" w14:textId="18A53CDE" w:rsidR="00B8288A" w:rsidRDefault="00B8288A" w:rsidP="00047A40">
      <w:pPr>
        <w:shd w:val="clear" w:color="auto" w:fill="FFFFFF"/>
        <w:spacing w:before="100" w:beforeAutospacing="1" w:after="100" w:afterAutospacing="1" w:line="240" w:lineRule="auto"/>
        <w:outlineLvl w:val="2"/>
        <w:rPr>
          <w:rFonts w:cs="Helvetica"/>
          <w:sz w:val="28"/>
          <w:szCs w:val="28"/>
        </w:rPr>
      </w:pPr>
    </w:p>
    <w:p w14:paraId="162D750B" w14:textId="77777777" w:rsidR="00B8288A" w:rsidRDefault="00B8288A" w:rsidP="00047A40">
      <w:pPr>
        <w:shd w:val="clear" w:color="auto" w:fill="FFFFFF"/>
        <w:spacing w:before="100" w:beforeAutospacing="1" w:after="100" w:afterAutospacing="1" w:line="240" w:lineRule="auto"/>
        <w:outlineLvl w:val="2"/>
        <w:rPr>
          <w:rFonts w:cs="Helvetica"/>
          <w:sz w:val="28"/>
          <w:szCs w:val="28"/>
        </w:rPr>
      </w:pPr>
    </w:p>
    <w:p w14:paraId="541EAB51" w14:textId="77777777" w:rsidR="00B8288A" w:rsidRDefault="00B8288A" w:rsidP="00047A40">
      <w:pPr>
        <w:shd w:val="clear" w:color="auto" w:fill="FFFFFF"/>
        <w:spacing w:before="100" w:beforeAutospacing="1" w:after="100" w:afterAutospacing="1" w:line="240" w:lineRule="auto"/>
        <w:outlineLvl w:val="2"/>
        <w:rPr>
          <w:rFonts w:cs="Helvetica"/>
          <w:sz w:val="28"/>
          <w:szCs w:val="28"/>
        </w:rPr>
      </w:pPr>
    </w:p>
    <w:p w14:paraId="1F1D21C2" w14:textId="4C9849FD" w:rsidR="00B8288A" w:rsidRDefault="00B8288A" w:rsidP="00047A40">
      <w:pPr>
        <w:shd w:val="clear" w:color="auto" w:fill="FFFFFF"/>
        <w:spacing w:before="100" w:beforeAutospacing="1" w:after="100" w:afterAutospacing="1" w:line="240" w:lineRule="auto"/>
        <w:outlineLvl w:val="2"/>
        <w:rPr>
          <w:rFonts w:cs="Helvetica"/>
          <w:sz w:val="28"/>
          <w:szCs w:val="28"/>
        </w:rPr>
      </w:pPr>
    </w:p>
    <w:p w14:paraId="095B5A10" w14:textId="714249AF" w:rsidR="0026057C" w:rsidRDefault="0026057C" w:rsidP="00047A40">
      <w:pPr>
        <w:shd w:val="clear" w:color="auto" w:fill="FFFFFF"/>
        <w:spacing w:before="100" w:beforeAutospacing="1" w:after="100" w:afterAutospacing="1" w:line="240" w:lineRule="auto"/>
        <w:outlineLvl w:val="2"/>
        <w:rPr>
          <w:rFonts w:cs="Helvetica"/>
          <w:sz w:val="28"/>
          <w:szCs w:val="28"/>
        </w:rPr>
      </w:pPr>
    </w:p>
    <w:p w14:paraId="1711AE25" w14:textId="1C5286C1" w:rsidR="0026057C" w:rsidRDefault="0026057C" w:rsidP="00047A40">
      <w:pPr>
        <w:shd w:val="clear" w:color="auto" w:fill="FFFFFF"/>
        <w:spacing w:before="100" w:beforeAutospacing="1" w:after="100" w:afterAutospacing="1" w:line="240" w:lineRule="auto"/>
        <w:outlineLvl w:val="2"/>
        <w:rPr>
          <w:rFonts w:cs="Helvetica"/>
          <w:sz w:val="28"/>
          <w:szCs w:val="28"/>
        </w:rPr>
      </w:pPr>
    </w:p>
    <w:p w14:paraId="25084E44" w14:textId="4AAF4A5D" w:rsidR="0026057C" w:rsidRDefault="0026057C" w:rsidP="00047A40">
      <w:pPr>
        <w:shd w:val="clear" w:color="auto" w:fill="FFFFFF"/>
        <w:spacing w:before="100" w:beforeAutospacing="1" w:after="100" w:afterAutospacing="1" w:line="240" w:lineRule="auto"/>
        <w:outlineLvl w:val="2"/>
        <w:rPr>
          <w:rFonts w:cs="Helvetica"/>
          <w:sz w:val="28"/>
          <w:szCs w:val="28"/>
        </w:rPr>
      </w:pPr>
    </w:p>
    <w:p w14:paraId="41C4AC73" w14:textId="77777777" w:rsidR="0026057C" w:rsidRDefault="0026057C" w:rsidP="00047A40">
      <w:pPr>
        <w:shd w:val="clear" w:color="auto" w:fill="FFFFFF"/>
        <w:spacing w:before="100" w:beforeAutospacing="1" w:after="100" w:afterAutospacing="1" w:line="240" w:lineRule="auto"/>
        <w:outlineLvl w:val="2"/>
        <w:rPr>
          <w:rFonts w:cs="Helvetica"/>
          <w:sz w:val="28"/>
          <w:szCs w:val="28"/>
        </w:rPr>
      </w:pPr>
    </w:p>
    <w:p w14:paraId="2C7D8B6C" w14:textId="04E4A697" w:rsidR="00B8288A" w:rsidRPr="00F21D57" w:rsidRDefault="00F50595" w:rsidP="00F50595">
      <w:pPr>
        <w:pStyle w:val="ListParagraph"/>
        <w:numPr>
          <w:ilvl w:val="0"/>
          <w:numId w:val="11"/>
        </w:numPr>
        <w:shd w:val="clear" w:color="auto" w:fill="FFFFFF"/>
        <w:spacing w:before="100" w:beforeAutospacing="1" w:after="100" w:afterAutospacing="1" w:line="240" w:lineRule="auto"/>
        <w:outlineLvl w:val="2"/>
        <w:rPr>
          <w:rFonts w:cs="Helvetica"/>
          <w:b/>
          <w:sz w:val="28"/>
          <w:szCs w:val="28"/>
        </w:rPr>
      </w:pPr>
      <w:r w:rsidRPr="00F21D57">
        <w:rPr>
          <w:rFonts w:cs="Helvetica"/>
          <w:b/>
          <w:sz w:val="28"/>
          <w:szCs w:val="28"/>
        </w:rPr>
        <w:lastRenderedPageBreak/>
        <w:t>Gross Profit</w:t>
      </w:r>
    </w:p>
    <w:p w14:paraId="52D7943E" w14:textId="6FAAAAA6" w:rsidR="00F50595" w:rsidRPr="0026057C" w:rsidRDefault="00F50595" w:rsidP="0026057C">
      <w:pPr>
        <w:jc w:val="both"/>
        <w:rPr>
          <w:sz w:val="24"/>
          <w:szCs w:val="24"/>
        </w:rPr>
      </w:pPr>
      <w:r w:rsidRPr="0026057C">
        <w:rPr>
          <w:sz w:val="24"/>
          <w:szCs w:val="24"/>
        </w:rPr>
        <w:t xml:space="preserve">This ratio measures the gross profit earned on sales and reports how much of each </w:t>
      </w:r>
      <w:r w:rsidR="00211F3B" w:rsidRPr="0026057C">
        <w:rPr>
          <w:sz w:val="24"/>
          <w:szCs w:val="24"/>
        </w:rPr>
        <w:t>sale</w:t>
      </w:r>
      <w:r w:rsidRPr="0026057C">
        <w:rPr>
          <w:sz w:val="24"/>
          <w:szCs w:val="24"/>
        </w:rPr>
        <w:t xml:space="preserve"> is available to cover operating expenses and contribute to profits.</w:t>
      </w:r>
    </w:p>
    <w:p w14:paraId="5E14F9ED" w14:textId="1D0A7158" w:rsidR="00F50595" w:rsidRPr="0026057C" w:rsidRDefault="00F50595" w:rsidP="0026057C">
      <w:pPr>
        <w:jc w:val="both"/>
        <w:rPr>
          <w:sz w:val="24"/>
          <w:szCs w:val="24"/>
        </w:rPr>
      </w:pPr>
      <w:r w:rsidRPr="0026057C">
        <w:rPr>
          <w:sz w:val="24"/>
          <w:szCs w:val="24"/>
        </w:rPr>
        <w:t xml:space="preserve">The percent gross profit is </w:t>
      </w:r>
      <w:r w:rsidR="0020653E" w:rsidRPr="0026057C">
        <w:rPr>
          <w:sz w:val="24"/>
          <w:szCs w:val="24"/>
        </w:rPr>
        <w:t>34</w:t>
      </w:r>
      <w:r w:rsidRPr="0026057C">
        <w:rPr>
          <w:sz w:val="24"/>
          <w:szCs w:val="24"/>
        </w:rPr>
        <w:t>.7% in 2022, which compared to 2020 is a good indication of financial health</w:t>
      </w:r>
      <w:r w:rsidR="0020653E" w:rsidRPr="0026057C">
        <w:rPr>
          <w:sz w:val="24"/>
          <w:szCs w:val="24"/>
        </w:rPr>
        <w:t xml:space="preserve"> </w:t>
      </w:r>
      <w:r w:rsidR="00D414EB" w:rsidRPr="0026057C">
        <w:rPr>
          <w:sz w:val="24"/>
          <w:szCs w:val="24"/>
        </w:rPr>
        <w:t>growing</w:t>
      </w:r>
      <w:r w:rsidRPr="0026057C">
        <w:rPr>
          <w:sz w:val="24"/>
          <w:szCs w:val="24"/>
        </w:rPr>
        <w:t xml:space="preserve"> for the company.</w:t>
      </w:r>
    </w:p>
    <w:p w14:paraId="4A393A3B" w14:textId="34AB020E" w:rsidR="00F50595" w:rsidRDefault="0026057C" w:rsidP="00F50595">
      <w:pPr>
        <w:pStyle w:val="ListParagraph"/>
        <w:shd w:val="clear" w:color="auto" w:fill="FFFFFF"/>
        <w:spacing w:before="100" w:beforeAutospacing="1" w:after="100" w:afterAutospacing="1" w:line="240" w:lineRule="auto"/>
        <w:outlineLvl w:val="2"/>
        <w:rPr>
          <w:rFonts w:cs="Helvetica"/>
          <w:sz w:val="28"/>
          <w:szCs w:val="28"/>
        </w:rPr>
      </w:pPr>
      <w:r w:rsidRPr="00F50595">
        <w:rPr>
          <w:noProof/>
          <w:lang w:val="en-GB" w:eastAsia="en-GB"/>
        </w:rPr>
        <w:drawing>
          <wp:anchor distT="0" distB="0" distL="114300" distR="114300" simplePos="0" relativeHeight="251664384" behindDoc="0" locked="0" layoutInCell="1" allowOverlap="1" wp14:anchorId="67CC0286" wp14:editId="5AA4BF19">
            <wp:simplePos x="0" y="0"/>
            <wp:positionH relativeFrom="margin">
              <wp:align>left</wp:align>
            </wp:positionH>
            <wp:positionV relativeFrom="paragraph">
              <wp:posOffset>288290</wp:posOffset>
            </wp:positionV>
            <wp:extent cx="5883910" cy="1993900"/>
            <wp:effectExtent l="0" t="0" r="2540" b="6350"/>
            <wp:wrapNone/>
            <wp:docPr id="10" name="Chart 10">
              <a:extLst xmlns:a="http://schemas.openxmlformats.org/drawingml/2006/main">
                <a:ext uri="{FF2B5EF4-FFF2-40B4-BE49-F238E27FC236}">
                  <a16:creationId xmlns:a16="http://schemas.microsoft.com/office/drawing/2014/main" id="{CFF61948-A7C7-4F3D-9693-C16F64B8FC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7A2FEBA" w14:textId="77777777" w:rsidR="00F50595" w:rsidRDefault="00F50595" w:rsidP="00F50595">
      <w:pPr>
        <w:pStyle w:val="ListParagraph"/>
        <w:shd w:val="clear" w:color="auto" w:fill="FFFFFF"/>
        <w:spacing w:before="100" w:beforeAutospacing="1" w:after="100" w:afterAutospacing="1" w:line="240" w:lineRule="auto"/>
        <w:outlineLvl w:val="2"/>
        <w:rPr>
          <w:rFonts w:cs="Helvetica"/>
          <w:sz w:val="28"/>
          <w:szCs w:val="28"/>
        </w:rPr>
      </w:pPr>
    </w:p>
    <w:p w14:paraId="56242D38" w14:textId="0BCBF0C9" w:rsidR="00F50595" w:rsidRDefault="00F50595" w:rsidP="00F50595">
      <w:pPr>
        <w:pStyle w:val="ListParagraph"/>
        <w:shd w:val="clear" w:color="auto" w:fill="FFFFFF"/>
        <w:spacing w:before="100" w:beforeAutospacing="1" w:after="100" w:afterAutospacing="1" w:line="240" w:lineRule="auto"/>
        <w:outlineLvl w:val="2"/>
        <w:rPr>
          <w:rFonts w:cs="Helvetica"/>
          <w:sz w:val="28"/>
          <w:szCs w:val="28"/>
        </w:rPr>
      </w:pPr>
    </w:p>
    <w:p w14:paraId="29E105CB" w14:textId="740D759D" w:rsidR="00F50595" w:rsidRDefault="00F50595" w:rsidP="00F50595">
      <w:pPr>
        <w:pStyle w:val="ListParagraph"/>
        <w:shd w:val="clear" w:color="auto" w:fill="FFFFFF"/>
        <w:spacing w:before="100" w:beforeAutospacing="1" w:after="100" w:afterAutospacing="1" w:line="240" w:lineRule="auto"/>
        <w:outlineLvl w:val="2"/>
        <w:rPr>
          <w:rFonts w:cs="Helvetica"/>
          <w:sz w:val="28"/>
          <w:szCs w:val="28"/>
        </w:rPr>
      </w:pPr>
    </w:p>
    <w:p w14:paraId="43660876" w14:textId="3C5F7D98" w:rsidR="00F50595" w:rsidRDefault="00F50595" w:rsidP="00F50595">
      <w:pPr>
        <w:pStyle w:val="ListParagraph"/>
        <w:shd w:val="clear" w:color="auto" w:fill="FFFFFF"/>
        <w:spacing w:before="100" w:beforeAutospacing="1" w:after="100" w:afterAutospacing="1" w:line="240" w:lineRule="auto"/>
        <w:outlineLvl w:val="2"/>
        <w:rPr>
          <w:rFonts w:cs="Helvetica"/>
          <w:sz w:val="28"/>
          <w:szCs w:val="28"/>
        </w:rPr>
      </w:pPr>
    </w:p>
    <w:p w14:paraId="36620B2F" w14:textId="77777777" w:rsidR="00F50595" w:rsidRPr="00F50595" w:rsidRDefault="00F50595" w:rsidP="00F50595">
      <w:pPr>
        <w:pStyle w:val="ListParagraph"/>
        <w:shd w:val="clear" w:color="auto" w:fill="FFFFFF"/>
        <w:spacing w:before="100" w:beforeAutospacing="1" w:after="100" w:afterAutospacing="1" w:line="240" w:lineRule="auto"/>
        <w:outlineLvl w:val="2"/>
        <w:rPr>
          <w:rFonts w:cs="Helvetica"/>
          <w:sz w:val="28"/>
          <w:szCs w:val="28"/>
        </w:rPr>
      </w:pPr>
    </w:p>
    <w:p w14:paraId="7AD8BA32" w14:textId="70E6C26F" w:rsidR="00F50595" w:rsidRDefault="00F50595" w:rsidP="00047A40">
      <w:pPr>
        <w:shd w:val="clear" w:color="auto" w:fill="FFFFFF"/>
        <w:spacing w:before="100" w:beforeAutospacing="1" w:after="100" w:afterAutospacing="1" w:line="240" w:lineRule="auto"/>
        <w:outlineLvl w:val="2"/>
        <w:rPr>
          <w:rFonts w:cs="Helvetica"/>
          <w:sz w:val="28"/>
          <w:szCs w:val="28"/>
        </w:rPr>
      </w:pPr>
    </w:p>
    <w:p w14:paraId="37659A80" w14:textId="77777777" w:rsidR="0026057C" w:rsidRDefault="0026057C" w:rsidP="00047A40">
      <w:pPr>
        <w:shd w:val="clear" w:color="auto" w:fill="FFFFFF"/>
        <w:spacing w:before="100" w:beforeAutospacing="1" w:after="100" w:afterAutospacing="1" w:line="240" w:lineRule="auto"/>
        <w:outlineLvl w:val="2"/>
        <w:rPr>
          <w:rFonts w:cs="Helvetica"/>
          <w:sz w:val="28"/>
          <w:szCs w:val="28"/>
        </w:rPr>
      </w:pPr>
    </w:p>
    <w:p w14:paraId="5FBE1E06" w14:textId="677966B2" w:rsidR="00F50595" w:rsidRPr="0026057C" w:rsidRDefault="00F21D57" w:rsidP="00047A40">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Figure2 –Aston Martin Gross Margin for period 2020-2022H1</w:t>
      </w:r>
    </w:p>
    <w:p w14:paraId="622AC1FC" w14:textId="61884BB9" w:rsidR="001E757D" w:rsidRPr="0026057C" w:rsidRDefault="001E757D" w:rsidP="0026057C">
      <w:pPr>
        <w:jc w:val="both"/>
        <w:rPr>
          <w:sz w:val="24"/>
          <w:szCs w:val="24"/>
        </w:rPr>
      </w:pPr>
      <w:r w:rsidRPr="0026057C">
        <w:rPr>
          <w:sz w:val="24"/>
          <w:szCs w:val="24"/>
        </w:rPr>
        <w:t xml:space="preserve">In Aston Martin Lagonda Global Holdings plc report </w:t>
      </w:r>
      <w:r w:rsidR="00F21D57" w:rsidRPr="0026057C">
        <w:rPr>
          <w:sz w:val="24"/>
          <w:szCs w:val="24"/>
        </w:rPr>
        <w:t>2022,</w:t>
      </w:r>
      <w:r w:rsidRPr="0026057C">
        <w:rPr>
          <w:sz w:val="24"/>
          <w:szCs w:val="24"/>
        </w:rPr>
        <w:t xml:space="preserve"> we can see t</w:t>
      </w:r>
      <w:r w:rsidR="00D414EB" w:rsidRPr="0026057C">
        <w:rPr>
          <w:sz w:val="24"/>
          <w:szCs w:val="24"/>
        </w:rPr>
        <w:t>hat gross profit increased by 16.5</w:t>
      </w:r>
      <w:r w:rsidRPr="0026057C">
        <w:rPr>
          <w:sz w:val="24"/>
          <w:szCs w:val="24"/>
        </w:rPr>
        <w:t>% year-on-year compare 202</w:t>
      </w:r>
      <w:r w:rsidR="00D414EB" w:rsidRPr="0026057C">
        <w:rPr>
          <w:sz w:val="24"/>
          <w:szCs w:val="24"/>
        </w:rPr>
        <w:t>0</w:t>
      </w:r>
      <w:r w:rsidRPr="0026057C">
        <w:rPr>
          <w:sz w:val="24"/>
          <w:szCs w:val="24"/>
        </w:rPr>
        <w:t xml:space="preserve"> and 2022. This improved by higher logistics and manufacturing costs.</w:t>
      </w:r>
      <w:r w:rsidR="0020653E" w:rsidRPr="0026057C">
        <w:rPr>
          <w:sz w:val="24"/>
          <w:szCs w:val="24"/>
        </w:rPr>
        <w:t xml:space="preserve"> However, percentage is still low as for big company</w:t>
      </w:r>
      <w:r w:rsidR="00D414EB" w:rsidRPr="0026057C">
        <w:rPr>
          <w:sz w:val="24"/>
          <w:szCs w:val="24"/>
        </w:rPr>
        <w:t>. Ideally, your direct spend should not exceed 40% and your gross margin should be above 60%. The remaining overhead should not exceed 35%, resulting in a true net profit margin of 25%. This should be your goal.(By Brett)</w:t>
      </w:r>
    </w:p>
    <w:p w14:paraId="4FB59796" w14:textId="2808A32F" w:rsidR="004967AB" w:rsidRPr="00F21D57" w:rsidRDefault="00EE291B" w:rsidP="00F21D57">
      <w:pPr>
        <w:pStyle w:val="ListParagraph"/>
        <w:numPr>
          <w:ilvl w:val="0"/>
          <w:numId w:val="11"/>
        </w:numPr>
        <w:shd w:val="clear" w:color="auto" w:fill="FFFFFF"/>
        <w:spacing w:before="100" w:beforeAutospacing="1" w:after="100" w:afterAutospacing="1" w:line="240" w:lineRule="auto"/>
        <w:outlineLvl w:val="2"/>
        <w:rPr>
          <w:rFonts w:cs="Helvetica"/>
          <w:b/>
          <w:sz w:val="28"/>
          <w:szCs w:val="28"/>
        </w:rPr>
      </w:pPr>
      <w:r w:rsidRPr="00F21D57">
        <w:rPr>
          <w:rFonts w:cs="Helvetica"/>
          <w:b/>
          <w:sz w:val="28"/>
          <w:szCs w:val="28"/>
        </w:rPr>
        <w:t>Operating Profit</w:t>
      </w:r>
      <w:r w:rsidR="00114A88" w:rsidRPr="00F21D57">
        <w:rPr>
          <w:rFonts w:cs="Helvetica"/>
          <w:b/>
          <w:sz w:val="28"/>
          <w:szCs w:val="28"/>
        </w:rPr>
        <w:t xml:space="preserve"> and Net Profit</w:t>
      </w:r>
    </w:p>
    <w:p w14:paraId="23375483" w14:textId="191E4E72" w:rsidR="00F21D57" w:rsidRPr="0026057C" w:rsidRDefault="004967AB" w:rsidP="0026057C">
      <w:pPr>
        <w:jc w:val="both"/>
        <w:rPr>
          <w:sz w:val="24"/>
          <w:szCs w:val="24"/>
        </w:rPr>
      </w:pPr>
      <w:r w:rsidRPr="0026057C">
        <w:rPr>
          <w:sz w:val="24"/>
          <w:szCs w:val="24"/>
        </w:rPr>
        <w:t>There are three types of profit: net profit, operating profit, and</w:t>
      </w:r>
      <w:r w:rsidR="00E00420">
        <w:rPr>
          <w:sz w:val="24"/>
          <w:szCs w:val="24"/>
        </w:rPr>
        <w:t xml:space="preserve"> gross profit. This division </w:t>
      </w:r>
      <w:r w:rsidRPr="0026057C">
        <w:rPr>
          <w:sz w:val="24"/>
          <w:szCs w:val="24"/>
        </w:rPr>
        <w:t xml:space="preserve">made based on the source from which the company made profit, operating profit if the profit is derived from operating activities, and profit </w:t>
      </w:r>
      <w:r w:rsidR="00F21D57" w:rsidRPr="0026057C">
        <w:rPr>
          <w:sz w:val="24"/>
          <w:szCs w:val="24"/>
        </w:rPr>
        <w:t>if</w:t>
      </w:r>
      <w:r w:rsidRPr="0026057C">
        <w:rPr>
          <w:sz w:val="24"/>
          <w:szCs w:val="24"/>
        </w:rPr>
        <w:t xml:space="preserve"> it is profit, it is profit. Overall business </w:t>
      </w:r>
      <w:r w:rsidR="00E00420" w:rsidRPr="0026057C">
        <w:rPr>
          <w:sz w:val="24"/>
          <w:szCs w:val="24"/>
        </w:rPr>
        <w:t>generation that</w:t>
      </w:r>
      <w:r w:rsidR="00F21D57" w:rsidRPr="0026057C">
        <w:rPr>
          <w:sz w:val="24"/>
          <w:szCs w:val="24"/>
        </w:rPr>
        <w:t xml:space="preserve"> is</w:t>
      </w:r>
      <w:r w:rsidRPr="0026057C">
        <w:rPr>
          <w:sz w:val="24"/>
          <w:szCs w:val="24"/>
        </w:rPr>
        <w:t xml:space="preserve"> net profit. There are various profit levels, the base level is gross profit, the middle level is operating profit, and the lowest level and final profit level is net </w:t>
      </w:r>
      <w:r w:rsidR="00F21D57" w:rsidRPr="0026057C">
        <w:rPr>
          <w:sz w:val="24"/>
          <w:szCs w:val="24"/>
        </w:rPr>
        <w:t>profit, which</w:t>
      </w:r>
      <w:r w:rsidRPr="0026057C">
        <w:rPr>
          <w:sz w:val="24"/>
          <w:szCs w:val="24"/>
        </w:rPr>
        <w:t xml:space="preserve"> is the actual profit of the company. Operating income and net income are part of a company's income statement.</w:t>
      </w:r>
    </w:p>
    <w:p w14:paraId="7A90D16F" w14:textId="6E2193E3" w:rsidR="00334D50" w:rsidRDefault="00E00420" w:rsidP="0026057C">
      <w:pPr>
        <w:jc w:val="both"/>
      </w:pPr>
      <w:r>
        <w:rPr>
          <w:sz w:val="24"/>
          <w:szCs w:val="24"/>
        </w:rPr>
        <w:t xml:space="preserve">Operating profit </w:t>
      </w:r>
      <w:r w:rsidR="004967AB" w:rsidRPr="0026057C">
        <w:rPr>
          <w:sz w:val="24"/>
          <w:szCs w:val="24"/>
        </w:rPr>
        <w:t xml:space="preserve">calculated by deducting all COGS, depreciation and all related operating expenses from total revenue. Operating expenses include company expenses other than direct production costs, such </w:t>
      </w:r>
      <w:r w:rsidR="00F21D57" w:rsidRPr="0026057C">
        <w:rPr>
          <w:sz w:val="24"/>
          <w:szCs w:val="24"/>
        </w:rPr>
        <w:t>as</w:t>
      </w:r>
      <w:r w:rsidR="004967AB" w:rsidRPr="0026057C">
        <w:rPr>
          <w:sz w:val="24"/>
          <w:szCs w:val="24"/>
        </w:rPr>
        <w:t xml:space="preserve"> Salaries and benefits, rent and related expenses, research and development expenses, etc.</w:t>
      </w:r>
      <w:r w:rsidR="004967AB" w:rsidRPr="004967AB">
        <w:t xml:space="preserve"> The operating profit margin calculation is the percentage of operating profit earned from total revenue.</w:t>
      </w:r>
    </w:p>
    <w:p w14:paraId="2C25DA5E" w14:textId="4C58F9EB" w:rsidR="00F21D57" w:rsidRDefault="00F21D57" w:rsidP="00047A40">
      <w:pPr>
        <w:shd w:val="clear" w:color="auto" w:fill="FFFFFF"/>
        <w:spacing w:before="100" w:beforeAutospacing="1" w:after="100" w:afterAutospacing="1" w:line="240" w:lineRule="auto"/>
        <w:outlineLvl w:val="2"/>
        <w:rPr>
          <w:rFonts w:cs="Helvetica"/>
          <w:sz w:val="28"/>
          <w:szCs w:val="28"/>
        </w:rPr>
      </w:pPr>
    </w:p>
    <w:p w14:paraId="32F21D2C" w14:textId="4595B242" w:rsidR="00F21D57" w:rsidRDefault="0026057C" w:rsidP="00047A40">
      <w:pPr>
        <w:shd w:val="clear" w:color="auto" w:fill="FFFFFF"/>
        <w:spacing w:before="100" w:beforeAutospacing="1" w:after="100" w:afterAutospacing="1" w:line="240" w:lineRule="auto"/>
        <w:outlineLvl w:val="2"/>
        <w:rPr>
          <w:rFonts w:cs="Helvetica"/>
          <w:sz w:val="28"/>
          <w:szCs w:val="28"/>
        </w:rPr>
      </w:pPr>
      <w:r>
        <w:rPr>
          <w:noProof/>
          <w:lang w:val="en-GB" w:eastAsia="en-GB"/>
        </w:rPr>
        <w:lastRenderedPageBreak/>
        <w:drawing>
          <wp:anchor distT="0" distB="0" distL="114300" distR="114300" simplePos="0" relativeHeight="251665408" behindDoc="0" locked="0" layoutInCell="1" allowOverlap="1" wp14:anchorId="36150BA3" wp14:editId="76F73AF2">
            <wp:simplePos x="0" y="0"/>
            <wp:positionH relativeFrom="margin">
              <wp:posOffset>95250</wp:posOffset>
            </wp:positionH>
            <wp:positionV relativeFrom="paragraph">
              <wp:posOffset>-650875</wp:posOffset>
            </wp:positionV>
            <wp:extent cx="4772025" cy="2105025"/>
            <wp:effectExtent l="0" t="0" r="9525" b="9525"/>
            <wp:wrapNone/>
            <wp:docPr id="11" name="Chart 11">
              <a:extLst xmlns:a="http://schemas.openxmlformats.org/drawingml/2006/main">
                <a:ext uri="{FF2B5EF4-FFF2-40B4-BE49-F238E27FC236}">
                  <a16:creationId xmlns:a16="http://schemas.microsoft.com/office/drawing/2014/main" id="{7A171524-6FC2-48F6-9383-D47860A4F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37B7D47D" w14:textId="225F85D8" w:rsidR="00F21D57" w:rsidRDefault="00F21D57" w:rsidP="00047A40">
      <w:pPr>
        <w:shd w:val="clear" w:color="auto" w:fill="FFFFFF"/>
        <w:spacing w:before="100" w:beforeAutospacing="1" w:after="100" w:afterAutospacing="1" w:line="240" w:lineRule="auto"/>
        <w:outlineLvl w:val="2"/>
        <w:rPr>
          <w:rFonts w:cs="Helvetica"/>
          <w:sz w:val="28"/>
          <w:szCs w:val="28"/>
        </w:rPr>
      </w:pPr>
    </w:p>
    <w:p w14:paraId="459E7F6B" w14:textId="6C8AFE71" w:rsidR="00F21D57" w:rsidRDefault="00F21D57" w:rsidP="00047A40">
      <w:pPr>
        <w:shd w:val="clear" w:color="auto" w:fill="FFFFFF"/>
        <w:spacing w:before="100" w:beforeAutospacing="1" w:after="100" w:afterAutospacing="1" w:line="240" w:lineRule="auto"/>
        <w:outlineLvl w:val="2"/>
        <w:rPr>
          <w:rFonts w:cs="Helvetica"/>
          <w:sz w:val="28"/>
          <w:szCs w:val="28"/>
        </w:rPr>
      </w:pPr>
    </w:p>
    <w:p w14:paraId="2B501556" w14:textId="3A4F4774" w:rsidR="00F21D57" w:rsidRDefault="00F21D57" w:rsidP="00047A40">
      <w:pPr>
        <w:shd w:val="clear" w:color="auto" w:fill="FFFFFF"/>
        <w:spacing w:before="100" w:beforeAutospacing="1" w:after="100" w:afterAutospacing="1" w:line="240" w:lineRule="auto"/>
        <w:outlineLvl w:val="2"/>
        <w:rPr>
          <w:rFonts w:cs="Helvetica"/>
          <w:sz w:val="28"/>
          <w:szCs w:val="28"/>
        </w:rPr>
      </w:pPr>
    </w:p>
    <w:p w14:paraId="65E6103B" w14:textId="08B0A199" w:rsidR="00F21D57" w:rsidRPr="0026057C" w:rsidRDefault="00F21D57" w:rsidP="00047A40">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Figure3 – Aston Martin Operating and Net Profit of period 2020-2022H1</w:t>
      </w:r>
    </w:p>
    <w:p w14:paraId="19EEE543" w14:textId="0E382346" w:rsidR="004967AB" w:rsidRPr="0026057C" w:rsidRDefault="00334D50" w:rsidP="0026057C">
      <w:pPr>
        <w:jc w:val="both"/>
        <w:rPr>
          <w:sz w:val="24"/>
          <w:szCs w:val="24"/>
        </w:rPr>
      </w:pPr>
      <w:r w:rsidRPr="0026057C">
        <w:rPr>
          <w:sz w:val="24"/>
          <w:szCs w:val="24"/>
        </w:rPr>
        <w:t>W</w:t>
      </w:r>
      <w:r w:rsidR="001E757D" w:rsidRPr="0026057C">
        <w:rPr>
          <w:sz w:val="24"/>
          <w:szCs w:val="24"/>
        </w:rPr>
        <w:t>e can see operating loss doubled up compare 2021 and 2022</w:t>
      </w:r>
      <w:r w:rsidR="001A3BD7">
        <w:rPr>
          <w:sz w:val="24"/>
          <w:szCs w:val="24"/>
        </w:rPr>
        <w:t>.</w:t>
      </w:r>
      <w:r w:rsidR="001A3BD7" w:rsidRPr="001A3BD7">
        <w:t xml:space="preserve"> </w:t>
      </w:r>
      <w:r w:rsidR="001A3BD7" w:rsidRPr="001A3BD7">
        <w:rPr>
          <w:sz w:val="24"/>
          <w:szCs w:val="24"/>
        </w:rPr>
        <w:t>The results indicate that the firm reports net losses meaning it spends more than it earns from sales.</w:t>
      </w:r>
      <w:r w:rsidR="001A3BD7">
        <w:rPr>
          <w:sz w:val="24"/>
          <w:szCs w:val="24"/>
        </w:rPr>
        <w:t xml:space="preserve"> </w:t>
      </w:r>
      <w:r w:rsidR="001E757D" w:rsidRPr="0026057C">
        <w:rPr>
          <w:sz w:val="24"/>
          <w:szCs w:val="24"/>
        </w:rPr>
        <w:t xml:space="preserve"> </w:t>
      </w:r>
      <w:r w:rsidR="001A3BD7">
        <w:rPr>
          <w:sz w:val="24"/>
          <w:szCs w:val="24"/>
        </w:rPr>
        <w:t>A</w:t>
      </w:r>
      <w:r w:rsidR="00F21D57" w:rsidRPr="0026057C">
        <w:rPr>
          <w:sz w:val="24"/>
          <w:szCs w:val="24"/>
        </w:rPr>
        <w:t>s well as from the annual</w:t>
      </w:r>
      <w:r w:rsidR="001E757D" w:rsidRPr="0026057C">
        <w:rPr>
          <w:sz w:val="24"/>
          <w:szCs w:val="24"/>
        </w:rPr>
        <w:t xml:space="preserve"> report we can see that it’s </w:t>
      </w:r>
      <w:r w:rsidRPr="0026057C">
        <w:rPr>
          <w:sz w:val="24"/>
          <w:szCs w:val="24"/>
        </w:rPr>
        <w:t>“</w:t>
      </w:r>
      <w:r w:rsidR="001E757D" w:rsidRPr="0026057C">
        <w:rPr>
          <w:sz w:val="24"/>
          <w:szCs w:val="24"/>
        </w:rPr>
        <w:t>driven by accele</w:t>
      </w:r>
      <w:r w:rsidRPr="0026057C">
        <w:rPr>
          <w:sz w:val="24"/>
          <w:szCs w:val="24"/>
        </w:rPr>
        <w:t>rated amortization of capitalized development coast ahead of the next generation GT/sport vehicles that it will start in 2023” (Aston Martin Lagonda Results 2022) As well working capital outflow was driven by temporary supply chain and logistics disruptions.</w:t>
      </w:r>
    </w:p>
    <w:p w14:paraId="37CFB16E" w14:textId="77777777" w:rsidR="00E00420" w:rsidRDefault="00334D50" w:rsidP="001A3BD7">
      <w:pPr>
        <w:jc w:val="both"/>
      </w:pPr>
      <w:r w:rsidRPr="0026057C">
        <w:rPr>
          <w:sz w:val="24"/>
          <w:szCs w:val="24"/>
        </w:rPr>
        <w:t>Net</w:t>
      </w:r>
      <w:r w:rsidR="00123700" w:rsidRPr="0026057C">
        <w:rPr>
          <w:sz w:val="24"/>
          <w:szCs w:val="24"/>
        </w:rPr>
        <w:t xml:space="preserve"> losses increased compare 2021 but signifyingly smaller compare to 2020. </w:t>
      </w:r>
      <w:r w:rsidR="00F21D57" w:rsidRPr="0026057C">
        <w:rPr>
          <w:sz w:val="24"/>
          <w:szCs w:val="24"/>
        </w:rPr>
        <w:t>It is</w:t>
      </w:r>
      <w:r w:rsidR="00123700" w:rsidRPr="0026057C">
        <w:rPr>
          <w:sz w:val="24"/>
          <w:szCs w:val="24"/>
        </w:rPr>
        <w:t xml:space="preserve"> mainly impacts of non-cash FX revaluation of US dollar- GBP being weakened against the US dollars during this period</w:t>
      </w:r>
      <w:r w:rsidR="00123700">
        <w:t xml:space="preserve">. </w:t>
      </w:r>
    </w:p>
    <w:p w14:paraId="5A6014BA" w14:textId="66DF4074" w:rsidR="00EE291B" w:rsidRPr="00E00420" w:rsidRDefault="00123700" w:rsidP="00E00420">
      <w:pPr>
        <w:pStyle w:val="ListParagraph"/>
        <w:numPr>
          <w:ilvl w:val="0"/>
          <w:numId w:val="11"/>
        </w:numPr>
        <w:jc w:val="both"/>
        <w:rPr>
          <w:rFonts w:cs="Helvetica"/>
          <w:b/>
          <w:sz w:val="28"/>
          <w:szCs w:val="28"/>
        </w:rPr>
      </w:pPr>
      <w:r w:rsidRPr="00E00420">
        <w:rPr>
          <w:rFonts w:cs="Helvetica"/>
          <w:b/>
          <w:sz w:val="28"/>
          <w:szCs w:val="28"/>
        </w:rPr>
        <w:t>Return on Assets</w:t>
      </w:r>
    </w:p>
    <w:p w14:paraId="4860DA9B" w14:textId="4FEA13A3" w:rsidR="00123700" w:rsidRPr="0026057C" w:rsidRDefault="00123700" w:rsidP="0026057C">
      <w:pPr>
        <w:jc w:val="both"/>
        <w:rPr>
          <w:sz w:val="24"/>
          <w:szCs w:val="24"/>
        </w:rPr>
      </w:pPr>
      <w:r w:rsidRPr="0026057C">
        <w:rPr>
          <w:sz w:val="24"/>
          <w:szCs w:val="24"/>
        </w:rPr>
        <w:t>The return on assets shows the earnings per dollar of assets. Therefore, a higher return on investment indicates a more profitable and efficient business.</w:t>
      </w:r>
    </w:p>
    <w:p w14:paraId="70DCAC60" w14:textId="1C589261" w:rsidR="00123700" w:rsidRDefault="00F21D57" w:rsidP="00123700">
      <w:pPr>
        <w:pStyle w:val="ListParagraph"/>
        <w:shd w:val="clear" w:color="auto" w:fill="FFFFFF"/>
        <w:spacing w:before="100" w:beforeAutospacing="1" w:after="100" w:afterAutospacing="1" w:line="240" w:lineRule="auto"/>
        <w:outlineLvl w:val="2"/>
        <w:rPr>
          <w:rFonts w:cs="Helvetica"/>
          <w:sz w:val="28"/>
          <w:szCs w:val="28"/>
        </w:rPr>
      </w:pPr>
      <w:r>
        <w:rPr>
          <w:noProof/>
          <w:lang w:val="en-GB" w:eastAsia="en-GB"/>
        </w:rPr>
        <w:drawing>
          <wp:anchor distT="0" distB="0" distL="114300" distR="114300" simplePos="0" relativeHeight="251666432" behindDoc="0" locked="0" layoutInCell="1" allowOverlap="1" wp14:anchorId="3CA52966" wp14:editId="2D48BB52">
            <wp:simplePos x="0" y="0"/>
            <wp:positionH relativeFrom="margin">
              <wp:align>left</wp:align>
            </wp:positionH>
            <wp:positionV relativeFrom="paragraph">
              <wp:posOffset>178435</wp:posOffset>
            </wp:positionV>
            <wp:extent cx="4572000" cy="1924050"/>
            <wp:effectExtent l="0" t="0" r="0" b="0"/>
            <wp:wrapNone/>
            <wp:docPr id="12" name="Chart 12">
              <a:extLst xmlns:a="http://schemas.openxmlformats.org/drawingml/2006/main">
                <a:ext uri="{FF2B5EF4-FFF2-40B4-BE49-F238E27FC236}">
                  <a16:creationId xmlns:a16="http://schemas.microsoft.com/office/drawing/2014/main" id="{3571E807-DA6B-45A1-B213-4E685CD49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V relativeFrom="margin">
              <wp14:pctHeight>0</wp14:pctHeight>
            </wp14:sizeRelV>
          </wp:anchor>
        </w:drawing>
      </w:r>
    </w:p>
    <w:p w14:paraId="5CE342D4" w14:textId="3B3FDEF1" w:rsidR="00123700" w:rsidRPr="00123700" w:rsidRDefault="00123700" w:rsidP="00123700">
      <w:pPr>
        <w:pStyle w:val="ListParagraph"/>
        <w:shd w:val="clear" w:color="auto" w:fill="FFFFFF"/>
        <w:spacing w:before="100" w:beforeAutospacing="1" w:after="100" w:afterAutospacing="1" w:line="240" w:lineRule="auto"/>
        <w:outlineLvl w:val="2"/>
        <w:rPr>
          <w:rFonts w:cs="Helvetica"/>
          <w:sz w:val="28"/>
          <w:szCs w:val="28"/>
        </w:rPr>
      </w:pPr>
    </w:p>
    <w:p w14:paraId="55BC695E" w14:textId="06CFB642" w:rsidR="00EE291B" w:rsidRDefault="00EE291B" w:rsidP="00047A40">
      <w:pPr>
        <w:shd w:val="clear" w:color="auto" w:fill="FFFFFF"/>
        <w:spacing w:before="100" w:beforeAutospacing="1" w:after="100" w:afterAutospacing="1" w:line="240" w:lineRule="auto"/>
        <w:outlineLvl w:val="2"/>
        <w:rPr>
          <w:rFonts w:cs="Helvetica"/>
          <w:sz w:val="28"/>
          <w:szCs w:val="28"/>
        </w:rPr>
      </w:pPr>
    </w:p>
    <w:p w14:paraId="698FB5E6" w14:textId="49423409" w:rsidR="00123700" w:rsidRDefault="00123700" w:rsidP="00047A40">
      <w:pPr>
        <w:shd w:val="clear" w:color="auto" w:fill="FFFFFF"/>
        <w:spacing w:before="100" w:beforeAutospacing="1" w:after="100" w:afterAutospacing="1" w:line="240" w:lineRule="auto"/>
        <w:outlineLvl w:val="2"/>
        <w:rPr>
          <w:rFonts w:cs="Helvetica"/>
          <w:sz w:val="28"/>
          <w:szCs w:val="28"/>
        </w:rPr>
      </w:pPr>
    </w:p>
    <w:p w14:paraId="0BD3244D" w14:textId="3E244815" w:rsidR="00123700" w:rsidRDefault="00123700" w:rsidP="00047A40">
      <w:pPr>
        <w:shd w:val="clear" w:color="auto" w:fill="FFFFFF"/>
        <w:spacing w:before="100" w:beforeAutospacing="1" w:after="100" w:afterAutospacing="1" w:line="240" w:lineRule="auto"/>
        <w:outlineLvl w:val="2"/>
        <w:rPr>
          <w:rFonts w:cs="Helvetica"/>
          <w:sz w:val="28"/>
          <w:szCs w:val="28"/>
        </w:rPr>
      </w:pPr>
    </w:p>
    <w:p w14:paraId="10EE2A9E" w14:textId="1BE5B2D6" w:rsidR="00123700" w:rsidRDefault="00123700" w:rsidP="00047A40">
      <w:pPr>
        <w:shd w:val="clear" w:color="auto" w:fill="FFFFFF"/>
        <w:spacing w:before="100" w:beforeAutospacing="1" w:after="100" w:afterAutospacing="1" w:line="240" w:lineRule="auto"/>
        <w:outlineLvl w:val="2"/>
        <w:rPr>
          <w:rFonts w:cs="Helvetica"/>
          <w:sz w:val="28"/>
          <w:szCs w:val="28"/>
        </w:rPr>
      </w:pPr>
    </w:p>
    <w:p w14:paraId="4607252A" w14:textId="5C04D6B4" w:rsidR="00123700" w:rsidRPr="0026057C" w:rsidRDefault="00F21D57" w:rsidP="00047A40">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 xml:space="preserve">Figure4 – Aston Martin Return on Assets of period 2020-2022H </w:t>
      </w:r>
    </w:p>
    <w:p w14:paraId="52D5C95D" w14:textId="310CD3FC" w:rsidR="00AB0566" w:rsidRPr="0026057C" w:rsidRDefault="00AB0566" w:rsidP="0026057C">
      <w:pPr>
        <w:jc w:val="both"/>
        <w:rPr>
          <w:sz w:val="24"/>
          <w:szCs w:val="24"/>
        </w:rPr>
      </w:pPr>
      <w:r w:rsidRPr="0026057C">
        <w:rPr>
          <w:sz w:val="24"/>
          <w:szCs w:val="24"/>
        </w:rPr>
        <w:t xml:space="preserve">This ratio evaluates how efficiently a corporation uses its resources to produce profits. It is one of the most crucial ratios to consider when assessing a company's success. A higher value indicates a well-run business with a respectable return on assets. </w:t>
      </w:r>
      <w:r w:rsidR="003C3C7F" w:rsidRPr="0026057C">
        <w:rPr>
          <w:sz w:val="24"/>
          <w:szCs w:val="24"/>
        </w:rPr>
        <w:t>Highly depreciated assets, a large number of intangible assets, or any unusual income or expenses can easily distort this computation</w:t>
      </w:r>
      <w:r w:rsidRPr="0026057C">
        <w:rPr>
          <w:sz w:val="24"/>
          <w:szCs w:val="24"/>
        </w:rPr>
        <w:t>.</w:t>
      </w:r>
    </w:p>
    <w:p w14:paraId="32E5E30C" w14:textId="55932013" w:rsidR="008A2B52" w:rsidRPr="0026057C" w:rsidRDefault="00AB0566" w:rsidP="0026057C">
      <w:pPr>
        <w:jc w:val="both"/>
        <w:rPr>
          <w:sz w:val="24"/>
          <w:szCs w:val="24"/>
        </w:rPr>
      </w:pPr>
      <w:r w:rsidRPr="0026057C">
        <w:rPr>
          <w:sz w:val="24"/>
          <w:szCs w:val="24"/>
        </w:rPr>
        <w:lastRenderedPageBreak/>
        <w:t>For Aston Martin group, the percent rate of return on assets for 2022</w:t>
      </w:r>
      <w:r w:rsidR="00E8236D" w:rsidRPr="0026057C">
        <w:rPr>
          <w:sz w:val="24"/>
          <w:szCs w:val="24"/>
        </w:rPr>
        <w:t xml:space="preserve"> is </w:t>
      </w:r>
      <w:r w:rsidRPr="0026057C">
        <w:rPr>
          <w:sz w:val="24"/>
          <w:szCs w:val="24"/>
        </w:rPr>
        <w:t>-10.6%, which when compared to the years 2020 and 2021 shows there is room for development in this area to guarantee the business can remain profitable and competitive. However</w:t>
      </w:r>
      <w:r w:rsidR="009959FA" w:rsidRPr="0026057C">
        <w:rPr>
          <w:sz w:val="24"/>
          <w:szCs w:val="24"/>
        </w:rPr>
        <w:t xml:space="preserve">, we can see that situation gone worst compare to 2021 but better then 2020. In their annual </w:t>
      </w:r>
      <w:r w:rsidR="003C3C7F" w:rsidRPr="0026057C">
        <w:rPr>
          <w:sz w:val="24"/>
          <w:szCs w:val="24"/>
        </w:rPr>
        <w:t>report,</w:t>
      </w:r>
      <w:r w:rsidR="009959FA" w:rsidRPr="0026057C">
        <w:rPr>
          <w:sz w:val="24"/>
          <w:szCs w:val="24"/>
        </w:rPr>
        <w:t xml:space="preserve"> we can see big investment in R&amp;D.</w:t>
      </w:r>
    </w:p>
    <w:p w14:paraId="282F5E8E" w14:textId="7D573646" w:rsidR="008A2B52" w:rsidRPr="003C3C7F" w:rsidRDefault="008A2B52" w:rsidP="008A2B52">
      <w:pPr>
        <w:pStyle w:val="ListParagraph"/>
        <w:numPr>
          <w:ilvl w:val="0"/>
          <w:numId w:val="11"/>
        </w:numPr>
        <w:shd w:val="clear" w:color="auto" w:fill="FFFFFF"/>
        <w:spacing w:before="100" w:beforeAutospacing="1" w:after="100" w:afterAutospacing="1" w:line="240" w:lineRule="auto"/>
        <w:outlineLvl w:val="2"/>
        <w:rPr>
          <w:rFonts w:cs="Helvetica"/>
          <w:b/>
          <w:sz w:val="28"/>
          <w:szCs w:val="28"/>
        </w:rPr>
      </w:pPr>
      <w:r w:rsidRPr="003C3C7F">
        <w:rPr>
          <w:rFonts w:cs="Helvetica"/>
          <w:b/>
          <w:sz w:val="28"/>
          <w:szCs w:val="28"/>
        </w:rPr>
        <w:t>Return on Equity</w:t>
      </w:r>
    </w:p>
    <w:p w14:paraId="44039E1C" w14:textId="1075E3DE" w:rsidR="00AF394C" w:rsidRDefault="008A2B52" w:rsidP="008A2B52">
      <w:pPr>
        <w:shd w:val="clear" w:color="auto" w:fill="FFFFFF"/>
        <w:spacing w:before="100" w:beforeAutospacing="1" w:after="100" w:afterAutospacing="1" w:line="240" w:lineRule="auto"/>
        <w:ind w:left="360"/>
        <w:outlineLvl w:val="2"/>
      </w:pPr>
      <w:r>
        <w:rPr>
          <w:noProof/>
          <w:lang w:val="en-GB" w:eastAsia="en-GB"/>
        </w:rPr>
        <w:drawing>
          <wp:inline distT="0" distB="0" distL="0" distR="0" wp14:anchorId="7064D86E" wp14:editId="4127019E">
            <wp:extent cx="4572000" cy="2571750"/>
            <wp:effectExtent l="0" t="0" r="0" b="0"/>
            <wp:docPr id="13" name="Chart 13">
              <a:extLst xmlns:a="http://schemas.openxmlformats.org/drawingml/2006/main">
                <a:ext uri="{FF2B5EF4-FFF2-40B4-BE49-F238E27FC236}">
                  <a16:creationId xmlns:a16="http://schemas.microsoft.com/office/drawing/2014/main" id="{81C7317E-C154-4FA4-8C55-97E72605A4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AF394C" w:rsidRPr="00AF394C">
        <w:t xml:space="preserve"> </w:t>
      </w:r>
    </w:p>
    <w:p w14:paraId="1F08B851" w14:textId="13FB4252" w:rsidR="003C3C7F" w:rsidRPr="0026057C" w:rsidRDefault="003C3C7F" w:rsidP="003C3C7F">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Figure5 – Aston Martin Return on Shareholder Equity of period 2020-2022H1</w:t>
      </w:r>
    </w:p>
    <w:p w14:paraId="47F2372F" w14:textId="0813A8A7" w:rsidR="00AB0566" w:rsidRPr="0026057C" w:rsidRDefault="00AF394C" w:rsidP="0026057C">
      <w:pPr>
        <w:jc w:val="both"/>
        <w:rPr>
          <w:sz w:val="24"/>
          <w:szCs w:val="24"/>
        </w:rPr>
      </w:pPr>
      <w:r w:rsidRPr="0026057C">
        <w:rPr>
          <w:sz w:val="24"/>
          <w:szCs w:val="24"/>
        </w:rPr>
        <w:t>When you divide net income by shareholders' equity, the result is a financial metric called return on equity (ROE). Since it analyses how a company's profits impact stockholders' equity, the Return on Equity is a reliable indicator of its profitability.</w:t>
      </w:r>
      <w:r w:rsidR="00AB0566" w:rsidRPr="0026057C">
        <w:rPr>
          <w:sz w:val="24"/>
          <w:szCs w:val="24"/>
        </w:rPr>
        <w:t xml:space="preserve"> The Aston Martin Group's percent rate of return on equity is -76.7%, which when compared to the years 2020 and 2021 suggests management may not be efficiently managing the profits generated from the owners' investment in the business.</w:t>
      </w:r>
    </w:p>
    <w:p w14:paraId="313C30E7" w14:textId="3B70368E" w:rsidR="00AF394C" w:rsidRPr="00E00420" w:rsidRDefault="005569D6" w:rsidP="008A2B52">
      <w:pPr>
        <w:shd w:val="clear" w:color="auto" w:fill="FFFFFF"/>
        <w:spacing w:before="100" w:beforeAutospacing="1" w:after="100" w:afterAutospacing="1" w:line="240" w:lineRule="auto"/>
        <w:ind w:left="360"/>
        <w:outlineLvl w:val="2"/>
        <w:rPr>
          <w:rFonts w:cs="Helvetica"/>
          <w:b/>
          <w:sz w:val="32"/>
          <w:szCs w:val="32"/>
        </w:rPr>
      </w:pPr>
      <w:r w:rsidRPr="00E00420">
        <w:rPr>
          <w:rFonts w:cs="Helvetica"/>
          <w:b/>
          <w:sz w:val="32"/>
          <w:szCs w:val="32"/>
        </w:rPr>
        <w:t>3.3 Efficiency</w:t>
      </w:r>
    </w:p>
    <w:p w14:paraId="5AE9BE3A" w14:textId="155062B3" w:rsidR="005569D6" w:rsidRDefault="005569D6" w:rsidP="008A2B52">
      <w:pPr>
        <w:shd w:val="clear" w:color="auto" w:fill="FFFFFF"/>
        <w:spacing w:before="100" w:beforeAutospacing="1" w:after="100" w:afterAutospacing="1" w:line="240" w:lineRule="auto"/>
        <w:ind w:left="360"/>
        <w:outlineLvl w:val="2"/>
        <w:rPr>
          <w:rFonts w:cs="Helvetica"/>
          <w:sz w:val="28"/>
          <w:szCs w:val="28"/>
        </w:rPr>
      </w:pPr>
      <w:r w:rsidRPr="003C3C7F">
        <w:rPr>
          <w:rFonts w:cs="Helvetica"/>
          <w:b/>
          <w:sz w:val="28"/>
          <w:szCs w:val="28"/>
        </w:rPr>
        <w:t>a)</w:t>
      </w:r>
      <w:r w:rsidR="009E32E3">
        <w:rPr>
          <w:rFonts w:cs="Helvetica"/>
          <w:sz w:val="28"/>
          <w:szCs w:val="28"/>
        </w:rPr>
        <w:t xml:space="preserve"> </w:t>
      </w:r>
      <w:r w:rsidR="00AB0566" w:rsidRPr="003C3C7F">
        <w:rPr>
          <w:rFonts w:cs="Helvetica"/>
          <w:b/>
          <w:sz w:val="28"/>
          <w:szCs w:val="28"/>
        </w:rPr>
        <w:t>Non -</w:t>
      </w:r>
      <w:r w:rsidR="00E00420" w:rsidRPr="003C3C7F">
        <w:rPr>
          <w:rFonts w:cs="Helvetica"/>
          <w:b/>
          <w:sz w:val="28"/>
          <w:szCs w:val="28"/>
        </w:rPr>
        <w:t>Current Assets</w:t>
      </w:r>
      <w:r w:rsidR="00AB0566" w:rsidRPr="003C3C7F">
        <w:rPr>
          <w:rFonts w:cs="Helvetica"/>
          <w:b/>
          <w:sz w:val="28"/>
          <w:szCs w:val="28"/>
        </w:rPr>
        <w:t xml:space="preserve"> Productivity, Assets Turnover</w:t>
      </w:r>
      <w:r w:rsidR="00AB0566">
        <w:rPr>
          <w:rFonts w:cs="Helvetica"/>
          <w:sz w:val="28"/>
          <w:szCs w:val="28"/>
        </w:rPr>
        <w:t xml:space="preserve"> </w:t>
      </w:r>
    </w:p>
    <w:p w14:paraId="70907D5C" w14:textId="62F9D811" w:rsidR="00002336" w:rsidRPr="0026057C" w:rsidRDefault="00475D7E" w:rsidP="0026057C">
      <w:pPr>
        <w:jc w:val="both"/>
        <w:rPr>
          <w:sz w:val="24"/>
          <w:szCs w:val="24"/>
        </w:rPr>
      </w:pPr>
      <w:r w:rsidRPr="0026057C">
        <w:rPr>
          <w:sz w:val="24"/>
          <w:szCs w:val="24"/>
        </w:rPr>
        <w:t>I</w:t>
      </w:r>
      <w:r w:rsidR="00002336" w:rsidRPr="0026057C">
        <w:rPr>
          <w:sz w:val="24"/>
          <w:szCs w:val="24"/>
        </w:rPr>
        <w:t>n the annual reports from the balance sheets, we can see:</w:t>
      </w:r>
    </w:p>
    <w:tbl>
      <w:tblPr>
        <w:tblW w:w="6640" w:type="dxa"/>
        <w:tblLook w:val="04A0" w:firstRow="1" w:lastRow="0" w:firstColumn="1" w:lastColumn="0" w:noHBand="0" w:noVBand="1"/>
      </w:tblPr>
      <w:tblGrid>
        <w:gridCol w:w="3760"/>
        <w:gridCol w:w="960"/>
        <w:gridCol w:w="960"/>
        <w:gridCol w:w="960"/>
      </w:tblGrid>
      <w:tr w:rsidR="00002336" w:rsidRPr="0026057C" w14:paraId="066AC4E8" w14:textId="77777777" w:rsidTr="00002336">
        <w:trPr>
          <w:trHeight w:val="288"/>
        </w:trPr>
        <w:tc>
          <w:tcPr>
            <w:tcW w:w="3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262655"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 xml:space="preserve">Year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C998B15"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2020</w:t>
            </w:r>
          </w:p>
        </w:tc>
        <w:tc>
          <w:tcPr>
            <w:tcW w:w="960" w:type="dxa"/>
            <w:tcBorders>
              <w:top w:val="single" w:sz="4" w:space="0" w:color="auto"/>
              <w:left w:val="nil"/>
              <w:bottom w:val="single" w:sz="4" w:space="0" w:color="auto"/>
              <w:right w:val="nil"/>
            </w:tcBorders>
            <w:shd w:val="clear" w:color="auto" w:fill="auto"/>
            <w:noWrap/>
            <w:vAlign w:val="bottom"/>
            <w:hideMark/>
          </w:tcPr>
          <w:p w14:paraId="69797660"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2021</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BF213B"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2022</w:t>
            </w:r>
          </w:p>
        </w:tc>
      </w:tr>
      <w:tr w:rsidR="00002336" w:rsidRPr="0026057C" w14:paraId="4EF278EC" w14:textId="77777777" w:rsidTr="00002336">
        <w:trPr>
          <w:trHeight w:val="288"/>
        </w:trPr>
        <w:tc>
          <w:tcPr>
            <w:tcW w:w="3760" w:type="dxa"/>
            <w:tcBorders>
              <w:top w:val="nil"/>
              <w:left w:val="single" w:sz="4" w:space="0" w:color="auto"/>
              <w:bottom w:val="single" w:sz="4" w:space="0" w:color="auto"/>
              <w:right w:val="single" w:sz="4" w:space="0" w:color="auto"/>
            </w:tcBorders>
            <w:shd w:val="clear" w:color="auto" w:fill="auto"/>
            <w:noWrap/>
            <w:vAlign w:val="bottom"/>
            <w:hideMark/>
          </w:tcPr>
          <w:p w14:paraId="49109E1F" w14:textId="48BEA933"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Fixed Assets / non- current</w:t>
            </w:r>
          </w:p>
        </w:tc>
        <w:tc>
          <w:tcPr>
            <w:tcW w:w="960" w:type="dxa"/>
            <w:tcBorders>
              <w:top w:val="nil"/>
              <w:left w:val="nil"/>
              <w:bottom w:val="single" w:sz="4" w:space="0" w:color="auto"/>
              <w:right w:val="single" w:sz="4" w:space="0" w:color="auto"/>
            </w:tcBorders>
            <w:shd w:val="clear" w:color="auto" w:fill="auto"/>
            <w:noWrap/>
            <w:vAlign w:val="bottom"/>
            <w:hideMark/>
          </w:tcPr>
          <w:p w14:paraId="1D8EDAB0"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1,905</w:t>
            </w:r>
          </w:p>
        </w:tc>
        <w:tc>
          <w:tcPr>
            <w:tcW w:w="960" w:type="dxa"/>
            <w:tcBorders>
              <w:top w:val="nil"/>
              <w:left w:val="nil"/>
              <w:bottom w:val="single" w:sz="4" w:space="0" w:color="auto"/>
              <w:right w:val="nil"/>
            </w:tcBorders>
            <w:shd w:val="clear" w:color="auto" w:fill="auto"/>
            <w:noWrap/>
            <w:vAlign w:val="bottom"/>
            <w:hideMark/>
          </w:tcPr>
          <w:p w14:paraId="0C685A19"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1,975</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55217D" w14:textId="77777777" w:rsidR="00002336" w:rsidRPr="0026057C" w:rsidRDefault="00002336" w:rsidP="0026057C">
            <w:pPr>
              <w:jc w:val="both"/>
              <w:rPr>
                <w:rFonts w:ascii="Calibri" w:eastAsia="Times New Roman" w:hAnsi="Calibri" w:cs="Calibri"/>
                <w:color w:val="000000"/>
                <w:sz w:val="24"/>
                <w:szCs w:val="24"/>
                <w:lang w:val="en-GB" w:eastAsia="en-GB"/>
              </w:rPr>
            </w:pPr>
            <w:r w:rsidRPr="0026057C">
              <w:rPr>
                <w:rFonts w:ascii="Calibri" w:eastAsia="Times New Roman" w:hAnsi="Calibri" w:cs="Calibri"/>
                <w:color w:val="000000"/>
                <w:sz w:val="24"/>
                <w:szCs w:val="24"/>
                <w:lang w:val="en-GB" w:eastAsia="en-GB"/>
              </w:rPr>
              <w:t>1,981</w:t>
            </w:r>
          </w:p>
        </w:tc>
      </w:tr>
    </w:tbl>
    <w:p w14:paraId="66C3AEE9" w14:textId="69AA2F30" w:rsidR="00B3342E" w:rsidRDefault="00B3342E" w:rsidP="0026057C">
      <w:pPr>
        <w:jc w:val="both"/>
        <w:rPr>
          <w:sz w:val="24"/>
          <w:szCs w:val="24"/>
        </w:rPr>
      </w:pPr>
      <w:r w:rsidRPr="0026057C">
        <w:rPr>
          <w:sz w:val="24"/>
          <w:szCs w:val="24"/>
        </w:rPr>
        <w:t xml:space="preserve">Fixed assets are growing and its related to the rise in the equipment that used thought brand development and portfolio expansion. </w:t>
      </w:r>
      <w:r w:rsidR="003C3C7F" w:rsidRPr="0026057C">
        <w:rPr>
          <w:sz w:val="24"/>
          <w:szCs w:val="24"/>
        </w:rPr>
        <w:t>However,</w:t>
      </w:r>
      <w:r w:rsidRPr="0026057C">
        <w:rPr>
          <w:sz w:val="24"/>
          <w:szCs w:val="24"/>
        </w:rPr>
        <w:t xml:space="preserve"> it is worrying as turnover is not great. They are holding stock.</w:t>
      </w:r>
    </w:p>
    <w:p w14:paraId="72D2067A" w14:textId="77777777" w:rsidR="0026057C" w:rsidRPr="0026057C" w:rsidRDefault="0026057C" w:rsidP="0026057C">
      <w:pPr>
        <w:jc w:val="both"/>
        <w:rPr>
          <w:sz w:val="24"/>
          <w:szCs w:val="24"/>
        </w:rPr>
      </w:pPr>
    </w:p>
    <w:p w14:paraId="43BFFB9C" w14:textId="07BA95A0" w:rsidR="00AB0566" w:rsidRPr="00FD18FE" w:rsidRDefault="003C3C7F" w:rsidP="003C3C7F">
      <w:pPr>
        <w:pStyle w:val="ListParagraph"/>
        <w:numPr>
          <w:ilvl w:val="0"/>
          <w:numId w:val="17"/>
        </w:numPr>
        <w:shd w:val="clear" w:color="auto" w:fill="FFFFFF"/>
        <w:spacing w:before="100" w:beforeAutospacing="1" w:after="100" w:afterAutospacing="1" w:line="240" w:lineRule="auto"/>
        <w:outlineLvl w:val="2"/>
        <w:rPr>
          <w:rFonts w:cs="Helvetica"/>
          <w:b/>
          <w:sz w:val="28"/>
          <w:szCs w:val="28"/>
        </w:rPr>
      </w:pPr>
      <w:r w:rsidRPr="00FD18FE">
        <w:rPr>
          <w:rFonts w:cs="Helvetica"/>
          <w:b/>
          <w:sz w:val="28"/>
          <w:szCs w:val="28"/>
        </w:rPr>
        <w:lastRenderedPageBreak/>
        <w:t>Inventory</w:t>
      </w:r>
      <w:r w:rsidR="00753FB8" w:rsidRPr="00FD18FE">
        <w:rPr>
          <w:rFonts w:cs="Helvetica"/>
          <w:b/>
          <w:sz w:val="28"/>
          <w:szCs w:val="28"/>
        </w:rPr>
        <w:t xml:space="preserve"> Turnover</w:t>
      </w:r>
    </w:p>
    <w:p w14:paraId="3CDE210F" w14:textId="61AF29A4" w:rsidR="00753FB8" w:rsidRDefault="00753FB8" w:rsidP="00753FB8">
      <w:pPr>
        <w:shd w:val="clear" w:color="auto" w:fill="FFFFFF"/>
        <w:spacing w:before="100" w:beforeAutospacing="1" w:after="100" w:afterAutospacing="1" w:line="240" w:lineRule="auto"/>
        <w:ind w:left="360"/>
        <w:outlineLvl w:val="2"/>
        <w:rPr>
          <w:rFonts w:cs="Helvetica"/>
          <w:sz w:val="28"/>
          <w:szCs w:val="28"/>
        </w:rPr>
      </w:pPr>
      <w:r>
        <w:rPr>
          <w:noProof/>
          <w:lang w:val="en-GB" w:eastAsia="en-GB"/>
        </w:rPr>
        <w:drawing>
          <wp:inline distT="0" distB="0" distL="0" distR="0" wp14:anchorId="37A32CEB" wp14:editId="09FF0366">
            <wp:extent cx="4572000" cy="2743200"/>
            <wp:effectExtent l="0" t="0" r="0" b="0"/>
            <wp:docPr id="16" name="Chart 16">
              <a:extLst xmlns:a="http://schemas.openxmlformats.org/drawingml/2006/main">
                <a:ext uri="{FF2B5EF4-FFF2-40B4-BE49-F238E27FC236}">
                  <a16:creationId xmlns:a16="http://schemas.microsoft.com/office/drawing/2014/main" id="{82F73EBF-68D0-6136-EA5F-3F3CF9FA72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27DC95" w14:textId="66388D49" w:rsidR="003C3C7F" w:rsidRPr="0026057C" w:rsidRDefault="003C3C7F" w:rsidP="003C3C7F">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Figure6 – Aston Martin Inventory Turns of period 2020-2022H1</w:t>
      </w:r>
    </w:p>
    <w:p w14:paraId="30D97A4B" w14:textId="6E993854" w:rsidR="003C3C7F" w:rsidRPr="0026057C" w:rsidRDefault="00753FB8" w:rsidP="0026057C">
      <w:pPr>
        <w:jc w:val="both"/>
        <w:rPr>
          <w:sz w:val="24"/>
          <w:szCs w:val="24"/>
        </w:rPr>
      </w:pPr>
      <w:r w:rsidRPr="0026057C">
        <w:rPr>
          <w:sz w:val="24"/>
          <w:szCs w:val="24"/>
        </w:rPr>
        <w:t>Despite the demand total wholesales declined. In 2022 Aston Martin group continue challenging operating environment, including disruptions to both supply chain and logistics, as well as full quarter of COVID-19 lockdowns in part of China.</w:t>
      </w:r>
    </w:p>
    <w:p w14:paraId="1453914C" w14:textId="01AD9147" w:rsidR="00753FB8" w:rsidRPr="00A17FAF" w:rsidRDefault="00753FB8" w:rsidP="003C3C7F">
      <w:pPr>
        <w:pStyle w:val="ListParagraph"/>
        <w:numPr>
          <w:ilvl w:val="0"/>
          <w:numId w:val="17"/>
        </w:numPr>
        <w:shd w:val="clear" w:color="auto" w:fill="FFFFFF"/>
        <w:spacing w:before="100" w:beforeAutospacing="1" w:after="100" w:afterAutospacing="1" w:line="240" w:lineRule="auto"/>
        <w:outlineLvl w:val="2"/>
        <w:rPr>
          <w:rFonts w:cs="Helvetica"/>
          <w:b/>
          <w:sz w:val="28"/>
          <w:szCs w:val="28"/>
        </w:rPr>
      </w:pPr>
      <w:r w:rsidRPr="00A17FAF">
        <w:rPr>
          <w:rFonts w:cs="Helvetica"/>
          <w:b/>
          <w:sz w:val="28"/>
          <w:szCs w:val="28"/>
        </w:rPr>
        <w:t>Capital employed turnover</w:t>
      </w:r>
    </w:p>
    <w:p w14:paraId="55E52F68" w14:textId="092918E5" w:rsidR="00753FB8" w:rsidRDefault="00A177C0" w:rsidP="0026057C">
      <w:pPr>
        <w:shd w:val="clear" w:color="auto" w:fill="FFFFFF"/>
        <w:spacing w:before="100" w:beforeAutospacing="1" w:after="100" w:afterAutospacing="1" w:line="240" w:lineRule="auto"/>
        <w:jc w:val="both"/>
        <w:outlineLvl w:val="2"/>
        <w:rPr>
          <w:rFonts w:cs="Helvetica"/>
          <w:sz w:val="28"/>
          <w:szCs w:val="28"/>
        </w:rPr>
      </w:pPr>
      <w:r w:rsidRPr="0026057C">
        <w:rPr>
          <w:sz w:val="24"/>
          <w:szCs w:val="24"/>
        </w:rPr>
        <w:t xml:space="preserve">In the </w:t>
      </w:r>
      <w:r w:rsidR="00FD18FE" w:rsidRPr="0026057C">
        <w:rPr>
          <w:sz w:val="24"/>
          <w:szCs w:val="24"/>
        </w:rPr>
        <w:t>year-end</w:t>
      </w:r>
      <w:r w:rsidRPr="0026057C">
        <w:rPr>
          <w:sz w:val="24"/>
          <w:szCs w:val="24"/>
        </w:rPr>
        <w:t xml:space="preserve"> of </w:t>
      </w:r>
      <w:r w:rsidR="00E00420" w:rsidRPr="0026057C">
        <w:rPr>
          <w:sz w:val="24"/>
          <w:szCs w:val="24"/>
        </w:rPr>
        <w:t>2020,</w:t>
      </w:r>
      <w:r w:rsidRPr="0026057C">
        <w:rPr>
          <w:sz w:val="24"/>
          <w:szCs w:val="24"/>
        </w:rPr>
        <w:t xml:space="preserve"> the Group launched a consultation process to reduce employee numbers reflecting lower than originally planned production volumes resulting in an exceptional changes to the Income in 2020. The</w:t>
      </w:r>
      <w:r w:rsidR="00A17FAF" w:rsidRPr="0026057C">
        <w:rPr>
          <w:sz w:val="24"/>
          <w:szCs w:val="24"/>
        </w:rPr>
        <w:t xml:space="preserve"> final restricting cost</w:t>
      </w:r>
      <w:r w:rsidRPr="0026057C">
        <w:rPr>
          <w:sz w:val="24"/>
          <w:szCs w:val="24"/>
        </w:rPr>
        <w:t xml:space="preserve"> incurred in the first half of 2022 and the remaining provision now fully utilized. Pension Scheme – the net liability for the </w:t>
      </w:r>
      <w:r w:rsidR="006B2BBF" w:rsidRPr="0026057C">
        <w:rPr>
          <w:sz w:val="24"/>
          <w:szCs w:val="24"/>
        </w:rPr>
        <w:t xml:space="preserve">benefit obligations of £78.7m in 2021 has decreased to the net liability of 68.8m in 2022. The movement of £9.9m comprises an actuarial gain of £6.1m. </w:t>
      </w:r>
      <w:r w:rsidR="00A17FAF" w:rsidRPr="0026057C">
        <w:rPr>
          <w:sz w:val="24"/>
          <w:szCs w:val="24"/>
        </w:rPr>
        <w:t>In</w:t>
      </w:r>
      <w:r w:rsidR="006B2BBF" w:rsidRPr="0026057C">
        <w:rPr>
          <w:sz w:val="24"/>
          <w:szCs w:val="24"/>
        </w:rPr>
        <w:t xml:space="preserve"> </w:t>
      </w:r>
      <w:r w:rsidR="00E00420" w:rsidRPr="0026057C">
        <w:rPr>
          <w:sz w:val="24"/>
          <w:szCs w:val="24"/>
        </w:rPr>
        <w:t>2022,</w:t>
      </w:r>
      <w:r w:rsidR="006B2BBF" w:rsidRPr="0026057C">
        <w:rPr>
          <w:sz w:val="24"/>
          <w:szCs w:val="24"/>
        </w:rPr>
        <w:t xml:space="preserve"> the Group announced to the employee the closure of the benefit scheme as it cost £2.8m</w:t>
      </w:r>
      <w:r w:rsidR="006B2BBF">
        <w:rPr>
          <w:rFonts w:cs="Helvetica"/>
          <w:sz w:val="28"/>
          <w:szCs w:val="28"/>
        </w:rPr>
        <w:t>.</w:t>
      </w:r>
    </w:p>
    <w:p w14:paraId="40152364" w14:textId="5EE3480A" w:rsidR="00A17FAF" w:rsidRPr="00A17FAF" w:rsidRDefault="00A17FAF" w:rsidP="00A17FAF">
      <w:pPr>
        <w:pStyle w:val="ListParagraph"/>
        <w:numPr>
          <w:ilvl w:val="0"/>
          <w:numId w:val="17"/>
        </w:numPr>
        <w:shd w:val="clear" w:color="auto" w:fill="FFFFFF"/>
        <w:spacing w:before="100" w:beforeAutospacing="1" w:after="100" w:afterAutospacing="1" w:line="240" w:lineRule="auto"/>
        <w:outlineLvl w:val="2"/>
        <w:rPr>
          <w:rFonts w:cs="Helvetica"/>
          <w:b/>
          <w:sz w:val="28"/>
          <w:szCs w:val="28"/>
        </w:rPr>
      </w:pPr>
      <w:r w:rsidRPr="00A17FAF">
        <w:rPr>
          <w:rFonts w:cs="Helvetica"/>
          <w:b/>
          <w:sz w:val="28"/>
          <w:szCs w:val="28"/>
        </w:rPr>
        <w:t>Days Sales Outstanding</w:t>
      </w:r>
    </w:p>
    <w:p w14:paraId="504F82AC" w14:textId="05366749" w:rsidR="00A17FAF" w:rsidRDefault="00A17FAF" w:rsidP="00A17FAF">
      <w:pPr>
        <w:shd w:val="clear" w:color="auto" w:fill="FFFFFF"/>
        <w:spacing w:before="100" w:beforeAutospacing="1" w:after="100" w:afterAutospacing="1" w:line="240" w:lineRule="auto"/>
        <w:outlineLvl w:val="2"/>
        <w:rPr>
          <w:rFonts w:cs="Helvetica"/>
          <w:sz w:val="28"/>
          <w:szCs w:val="28"/>
        </w:rPr>
      </w:pPr>
      <w:r>
        <w:rPr>
          <w:noProof/>
          <w:lang w:val="en-GB" w:eastAsia="en-GB"/>
        </w:rPr>
        <w:drawing>
          <wp:inline distT="0" distB="0" distL="0" distR="0" wp14:anchorId="4D522A79" wp14:editId="67980E33">
            <wp:extent cx="5667375" cy="141922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8A4196C" w14:textId="1415CB43" w:rsidR="00A17FAF" w:rsidRPr="0026057C" w:rsidRDefault="00A17FAF" w:rsidP="00A17FAF">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Figure7 – Aston Martin Days Sales Outstanding of period 2020-2022H1</w:t>
      </w:r>
    </w:p>
    <w:p w14:paraId="132509D4" w14:textId="1DA56352" w:rsidR="00A17FAF" w:rsidRPr="0026057C" w:rsidRDefault="00A17FAF" w:rsidP="0026057C">
      <w:pPr>
        <w:jc w:val="both"/>
        <w:rPr>
          <w:rFonts w:cs="Helvetica"/>
          <w:i/>
          <w:sz w:val="24"/>
          <w:szCs w:val="24"/>
          <w:u w:val="single"/>
        </w:rPr>
      </w:pPr>
      <w:r w:rsidRPr="0026057C">
        <w:rPr>
          <w:i/>
          <w:sz w:val="24"/>
          <w:szCs w:val="24"/>
          <w:u w:val="single"/>
        </w:rPr>
        <w:lastRenderedPageBreak/>
        <w:t>Days Sales Outstanding = (Accounts Receivable/Net Credit Sales</w:t>
      </w:r>
      <w:r w:rsidR="00E00420" w:rsidRPr="0026057C">
        <w:rPr>
          <w:i/>
          <w:sz w:val="24"/>
          <w:szCs w:val="24"/>
          <w:u w:val="single"/>
        </w:rPr>
        <w:t>) x</w:t>
      </w:r>
      <w:r w:rsidRPr="0026057C">
        <w:rPr>
          <w:i/>
          <w:sz w:val="24"/>
          <w:szCs w:val="24"/>
          <w:u w:val="single"/>
        </w:rPr>
        <w:t xml:space="preserve"> Number of days</w:t>
      </w:r>
    </w:p>
    <w:p w14:paraId="011BFD2B" w14:textId="06B446D4" w:rsidR="008A2B52" w:rsidRPr="0026057C" w:rsidRDefault="00A17FAF" w:rsidP="0026057C">
      <w:pPr>
        <w:jc w:val="both"/>
        <w:rPr>
          <w:rFonts w:cs="Helvetica"/>
          <w:sz w:val="24"/>
          <w:szCs w:val="24"/>
        </w:rPr>
      </w:pPr>
      <w:r w:rsidRPr="0026057C">
        <w:rPr>
          <w:rFonts w:cs="Helvetica"/>
          <w:sz w:val="24"/>
          <w:szCs w:val="24"/>
        </w:rPr>
        <w:t xml:space="preserve">DSO is a key business metric that determines financial health and growth. It also shows how well a company can recover past fees. A higher DSO means more days for the company to collect the fees. </w:t>
      </w:r>
      <w:r w:rsidR="00187BD8" w:rsidRPr="0026057C">
        <w:rPr>
          <w:rFonts w:cs="Helvetica"/>
          <w:sz w:val="24"/>
          <w:szCs w:val="24"/>
        </w:rPr>
        <w:t>Can be</w:t>
      </w:r>
      <w:r w:rsidRPr="0026057C">
        <w:rPr>
          <w:rFonts w:cs="Helvetica"/>
          <w:sz w:val="24"/>
          <w:szCs w:val="24"/>
        </w:rPr>
        <w:t xml:space="preserve"> two reasons for this. No customers pay on time or the collection process is inefficient. </w:t>
      </w:r>
      <w:r w:rsidR="00187BD8" w:rsidRPr="0026057C">
        <w:rPr>
          <w:rFonts w:cs="Helvetica"/>
          <w:sz w:val="24"/>
          <w:szCs w:val="24"/>
        </w:rPr>
        <w:t>Aston Martin Group have</w:t>
      </w:r>
      <w:r w:rsidRPr="0026057C">
        <w:rPr>
          <w:rFonts w:cs="Helvetica"/>
          <w:sz w:val="24"/>
          <w:szCs w:val="24"/>
        </w:rPr>
        <w:t xml:space="preserve"> high DSOs</w:t>
      </w:r>
      <w:r w:rsidR="00187BD8" w:rsidRPr="0026057C">
        <w:rPr>
          <w:rFonts w:cs="Helvetica"/>
          <w:sz w:val="24"/>
          <w:szCs w:val="24"/>
        </w:rPr>
        <w:t>, even in 2022H1 is lower when in 2020 it’s still very high to compare that 45 days are the healthy position to be. Very high DSO</w:t>
      </w:r>
      <w:r w:rsidRPr="0026057C">
        <w:rPr>
          <w:rFonts w:cs="Helvetica"/>
          <w:sz w:val="24"/>
          <w:szCs w:val="24"/>
        </w:rPr>
        <w:t xml:space="preserve"> often fail to convert orders to cash and sometimes write off payments as bad debts. As a result, this can lead to an unstable financial situation.</w:t>
      </w:r>
    </w:p>
    <w:p w14:paraId="758197D1" w14:textId="37AEE93A" w:rsidR="00EE291B" w:rsidRPr="0026057C" w:rsidRDefault="00047A40" w:rsidP="00E91BA5">
      <w:pPr>
        <w:pStyle w:val="ListParagraph"/>
        <w:numPr>
          <w:ilvl w:val="1"/>
          <w:numId w:val="12"/>
        </w:numPr>
        <w:shd w:val="clear" w:color="auto" w:fill="FFFFFF"/>
        <w:spacing w:before="100" w:beforeAutospacing="1" w:after="100" w:afterAutospacing="1" w:line="240" w:lineRule="auto"/>
        <w:outlineLvl w:val="2"/>
        <w:rPr>
          <w:rFonts w:eastAsia="Times New Roman" w:cs="Arial"/>
          <w:b/>
          <w:bCs/>
          <w:color w:val="2D2D2D"/>
          <w:sz w:val="28"/>
          <w:szCs w:val="28"/>
        </w:rPr>
      </w:pPr>
      <w:r w:rsidRPr="0026057C">
        <w:rPr>
          <w:rFonts w:eastAsia="Times New Roman" w:cs="Arial"/>
          <w:b/>
          <w:bCs/>
          <w:color w:val="2D2D2D"/>
          <w:sz w:val="28"/>
          <w:szCs w:val="28"/>
        </w:rPr>
        <w:t>Liquidity ratio</w:t>
      </w:r>
      <w:r w:rsidR="008A2B52" w:rsidRPr="0026057C">
        <w:rPr>
          <w:rFonts w:eastAsia="Times New Roman" w:cs="Arial"/>
          <w:b/>
          <w:bCs/>
          <w:color w:val="2D2D2D"/>
          <w:sz w:val="28"/>
          <w:szCs w:val="28"/>
        </w:rPr>
        <w:t>s</w:t>
      </w:r>
    </w:p>
    <w:p w14:paraId="280A4077" w14:textId="32EA4B7D" w:rsidR="00047A40" w:rsidRPr="0026057C" w:rsidRDefault="00047A40" w:rsidP="0026057C">
      <w:pPr>
        <w:jc w:val="both"/>
        <w:rPr>
          <w:sz w:val="24"/>
          <w:szCs w:val="24"/>
        </w:rPr>
      </w:pPr>
      <w:r w:rsidRPr="0026057C">
        <w:rPr>
          <w:sz w:val="24"/>
          <w:szCs w:val="24"/>
        </w:rPr>
        <w:t>The liquidity ratio measures a company's ability to meet its short-term obligations on time. In other words, Businesses can quickly convert assets to cash without losing value when needed to meet their obligations. Short-term commitment? Favorable liquidity metrics are crucial for companies and their creditors. A business or industry that does not provide stable and predictable cash flow are the key</w:t>
      </w:r>
      <w:r w:rsidR="00FD18FE" w:rsidRPr="0026057C">
        <w:rPr>
          <w:sz w:val="24"/>
          <w:szCs w:val="24"/>
        </w:rPr>
        <w:t xml:space="preserve">. </w:t>
      </w:r>
      <w:r w:rsidRPr="0026057C">
        <w:rPr>
          <w:rFonts w:eastAsia="Times New Roman" w:cs="Arial"/>
          <w:color w:val="2D2D2D"/>
          <w:sz w:val="24"/>
          <w:szCs w:val="24"/>
        </w:rPr>
        <w:t>These metrics typically used to calculate a company's ability to service its debt by measuring current liabilities and cash and cash equivalents. This determines how likely it is that the company will be able to pay off its short-term debt. These are some common liquidity indicators: </w:t>
      </w:r>
    </w:p>
    <w:p w14:paraId="2A3916F9" w14:textId="2EA9EAF5" w:rsidR="00187BD8" w:rsidRDefault="00047A40" w:rsidP="00047A40">
      <w:pPr>
        <w:jc w:val="both"/>
        <w:rPr>
          <w:rFonts w:cs="Helvetica"/>
          <w:sz w:val="28"/>
          <w:szCs w:val="28"/>
        </w:rPr>
      </w:pPr>
      <w:r>
        <w:rPr>
          <w:rFonts w:ascii="Arial" w:hAnsi="Arial" w:cs="Arial"/>
          <w:noProof/>
          <w:color w:val="000000"/>
          <w:sz w:val="27"/>
          <w:szCs w:val="27"/>
          <w:shd w:val="clear" w:color="auto" w:fill="FFFFFF"/>
          <w:lang w:val="en-GB" w:eastAsia="en-GB"/>
        </w:rPr>
        <w:drawing>
          <wp:inline distT="0" distB="0" distL="0" distR="0" wp14:anchorId="6496BFB7" wp14:editId="0365B263">
            <wp:extent cx="5730720" cy="2879387"/>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8953" cy="2893572"/>
                    </a:xfrm>
                    <a:prstGeom prst="rect">
                      <a:avLst/>
                    </a:prstGeom>
                    <a:noFill/>
                  </pic:spPr>
                </pic:pic>
              </a:graphicData>
            </a:graphic>
          </wp:inline>
        </w:drawing>
      </w:r>
    </w:p>
    <w:p w14:paraId="6AC23204" w14:textId="016E8F32" w:rsidR="00047A40" w:rsidRPr="00C176E4" w:rsidRDefault="00047A40" w:rsidP="00C176E4">
      <w:pPr>
        <w:pStyle w:val="ListParagraph"/>
        <w:numPr>
          <w:ilvl w:val="0"/>
          <w:numId w:val="10"/>
        </w:numPr>
        <w:jc w:val="both"/>
        <w:rPr>
          <w:rFonts w:cs="Helvetica"/>
          <w:sz w:val="28"/>
          <w:szCs w:val="28"/>
        </w:rPr>
      </w:pPr>
      <w:r w:rsidRPr="00187BD8">
        <w:rPr>
          <w:rFonts w:cs="Helvetica"/>
          <w:b/>
          <w:sz w:val="28"/>
          <w:szCs w:val="28"/>
        </w:rPr>
        <w:t>Current Ratio</w:t>
      </w:r>
      <w:r w:rsidR="00707E9D">
        <w:rPr>
          <w:rFonts w:cs="Helvetica"/>
          <w:sz w:val="28"/>
          <w:szCs w:val="28"/>
        </w:rPr>
        <w:t>.</w:t>
      </w:r>
    </w:p>
    <w:p w14:paraId="415833C8" w14:textId="7FBD60D7" w:rsidR="00C176E4" w:rsidRPr="0026057C" w:rsidRDefault="00C176E4" w:rsidP="0026057C">
      <w:pPr>
        <w:jc w:val="both"/>
        <w:rPr>
          <w:sz w:val="24"/>
          <w:szCs w:val="24"/>
        </w:rPr>
      </w:pPr>
      <w:r w:rsidRPr="0026057C">
        <w:rPr>
          <w:sz w:val="24"/>
          <w:szCs w:val="24"/>
        </w:rPr>
        <w:t>This ratio reflects how often current assets cover current liabilities and is fair accurately indicate the company's ability to meet its current obligations higher numbers take precedence because it demonstrates a strong ability to deliver on short-term commitments. Composition of current assets this is an important factor in evaluating this ratio. Currently, depending on the industry and industry, Assets may include slow-moving inventories, which can affect a company's liquidity analysis. For this reason, quick ratios eliminate inventory and may be preferable to current ratios.</w:t>
      </w:r>
    </w:p>
    <w:p w14:paraId="46E5A33B" w14:textId="4AA0B480" w:rsidR="00C73C18" w:rsidRPr="0026057C" w:rsidRDefault="0026057C" w:rsidP="0026057C">
      <w:pPr>
        <w:jc w:val="both"/>
        <w:rPr>
          <w:sz w:val="24"/>
          <w:szCs w:val="24"/>
        </w:rPr>
      </w:pPr>
      <w:r w:rsidRPr="0026057C">
        <w:rPr>
          <w:noProof/>
          <w:sz w:val="24"/>
          <w:szCs w:val="24"/>
          <w:lang w:val="en-GB" w:eastAsia="en-GB"/>
        </w:rPr>
        <w:lastRenderedPageBreak/>
        <w:drawing>
          <wp:anchor distT="0" distB="0" distL="114300" distR="114300" simplePos="0" relativeHeight="251661312" behindDoc="0" locked="0" layoutInCell="1" allowOverlap="1" wp14:anchorId="1365736A" wp14:editId="1EC94C4D">
            <wp:simplePos x="0" y="0"/>
            <wp:positionH relativeFrom="margin">
              <wp:posOffset>-76200</wp:posOffset>
            </wp:positionH>
            <wp:positionV relativeFrom="paragraph">
              <wp:posOffset>1485899</wp:posOffset>
            </wp:positionV>
            <wp:extent cx="6267450" cy="1514475"/>
            <wp:effectExtent l="0" t="0" r="0" b="9525"/>
            <wp:wrapNone/>
            <wp:docPr id="6" name="Chart 6">
              <a:extLst xmlns:a="http://schemas.openxmlformats.org/drawingml/2006/main">
                <a:ext uri="{FF2B5EF4-FFF2-40B4-BE49-F238E27FC236}">
                  <a16:creationId xmlns:a16="http://schemas.microsoft.com/office/drawing/2014/main" id="{F7DA91C2-7296-4E7A-BC76-62A9CDBBA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C73C18" w:rsidRPr="0026057C">
        <w:rPr>
          <w:sz w:val="24"/>
          <w:szCs w:val="24"/>
        </w:rPr>
        <w:t>The current ratio for Aston Martin is 0.8 in 2022 and 0.96 in 2021, which compared to the</w:t>
      </w:r>
      <w:r w:rsidR="00C176E4" w:rsidRPr="0026057C">
        <w:rPr>
          <w:sz w:val="24"/>
          <w:szCs w:val="24"/>
        </w:rPr>
        <w:t xml:space="preserve"> </w:t>
      </w:r>
      <w:r w:rsidR="00C73C18" w:rsidRPr="0026057C">
        <w:rPr>
          <w:sz w:val="24"/>
          <w:szCs w:val="24"/>
        </w:rPr>
        <w:t>baseline of 1.10 in 2020 indicates the</w:t>
      </w:r>
      <w:r w:rsidR="00C176E4" w:rsidRPr="0026057C">
        <w:rPr>
          <w:sz w:val="24"/>
          <w:szCs w:val="24"/>
        </w:rPr>
        <w:t xml:space="preserve"> </w:t>
      </w:r>
      <w:r w:rsidR="00C73C18" w:rsidRPr="0026057C">
        <w:rPr>
          <w:sz w:val="24"/>
          <w:szCs w:val="24"/>
        </w:rPr>
        <w:t>company`s ability to service short-term</w:t>
      </w:r>
      <w:r w:rsidR="00C176E4" w:rsidRPr="0026057C">
        <w:rPr>
          <w:sz w:val="24"/>
          <w:szCs w:val="24"/>
        </w:rPr>
        <w:t xml:space="preserve"> </w:t>
      </w:r>
      <w:r w:rsidR="00C73C18" w:rsidRPr="0026057C">
        <w:rPr>
          <w:sz w:val="24"/>
          <w:szCs w:val="24"/>
        </w:rPr>
        <w:t>obligations are not satisfactory. The</w:t>
      </w:r>
      <w:r w:rsidR="00C176E4" w:rsidRPr="0026057C">
        <w:rPr>
          <w:sz w:val="24"/>
          <w:szCs w:val="24"/>
        </w:rPr>
        <w:t xml:space="preserve"> </w:t>
      </w:r>
      <w:r w:rsidR="00C73C18" w:rsidRPr="0026057C">
        <w:rPr>
          <w:sz w:val="24"/>
          <w:szCs w:val="24"/>
        </w:rPr>
        <w:t>value of the quick ratio provides a</w:t>
      </w:r>
      <w:r w:rsidR="00C176E4" w:rsidRPr="0026057C">
        <w:rPr>
          <w:sz w:val="24"/>
          <w:szCs w:val="24"/>
        </w:rPr>
        <w:t xml:space="preserve"> </w:t>
      </w:r>
      <w:r w:rsidR="00C73C18" w:rsidRPr="0026057C">
        <w:rPr>
          <w:sz w:val="24"/>
          <w:szCs w:val="24"/>
        </w:rPr>
        <w:t xml:space="preserve">clearer indication </w:t>
      </w:r>
      <w:r w:rsidR="00B8288A" w:rsidRPr="0026057C">
        <w:rPr>
          <w:sz w:val="24"/>
          <w:szCs w:val="24"/>
        </w:rPr>
        <w:t xml:space="preserve">that company is </w:t>
      </w:r>
      <w:r w:rsidR="00C176E4" w:rsidRPr="0026057C">
        <w:rPr>
          <w:sz w:val="24"/>
          <w:szCs w:val="24"/>
        </w:rPr>
        <w:t>falling in</w:t>
      </w:r>
      <w:r w:rsidR="00C73C18" w:rsidRPr="0026057C">
        <w:rPr>
          <w:sz w:val="24"/>
          <w:szCs w:val="24"/>
        </w:rPr>
        <w:t xml:space="preserve"> this area.</w:t>
      </w:r>
      <w:r w:rsidR="00E8236D" w:rsidRPr="0026057C">
        <w:rPr>
          <w:sz w:val="24"/>
          <w:szCs w:val="24"/>
        </w:rPr>
        <w:t xml:space="preserve"> A higher liquidity ratio is clearly advantageous for business. A good cash ratio</w:t>
      </w:r>
      <w:r w:rsidR="00C176E4" w:rsidRPr="0026057C">
        <w:rPr>
          <w:sz w:val="24"/>
          <w:szCs w:val="24"/>
        </w:rPr>
        <w:t xml:space="preserve"> </w:t>
      </w:r>
      <w:r w:rsidR="00E8236D" w:rsidRPr="0026057C">
        <w:rPr>
          <w:sz w:val="24"/>
          <w:szCs w:val="24"/>
        </w:rPr>
        <w:t>is between 1.2 and 2, which means the company has twice as much liquid assets as its liabilities to cover its liabilities. A current ratio of less than 1 means that the company does not have enough cash to cover its current liabilities.</w:t>
      </w:r>
    </w:p>
    <w:p w14:paraId="5EF5E467" w14:textId="46411A74" w:rsidR="00C73C18" w:rsidRDefault="00C73C18" w:rsidP="00047A40">
      <w:pPr>
        <w:pStyle w:val="ListParagraph"/>
        <w:jc w:val="both"/>
        <w:rPr>
          <w:rFonts w:cs="Helvetica"/>
          <w:sz w:val="28"/>
          <w:szCs w:val="28"/>
        </w:rPr>
      </w:pPr>
    </w:p>
    <w:p w14:paraId="1EB3D3C4" w14:textId="249AA3FC" w:rsidR="00C73C18" w:rsidRDefault="00C73C18" w:rsidP="00047A40">
      <w:pPr>
        <w:pStyle w:val="ListParagraph"/>
        <w:jc w:val="both"/>
        <w:rPr>
          <w:rFonts w:cs="Helvetica"/>
          <w:sz w:val="28"/>
          <w:szCs w:val="28"/>
        </w:rPr>
      </w:pPr>
    </w:p>
    <w:p w14:paraId="141DC13A" w14:textId="2272B979" w:rsidR="00C176E4" w:rsidRDefault="00C176E4" w:rsidP="00047A40">
      <w:pPr>
        <w:pStyle w:val="ListParagraph"/>
        <w:jc w:val="both"/>
        <w:rPr>
          <w:rFonts w:cs="Helvetica"/>
          <w:sz w:val="28"/>
          <w:szCs w:val="28"/>
        </w:rPr>
      </w:pPr>
    </w:p>
    <w:p w14:paraId="61FFF95D" w14:textId="77777777" w:rsidR="00C176E4" w:rsidRDefault="00C176E4" w:rsidP="00047A40">
      <w:pPr>
        <w:pStyle w:val="ListParagraph"/>
        <w:jc w:val="both"/>
        <w:rPr>
          <w:rFonts w:cs="Helvetica"/>
          <w:sz w:val="28"/>
          <w:szCs w:val="28"/>
        </w:rPr>
      </w:pPr>
    </w:p>
    <w:p w14:paraId="24BE4CAF" w14:textId="77777777" w:rsidR="00C176E4" w:rsidRDefault="00C176E4" w:rsidP="00047A40">
      <w:pPr>
        <w:pStyle w:val="ListParagraph"/>
        <w:jc w:val="both"/>
        <w:rPr>
          <w:rFonts w:cs="Helvetica"/>
          <w:sz w:val="28"/>
          <w:szCs w:val="28"/>
        </w:rPr>
      </w:pPr>
    </w:p>
    <w:p w14:paraId="4BCF5EEB" w14:textId="77777777" w:rsidR="00C176E4" w:rsidRDefault="00C176E4" w:rsidP="00047A40">
      <w:pPr>
        <w:pStyle w:val="ListParagraph"/>
        <w:jc w:val="both"/>
        <w:rPr>
          <w:rFonts w:cs="Helvetica"/>
          <w:sz w:val="28"/>
          <w:szCs w:val="28"/>
        </w:rPr>
      </w:pPr>
    </w:p>
    <w:p w14:paraId="40020CFD" w14:textId="6ED14651" w:rsidR="00C73C18" w:rsidRPr="0026057C" w:rsidRDefault="00C176E4" w:rsidP="00FD18FE">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Figure8 – Aston Martin Current Rat</w:t>
      </w:r>
      <w:r w:rsidR="00592876" w:rsidRPr="0026057C">
        <w:rPr>
          <w:rFonts w:cs="Helvetica"/>
          <w:b/>
          <w:i/>
          <w:sz w:val="28"/>
          <w:szCs w:val="28"/>
        </w:rPr>
        <w:t>io</w:t>
      </w:r>
      <w:r w:rsidRPr="0026057C">
        <w:rPr>
          <w:rFonts w:cs="Helvetica"/>
          <w:b/>
          <w:i/>
          <w:sz w:val="28"/>
          <w:szCs w:val="28"/>
        </w:rPr>
        <w:t xml:space="preserve"> of period 2020-2022H1</w:t>
      </w:r>
    </w:p>
    <w:p w14:paraId="3E8DD437" w14:textId="79F5D54C" w:rsidR="00C73C18" w:rsidRDefault="00C73C18" w:rsidP="00C73C18">
      <w:pPr>
        <w:pStyle w:val="ListParagraph"/>
        <w:numPr>
          <w:ilvl w:val="0"/>
          <w:numId w:val="10"/>
        </w:numPr>
        <w:jc w:val="both"/>
        <w:rPr>
          <w:rFonts w:cs="Helvetica"/>
          <w:sz w:val="28"/>
          <w:szCs w:val="28"/>
        </w:rPr>
      </w:pPr>
      <w:r w:rsidRPr="00FD18FE">
        <w:rPr>
          <w:rFonts w:cs="Helvetica"/>
          <w:b/>
          <w:sz w:val="28"/>
          <w:szCs w:val="28"/>
        </w:rPr>
        <w:t>Quick Ratio</w:t>
      </w:r>
      <w:r w:rsidR="00707E9D">
        <w:rPr>
          <w:rFonts w:cs="Helvetica"/>
          <w:sz w:val="28"/>
          <w:szCs w:val="28"/>
        </w:rPr>
        <w:t>.</w:t>
      </w:r>
    </w:p>
    <w:p w14:paraId="1127E416" w14:textId="3E998DAF" w:rsidR="00C73C18" w:rsidRPr="0026057C" w:rsidRDefault="00C73C18" w:rsidP="0026057C">
      <w:pPr>
        <w:jc w:val="both"/>
        <w:rPr>
          <w:sz w:val="24"/>
          <w:szCs w:val="24"/>
        </w:rPr>
      </w:pPr>
      <w:r w:rsidRPr="0026057C">
        <w:rPr>
          <w:sz w:val="24"/>
          <w:szCs w:val="24"/>
        </w:rPr>
        <w:t xml:space="preserve">The quick ratio for </w:t>
      </w:r>
      <w:r w:rsidR="00B8288A" w:rsidRPr="0026057C">
        <w:rPr>
          <w:sz w:val="24"/>
          <w:szCs w:val="24"/>
        </w:rPr>
        <w:t>Aston Martin</w:t>
      </w:r>
      <w:r w:rsidRPr="0026057C">
        <w:rPr>
          <w:sz w:val="24"/>
          <w:szCs w:val="24"/>
        </w:rPr>
        <w:t xml:space="preserve"> is 0.</w:t>
      </w:r>
      <w:r w:rsidR="00B8288A" w:rsidRPr="0026057C">
        <w:rPr>
          <w:sz w:val="24"/>
          <w:szCs w:val="24"/>
        </w:rPr>
        <w:t>48 in 2022</w:t>
      </w:r>
      <w:r w:rsidR="00592876" w:rsidRPr="0026057C">
        <w:rPr>
          <w:sz w:val="24"/>
          <w:szCs w:val="24"/>
        </w:rPr>
        <w:t xml:space="preserve"> a</w:t>
      </w:r>
      <w:r w:rsidR="00B8288A" w:rsidRPr="0026057C">
        <w:rPr>
          <w:sz w:val="24"/>
          <w:szCs w:val="24"/>
        </w:rPr>
        <w:t>nd 0.74 in 2021</w:t>
      </w:r>
      <w:r w:rsidR="00592876" w:rsidRPr="0026057C">
        <w:rPr>
          <w:sz w:val="24"/>
          <w:szCs w:val="24"/>
        </w:rPr>
        <w:t xml:space="preserve"> which </w:t>
      </w:r>
      <w:r w:rsidRPr="0026057C">
        <w:rPr>
          <w:sz w:val="24"/>
          <w:szCs w:val="24"/>
        </w:rPr>
        <w:t>compared to the</w:t>
      </w:r>
      <w:r w:rsidR="00592876" w:rsidRPr="0026057C">
        <w:rPr>
          <w:sz w:val="24"/>
          <w:szCs w:val="24"/>
        </w:rPr>
        <w:t xml:space="preserve"> </w:t>
      </w:r>
      <w:r w:rsidRPr="0026057C">
        <w:rPr>
          <w:sz w:val="24"/>
          <w:szCs w:val="24"/>
        </w:rPr>
        <w:t>baseline of 0.</w:t>
      </w:r>
      <w:r w:rsidR="00B8288A" w:rsidRPr="0026057C">
        <w:rPr>
          <w:sz w:val="24"/>
          <w:szCs w:val="24"/>
        </w:rPr>
        <w:t>84 in 2020</w:t>
      </w:r>
      <w:r w:rsidRPr="0026057C">
        <w:rPr>
          <w:sz w:val="24"/>
          <w:szCs w:val="24"/>
        </w:rPr>
        <w:t xml:space="preserve"> indicates the</w:t>
      </w:r>
      <w:r w:rsidR="00592876" w:rsidRPr="0026057C">
        <w:rPr>
          <w:sz w:val="24"/>
          <w:szCs w:val="24"/>
        </w:rPr>
        <w:t xml:space="preserve"> </w:t>
      </w:r>
      <w:r w:rsidRPr="0026057C">
        <w:rPr>
          <w:sz w:val="24"/>
          <w:szCs w:val="24"/>
        </w:rPr>
        <w:t>company's ability to service short-term</w:t>
      </w:r>
      <w:r w:rsidR="00592876" w:rsidRPr="0026057C">
        <w:rPr>
          <w:sz w:val="24"/>
          <w:szCs w:val="24"/>
        </w:rPr>
        <w:t xml:space="preserve"> </w:t>
      </w:r>
      <w:r w:rsidRPr="0026057C">
        <w:rPr>
          <w:sz w:val="24"/>
          <w:szCs w:val="24"/>
        </w:rPr>
        <w:t xml:space="preserve">obligations is </w:t>
      </w:r>
      <w:r w:rsidR="00B8288A" w:rsidRPr="0026057C">
        <w:rPr>
          <w:sz w:val="24"/>
          <w:szCs w:val="24"/>
        </w:rPr>
        <w:t>falling</w:t>
      </w:r>
      <w:r w:rsidRPr="0026057C">
        <w:rPr>
          <w:sz w:val="24"/>
          <w:szCs w:val="24"/>
        </w:rPr>
        <w:t>.</w:t>
      </w:r>
      <w:r w:rsidR="00EF79B7" w:rsidRPr="0026057C">
        <w:rPr>
          <w:sz w:val="24"/>
          <w:szCs w:val="24"/>
        </w:rPr>
        <w:t xml:space="preserve"> If the ratio is 0.5,</w:t>
      </w:r>
      <w:r w:rsidR="00592876" w:rsidRPr="0026057C">
        <w:rPr>
          <w:sz w:val="24"/>
          <w:szCs w:val="24"/>
        </w:rPr>
        <w:t xml:space="preserve"> </w:t>
      </w:r>
      <w:r w:rsidR="00EF79B7" w:rsidRPr="0026057C">
        <w:rPr>
          <w:sz w:val="24"/>
          <w:szCs w:val="24"/>
        </w:rPr>
        <w:t>the company has twice as many current liabilities as it has current assets and is likely to struggle to pay its current liabilities.</w:t>
      </w:r>
    </w:p>
    <w:p w14:paraId="58BBE543" w14:textId="70C58D55" w:rsidR="00C73C18" w:rsidRDefault="00592876" w:rsidP="00047A40">
      <w:pPr>
        <w:pStyle w:val="ListParagraph"/>
        <w:jc w:val="both"/>
        <w:rPr>
          <w:rFonts w:cs="Helvetica"/>
          <w:sz w:val="28"/>
          <w:szCs w:val="28"/>
        </w:rPr>
      </w:pPr>
      <w:r>
        <w:rPr>
          <w:noProof/>
          <w:lang w:val="en-GB" w:eastAsia="en-GB"/>
        </w:rPr>
        <w:drawing>
          <wp:anchor distT="0" distB="0" distL="114300" distR="114300" simplePos="0" relativeHeight="251662336" behindDoc="0" locked="0" layoutInCell="1" allowOverlap="1" wp14:anchorId="63FFFA1C" wp14:editId="063B2D0D">
            <wp:simplePos x="0" y="0"/>
            <wp:positionH relativeFrom="margin">
              <wp:posOffset>-66675</wp:posOffset>
            </wp:positionH>
            <wp:positionV relativeFrom="paragraph">
              <wp:posOffset>6985</wp:posOffset>
            </wp:positionV>
            <wp:extent cx="5562600" cy="1954530"/>
            <wp:effectExtent l="0" t="0" r="0" b="7620"/>
            <wp:wrapNone/>
            <wp:docPr id="7" name="Chart 7">
              <a:extLst xmlns:a="http://schemas.openxmlformats.org/drawingml/2006/main">
                <a:ext uri="{FF2B5EF4-FFF2-40B4-BE49-F238E27FC236}">
                  <a16:creationId xmlns:a16="http://schemas.microsoft.com/office/drawing/2014/main" id="{D12D2CD2-104B-43D1-8D80-D6B2C43163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19DC7478" w14:textId="166DD59C" w:rsidR="00C73C18" w:rsidRDefault="00C73C18" w:rsidP="00047A40">
      <w:pPr>
        <w:pStyle w:val="ListParagraph"/>
        <w:jc w:val="both"/>
        <w:rPr>
          <w:rFonts w:cs="Helvetica"/>
          <w:sz w:val="28"/>
          <w:szCs w:val="28"/>
        </w:rPr>
      </w:pPr>
    </w:p>
    <w:p w14:paraId="7A3284D7" w14:textId="67A0A369" w:rsidR="00C73C18" w:rsidRPr="00EF79B7" w:rsidRDefault="00C73C18" w:rsidP="00EF79B7">
      <w:pPr>
        <w:jc w:val="both"/>
        <w:rPr>
          <w:rFonts w:cs="Helvetica"/>
          <w:sz w:val="28"/>
          <w:szCs w:val="28"/>
        </w:rPr>
      </w:pPr>
    </w:p>
    <w:p w14:paraId="6A1EC294" w14:textId="4C851BCF" w:rsidR="00C73C18" w:rsidRDefault="00C73C18" w:rsidP="00047A40">
      <w:pPr>
        <w:pStyle w:val="ListParagraph"/>
        <w:jc w:val="both"/>
        <w:rPr>
          <w:rFonts w:cs="Helvetica"/>
          <w:sz w:val="28"/>
          <w:szCs w:val="28"/>
        </w:rPr>
      </w:pPr>
    </w:p>
    <w:p w14:paraId="2988AA38" w14:textId="6B2B42DB" w:rsidR="00592876" w:rsidRDefault="00592876" w:rsidP="00047A40">
      <w:pPr>
        <w:pStyle w:val="ListParagraph"/>
        <w:jc w:val="both"/>
        <w:rPr>
          <w:rFonts w:cs="Helvetica"/>
          <w:sz w:val="28"/>
          <w:szCs w:val="28"/>
        </w:rPr>
      </w:pPr>
    </w:p>
    <w:p w14:paraId="75B0CBAF" w14:textId="1A82E9CB" w:rsidR="00592876" w:rsidRDefault="00592876" w:rsidP="00047A40">
      <w:pPr>
        <w:pStyle w:val="ListParagraph"/>
        <w:jc w:val="both"/>
        <w:rPr>
          <w:rFonts w:cs="Helvetica"/>
          <w:sz w:val="28"/>
          <w:szCs w:val="28"/>
        </w:rPr>
      </w:pPr>
    </w:p>
    <w:p w14:paraId="2B4FD5E8" w14:textId="30CDF1DC" w:rsidR="00592876" w:rsidRDefault="00592876" w:rsidP="00047A40">
      <w:pPr>
        <w:pStyle w:val="ListParagraph"/>
        <w:jc w:val="both"/>
        <w:rPr>
          <w:rFonts w:cs="Helvetica"/>
          <w:sz w:val="28"/>
          <w:szCs w:val="28"/>
        </w:rPr>
      </w:pPr>
    </w:p>
    <w:p w14:paraId="2769FF13" w14:textId="658DFF2B" w:rsidR="00592876" w:rsidRPr="0026057C" w:rsidRDefault="00592876" w:rsidP="00FD18FE">
      <w:pPr>
        <w:shd w:val="clear" w:color="auto" w:fill="FFFFFF"/>
        <w:spacing w:before="100" w:beforeAutospacing="1" w:after="100" w:afterAutospacing="1" w:line="240" w:lineRule="auto"/>
        <w:outlineLvl w:val="2"/>
        <w:rPr>
          <w:rFonts w:cs="Helvetica"/>
          <w:b/>
          <w:i/>
          <w:sz w:val="28"/>
          <w:szCs w:val="28"/>
        </w:rPr>
      </w:pPr>
      <w:r w:rsidRPr="0026057C">
        <w:rPr>
          <w:rFonts w:cs="Helvetica"/>
          <w:b/>
          <w:i/>
          <w:sz w:val="28"/>
          <w:szCs w:val="28"/>
        </w:rPr>
        <w:t xml:space="preserve">Figure9 – Aston Martin </w:t>
      </w:r>
      <w:r w:rsidR="00FD18FE" w:rsidRPr="0026057C">
        <w:rPr>
          <w:rFonts w:cs="Helvetica"/>
          <w:b/>
          <w:i/>
          <w:sz w:val="28"/>
          <w:szCs w:val="28"/>
        </w:rPr>
        <w:t>Quick</w:t>
      </w:r>
      <w:r w:rsidRPr="0026057C">
        <w:rPr>
          <w:rFonts w:cs="Helvetica"/>
          <w:b/>
          <w:i/>
          <w:sz w:val="28"/>
          <w:szCs w:val="28"/>
        </w:rPr>
        <w:t xml:space="preserve"> Ratio of period 2020-2022H1</w:t>
      </w:r>
    </w:p>
    <w:p w14:paraId="2148AFA5" w14:textId="67AB3257" w:rsidR="00662D93" w:rsidRPr="00FD18FE" w:rsidRDefault="00662D93" w:rsidP="00FD18FE">
      <w:pPr>
        <w:pStyle w:val="ListParagraph"/>
        <w:numPr>
          <w:ilvl w:val="0"/>
          <w:numId w:val="10"/>
        </w:numPr>
        <w:jc w:val="both"/>
        <w:rPr>
          <w:rFonts w:cs="Helvetica"/>
          <w:b/>
          <w:sz w:val="28"/>
          <w:szCs w:val="28"/>
        </w:rPr>
      </w:pPr>
      <w:r w:rsidRPr="00FD18FE">
        <w:rPr>
          <w:rFonts w:cs="Helvetica"/>
          <w:b/>
          <w:sz w:val="28"/>
          <w:szCs w:val="28"/>
        </w:rPr>
        <w:t>Cash Ratio</w:t>
      </w:r>
    </w:p>
    <w:p w14:paraId="21645970" w14:textId="4091FBFA" w:rsidR="00FB1BF1" w:rsidRPr="0026057C" w:rsidRDefault="00FB1BF1" w:rsidP="0026057C">
      <w:pPr>
        <w:jc w:val="both"/>
        <w:rPr>
          <w:rFonts w:cs="Helvetica"/>
          <w:sz w:val="24"/>
          <w:szCs w:val="24"/>
        </w:rPr>
      </w:pPr>
      <w:r w:rsidRPr="0026057C">
        <w:rPr>
          <w:sz w:val="24"/>
          <w:szCs w:val="24"/>
        </w:rPr>
        <w:t>A company's ability to meet its short-term obligations entirely with cash and cash equivalents demonstrated by the cash ratio,</w:t>
      </w:r>
      <w:r w:rsidR="00FD18FE" w:rsidRPr="0026057C">
        <w:rPr>
          <w:sz w:val="24"/>
          <w:szCs w:val="24"/>
        </w:rPr>
        <w:t xml:space="preserve"> </w:t>
      </w:r>
      <w:r w:rsidRPr="0026057C">
        <w:rPr>
          <w:sz w:val="24"/>
          <w:szCs w:val="24"/>
        </w:rPr>
        <w:t xml:space="preserve">which is a liquidity indicator. A cash ratio lower than </w:t>
      </w:r>
      <w:r w:rsidR="00707E9D" w:rsidRPr="0026057C">
        <w:rPr>
          <w:sz w:val="24"/>
          <w:szCs w:val="24"/>
        </w:rPr>
        <w:t>one</w:t>
      </w:r>
      <w:r w:rsidRPr="0026057C">
        <w:rPr>
          <w:sz w:val="24"/>
          <w:szCs w:val="24"/>
        </w:rPr>
        <w:t xml:space="preserve"> does indicate that a company is at risk of having financial difficulty. Looking in the previous </w:t>
      </w:r>
      <w:r w:rsidR="00FD18FE" w:rsidRPr="0026057C">
        <w:rPr>
          <w:sz w:val="24"/>
          <w:szCs w:val="24"/>
        </w:rPr>
        <w:t>year’s</w:t>
      </w:r>
      <w:r w:rsidRPr="0026057C">
        <w:rPr>
          <w:sz w:val="24"/>
          <w:szCs w:val="24"/>
        </w:rPr>
        <w:t xml:space="preserve"> ratio it is very low. </w:t>
      </w:r>
      <w:r w:rsidR="00FD18FE" w:rsidRPr="0026057C">
        <w:rPr>
          <w:sz w:val="24"/>
          <w:szCs w:val="24"/>
        </w:rPr>
        <w:t>In addition,</w:t>
      </w:r>
      <w:r w:rsidRPr="0026057C">
        <w:rPr>
          <w:sz w:val="24"/>
          <w:szCs w:val="24"/>
        </w:rPr>
        <w:t xml:space="preserve"> we can see that Aston Martin having problems there are more current</w:t>
      </w:r>
      <w:r w:rsidRPr="0026057C">
        <w:rPr>
          <w:rFonts w:cs="Helvetica"/>
          <w:sz w:val="24"/>
          <w:szCs w:val="24"/>
        </w:rPr>
        <w:t xml:space="preserve"> obligations than cash and cash equivalents as company's cash ratio is less than 0.16.</w:t>
      </w:r>
    </w:p>
    <w:p w14:paraId="025062CC" w14:textId="3C3CDF92" w:rsidR="00FB1BF1" w:rsidRDefault="00FB1BF1" w:rsidP="00FB1BF1">
      <w:pPr>
        <w:jc w:val="both"/>
        <w:rPr>
          <w:rFonts w:cs="Helvetica"/>
          <w:sz w:val="28"/>
          <w:szCs w:val="28"/>
        </w:rPr>
      </w:pPr>
    </w:p>
    <w:p w14:paraId="3DDC099A" w14:textId="0659B0EB" w:rsidR="00FD18FE" w:rsidRDefault="0026057C" w:rsidP="00FB1BF1">
      <w:pPr>
        <w:jc w:val="both"/>
        <w:rPr>
          <w:rFonts w:cs="Helvetica"/>
          <w:sz w:val="28"/>
          <w:szCs w:val="28"/>
        </w:rPr>
      </w:pPr>
      <w:r>
        <w:rPr>
          <w:noProof/>
          <w:lang w:val="en-GB" w:eastAsia="en-GB"/>
        </w:rPr>
        <w:drawing>
          <wp:anchor distT="0" distB="0" distL="114300" distR="114300" simplePos="0" relativeHeight="251667456" behindDoc="0" locked="0" layoutInCell="1" allowOverlap="1" wp14:anchorId="38E09728" wp14:editId="48465EAE">
            <wp:simplePos x="0" y="0"/>
            <wp:positionH relativeFrom="margin">
              <wp:posOffset>142875</wp:posOffset>
            </wp:positionH>
            <wp:positionV relativeFrom="paragraph">
              <wp:posOffset>-508000</wp:posOffset>
            </wp:positionV>
            <wp:extent cx="5570220" cy="1562100"/>
            <wp:effectExtent l="0" t="0" r="11430" b="0"/>
            <wp:wrapNone/>
            <wp:docPr id="14" name="Chart 14">
              <a:extLst xmlns:a="http://schemas.openxmlformats.org/drawingml/2006/main">
                <a:ext uri="{FF2B5EF4-FFF2-40B4-BE49-F238E27FC236}">
                  <a16:creationId xmlns:a16="http://schemas.microsoft.com/office/drawing/2014/main" id="{40AE41FF-8F01-4B00-E3D8-E701CEB7F7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094989A0" w14:textId="65316B41" w:rsidR="00FD18FE" w:rsidRDefault="00FD18FE" w:rsidP="00FB1BF1">
      <w:pPr>
        <w:jc w:val="both"/>
        <w:rPr>
          <w:rFonts w:cs="Helvetica"/>
          <w:sz w:val="28"/>
          <w:szCs w:val="28"/>
        </w:rPr>
      </w:pPr>
    </w:p>
    <w:p w14:paraId="33EC9C4B" w14:textId="1734B081" w:rsidR="00FD18FE" w:rsidRDefault="00FD18FE" w:rsidP="00FB1BF1">
      <w:pPr>
        <w:jc w:val="both"/>
        <w:rPr>
          <w:rFonts w:cs="Helvetica"/>
          <w:sz w:val="28"/>
          <w:szCs w:val="28"/>
        </w:rPr>
      </w:pPr>
    </w:p>
    <w:p w14:paraId="0A5A62FC" w14:textId="642685EA" w:rsidR="00FD18FE" w:rsidRPr="00707E9D" w:rsidRDefault="00FD18FE" w:rsidP="00FD18FE">
      <w:pPr>
        <w:shd w:val="clear" w:color="auto" w:fill="FFFFFF"/>
        <w:spacing w:before="100" w:beforeAutospacing="1" w:after="100" w:afterAutospacing="1" w:line="240" w:lineRule="auto"/>
        <w:outlineLvl w:val="2"/>
        <w:rPr>
          <w:rFonts w:cs="Helvetica"/>
          <w:i/>
          <w:sz w:val="28"/>
          <w:szCs w:val="28"/>
        </w:rPr>
      </w:pPr>
      <w:r w:rsidRPr="00707E9D">
        <w:rPr>
          <w:rFonts w:cs="Helvetica"/>
          <w:i/>
          <w:sz w:val="28"/>
          <w:szCs w:val="28"/>
        </w:rPr>
        <w:t>Figure10</w:t>
      </w:r>
      <w:r w:rsidRPr="00707E9D">
        <w:rPr>
          <w:rFonts w:cs="Helvetica"/>
          <w:i/>
          <w:sz w:val="28"/>
          <w:szCs w:val="28"/>
        </w:rPr>
        <w:t xml:space="preserve"> – Aston Martin </w:t>
      </w:r>
      <w:r w:rsidRPr="00707E9D">
        <w:rPr>
          <w:rFonts w:cs="Helvetica"/>
          <w:i/>
          <w:sz w:val="28"/>
          <w:szCs w:val="28"/>
        </w:rPr>
        <w:t>Cash</w:t>
      </w:r>
      <w:r w:rsidRPr="00707E9D">
        <w:rPr>
          <w:rFonts w:cs="Helvetica"/>
          <w:i/>
          <w:sz w:val="28"/>
          <w:szCs w:val="28"/>
        </w:rPr>
        <w:t xml:space="preserve"> Ratio of period 2020-2022H1</w:t>
      </w:r>
    </w:p>
    <w:p w14:paraId="72B58C8C" w14:textId="4FC224DE" w:rsidR="00FD18FE" w:rsidRPr="00FD18FE" w:rsidRDefault="00FD18FE" w:rsidP="00FD18FE">
      <w:pPr>
        <w:jc w:val="both"/>
        <w:rPr>
          <w:rFonts w:cs="Helvetica"/>
          <w:sz w:val="28"/>
          <w:szCs w:val="28"/>
        </w:rPr>
      </w:pPr>
    </w:p>
    <w:p w14:paraId="1ED32C3F" w14:textId="111BCDDF" w:rsidR="00C73C18" w:rsidRPr="00707E9D" w:rsidRDefault="002739E1" w:rsidP="002739E1">
      <w:pPr>
        <w:pStyle w:val="ListParagraph"/>
        <w:numPr>
          <w:ilvl w:val="1"/>
          <w:numId w:val="12"/>
        </w:numPr>
        <w:jc w:val="both"/>
        <w:rPr>
          <w:rFonts w:cs="Helvetica"/>
          <w:b/>
          <w:sz w:val="32"/>
          <w:szCs w:val="32"/>
        </w:rPr>
      </w:pPr>
      <w:r w:rsidRPr="00707E9D">
        <w:rPr>
          <w:rFonts w:cs="Helvetica"/>
          <w:b/>
          <w:sz w:val="32"/>
          <w:szCs w:val="32"/>
        </w:rPr>
        <w:t>Investment</w:t>
      </w:r>
    </w:p>
    <w:p w14:paraId="2D37625B" w14:textId="13FB02CF" w:rsidR="002739E1" w:rsidRDefault="002739E1" w:rsidP="002739E1">
      <w:pPr>
        <w:pStyle w:val="ListParagraph"/>
        <w:ind w:left="1080"/>
        <w:jc w:val="both"/>
        <w:rPr>
          <w:rFonts w:cs="Helvetica"/>
          <w:sz w:val="28"/>
          <w:szCs w:val="28"/>
        </w:rPr>
      </w:pPr>
    </w:p>
    <w:p w14:paraId="62421C06" w14:textId="477EEBF2" w:rsidR="002739E1" w:rsidRPr="00FD18FE" w:rsidRDefault="002739E1" w:rsidP="002739E1">
      <w:pPr>
        <w:pStyle w:val="ListParagraph"/>
        <w:numPr>
          <w:ilvl w:val="0"/>
          <w:numId w:val="14"/>
        </w:numPr>
        <w:jc w:val="both"/>
        <w:rPr>
          <w:rFonts w:cs="Helvetica"/>
          <w:b/>
          <w:sz w:val="28"/>
          <w:szCs w:val="28"/>
        </w:rPr>
      </w:pPr>
      <w:r w:rsidRPr="00FD18FE">
        <w:rPr>
          <w:rFonts w:cs="Helvetica"/>
          <w:b/>
          <w:sz w:val="28"/>
          <w:szCs w:val="28"/>
        </w:rPr>
        <w:t>Revenue/ cash per share</w:t>
      </w:r>
    </w:p>
    <w:p w14:paraId="6B2E8A2A" w14:textId="1B527699" w:rsidR="00836CDF" w:rsidRPr="0026057C" w:rsidRDefault="00836CDF" w:rsidP="0026057C">
      <w:pPr>
        <w:jc w:val="both"/>
        <w:rPr>
          <w:sz w:val="24"/>
          <w:szCs w:val="24"/>
        </w:rPr>
      </w:pPr>
      <w:r w:rsidRPr="0026057C">
        <w:rPr>
          <w:sz w:val="24"/>
          <w:szCs w:val="24"/>
        </w:rPr>
        <w:t>A company's net income is calculated and then divided by the number of outstanding shares of common stock to arrive at earnings per share (EPS</w:t>
      </w:r>
      <w:r w:rsidR="003175A7" w:rsidRPr="0026057C">
        <w:rPr>
          <w:sz w:val="24"/>
          <w:szCs w:val="24"/>
        </w:rPr>
        <w:t xml:space="preserve">). After costs and expenses </w:t>
      </w:r>
      <w:r w:rsidRPr="0026057C">
        <w:rPr>
          <w:sz w:val="24"/>
          <w:szCs w:val="24"/>
        </w:rPr>
        <w:t>taken into account, a company's net income is the amount made available to all shareholders. EPS is a metric that can be used to predict a company's present and long-term financial performance. It is the sum of the net income allocated to each outstanding common share of a company.</w:t>
      </w:r>
    </w:p>
    <w:p w14:paraId="7948C50C" w14:textId="47C1A3BC" w:rsidR="00836CDF" w:rsidRPr="000C0EA2" w:rsidRDefault="00836CDF" w:rsidP="00836CDF">
      <w:pPr>
        <w:jc w:val="both"/>
        <w:rPr>
          <w:rStyle w:val="formula"/>
          <w:rFonts w:cs="Segoe UI"/>
          <w:bCs/>
          <w:i/>
          <w:color w:val="57595D"/>
          <w:sz w:val="28"/>
          <w:szCs w:val="28"/>
          <w:u w:val="single"/>
          <w:shd w:val="clear" w:color="auto" w:fill="FFFFFF"/>
        </w:rPr>
      </w:pPr>
      <w:r w:rsidRPr="000C0EA2">
        <w:rPr>
          <w:rStyle w:val="formula"/>
          <w:rFonts w:cs="Segoe UI"/>
          <w:bCs/>
          <w:i/>
          <w:color w:val="57595D"/>
          <w:sz w:val="28"/>
          <w:szCs w:val="28"/>
          <w:u w:val="single"/>
          <w:shd w:val="clear" w:color="auto" w:fill="FFFFFF"/>
        </w:rPr>
        <w:t>Cash EPS = Operating Cash Flow / Diluted Shares Outstanding</w:t>
      </w:r>
    </w:p>
    <w:p w14:paraId="0A94FA32" w14:textId="700999F7" w:rsidR="003175A7" w:rsidRPr="000C0EA2" w:rsidRDefault="003175A7" w:rsidP="000C0EA2">
      <w:pPr>
        <w:jc w:val="both"/>
        <w:rPr>
          <w:sz w:val="24"/>
          <w:szCs w:val="24"/>
        </w:rPr>
      </w:pPr>
      <w:r w:rsidRPr="000C0EA2">
        <w:rPr>
          <w:sz w:val="24"/>
          <w:szCs w:val="24"/>
        </w:rPr>
        <w:t>The ability of the company to produce cash flow, which can be used for a variety of purposes, such as paying dividends to shareholders and servicing debt, is demonstrated by the cash earnings per share. All other things being equal, a company with a higher cash EPS is thought to be worth more per share than a company with a lower cash EPS. High earnings per share growth generally causes the price of the company's stock to increase among investors.</w:t>
      </w:r>
    </w:p>
    <w:p w14:paraId="6AB32DDA" w14:textId="1C419A38" w:rsidR="003175A7" w:rsidRDefault="003175A7" w:rsidP="00836CDF">
      <w:pPr>
        <w:jc w:val="both"/>
        <w:rPr>
          <w:rStyle w:val="formula"/>
          <w:rFonts w:ascii="Segoe UI" w:hAnsi="Segoe UI" w:cs="Segoe UI"/>
          <w:b/>
          <w:bCs/>
          <w:color w:val="57595D"/>
          <w:sz w:val="27"/>
          <w:szCs w:val="27"/>
          <w:shd w:val="clear" w:color="auto" w:fill="FFFFFF"/>
        </w:rPr>
      </w:pPr>
      <w:r>
        <w:rPr>
          <w:noProof/>
          <w:lang w:val="en-GB" w:eastAsia="en-GB"/>
        </w:rPr>
        <w:drawing>
          <wp:inline distT="0" distB="0" distL="0" distR="0" wp14:anchorId="124C47A7" wp14:editId="57D4DD7B">
            <wp:extent cx="4572000" cy="1914525"/>
            <wp:effectExtent l="0" t="0" r="0"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BC6045A" w14:textId="2D5E78BA" w:rsidR="00FD18FE" w:rsidRPr="00707E9D" w:rsidRDefault="00FD18FE" w:rsidP="00FD18FE">
      <w:pPr>
        <w:shd w:val="clear" w:color="auto" w:fill="FFFFFF"/>
        <w:spacing w:before="100" w:beforeAutospacing="1" w:after="100" w:afterAutospacing="1" w:line="240" w:lineRule="auto"/>
        <w:outlineLvl w:val="2"/>
        <w:rPr>
          <w:rStyle w:val="formula"/>
          <w:rFonts w:cs="Helvetica"/>
          <w:i/>
          <w:sz w:val="28"/>
          <w:szCs w:val="28"/>
        </w:rPr>
      </w:pPr>
      <w:r w:rsidRPr="00707E9D">
        <w:rPr>
          <w:rFonts w:cs="Helvetica"/>
          <w:i/>
          <w:sz w:val="28"/>
          <w:szCs w:val="28"/>
        </w:rPr>
        <w:t>Figure11</w:t>
      </w:r>
      <w:r w:rsidRPr="00707E9D">
        <w:rPr>
          <w:rFonts w:cs="Helvetica"/>
          <w:i/>
          <w:sz w:val="28"/>
          <w:szCs w:val="28"/>
        </w:rPr>
        <w:t xml:space="preserve"> – Aston Martin </w:t>
      </w:r>
      <w:r w:rsidRPr="00707E9D">
        <w:rPr>
          <w:rFonts w:cs="Helvetica"/>
          <w:i/>
          <w:sz w:val="28"/>
          <w:szCs w:val="28"/>
        </w:rPr>
        <w:t>Ordinary Shares</w:t>
      </w:r>
      <w:r w:rsidRPr="00707E9D">
        <w:rPr>
          <w:rFonts w:cs="Helvetica"/>
          <w:i/>
          <w:sz w:val="28"/>
          <w:szCs w:val="28"/>
        </w:rPr>
        <w:t xml:space="preserve"> of period 2020-2022H1</w:t>
      </w:r>
    </w:p>
    <w:p w14:paraId="34F0A39E" w14:textId="142635D6" w:rsidR="003175A7" w:rsidRPr="00707E9D" w:rsidRDefault="003175A7" w:rsidP="00707E9D">
      <w:pPr>
        <w:jc w:val="both"/>
        <w:rPr>
          <w:rStyle w:val="formula"/>
          <w:rFonts w:cs="Helvetica"/>
          <w:sz w:val="24"/>
          <w:szCs w:val="24"/>
        </w:rPr>
      </w:pPr>
      <w:r w:rsidRPr="00707E9D">
        <w:rPr>
          <w:sz w:val="24"/>
          <w:szCs w:val="24"/>
        </w:rPr>
        <w:t xml:space="preserve">From the </w:t>
      </w:r>
      <w:r w:rsidR="00473FF3" w:rsidRPr="00707E9D">
        <w:rPr>
          <w:sz w:val="24"/>
          <w:szCs w:val="24"/>
        </w:rPr>
        <w:t>reports,</w:t>
      </w:r>
      <w:r w:rsidRPr="00707E9D">
        <w:rPr>
          <w:sz w:val="24"/>
          <w:szCs w:val="24"/>
        </w:rPr>
        <w:t xml:space="preserve"> we can see that earnings per ordinary shares are negative, the same as there profit. </w:t>
      </w:r>
    </w:p>
    <w:p w14:paraId="1E2BAD45" w14:textId="384C6150" w:rsidR="002739E1" w:rsidRDefault="002739E1" w:rsidP="002739E1">
      <w:pPr>
        <w:jc w:val="both"/>
        <w:rPr>
          <w:rFonts w:cs="Helvetica"/>
          <w:sz w:val="28"/>
          <w:szCs w:val="28"/>
        </w:rPr>
      </w:pPr>
    </w:p>
    <w:p w14:paraId="653E0B82" w14:textId="77777777" w:rsidR="000C0EA2" w:rsidRPr="002739E1" w:rsidRDefault="000C0EA2" w:rsidP="002739E1">
      <w:pPr>
        <w:jc w:val="both"/>
        <w:rPr>
          <w:rFonts w:cs="Helvetica"/>
          <w:sz w:val="28"/>
          <w:szCs w:val="28"/>
        </w:rPr>
      </w:pPr>
    </w:p>
    <w:p w14:paraId="6B892B31" w14:textId="138F96B4" w:rsidR="002739E1" w:rsidRPr="00707E9D" w:rsidRDefault="00BF0CFD" w:rsidP="002739E1">
      <w:pPr>
        <w:pStyle w:val="ListParagraph"/>
        <w:ind w:left="1080"/>
        <w:jc w:val="both"/>
        <w:rPr>
          <w:rFonts w:cs="Helvetica"/>
          <w:sz w:val="32"/>
          <w:szCs w:val="32"/>
        </w:rPr>
      </w:pPr>
      <w:r w:rsidRPr="00FD18FE">
        <w:rPr>
          <w:rFonts w:cs="Helvetica"/>
          <w:b/>
          <w:sz w:val="28"/>
          <w:szCs w:val="28"/>
        </w:rPr>
        <w:t>3.6</w:t>
      </w:r>
      <w:r>
        <w:rPr>
          <w:rFonts w:cs="Helvetica"/>
          <w:sz w:val="28"/>
          <w:szCs w:val="28"/>
        </w:rPr>
        <w:t xml:space="preserve"> </w:t>
      </w:r>
      <w:r w:rsidRPr="00707E9D">
        <w:rPr>
          <w:rFonts w:cs="Helvetica"/>
          <w:b/>
          <w:sz w:val="32"/>
          <w:szCs w:val="32"/>
        </w:rPr>
        <w:t>Leverage Ratios</w:t>
      </w:r>
    </w:p>
    <w:p w14:paraId="2C467D8C" w14:textId="42B47FA2" w:rsidR="002739E1" w:rsidRPr="00FD18FE" w:rsidRDefault="00BF0CFD" w:rsidP="002739E1">
      <w:pPr>
        <w:pStyle w:val="ListParagraph"/>
        <w:ind w:left="1080"/>
        <w:jc w:val="both"/>
        <w:rPr>
          <w:rFonts w:cs="Helvetica"/>
          <w:sz w:val="32"/>
          <w:szCs w:val="32"/>
        </w:rPr>
      </w:pPr>
      <w:r w:rsidRPr="00FD18FE">
        <w:rPr>
          <w:noProof/>
          <w:sz w:val="32"/>
          <w:szCs w:val="32"/>
          <w:lang w:val="en-GB" w:eastAsia="en-GB"/>
        </w:rPr>
        <w:drawing>
          <wp:inline distT="0" distB="0" distL="0" distR="0" wp14:anchorId="770995B9" wp14:editId="3EDF2CDB">
            <wp:extent cx="5162550" cy="2705100"/>
            <wp:effectExtent l="0" t="0" r="0" b="0"/>
            <wp:docPr id="18" name="Chart 18">
              <a:extLst xmlns:a="http://schemas.openxmlformats.org/drawingml/2006/main">
                <a:ext uri="{FF2B5EF4-FFF2-40B4-BE49-F238E27FC236}">
                  <a16:creationId xmlns:a16="http://schemas.microsoft.com/office/drawing/2014/main" id="{FFE32D42-C578-5B7A-EBEF-7E27DAEAB5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5F60F4C" w14:textId="64367524" w:rsidR="00FD18FE" w:rsidRPr="000C0EA2" w:rsidRDefault="00FD18FE" w:rsidP="00FD18FE">
      <w:pPr>
        <w:shd w:val="clear" w:color="auto" w:fill="FFFFFF"/>
        <w:spacing w:before="100" w:beforeAutospacing="1" w:after="100" w:afterAutospacing="1" w:line="240" w:lineRule="auto"/>
        <w:outlineLvl w:val="2"/>
        <w:rPr>
          <w:rStyle w:val="formula"/>
          <w:rFonts w:cs="Helvetica"/>
          <w:b/>
          <w:i/>
          <w:sz w:val="28"/>
          <w:szCs w:val="28"/>
        </w:rPr>
      </w:pPr>
      <w:r w:rsidRPr="000C0EA2">
        <w:rPr>
          <w:rFonts w:cs="Helvetica"/>
          <w:b/>
          <w:i/>
          <w:sz w:val="28"/>
          <w:szCs w:val="28"/>
        </w:rPr>
        <w:t>Figure12</w:t>
      </w:r>
      <w:r w:rsidRPr="000C0EA2">
        <w:rPr>
          <w:rFonts w:cs="Helvetica"/>
          <w:b/>
          <w:i/>
          <w:sz w:val="28"/>
          <w:szCs w:val="28"/>
        </w:rPr>
        <w:t xml:space="preserve"> – Aston Martin </w:t>
      </w:r>
      <w:r w:rsidRPr="000C0EA2">
        <w:rPr>
          <w:rFonts w:cs="Helvetica"/>
          <w:b/>
          <w:i/>
          <w:sz w:val="28"/>
          <w:szCs w:val="28"/>
        </w:rPr>
        <w:t>Leverage ratios</w:t>
      </w:r>
      <w:r w:rsidRPr="000C0EA2">
        <w:rPr>
          <w:rFonts w:cs="Helvetica"/>
          <w:b/>
          <w:i/>
          <w:sz w:val="28"/>
          <w:szCs w:val="28"/>
        </w:rPr>
        <w:t xml:space="preserve"> of period 2020-2022H1</w:t>
      </w:r>
    </w:p>
    <w:p w14:paraId="21914B69" w14:textId="77777777" w:rsidR="00FD18FE" w:rsidRPr="002739E1" w:rsidRDefault="00FD18FE" w:rsidP="002739E1">
      <w:pPr>
        <w:pStyle w:val="ListParagraph"/>
        <w:ind w:left="1080"/>
        <w:jc w:val="both"/>
        <w:rPr>
          <w:rFonts w:cs="Helvetica"/>
          <w:sz w:val="28"/>
          <w:szCs w:val="28"/>
        </w:rPr>
      </w:pPr>
    </w:p>
    <w:p w14:paraId="7CA037CA" w14:textId="1301211A" w:rsidR="00BF0CFD" w:rsidRPr="00707E9D" w:rsidRDefault="00BF0CFD" w:rsidP="00BF0CFD">
      <w:pPr>
        <w:pStyle w:val="ListParagraph"/>
        <w:numPr>
          <w:ilvl w:val="0"/>
          <w:numId w:val="15"/>
        </w:numPr>
        <w:rPr>
          <w:rFonts w:cs="Arial"/>
          <w:b/>
          <w:color w:val="000000"/>
          <w:sz w:val="28"/>
          <w:szCs w:val="28"/>
          <w:shd w:val="clear" w:color="auto" w:fill="FFFFFF"/>
        </w:rPr>
      </w:pPr>
      <w:r w:rsidRPr="00707E9D">
        <w:rPr>
          <w:rFonts w:cs="Arial"/>
          <w:b/>
          <w:color w:val="000000"/>
          <w:sz w:val="28"/>
          <w:szCs w:val="28"/>
          <w:shd w:val="clear" w:color="auto" w:fill="FFFFFF"/>
        </w:rPr>
        <w:t>Gearing Ratio</w:t>
      </w:r>
    </w:p>
    <w:p w14:paraId="44B3A7C4" w14:textId="45BF9F26" w:rsidR="002D7FB9" w:rsidRPr="0026057C" w:rsidRDefault="00BC102A" w:rsidP="0026057C">
      <w:pPr>
        <w:jc w:val="both"/>
        <w:rPr>
          <w:sz w:val="24"/>
          <w:szCs w:val="24"/>
          <w:shd w:val="clear" w:color="auto" w:fill="FFFFFF"/>
        </w:rPr>
      </w:pPr>
      <w:r w:rsidRPr="0026057C">
        <w:rPr>
          <w:sz w:val="24"/>
          <w:szCs w:val="24"/>
          <w:shd w:val="clear" w:color="auto" w:fill="FFFFFF"/>
        </w:rPr>
        <w:t>When a company has a gearing ratio of 70%, its debt obligations are 70% of its equity. A small company or company with a monopoly and local government support may find a gearing ratio of 70% to be very manageable, but a technology company as Aston Martin with fierce competition in a rapidly evolving market may find it excessive.</w:t>
      </w:r>
      <w:r w:rsidR="00BF0CFD" w:rsidRPr="0026057C">
        <w:rPr>
          <w:sz w:val="24"/>
          <w:szCs w:val="24"/>
        </w:rPr>
        <w:t xml:space="preserve"> </w:t>
      </w:r>
      <w:r w:rsidR="00FD18FE" w:rsidRPr="0026057C">
        <w:rPr>
          <w:sz w:val="24"/>
          <w:szCs w:val="24"/>
          <w:shd w:val="clear" w:color="auto" w:fill="FFFFFF"/>
        </w:rPr>
        <w:t>Because</w:t>
      </w:r>
      <w:r w:rsidR="00BF0CFD" w:rsidRPr="0026057C">
        <w:rPr>
          <w:sz w:val="24"/>
          <w:szCs w:val="24"/>
          <w:shd w:val="clear" w:color="auto" w:fill="FFFFFF"/>
        </w:rPr>
        <w:t xml:space="preserve"> debt financing raises a company's risk during economic downturns or spikes in interest rates, the company are more vulnerable during these periods of financial instability.</w:t>
      </w:r>
    </w:p>
    <w:p w14:paraId="3D6DF0ED" w14:textId="634957A2" w:rsidR="00BF0CFD" w:rsidRPr="0026057C" w:rsidRDefault="00BF0CFD" w:rsidP="0026057C">
      <w:pPr>
        <w:jc w:val="both"/>
        <w:rPr>
          <w:sz w:val="24"/>
          <w:szCs w:val="24"/>
          <w:shd w:val="clear" w:color="auto" w:fill="FFFFFF"/>
        </w:rPr>
      </w:pPr>
      <w:r w:rsidRPr="0026057C">
        <w:rPr>
          <w:sz w:val="24"/>
          <w:szCs w:val="24"/>
          <w:shd w:val="clear" w:color="auto" w:fill="FFFFFF"/>
        </w:rPr>
        <w:t xml:space="preserve">Something between 25% - 50% would be considered normal for a well-established </w:t>
      </w:r>
      <w:r w:rsidR="00FD18FE" w:rsidRPr="0026057C">
        <w:rPr>
          <w:sz w:val="24"/>
          <w:szCs w:val="24"/>
          <w:shd w:val="clear" w:color="auto" w:fill="FFFFFF"/>
        </w:rPr>
        <w:t>business that</w:t>
      </w:r>
      <w:r w:rsidRPr="0026057C">
        <w:rPr>
          <w:sz w:val="24"/>
          <w:szCs w:val="24"/>
          <w:shd w:val="clear" w:color="auto" w:fill="FFFFFF"/>
        </w:rPr>
        <w:t xml:space="preserve"> is happy to finance its activities using debt ()</w:t>
      </w:r>
    </w:p>
    <w:p w14:paraId="0FB3D219" w14:textId="318098E4" w:rsidR="0026057C" w:rsidRPr="0026057C" w:rsidRDefault="0026057C" w:rsidP="00BF0CFD">
      <w:pPr>
        <w:rPr>
          <w:rFonts w:cs="Arial"/>
          <w:i/>
          <w:color w:val="000000"/>
          <w:sz w:val="28"/>
          <w:szCs w:val="28"/>
          <w:u w:val="single"/>
          <w:shd w:val="clear" w:color="auto" w:fill="FFFFFF"/>
        </w:rPr>
      </w:pPr>
      <w:r w:rsidRPr="0026057C">
        <w:rPr>
          <w:rFonts w:cs="Arial"/>
          <w:i/>
          <w:color w:val="000000"/>
          <w:sz w:val="28"/>
          <w:szCs w:val="28"/>
          <w:u w:val="single"/>
          <w:shd w:val="clear" w:color="auto" w:fill="FFFFFF"/>
        </w:rPr>
        <w:t>Gearing= Non-current Liabilities/(Equity+Non-current Liabelities)x100</w:t>
      </w:r>
    </w:p>
    <w:p w14:paraId="14B9F80E" w14:textId="379150F9" w:rsidR="00BF0CFD" w:rsidRPr="00707E9D" w:rsidRDefault="000C0EA2" w:rsidP="000C0EA2">
      <w:pPr>
        <w:pStyle w:val="ListParagraph"/>
        <w:numPr>
          <w:ilvl w:val="0"/>
          <w:numId w:val="15"/>
        </w:numPr>
        <w:rPr>
          <w:rFonts w:cs="Arial"/>
          <w:b/>
          <w:color w:val="000000"/>
          <w:sz w:val="28"/>
          <w:szCs w:val="28"/>
          <w:shd w:val="clear" w:color="auto" w:fill="FFFFFF"/>
        </w:rPr>
      </w:pPr>
      <w:r w:rsidRPr="00707E9D">
        <w:rPr>
          <w:rFonts w:cs="Arial"/>
          <w:b/>
          <w:color w:val="000000"/>
          <w:sz w:val="28"/>
          <w:szCs w:val="28"/>
          <w:shd w:val="clear" w:color="auto" w:fill="FFFFFF"/>
        </w:rPr>
        <w:t>Debt-to-equity ratio</w:t>
      </w:r>
    </w:p>
    <w:p w14:paraId="75BCD2B9" w14:textId="28D26075" w:rsidR="00C779CF" w:rsidRPr="0026057C" w:rsidRDefault="00C779CF" w:rsidP="00C779CF">
      <w:pPr>
        <w:rPr>
          <w:rFonts w:cs="Arial"/>
          <w:i/>
          <w:color w:val="000000"/>
          <w:sz w:val="28"/>
          <w:szCs w:val="28"/>
          <w:u w:val="single"/>
          <w:shd w:val="clear" w:color="auto" w:fill="FFFFFF"/>
        </w:rPr>
      </w:pPr>
      <w:r>
        <w:rPr>
          <w:rFonts w:cs="Arial"/>
          <w:i/>
          <w:color w:val="000000"/>
          <w:sz w:val="28"/>
          <w:szCs w:val="28"/>
          <w:u w:val="single"/>
          <w:shd w:val="clear" w:color="auto" w:fill="FFFFFF"/>
        </w:rPr>
        <w:t>Debt-to -equity</w:t>
      </w:r>
      <w:r w:rsidRPr="0026057C">
        <w:rPr>
          <w:rFonts w:cs="Arial"/>
          <w:i/>
          <w:color w:val="000000"/>
          <w:sz w:val="28"/>
          <w:szCs w:val="28"/>
          <w:u w:val="single"/>
          <w:shd w:val="clear" w:color="auto" w:fill="FFFFFF"/>
        </w:rPr>
        <w:t xml:space="preserve">= </w:t>
      </w:r>
      <w:r>
        <w:rPr>
          <w:rFonts w:cs="Arial"/>
          <w:i/>
          <w:color w:val="000000"/>
          <w:sz w:val="28"/>
          <w:szCs w:val="28"/>
          <w:u w:val="single"/>
          <w:shd w:val="clear" w:color="auto" w:fill="FFFFFF"/>
        </w:rPr>
        <w:t>Total</w:t>
      </w:r>
      <w:r w:rsidRPr="0026057C">
        <w:rPr>
          <w:rFonts w:cs="Arial"/>
          <w:i/>
          <w:color w:val="000000"/>
          <w:sz w:val="28"/>
          <w:szCs w:val="28"/>
          <w:u w:val="single"/>
          <w:shd w:val="clear" w:color="auto" w:fill="FFFFFF"/>
        </w:rPr>
        <w:t xml:space="preserve"> Liabilities</w:t>
      </w:r>
      <w:r>
        <w:rPr>
          <w:rFonts w:cs="Arial"/>
          <w:i/>
          <w:color w:val="000000"/>
          <w:sz w:val="28"/>
          <w:szCs w:val="28"/>
          <w:u w:val="single"/>
          <w:shd w:val="clear" w:color="auto" w:fill="FFFFFF"/>
        </w:rPr>
        <w:t>/Shareholder’s Equity</w:t>
      </w:r>
    </w:p>
    <w:p w14:paraId="5CDC3367" w14:textId="4F5B6DCC" w:rsidR="000C0EA2" w:rsidRDefault="00C779CF" w:rsidP="00C779CF">
      <w:pPr>
        <w:jc w:val="both"/>
        <w:rPr>
          <w:sz w:val="24"/>
          <w:szCs w:val="24"/>
          <w:shd w:val="clear" w:color="auto" w:fill="FFFFFF"/>
        </w:rPr>
      </w:pPr>
      <w:r w:rsidRPr="00C779CF">
        <w:rPr>
          <w:sz w:val="24"/>
          <w:szCs w:val="24"/>
          <w:shd w:val="clear" w:color="auto" w:fill="FFFFFF"/>
        </w:rPr>
        <w:t>The ratio tells you how much debt you have for each $1.00 of stock. A ratio of 0.5 means that you have $0.50 of debt for every $1.00 of equity. A ratio above 1.0 indicates more deb</w:t>
      </w:r>
      <w:r>
        <w:rPr>
          <w:sz w:val="24"/>
          <w:szCs w:val="24"/>
          <w:shd w:val="clear" w:color="auto" w:fill="FFFFFF"/>
        </w:rPr>
        <w:t>t than equity. So a ratio of 6.3</w:t>
      </w:r>
      <w:r w:rsidRPr="00C779CF">
        <w:rPr>
          <w:sz w:val="24"/>
          <w:szCs w:val="24"/>
          <w:shd w:val="clear" w:color="auto" w:fill="FFFFFF"/>
        </w:rPr>
        <w:t xml:space="preserve"> means </w:t>
      </w:r>
      <w:r>
        <w:rPr>
          <w:sz w:val="24"/>
          <w:szCs w:val="24"/>
          <w:shd w:val="clear" w:color="auto" w:fill="FFFFFF"/>
        </w:rPr>
        <w:t>-$6</w:t>
      </w:r>
      <w:r w:rsidRPr="00C779CF">
        <w:rPr>
          <w:sz w:val="24"/>
          <w:szCs w:val="24"/>
          <w:shd w:val="clear" w:color="auto" w:fill="FFFFFF"/>
        </w:rPr>
        <w:t>.</w:t>
      </w:r>
      <w:r>
        <w:rPr>
          <w:sz w:val="24"/>
          <w:szCs w:val="24"/>
          <w:shd w:val="clear" w:color="auto" w:fill="FFFFFF"/>
        </w:rPr>
        <w:t>3</w:t>
      </w:r>
      <w:r w:rsidRPr="00C779CF">
        <w:rPr>
          <w:sz w:val="24"/>
          <w:szCs w:val="24"/>
          <w:shd w:val="clear" w:color="auto" w:fill="FFFFFF"/>
        </w:rPr>
        <w:t>0 of debt for every $1.00 of equity.</w:t>
      </w:r>
      <w:r>
        <w:rPr>
          <w:sz w:val="24"/>
          <w:szCs w:val="24"/>
          <w:shd w:val="clear" w:color="auto" w:fill="FFFFFF"/>
        </w:rPr>
        <w:t xml:space="preserve"> </w:t>
      </w:r>
      <w:r w:rsidRPr="00C779CF">
        <w:rPr>
          <w:sz w:val="24"/>
          <w:szCs w:val="24"/>
          <w:shd w:val="clear" w:color="auto" w:fill="FFFFFF"/>
        </w:rPr>
        <w:t>Investors look at ability to repay your debt and how much your business depends on it.</w:t>
      </w:r>
      <w:r w:rsidR="00000823">
        <w:rPr>
          <w:sz w:val="24"/>
          <w:szCs w:val="24"/>
          <w:shd w:val="clear" w:color="auto" w:fill="FFFFFF"/>
        </w:rPr>
        <w:t xml:space="preserve"> Aston Martin Groups D/E it’s more than 5, if a company has a high ratio, </w:t>
      </w:r>
      <w:r w:rsidR="00000823" w:rsidRPr="00000823">
        <w:rPr>
          <w:sz w:val="24"/>
          <w:szCs w:val="24"/>
          <w:shd w:val="clear" w:color="auto" w:fill="FFFFFF"/>
        </w:rPr>
        <w:t>it is often considered "highly leveraged" (that is, most of its assets are financed by debt rather than equity).</w:t>
      </w:r>
    </w:p>
    <w:p w14:paraId="018FF990" w14:textId="3E69E357" w:rsidR="00000823" w:rsidRDefault="00000823" w:rsidP="00000823">
      <w:pPr>
        <w:jc w:val="both"/>
        <w:rPr>
          <w:sz w:val="24"/>
          <w:szCs w:val="24"/>
          <w:shd w:val="clear" w:color="auto" w:fill="FFFFFF"/>
        </w:rPr>
      </w:pPr>
      <w:r>
        <w:rPr>
          <w:sz w:val="24"/>
          <w:szCs w:val="24"/>
          <w:shd w:val="clear" w:color="auto" w:fill="FFFFFF"/>
        </w:rPr>
        <w:lastRenderedPageBreak/>
        <w:t>“</w:t>
      </w:r>
      <w:r w:rsidRPr="00000823">
        <w:rPr>
          <w:sz w:val="24"/>
          <w:szCs w:val="24"/>
          <w:shd w:val="clear" w:color="auto" w:fill="FFFFFF"/>
        </w:rPr>
        <w:t>So you want to strike a balance that’s appropriate for your industry. Knight gives a few rules of thumb. Technology-based businesses and those that do a lot of R&amp;D tend to have a ratio of 2 or below. Large manufacturing and stable publicly traded companies have ratios between 2 and 5. “Any higher than 5 or 6 and investors start to get nervous,” he explains</w:t>
      </w:r>
      <w:r>
        <w:rPr>
          <w:sz w:val="24"/>
          <w:szCs w:val="24"/>
          <w:shd w:val="clear" w:color="auto" w:fill="FFFFFF"/>
        </w:rPr>
        <w:t>”</w:t>
      </w:r>
      <w:r w:rsidR="006008DA">
        <w:rPr>
          <w:sz w:val="24"/>
          <w:szCs w:val="24"/>
          <w:shd w:val="clear" w:color="auto" w:fill="FFFFFF"/>
        </w:rPr>
        <w:t xml:space="preserve"> ()</w:t>
      </w:r>
    </w:p>
    <w:p w14:paraId="7F4356D8" w14:textId="2D84E855" w:rsidR="006008DA" w:rsidRDefault="006008DA" w:rsidP="00000823">
      <w:pPr>
        <w:jc w:val="both"/>
        <w:rPr>
          <w:sz w:val="24"/>
          <w:szCs w:val="24"/>
          <w:shd w:val="clear" w:color="auto" w:fill="FFFFFF"/>
        </w:rPr>
      </w:pPr>
      <w:r>
        <w:rPr>
          <w:sz w:val="24"/>
          <w:szCs w:val="24"/>
          <w:shd w:val="clear" w:color="auto" w:fill="FFFFFF"/>
        </w:rPr>
        <w:t>From the Aston Martin Annual report, we can see that ratio is going up year-to-year at that indicates that</w:t>
      </w:r>
      <w:r w:rsidRPr="006008DA">
        <w:t xml:space="preserve"> </w:t>
      </w:r>
      <w:r>
        <w:rPr>
          <w:sz w:val="24"/>
          <w:szCs w:val="24"/>
          <w:shd w:val="clear" w:color="auto" w:fill="FFFFFF"/>
        </w:rPr>
        <w:t>i</w:t>
      </w:r>
      <w:r w:rsidRPr="006008DA">
        <w:rPr>
          <w:sz w:val="24"/>
          <w:szCs w:val="24"/>
          <w:shd w:val="clear" w:color="auto" w:fill="FFFFFF"/>
        </w:rPr>
        <w:t>ncreased perceived risk</w:t>
      </w:r>
      <w:r>
        <w:rPr>
          <w:sz w:val="24"/>
          <w:szCs w:val="24"/>
          <w:shd w:val="clear" w:color="auto" w:fill="FFFFFF"/>
        </w:rPr>
        <w:t xml:space="preserve">. </w:t>
      </w:r>
    </w:p>
    <w:p w14:paraId="29C8A12D" w14:textId="6A530726" w:rsidR="006008DA" w:rsidRPr="00707E9D" w:rsidRDefault="006008DA" w:rsidP="006008DA">
      <w:pPr>
        <w:pStyle w:val="ListParagraph"/>
        <w:numPr>
          <w:ilvl w:val="0"/>
          <w:numId w:val="15"/>
        </w:numPr>
        <w:jc w:val="both"/>
        <w:rPr>
          <w:b/>
          <w:sz w:val="28"/>
          <w:szCs w:val="28"/>
          <w:shd w:val="clear" w:color="auto" w:fill="FFFFFF"/>
        </w:rPr>
      </w:pPr>
      <w:r w:rsidRPr="00707E9D">
        <w:rPr>
          <w:b/>
          <w:sz w:val="28"/>
          <w:szCs w:val="28"/>
          <w:shd w:val="clear" w:color="auto" w:fill="FFFFFF"/>
        </w:rPr>
        <w:t>Interest Coverage</w:t>
      </w:r>
    </w:p>
    <w:p w14:paraId="652E6F3B" w14:textId="7F87D4D7" w:rsidR="006008DA" w:rsidRPr="006008DA" w:rsidRDefault="006008DA" w:rsidP="006008DA">
      <w:pPr>
        <w:jc w:val="both"/>
        <w:rPr>
          <w:sz w:val="24"/>
          <w:szCs w:val="24"/>
          <w:shd w:val="clear" w:color="auto" w:fill="FFFFFF"/>
        </w:rPr>
      </w:pPr>
      <w:r w:rsidRPr="006008DA">
        <w:rPr>
          <w:sz w:val="24"/>
          <w:szCs w:val="24"/>
          <w:shd w:val="clear" w:color="auto" w:fill="FFFFFF"/>
        </w:rPr>
        <w:t xml:space="preserve">For purposes related to </w:t>
      </w:r>
      <w:r w:rsidR="006E14B3">
        <w:rPr>
          <w:sz w:val="24"/>
          <w:szCs w:val="24"/>
          <w:shd w:val="clear" w:color="auto" w:fill="FFFFFF"/>
        </w:rPr>
        <w:t xml:space="preserve">lending to future borrowers </w:t>
      </w:r>
      <w:r w:rsidRPr="006008DA">
        <w:rPr>
          <w:sz w:val="24"/>
          <w:szCs w:val="24"/>
          <w:shd w:val="clear" w:color="auto" w:fill="FFFFFF"/>
        </w:rPr>
        <w:t xml:space="preserve">or arranging other forms of capital, the interest coverage ratio is sufficient for the company's cash flows to pay off the interest payments required on its liabilities. </w:t>
      </w:r>
    </w:p>
    <w:p w14:paraId="07548DD3" w14:textId="432B7903" w:rsidR="006008DA" w:rsidRDefault="006008DA" w:rsidP="006008DA">
      <w:pPr>
        <w:rPr>
          <w:rFonts w:cs="Arial"/>
          <w:i/>
          <w:color w:val="000000"/>
          <w:sz w:val="28"/>
          <w:szCs w:val="28"/>
          <w:u w:val="single"/>
          <w:shd w:val="clear" w:color="auto" w:fill="FFFFFF"/>
        </w:rPr>
      </w:pPr>
      <w:r>
        <w:rPr>
          <w:rFonts w:cs="Arial"/>
          <w:i/>
          <w:color w:val="000000"/>
          <w:sz w:val="28"/>
          <w:szCs w:val="28"/>
          <w:u w:val="single"/>
          <w:shd w:val="clear" w:color="auto" w:fill="FFFFFF"/>
        </w:rPr>
        <w:t>Interest Coverage</w:t>
      </w:r>
      <w:r w:rsidRPr="0026057C">
        <w:rPr>
          <w:rFonts w:cs="Arial"/>
          <w:i/>
          <w:color w:val="000000"/>
          <w:sz w:val="28"/>
          <w:szCs w:val="28"/>
          <w:u w:val="single"/>
          <w:shd w:val="clear" w:color="auto" w:fill="FFFFFF"/>
        </w:rPr>
        <w:t xml:space="preserve">= </w:t>
      </w:r>
      <w:r>
        <w:rPr>
          <w:rFonts w:cs="Arial"/>
          <w:i/>
          <w:color w:val="000000"/>
          <w:sz w:val="28"/>
          <w:szCs w:val="28"/>
          <w:u w:val="single"/>
          <w:shd w:val="clear" w:color="auto" w:fill="FFFFFF"/>
        </w:rPr>
        <w:t>Operating Profit</w:t>
      </w:r>
      <w:r>
        <w:rPr>
          <w:rFonts w:cs="Arial"/>
          <w:i/>
          <w:color w:val="000000"/>
          <w:sz w:val="28"/>
          <w:szCs w:val="28"/>
          <w:u w:val="single"/>
          <w:shd w:val="clear" w:color="auto" w:fill="FFFFFF"/>
        </w:rPr>
        <w:t>/</w:t>
      </w:r>
      <w:r>
        <w:rPr>
          <w:rFonts w:cs="Arial"/>
          <w:i/>
          <w:color w:val="000000"/>
          <w:sz w:val="28"/>
          <w:szCs w:val="28"/>
          <w:u w:val="single"/>
          <w:shd w:val="clear" w:color="auto" w:fill="FFFFFF"/>
        </w:rPr>
        <w:t>Interest</w:t>
      </w:r>
    </w:p>
    <w:p w14:paraId="75CE308B" w14:textId="0BF30663" w:rsidR="006008DA" w:rsidRPr="006008DA" w:rsidRDefault="006E14B3" w:rsidP="006008DA">
      <w:pPr>
        <w:rPr>
          <w:sz w:val="24"/>
          <w:szCs w:val="24"/>
          <w:shd w:val="clear" w:color="auto" w:fill="FFFFFF"/>
        </w:rPr>
      </w:pPr>
      <w:r>
        <w:rPr>
          <w:noProof/>
          <w:lang w:val="en-GB" w:eastAsia="en-GB"/>
        </w:rPr>
        <w:drawing>
          <wp:inline distT="0" distB="0" distL="0" distR="0" wp14:anchorId="0548C53B" wp14:editId="7FE2F68F">
            <wp:extent cx="5819775" cy="1685925"/>
            <wp:effectExtent l="0" t="0" r="9525"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75E5DC3" w14:textId="142A9190" w:rsidR="006E14B3" w:rsidRPr="000C0EA2" w:rsidRDefault="006E14B3" w:rsidP="006E14B3">
      <w:pPr>
        <w:shd w:val="clear" w:color="auto" w:fill="FFFFFF"/>
        <w:spacing w:before="100" w:beforeAutospacing="1" w:after="100" w:afterAutospacing="1" w:line="240" w:lineRule="auto"/>
        <w:outlineLvl w:val="2"/>
        <w:rPr>
          <w:rStyle w:val="formula"/>
          <w:rFonts w:cs="Helvetica"/>
          <w:b/>
          <w:i/>
          <w:sz w:val="28"/>
          <w:szCs w:val="28"/>
        </w:rPr>
      </w:pPr>
      <w:r w:rsidRPr="000C0EA2">
        <w:rPr>
          <w:rFonts w:cs="Helvetica"/>
          <w:b/>
          <w:i/>
          <w:sz w:val="28"/>
          <w:szCs w:val="28"/>
        </w:rPr>
        <w:t>Figure1</w:t>
      </w:r>
      <w:r>
        <w:rPr>
          <w:rFonts w:cs="Helvetica"/>
          <w:b/>
          <w:i/>
          <w:sz w:val="28"/>
          <w:szCs w:val="28"/>
        </w:rPr>
        <w:t>3</w:t>
      </w:r>
      <w:r w:rsidRPr="000C0EA2">
        <w:rPr>
          <w:rFonts w:cs="Helvetica"/>
          <w:b/>
          <w:i/>
          <w:sz w:val="28"/>
          <w:szCs w:val="28"/>
        </w:rPr>
        <w:t xml:space="preserve"> – Aston Martin </w:t>
      </w:r>
      <w:r>
        <w:rPr>
          <w:rFonts w:cs="Helvetica"/>
          <w:b/>
          <w:i/>
          <w:sz w:val="28"/>
          <w:szCs w:val="28"/>
        </w:rPr>
        <w:t>Interest Coverage</w:t>
      </w:r>
      <w:r w:rsidRPr="000C0EA2">
        <w:rPr>
          <w:rFonts w:cs="Helvetica"/>
          <w:b/>
          <w:i/>
          <w:sz w:val="28"/>
          <w:szCs w:val="28"/>
        </w:rPr>
        <w:t xml:space="preserve"> of period 2020-2022H1</w:t>
      </w:r>
    </w:p>
    <w:p w14:paraId="19455894" w14:textId="51691E26" w:rsidR="006008DA" w:rsidRDefault="006E14B3" w:rsidP="006008DA">
      <w:pPr>
        <w:jc w:val="both"/>
        <w:rPr>
          <w:sz w:val="24"/>
          <w:szCs w:val="24"/>
          <w:shd w:val="clear" w:color="auto" w:fill="FFFFFF"/>
        </w:rPr>
      </w:pPr>
      <w:r w:rsidRPr="006E14B3">
        <w:rPr>
          <w:sz w:val="24"/>
          <w:szCs w:val="24"/>
          <w:shd w:val="clear" w:color="auto" w:fill="FFFFFF"/>
        </w:rPr>
        <w:t>The lower the interest coverage ratio, the higher the company's debt and the more likely it is to go bankrupt. Intuitively, a lower ratio means less operating income is available to pay interest, making the company more vulnerable to volatile interest rates. Therefore, a higher interest coverage ratio indicates better financial health. This means that the company can better meet its interest payment obligations.</w:t>
      </w:r>
      <w:r>
        <w:rPr>
          <w:sz w:val="24"/>
          <w:szCs w:val="24"/>
          <w:shd w:val="clear" w:color="auto" w:fill="FFFFFF"/>
        </w:rPr>
        <w:t xml:space="preserve"> Interest Coverage ratios from Aston Martin reports are 0.41 in 2022</w:t>
      </w:r>
      <w:r w:rsidR="001841AA">
        <w:rPr>
          <w:sz w:val="24"/>
          <w:szCs w:val="24"/>
          <w:shd w:val="clear" w:color="auto" w:fill="FFFFFF"/>
        </w:rPr>
        <w:t xml:space="preserve"> which drops from 2020. Leverage ratios it shows concerns about Aston Martin Groups finance situation.</w:t>
      </w:r>
    </w:p>
    <w:p w14:paraId="48B68B45" w14:textId="7CA942F9" w:rsidR="001841AA" w:rsidRPr="001841AA" w:rsidRDefault="001841AA" w:rsidP="001841AA">
      <w:pPr>
        <w:pStyle w:val="ListParagraph"/>
        <w:numPr>
          <w:ilvl w:val="0"/>
          <w:numId w:val="9"/>
        </w:numPr>
        <w:jc w:val="both"/>
        <w:rPr>
          <w:b/>
          <w:sz w:val="32"/>
          <w:szCs w:val="32"/>
          <w:shd w:val="clear" w:color="auto" w:fill="FFFFFF"/>
        </w:rPr>
      </w:pPr>
      <w:r w:rsidRPr="001841AA">
        <w:rPr>
          <w:b/>
          <w:sz w:val="32"/>
          <w:szCs w:val="32"/>
          <w:shd w:val="clear" w:color="auto" w:fill="FFFFFF"/>
        </w:rPr>
        <w:t>Conclusions</w:t>
      </w:r>
    </w:p>
    <w:p w14:paraId="047B517B" w14:textId="1C30CA4A" w:rsidR="001841AA" w:rsidRDefault="001841AA" w:rsidP="001841AA">
      <w:pPr>
        <w:jc w:val="both"/>
        <w:rPr>
          <w:sz w:val="24"/>
          <w:szCs w:val="24"/>
          <w:shd w:val="clear" w:color="auto" w:fill="FFFFFF"/>
        </w:rPr>
      </w:pPr>
      <w:r w:rsidRPr="001841AA">
        <w:rPr>
          <w:sz w:val="24"/>
          <w:szCs w:val="24"/>
          <w:shd w:val="clear" w:color="auto" w:fill="FFFFFF"/>
        </w:rPr>
        <w:t>Aston Martin has long used more debt than equity</w:t>
      </w:r>
      <w:r>
        <w:rPr>
          <w:sz w:val="24"/>
          <w:szCs w:val="24"/>
          <w:shd w:val="clear" w:color="auto" w:fill="FFFFFF"/>
        </w:rPr>
        <w:t>.</w:t>
      </w:r>
      <w:r w:rsidRPr="001841AA">
        <w:t xml:space="preserve"> </w:t>
      </w:r>
      <w:r w:rsidRPr="001841AA">
        <w:rPr>
          <w:sz w:val="24"/>
          <w:szCs w:val="24"/>
          <w:shd w:val="clear" w:color="auto" w:fill="FFFFFF"/>
        </w:rPr>
        <w:t>Net leverage is calculated by dividing total debt by total equity and expressing the result in percentage format. It indicates the amount of available capital required to pay off outstanding debt.</w:t>
      </w:r>
      <w:r w:rsidR="000E5836">
        <w:rPr>
          <w:sz w:val="24"/>
          <w:szCs w:val="24"/>
          <w:shd w:val="clear" w:color="auto" w:fill="FFFFFF"/>
        </w:rPr>
        <w:t xml:space="preserve"> </w:t>
      </w:r>
      <w:r w:rsidR="000E5836" w:rsidRPr="000E5836">
        <w:rPr>
          <w:sz w:val="24"/>
          <w:szCs w:val="24"/>
          <w:shd w:val="clear" w:color="auto" w:fill="FFFFFF"/>
        </w:rPr>
        <w:t>Aston Martin's financial risk is a risk to shareholders and arises from having more leverage than capital.</w:t>
      </w:r>
      <w:r w:rsidR="000E5836" w:rsidRPr="000E5836">
        <w:t xml:space="preserve"> </w:t>
      </w:r>
      <w:r w:rsidR="000E5836" w:rsidRPr="000E5836">
        <w:rPr>
          <w:sz w:val="24"/>
          <w:szCs w:val="24"/>
          <w:shd w:val="clear" w:color="auto" w:fill="FFFFFF"/>
        </w:rPr>
        <w:t>Aston Martin's high debt-to-equity ratio means high costs of production and day-to-day business operations.</w:t>
      </w:r>
      <w:r w:rsidR="005B417B" w:rsidRPr="005B417B">
        <w:t xml:space="preserve"> </w:t>
      </w:r>
      <w:r w:rsidR="005B417B" w:rsidRPr="005B417B">
        <w:rPr>
          <w:sz w:val="24"/>
          <w:szCs w:val="24"/>
          <w:shd w:val="clear" w:color="auto" w:fill="FFFFFF"/>
        </w:rPr>
        <w:t xml:space="preserve">On the other hand, low leverage means that the cost of borrowing money to support a business is low, which is perceived as a good signal to investors and lenders. Aston Martin's capital structure component results show that lenders own the majority of the organization's assets as collateral for liabilities extended to the organization. Knowing an organization's leverage </w:t>
      </w:r>
      <w:r w:rsidR="005B417B" w:rsidRPr="005B417B">
        <w:rPr>
          <w:sz w:val="24"/>
          <w:szCs w:val="24"/>
          <w:shd w:val="clear" w:color="auto" w:fill="FFFFFF"/>
        </w:rPr>
        <w:lastRenderedPageBreak/>
        <w:t>level provides great insight into a company's risk to determine if it's worth investing in.</w:t>
      </w:r>
      <w:r w:rsidR="005B417B">
        <w:rPr>
          <w:sz w:val="24"/>
          <w:szCs w:val="24"/>
          <w:shd w:val="clear" w:color="auto" w:fill="FFFFFF"/>
        </w:rPr>
        <w:t xml:space="preserve"> </w:t>
      </w:r>
      <w:r w:rsidR="005B417B" w:rsidRPr="005B417B">
        <w:rPr>
          <w:sz w:val="24"/>
          <w:szCs w:val="24"/>
          <w:shd w:val="clear" w:color="auto" w:fill="FFFFFF"/>
        </w:rPr>
        <w:t>Aston Martin's financial risk is the risk to its shareholders arising from financing with excess debt over equity. Greater leverage means higher funding costs needed to pay off debt, which translates into lower earnings per share (EPS) for him. Because the capital structure is important to an organization, management should consider determining how much leverage to raise to achieve business sustainability</w:t>
      </w:r>
      <w:r w:rsidR="005B417B">
        <w:rPr>
          <w:sz w:val="24"/>
          <w:szCs w:val="24"/>
          <w:shd w:val="clear" w:color="auto" w:fill="FFFFFF"/>
        </w:rPr>
        <w:t>.</w:t>
      </w:r>
      <w:r w:rsidR="005B417B" w:rsidRPr="005B417B">
        <w:t xml:space="preserve"> </w:t>
      </w:r>
      <w:r w:rsidR="005B417B" w:rsidRPr="005B417B">
        <w:rPr>
          <w:sz w:val="24"/>
          <w:szCs w:val="24"/>
          <w:shd w:val="clear" w:color="auto" w:fill="FFFFFF"/>
        </w:rPr>
        <w:t xml:space="preserve">The organization's capital structure is consistent with its purpose. We look to maintain a capital structure that will inspire investor confidence and sustain our program into the future. The company believes the high level of debt poses greater financial risk and will make certain adjustments to improve its performance. It plans to reduce debt, review the capital structure, and increase the issuance of shares through the issuance of rights to improve liquidity. </w:t>
      </w:r>
      <w:r w:rsidR="005B417B">
        <w:rPr>
          <w:sz w:val="24"/>
          <w:szCs w:val="24"/>
          <w:shd w:val="clear" w:color="auto" w:fill="FFFFFF"/>
        </w:rPr>
        <w:t>They</w:t>
      </w:r>
      <w:r w:rsidR="005B417B" w:rsidRPr="005B417B">
        <w:rPr>
          <w:sz w:val="24"/>
          <w:szCs w:val="24"/>
          <w:shd w:val="clear" w:color="auto" w:fill="FFFFFF"/>
        </w:rPr>
        <w:t xml:space="preserve"> are focused on maintaining business stability to en</w:t>
      </w:r>
      <w:r w:rsidR="005B417B">
        <w:rPr>
          <w:sz w:val="24"/>
          <w:szCs w:val="24"/>
          <w:shd w:val="clear" w:color="auto" w:fill="FFFFFF"/>
        </w:rPr>
        <w:t>sure we have sufficient cash. They</w:t>
      </w:r>
      <w:r w:rsidR="005B417B" w:rsidRPr="005B417B">
        <w:rPr>
          <w:sz w:val="24"/>
          <w:szCs w:val="24"/>
          <w:shd w:val="clear" w:color="auto" w:fill="FFFFFF"/>
        </w:rPr>
        <w:t xml:space="preserve"> are considering taking precautio</w:t>
      </w:r>
      <w:r w:rsidR="005B417B">
        <w:rPr>
          <w:sz w:val="24"/>
          <w:szCs w:val="24"/>
          <w:shd w:val="clear" w:color="auto" w:fill="FFFFFF"/>
        </w:rPr>
        <w:t xml:space="preserve">ns related to debt financing. </w:t>
      </w:r>
      <w:r w:rsidR="005B417B" w:rsidRPr="005B417B">
        <w:rPr>
          <w:sz w:val="24"/>
          <w:szCs w:val="24"/>
          <w:shd w:val="clear" w:color="auto" w:fill="FFFFFF"/>
        </w:rPr>
        <w:t xml:space="preserve"> Invest the borrowed money in product lines where market demand exceeds supply to ensure sufficient cash to meet repayment terms.</w:t>
      </w:r>
      <w:r w:rsidR="001A3BD7" w:rsidRPr="001A3BD7">
        <w:t xml:space="preserve"> </w:t>
      </w:r>
      <w:r w:rsidR="001A3BD7" w:rsidRPr="001A3BD7">
        <w:rPr>
          <w:sz w:val="24"/>
          <w:szCs w:val="24"/>
          <w:shd w:val="clear" w:color="auto" w:fill="FFFFFF"/>
        </w:rPr>
        <w:t>The company has shown negative return on equity in all reporting years. This indicates that the ratio is unfavorable and the company's share price is not attractive to investors. The results also show that the company has insufficient liquidity, which is why it relies on external funding to support its operations.</w:t>
      </w:r>
    </w:p>
    <w:p w14:paraId="16CD46BC" w14:textId="174963C7" w:rsidR="001A3BD7" w:rsidRDefault="001A3BD7" w:rsidP="001841AA">
      <w:pPr>
        <w:jc w:val="both"/>
        <w:rPr>
          <w:sz w:val="24"/>
          <w:szCs w:val="24"/>
          <w:shd w:val="clear" w:color="auto" w:fill="FFFFFF"/>
        </w:rPr>
      </w:pPr>
    </w:p>
    <w:p w14:paraId="75859352" w14:textId="6EE2DF4A" w:rsidR="001A3BD7" w:rsidRPr="001A3BD7" w:rsidRDefault="001A3BD7" w:rsidP="001A3BD7">
      <w:pPr>
        <w:pStyle w:val="ListParagraph"/>
        <w:numPr>
          <w:ilvl w:val="0"/>
          <w:numId w:val="9"/>
        </w:numPr>
        <w:jc w:val="both"/>
        <w:rPr>
          <w:b/>
          <w:sz w:val="32"/>
          <w:szCs w:val="32"/>
          <w:shd w:val="clear" w:color="auto" w:fill="FFFFFF"/>
        </w:rPr>
      </w:pPr>
      <w:r w:rsidRPr="001A3BD7">
        <w:rPr>
          <w:b/>
          <w:sz w:val="32"/>
          <w:szCs w:val="32"/>
          <w:shd w:val="clear" w:color="auto" w:fill="FFFFFF"/>
        </w:rPr>
        <w:t>Recommendations</w:t>
      </w:r>
    </w:p>
    <w:p w14:paraId="79A29F6E" w14:textId="289AFD26" w:rsidR="001A3BD7" w:rsidRDefault="001A3BD7" w:rsidP="001A3BD7">
      <w:pPr>
        <w:jc w:val="both"/>
        <w:rPr>
          <w:sz w:val="24"/>
          <w:szCs w:val="24"/>
          <w:shd w:val="clear" w:color="auto" w:fill="FFFFFF"/>
        </w:rPr>
      </w:pPr>
      <w:r w:rsidRPr="001A3BD7">
        <w:rPr>
          <w:sz w:val="24"/>
          <w:szCs w:val="24"/>
          <w:shd w:val="clear" w:color="auto" w:fill="FFFFFF"/>
        </w:rPr>
        <w:t>The capital structure is important because it indicates the sources of funds used to fund the business of the company. The paper recommends that organizations balance the risks and returns associated with each element of their capital structure and determine the optimal leverage ratio that exposes the organization to undue risk with minimal return. Organizations should also evaluate and compare different sources of information and choose the one with reasonable rates in the market. Organizations should be aware of consistently high levels of debt as reported for the fiscal years under review. The decision is made because high levels of debt make companies more susceptible to bankruptcy, defaulting on loans to creditors and lenders, and weakening creditworthiness.</w:t>
      </w:r>
    </w:p>
    <w:p w14:paraId="5CEE5240" w14:textId="39A5D3C3" w:rsidR="001A3BD7" w:rsidRDefault="001A3BD7" w:rsidP="001A3BD7">
      <w:pPr>
        <w:jc w:val="both"/>
        <w:rPr>
          <w:sz w:val="24"/>
          <w:szCs w:val="24"/>
          <w:shd w:val="clear" w:color="auto" w:fill="FFFFFF"/>
        </w:rPr>
      </w:pPr>
      <w:r w:rsidRPr="001A3BD7">
        <w:rPr>
          <w:sz w:val="24"/>
          <w:szCs w:val="24"/>
          <w:shd w:val="clear" w:color="auto" w:fill="FFFFFF"/>
        </w:rPr>
        <w:t>Operating profit margin shows that a company has more operating expenses than sales. Therefore, organizations should avoid markdowns, consider increasing selling prices, and monitor operating expenses to ensure profitability returns. Higher profits can also be achieved by investing more in marketing and other promotional activities to increase awareness of products and services in the market. This activity attracts potential customers and updates their purchasing needs. Organizations should consider issuing additional common stock to raise cash for debt service. They also need cheaper debt financing to contain financing costs that reduce profitability.</w:t>
      </w:r>
    </w:p>
    <w:p w14:paraId="29B9AA18" w14:textId="4446A1D3" w:rsidR="00B56B5A" w:rsidRDefault="00B56B5A" w:rsidP="001A3BD7">
      <w:pPr>
        <w:jc w:val="both"/>
        <w:rPr>
          <w:sz w:val="24"/>
          <w:szCs w:val="24"/>
          <w:shd w:val="clear" w:color="auto" w:fill="FFFFFF"/>
        </w:rPr>
      </w:pPr>
    </w:p>
    <w:p w14:paraId="64BAEB00" w14:textId="4EBC9AC0" w:rsidR="00B56B5A" w:rsidRDefault="00B56B5A" w:rsidP="001A3BD7">
      <w:pPr>
        <w:jc w:val="both"/>
        <w:rPr>
          <w:sz w:val="24"/>
          <w:szCs w:val="24"/>
          <w:shd w:val="clear" w:color="auto" w:fill="FFFFFF"/>
        </w:rPr>
      </w:pPr>
    </w:p>
    <w:p w14:paraId="348984C7" w14:textId="361678E1" w:rsidR="00B56B5A" w:rsidRDefault="00B56B5A" w:rsidP="001A3BD7">
      <w:pPr>
        <w:jc w:val="both"/>
        <w:rPr>
          <w:sz w:val="24"/>
          <w:szCs w:val="24"/>
          <w:shd w:val="clear" w:color="auto" w:fill="FFFFFF"/>
        </w:rPr>
      </w:pPr>
    </w:p>
    <w:p w14:paraId="17280FE1" w14:textId="163F8DDB" w:rsidR="00B56B5A" w:rsidRDefault="00B56B5A" w:rsidP="001A3BD7">
      <w:pPr>
        <w:jc w:val="both"/>
        <w:rPr>
          <w:sz w:val="24"/>
          <w:szCs w:val="24"/>
          <w:shd w:val="clear" w:color="auto" w:fill="FFFFFF"/>
        </w:rPr>
      </w:pPr>
    </w:p>
    <w:p w14:paraId="1F31D33E" w14:textId="231BA0F2" w:rsidR="00B56B5A" w:rsidRDefault="00B56B5A" w:rsidP="001A3BD7">
      <w:pPr>
        <w:jc w:val="both"/>
        <w:rPr>
          <w:sz w:val="24"/>
          <w:szCs w:val="24"/>
          <w:shd w:val="clear" w:color="auto" w:fill="FFFFFF"/>
        </w:rPr>
      </w:pPr>
    </w:p>
    <w:p w14:paraId="75FA325C" w14:textId="7940F206" w:rsidR="00B56B5A" w:rsidRPr="00B56B5A" w:rsidRDefault="00B56B5A" w:rsidP="00B56B5A">
      <w:pPr>
        <w:pStyle w:val="ListParagraph"/>
        <w:numPr>
          <w:ilvl w:val="0"/>
          <w:numId w:val="9"/>
        </w:numPr>
        <w:jc w:val="both"/>
        <w:rPr>
          <w:b/>
          <w:sz w:val="32"/>
          <w:szCs w:val="32"/>
          <w:shd w:val="clear" w:color="auto" w:fill="FFFFFF"/>
        </w:rPr>
      </w:pPr>
      <w:r w:rsidRPr="00B56B5A">
        <w:rPr>
          <w:rFonts w:cs="Arial"/>
          <w:b/>
          <w:color w:val="000000"/>
          <w:sz w:val="32"/>
          <w:szCs w:val="32"/>
          <w:shd w:val="clear" w:color="auto" w:fill="FFFFFF"/>
        </w:rPr>
        <w:t>R</w:t>
      </w:r>
      <w:bookmarkStart w:id="1" w:name="_GoBack"/>
      <w:bookmarkEnd w:id="1"/>
      <w:r w:rsidRPr="00B56B5A">
        <w:rPr>
          <w:rFonts w:cs="Arial"/>
          <w:b/>
          <w:color w:val="000000"/>
          <w:sz w:val="32"/>
          <w:szCs w:val="32"/>
          <w:shd w:val="clear" w:color="auto" w:fill="FFFFFF"/>
        </w:rPr>
        <w:t>eferences</w:t>
      </w:r>
    </w:p>
    <w:p w14:paraId="27CB18FD"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(no date) Final results. Available at: https://otp.tools.investis.com/clients/uk/astonmartin/rns/regulatory-story.aspx?cid=2424&amp;amp;newsid=1553072 (Accessed: January 27, 2023). </w:t>
      </w:r>
    </w:p>
    <w:p w14:paraId="358A6965"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A refresher on debt-to-equity ratio (2017) Harvard Business Review. Available at: https://hbr.org/2015/07/a-refresher-on-debt-to-equity-ratio (Accessed: January 27, 2023).</w:t>
      </w:r>
    </w:p>
    <w:p w14:paraId="19FA061C"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Analysis &amp;amp; Insights on Aston Martin's 2021 results (2022) karenable. Available at: https://karenable.com/analysis-insights-on-aston-martins-2021-results/ (Accessed: January 27, 2023). </w:t>
      </w:r>
    </w:p>
    <w:p w14:paraId="27C91F6A"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Annual report 2021 (no date) Aston Martin Lagonda Annual Report | Aston Martin Lagonda. Available at: https://www.astonmartinlagonda.com/investors/annual-report (Accessed: January 27, 2023). </w:t>
      </w:r>
    </w:p>
    <w:p w14:paraId="69C6E4AC"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Aston Martin - 2021 - financial analysis - great cars, but how is the company performing? (2022) YouTube. YouTube. Available at: https://www.youtube.com/watch?v=BM2MSWgOHHs (Accessed: January 27, 2023). </w:t>
      </w:r>
    </w:p>
    <w:p w14:paraId="34137DAD" w14:textId="36625FB5"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Aston Martin Lagonda (AML) (no date) Investegate. Available at: https://www.investegate.co.uk/aston-martin-lagonda/rns/half-year-report/202207290700121726U/</w:t>
      </w:r>
      <w:r>
        <w:rPr>
          <w:rFonts w:ascii="Times New Roman" w:eastAsia="Times New Roman" w:hAnsi="Times New Roman" w:cs="Times New Roman"/>
          <w:i/>
          <w:iCs/>
          <w:sz w:val="24"/>
          <w:szCs w:val="24"/>
          <w:lang w:val="en-GB" w:eastAsia="en-GB"/>
        </w:rPr>
        <w:t xml:space="preserve"> (Accessed: January 27, 2023). </w:t>
      </w:r>
    </w:p>
    <w:p w14:paraId="6AC93827"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Brett (2021) Understanding your finances: Profit margins, FP Advance. Available at: https://fpadvance.com/understanding-finances-profit-margins/#:~:text=Ideally%2C%20direct%20expenses%20should%20not,This%20should%20be%20your%20aim. (Accessed: January 27, 2023). </w:t>
      </w:r>
    </w:p>
    <w:p w14:paraId="447C15FF"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Days sales outstanding (DSO) (2022) Corporate Finance Institute. Available at: https://corporatefinanceinstitute.com/resources/accounting/days-sales-outstanding/ (Accessed: January 27, 2023). </w:t>
      </w:r>
    </w:p>
    <w:p w14:paraId="6764ABC7"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Folger, J. (2022) What is the formula for calculating earnings per share (EPS)?, Investopedia. Investopedia. Available at: https://www.investopedia.com/ask/answers/070114/what-formula-calculating-earnings-share-eps.asp (Accessed: January 27, 2023). </w:t>
      </w:r>
    </w:p>
    <w:p w14:paraId="1C1EF0D3"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Gearing ratio (no date) tutor2u. Available at: https://www.tutor2u.net/business/reference/gearing-ratio (Accessed: January 26, 2023). </w:t>
      </w:r>
    </w:p>
    <w:p w14:paraId="0AB23394" w14:textId="371CA706"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Gearing ratio explained (no date) Gearing Ratio: Definition, Formula and Examples | CMC Markets. Available at: https://www.cmcmarkets.com/en-gb/trading-guides/gearing-ratio-explained</w:t>
      </w:r>
      <w:r>
        <w:rPr>
          <w:rFonts w:ascii="Times New Roman" w:eastAsia="Times New Roman" w:hAnsi="Times New Roman" w:cs="Times New Roman"/>
          <w:i/>
          <w:iCs/>
          <w:sz w:val="24"/>
          <w:szCs w:val="24"/>
          <w:lang w:val="en-GB" w:eastAsia="en-GB"/>
        </w:rPr>
        <w:t xml:space="preserve"> (Accessed: January 27, 2023). </w:t>
      </w:r>
    </w:p>
    <w:p w14:paraId="71715941"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lastRenderedPageBreak/>
        <w:t xml:space="preserve">How accounting ratios and Formulas Help Small Business (no date) Business News Daily. Available at: https://www.businessnewsdaily.com/2665-accounting-formulas.html (Accessed: January 27, 2023). </w:t>
      </w:r>
    </w:p>
    <w:p w14:paraId="2479FE10"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Kenton, W. (2022) Cash ratio: Definition, formula, and example, Investopedia. Investopedia. Available at: http://www.investopedia.com/terms/c/cash-ratio.asp (Accessed: January 27, 2023). </w:t>
      </w:r>
    </w:p>
    <w:p w14:paraId="77147191"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Khayyam Javaid, A.C.A. (2022) Benefits and limitations of ratio analysis, Financiopedia. Available at: https://financiopedia.com/benefits-and-limitations-of-ratio-analysis/ (Accessed: January 27, 2023).</w:t>
      </w:r>
    </w:p>
    <w:p w14:paraId="047FED73" w14:textId="51C153E3"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 Kosinski, J. (2022) The debt-to-equity ratio formula: What it is and how to use it, Patriot Software. Available at: https://www.patriotsoftware.com/blog/accounting/debt-to-equity-ratio/</w:t>
      </w:r>
      <w:r>
        <w:rPr>
          <w:rFonts w:ascii="Times New Roman" w:eastAsia="Times New Roman" w:hAnsi="Times New Roman" w:cs="Times New Roman"/>
          <w:i/>
          <w:iCs/>
          <w:sz w:val="24"/>
          <w:szCs w:val="24"/>
          <w:lang w:val="en-GB" w:eastAsia="en-GB"/>
        </w:rPr>
        <w:t xml:space="preserve"> (Accessed: January 27, 2023). </w:t>
      </w:r>
    </w:p>
    <w:p w14:paraId="3AC51943"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Peachyessay (2021) Aston Martini Financial Performance Evaluation, Peachy Essay. Available at: https://peachyessay.com/sample-essay/aston-martini-financial-performance-evaluation/?utm_source=rss&amp;amp;utm_medium=rss&amp;amp;utm_campaign=aston-martini-financial-performance-evaluation (Accessed: January 27, 2023). </w:t>
      </w:r>
    </w:p>
    <w:p w14:paraId="3666F9EE"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Profitability ratios formula: Calculate profitability ratios (Excel template) (2022) EDUCBA. Available at: https://www.educba.com/profitability-ratios-formula/#Profitability%20Ratios%20Formula (Accessed: January 27, 2023). </w:t>
      </w:r>
    </w:p>
    <w:p w14:paraId="278EEA17"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Search (2022) Wall Street Prep. Available at: https://www.wallstreetprep.com/search/?q=profitability+ratio&amp;amp;postTypes=coursesalemodules%2Cknowledgebaseposts (Accessed: January 27, 2023). </w:t>
      </w:r>
    </w:p>
    <w:p w14:paraId="30B74AE6" w14:textId="77777777" w:rsidR="0037345D" w:rsidRPr="0037345D" w:rsidRDefault="0037345D" w:rsidP="0037345D">
      <w:pPr>
        <w:rPr>
          <w:rFonts w:ascii="Times New Roman" w:eastAsia="Times New Roman" w:hAnsi="Times New Roman" w:cs="Times New Roman"/>
          <w:i/>
          <w:iCs/>
          <w:sz w:val="24"/>
          <w:szCs w:val="24"/>
          <w:lang w:val="en-GB" w:eastAsia="en-GB"/>
        </w:rPr>
      </w:pPr>
      <w:r w:rsidRPr="0037345D">
        <w:rPr>
          <w:rFonts w:ascii="Times New Roman" w:eastAsia="Times New Roman" w:hAnsi="Times New Roman" w:cs="Times New Roman"/>
          <w:i/>
          <w:iCs/>
          <w:sz w:val="24"/>
          <w:szCs w:val="24"/>
          <w:lang w:val="en-GB" w:eastAsia="en-GB"/>
        </w:rPr>
        <w:t xml:space="preserve">What is a good liquidity ratio? (no date) FreshBooks. Available at: https://www.freshbooks.com/hub/accounting/good-liquidity-ratio#:~:text=A%20good%20current%20ratio%20is,cover%20its%20short%2Dterm%20liabilities. (Accessed: January 27, 2023). </w:t>
      </w:r>
    </w:p>
    <w:p w14:paraId="23392BBE" w14:textId="02C12B88" w:rsidR="002B3756" w:rsidRPr="001841AA" w:rsidRDefault="0037345D" w:rsidP="0037345D">
      <w:pPr>
        <w:rPr>
          <w:sz w:val="24"/>
          <w:szCs w:val="24"/>
          <w:shd w:val="clear" w:color="auto" w:fill="FFFFFF"/>
        </w:rPr>
      </w:pPr>
      <w:r w:rsidRPr="0037345D">
        <w:rPr>
          <w:rFonts w:ascii="Times New Roman" w:eastAsia="Times New Roman" w:hAnsi="Times New Roman" w:cs="Times New Roman"/>
          <w:i/>
          <w:iCs/>
          <w:sz w:val="24"/>
          <w:szCs w:val="24"/>
          <w:lang w:val="en-GB" w:eastAsia="en-GB"/>
        </w:rPr>
        <w:t>Young, J. (2022) What is gearing? definition, how's it's measured, and example, Investopedia. Investopedia. Available at: https://www.investopedia.com/terms/g/gearing.asp (Accessed: January 27, 2023).</w:t>
      </w:r>
    </w:p>
    <w:p w14:paraId="3F0031C0" w14:textId="0D28BAEF" w:rsidR="001841AA" w:rsidRDefault="001841AA" w:rsidP="0037345D">
      <w:pPr>
        <w:rPr>
          <w:sz w:val="24"/>
          <w:szCs w:val="24"/>
          <w:shd w:val="clear" w:color="auto" w:fill="FFFFFF"/>
        </w:rPr>
      </w:pPr>
    </w:p>
    <w:p w14:paraId="6E9828E1" w14:textId="7FFC4521" w:rsidR="0037345D" w:rsidRDefault="0037345D" w:rsidP="0037345D">
      <w:pPr>
        <w:rPr>
          <w:sz w:val="24"/>
          <w:szCs w:val="24"/>
          <w:shd w:val="clear" w:color="auto" w:fill="FFFFFF"/>
        </w:rPr>
      </w:pPr>
    </w:p>
    <w:p w14:paraId="0BF4F602" w14:textId="13A6D9C4" w:rsidR="0037345D" w:rsidRDefault="0037345D" w:rsidP="0037345D">
      <w:pPr>
        <w:rPr>
          <w:sz w:val="24"/>
          <w:szCs w:val="24"/>
          <w:shd w:val="clear" w:color="auto" w:fill="FFFFFF"/>
        </w:rPr>
      </w:pPr>
    </w:p>
    <w:p w14:paraId="02FCDFF7" w14:textId="42D3841E" w:rsidR="0037345D" w:rsidRDefault="0037345D" w:rsidP="0037345D">
      <w:pPr>
        <w:rPr>
          <w:sz w:val="24"/>
          <w:szCs w:val="24"/>
          <w:shd w:val="clear" w:color="auto" w:fill="FFFFFF"/>
        </w:rPr>
      </w:pPr>
    </w:p>
    <w:p w14:paraId="4780470B" w14:textId="18C193E2" w:rsidR="0037345D" w:rsidRDefault="0037345D" w:rsidP="0037345D">
      <w:pPr>
        <w:rPr>
          <w:sz w:val="24"/>
          <w:szCs w:val="24"/>
          <w:shd w:val="clear" w:color="auto" w:fill="FFFFFF"/>
        </w:rPr>
      </w:pPr>
    </w:p>
    <w:p w14:paraId="55530FF4" w14:textId="29FD75D5" w:rsidR="0037345D" w:rsidRDefault="0037345D" w:rsidP="0037345D">
      <w:pPr>
        <w:rPr>
          <w:sz w:val="24"/>
          <w:szCs w:val="24"/>
          <w:shd w:val="clear" w:color="auto" w:fill="FFFFFF"/>
        </w:rPr>
      </w:pPr>
    </w:p>
    <w:p w14:paraId="7B9E2685" w14:textId="7432B4DE" w:rsidR="0037345D" w:rsidRDefault="0037345D" w:rsidP="0037345D">
      <w:pPr>
        <w:rPr>
          <w:sz w:val="24"/>
          <w:szCs w:val="24"/>
          <w:shd w:val="clear" w:color="auto" w:fill="FFFFFF"/>
        </w:rPr>
      </w:pPr>
    </w:p>
    <w:p w14:paraId="58519717" w14:textId="0E446B96" w:rsidR="0037345D" w:rsidRDefault="0037345D" w:rsidP="0037345D">
      <w:pPr>
        <w:rPr>
          <w:sz w:val="24"/>
          <w:szCs w:val="24"/>
          <w:shd w:val="clear" w:color="auto" w:fill="FFFFFF"/>
        </w:rPr>
      </w:pPr>
    </w:p>
    <w:p w14:paraId="71E01CA0" w14:textId="1B6796B2" w:rsidR="0037345D" w:rsidRDefault="0037345D" w:rsidP="0037345D">
      <w:pPr>
        <w:rPr>
          <w:sz w:val="24"/>
          <w:szCs w:val="24"/>
          <w:shd w:val="clear" w:color="auto" w:fill="FFFFFF"/>
        </w:rPr>
      </w:pPr>
    </w:p>
    <w:p w14:paraId="700CEB2D" w14:textId="19843596" w:rsidR="0037345D" w:rsidRDefault="0037345D" w:rsidP="0037345D">
      <w:pPr>
        <w:rPr>
          <w:sz w:val="24"/>
          <w:szCs w:val="24"/>
          <w:shd w:val="clear" w:color="auto" w:fill="FFFFFF"/>
        </w:rPr>
      </w:pPr>
    </w:p>
    <w:p w14:paraId="0008884C" w14:textId="4DAAFB37" w:rsidR="0037345D" w:rsidRPr="0037345D" w:rsidRDefault="0037345D" w:rsidP="0037345D">
      <w:pPr>
        <w:pStyle w:val="ListParagraph"/>
        <w:numPr>
          <w:ilvl w:val="0"/>
          <w:numId w:val="9"/>
        </w:numPr>
        <w:rPr>
          <w:b/>
          <w:sz w:val="32"/>
          <w:szCs w:val="32"/>
          <w:shd w:val="clear" w:color="auto" w:fill="FFFFFF"/>
        </w:rPr>
      </w:pPr>
      <w:r w:rsidRPr="0037345D">
        <w:rPr>
          <w:b/>
          <w:sz w:val="32"/>
          <w:szCs w:val="32"/>
          <w:shd w:val="clear" w:color="auto" w:fill="FFFFFF"/>
        </w:rPr>
        <w:t>Appendices</w:t>
      </w:r>
    </w:p>
    <w:p w14:paraId="4B9B5EC0" w14:textId="0ECA0183" w:rsidR="0037345D" w:rsidRDefault="0037345D" w:rsidP="0037345D">
      <w:pPr>
        <w:pStyle w:val="ListParagraph"/>
        <w:ind w:left="360"/>
        <w:rPr>
          <w:sz w:val="28"/>
          <w:szCs w:val="28"/>
          <w:shd w:val="clear" w:color="auto" w:fill="FFFFFF"/>
        </w:rPr>
      </w:pPr>
      <w:r w:rsidRPr="0037345D">
        <w:rPr>
          <w:sz w:val="28"/>
          <w:szCs w:val="28"/>
          <w:shd w:val="clear" w:color="auto" w:fill="FFFFFF"/>
        </w:rPr>
        <w:t xml:space="preserve"> 1 – Aston </w:t>
      </w:r>
      <w:r>
        <w:rPr>
          <w:sz w:val="28"/>
          <w:szCs w:val="28"/>
          <w:shd w:val="clear" w:color="auto" w:fill="FFFFFF"/>
        </w:rPr>
        <w:t xml:space="preserve">Martin Income Statement </w:t>
      </w:r>
      <w:r w:rsidR="00155D2F">
        <w:rPr>
          <w:sz w:val="28"/>
          <w:szCs w:val="28"/>
          <w:shd w:val="clear" w:color="auto" w:fill="FFFFFF"/>
        </w:rPr>
        <w:t>2021</w:t>
      </w:r>
    </w:p>
    <w:p w14:paraId="077A98C1" w14:textId="3A8A6499" w:rsidR="00155D2F" w:rsidRDefault="00155D2F" w:rsidP="0037345D">
      <w:pPr>
        <w:pStyle w:val="ListParagraph"/>
        <w:ind w:left="360"/>
        <w:rPr>
          <w:sz w:val="28"/>
          <w:szCs w:val="28"/>
          <w:shd w:val="clear" w:color="auto" w:fill="FFFFFF"/>
        </w:rPr>
      </w:pPr>
      <w:r>
        <w:rPr>
          <w:noProof/>
          <w:sz w:val="28"/>
          <w:szCs w:val="28"/>
          <w:shd w:val="clear" w:color="auto" w:fill="FFFFFF"/>
          <w:lang w:val="en-GB" w:eastAsia="en-GB"/>
        </w:rPr>
        <w:drawing>
          <wp:inline distT="0" distB="0" distL="0" distR="0" wp14:anchorId="2D11091C" wp14:editId="04FC77AF">
            <wp:extent cx="6387453" cy="57816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17636" cy="5808995"/>
                    </a:xfrm>
                    <a:prstGeom prst="rect">
                      <a:avLst/>
                    </a:prstGeom>
                    <a:noFill/>
                  </pic:spPr>
                </pic:pic>
              </a:graphicData>
            </a:graphic>
          </wp:inline>
        </w:drawing>
      </w:r>
    </w:p>
    <w:p w14:paraId="6A420DB5" w14:textId="2AC01661" w:rsidR="00155D2F" w:rsidRDefault="00155D2F" w:rsidP="0037345D">
      <w:pPr>
        <w:pStyle w:val="ListParagraph"/>
        <w:ind w:left="360"/>
        <w:rPr>
          <w:sz w:val="28"/>
          <w:szCs w:val="28"/>
          <w:shd w:val="clear" w:color="auto" w:fill="FFFFFF"/>
        </w:rPr>
      </w:pPr>
    </w:p>
    <w:p w14:paraId="36C61718" w14:textId="77777777" w:rsidR="00155D2F" w:rsidRDefault="00155D2F" w:rsidP="0037345D">
      <w:pPr>
        <w:pStyle w:val="ListParagraph"/>
        <w:ind w:left="360"/>
        <w:rPr>
          <w:sz w:val="28"/>
          <w:szCs w:val="28"/>
          <w:shd w:val="clear" w:color="auto" w:fill="FFFFFF"/>
        </w:rPr>
      </w:pPr>
    </w:p>
    <w:p w14:paraId="37808056" w14:textId="77777777" w:rsidR="00155D2F" w:rsidRDefault="00155D2F" w:rsidP="0037345D">
      <w:pPr>
        <w:pStyle w:val="ListParagraph"/>
        <w:ind w:left="360"/>
        <w:rPr>
          <w:sz w:val="28"/>
          <w:szCs w:val="28"/>
          <w:shd w:val="clear" w:color="auto" w:fill="FFFFFF"/>
        </w:rPr>
      </w:pPr>
    </w:p>
    <w:p w14:paraId="79A840AD" w14:textId="77777777" w:rsidR="00155D2F" w:rsidRDefault="00155D2F" w:rsidP="0037345D">
      <w:pPr>
        <w:pStyle w:val="ListParagraph"/>
        <w:ind w:left="360"/>
        <w:rPr>
          <w:sz w:val="28"/>
          <w:szCs w:val="28"/>
          <w:shd w:val="clear" w:color="auto" w:fill="FFFFFF"/>
        </w:rPr>
      </w:pPr>
    </w:p>
    <w:p w14:paraId="4CA0DBD3" w14:textId="77777777" w:rsidR="00155D2F" w:rsidRDefault="00155D2F" w:rsidP="0037345D">
      <w:pPr>
        <w:pStyle w:val="ListParagraph"/>
        <w:ind w:left="360"/>
        <w:rPr>
          <w:sz w:val="28"/>
          <w:szCs w:val="28"/>
          <w:shd w:val="clear" w:color="auto" w:fill="FFFFFF"/>
        </w:rPr>
      </w:pPr>
    </w:p>
    <w:p w14:paraId="153A1AC7" w14:textId="77777777" w:rsidR="00155D2F" w:rsidRDefault="00155D2F" w:rsidP="0037345D">
      <w:pPr>
        <w:pStyle w:val="ListParagraph"/>
        <w:ind w:left="360"/>
        <w:rPr>
          <w:sz w:val="28"/>
          <w:szCs w:val="28"/>
          <w:shd w:val="clear" w:color="auto" w:fill="FFFFFF"/>
        </w:rPr>
      </w:pPr>
    </w:p>
    <w:p w14:paraId="30D39BFF" w14:textId="77777777" w:rsidR="00155D2F" w:rsidRDefault="00155D2F" w:rsidP="0037345D">
      <w:pPr>
        <w:pStyle w:val="ListParagraph"/>
        <w:ind w:left="360"/>
        <w:rPr>
          <w:sz w:val="28"/>
          <w:szCs w:val="28"/>
          <w:shd w:val="clear" w:color="auto" w:fill="FFFFFF"/>
        </w:rPr>
      </w:pPr>
    </w:p>
    <w:p w14:paraId="31AEAD0A" w14:textId="77777777" w:rsidR="00155D2F" w:rsidRDefault="00155D2F" w:rsidP="0037345D">
      <w:pPr>
        <w:pStyle w:val="ListParagraph"/>
        <w:ind w:left="360"/>
        <w:rPr>
          <w:sz w:val="28"/>
          <w:szCs w:val="28"/>
          <w:shd w:val="clear" w:color="auto" w:fill="FFFFFF"/>
        </w:rPr>
      </w:pPr>
    </w:p>
    <w:p w14:paraId="1E4C2AE1" w14:textId="77777777" w:rsidR="00155D2F" w:rsidRDefault="00155D2F" w:rsidP="0037345D">
      <w:pPr>
        <w:pStyle w:val="ListParagraph"/>
        <w:ind w:left="360"/>
        <w:rPr>
          <w:sz w:val="28"/>
          <w:szCs w:val="28"/>
          <w:shd w:val="clear" w:color="auto" w:fill="FFFFFF"/>
        </w:rPr>
      </w:pPr>
    </w:p>
    <w:p w14:paraId="64B42811" w14:textId="77777777" w:rsidR="00155D2F" w:rsidRDefault="00155D2F" w:rsidP="0037345D">
      <w:pPr>
        <w:pStyle w:val="ListParagraph"/>
        <w:ind w:left="360"/>
        <w:rPr>
          <w:sz w:val="28"/>
          <w:szCs w:val="28"/>
          <w:shd w:val="clear" w:color="auto" w:fill="FFFFFF"/>
        </w:rPr>
      </w:pPr>
    </w:p>
    <w:p w14:paraId="481A06A8" w14:textId="77777777" w:rsidR="00155D2F" w:rsidRDefault="00155D2F" w:rsidP="0037345D">
      <w:pPr>
        <w:pStyle w:val="ListParagraph"/>
        <w:ind w:left="360"/>
        <w:rPr>
          <w:sz w:val="28"/>
          <w:szCs w:val="28"/>
          <w:shd w:val="clear" w:color="auto" w:fill="FFFFFF"/>
        </w:rPr>
      </w:pPr>
    </w:p>
    <w:p w14:paraId="3C3A5371" w14:textId="77777777" w:rsidR="00155D2F" w:rsidRDefault="00155D2F" w:rsidP="0037345D">
      <w:pPr>
        <w:pStyle w:val="ListParagraph"/>
        <w:ind w:left="360"/>
        <w:rPr>
          <w:sz w:val="28"/>
          <w:szCs w:val="28"/>
          <w:shd w:val="clear" w:color="auto" w:fill="FFFFFF"/>
        </w:rPr>
      </w:pPr>
    </w:p>
    <w:p w14:paraId="0988F5EF" w14:textId="77777777" w:rsidR="00155D2F" w:rsidRDefault="00155D2F" w:rsidP="0037345D">
      <w:pPr>
        <w:pStyle w:val="ListParagraph"/>
        <w:ind w:left="360"/>
        <w:rPr>
          <w:sz w:val="28"/>
          <w:szCs w:val="28"/>
          <w:shd w:val="clear" w:color="auto" w:fill="FFFFFF"/>
        </w:rPr>
      </w:pPr>
    </w:p>
    <w:p w14:paraId="5A0B3D41" w14:textId="77777777" w:rsidR="00155D2F" w:rsidRDefault="00155D2F" w:rsidP="0037345D">
      <w:pPr>
        <w:pStyle w:val="ListParagraph"/>
        <w:ind w:left="360"/>
        <w:rPr>
          <w:sz w:val="28"/>
          <w:szCs w:val="28"/>
          <w:shd w:val="clear" w:color="auto" w:fill="FFFFFF"/>
        </w:rPr>
      </w:pPr>
    </w:p>
    <w:p w14:paraId="442D722E" w14:textId="77777777" w:rsidR="00155D2F" w:rsidRDefault="00155D2F" w:rsidP="0037345D">
      <w:pPr>
        <w:pStyle w:val="ListParagraph"/>
        <w:ind w:left="360"/>
        <w:rPr>
          <w:sz w:val="28"/>
          <w:szCs w:val="28"/>
          <w:shd w:val="clear" w:color="auto" w:fill="FFFFFF"/>
        </w:rPr>
      </w:pPr>
    </w:p>
    <w:p w14:paraId="262746DB" w14:textId="3235DB6D" w:rsidR="00155D2F" w:rsidRDefault="00155D2F" w:rsidP="0037345D">
      <w:pPr>
        <w:pStyle w:val="ListParagraph"/>
        <w:ind w:left="360"/>
        <w:rPr>
          <w:sz w:val="28"/>
          <w:szCs w:val="28"/>
          <w:shd w:val="clear" w:color="auto" w:fill="FFFFFF"/>
        </w:rPr>
      </w:pPr>
      <w:r>
        <w:rPr>
          <w:sz w:val="28"/>
          <w:szCs w:val="28"/>
          <w:shd w:val="clear" w:color="auto" w:fill="FFFFFF"/>
        </w:rPr>
        <w:t>2. Aston Martin Balance Sheet 2021</w:t>
      </w:r>
    </w:p>
    <w:p w14:paraId="572FBD16" w14:textId="5D4B5482" w:rsidR="00155D2F" w:rsidRDefault="00155D2F" w:rsidP="0037345D">
      <w:pPr>
        <w:pStyle w:val="ListParagraph"/>
        <w:ind w:left="360"/>
        <w:rPr>
          <w:sz w:val="28"/>
          <w:szCs w:val="28"/>
          <w:shd w:val="clear" w:color="auto" w:fill="FFFFFF"/>
        </w:rPr>
      </w:pPr>
      <w:r>
        <w:rPr>
          <w:noProof/>
          <w:lang w:val="en-GB" w:eastAsia="en-GB"/>
        </w:rPr>
        <w:lastRenderedPageBreak/>
        <w:drawing>
          <wp:inline distT="0" distB="0" distL="0" distR="0" wp14:anchorId="29D7A9C4" wp14:editId="15FAAB03">
            <wp:extent cx="6314089" cy="76295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567" t="18029" r="33525" b="13399"/>
                    <a:stretch/>
                  </pic:blipFill>
                  <pic:spPr bwMode="auto">
                    <a:xfrm>
                      <a:off x="0" y="0"/>
                      <a:ext cx="6336447" cy="7656541"/>
                    </a:xfrm>
                    <a:prstGeom prst="rect">
                      <a:avLst/>
                    </a:prstGeom>
                    <a:ln>
                      <a:noFill/>
                    </a:ln>
                    <a:extLst>
                      <a:ext uri="{53640926-AAD7-44D8-BBD7-CCE9431645EC}">
                        <a14:shadowObscured xmlns:a14="http://schemas.microsoft.com/office/drawing/2010/main"/>
                      </a:ext>
                    </a:extLst>
                  </pic:spPr>
                </pic:pic>
              </a:graphicData>
            </a:graphic>
          </wp:inline>
        </w:drawing>
      </w:r>
    </w:p>
    <w:p w14:paraId="69B3C42F" w14:textId="3C78024F" w:rsidR="00155D2F" w:rsidRPr="00155D2F" w:rsidRDefault="00155D2F" w:rsidP="00155D2F">
      <w:pPr>
        <w:rPr>
          <w:sz w:val="28"/>
          <w:szCs w:val="28"/>
          <w:shd w:val="clear" w:color="auto" w:fill="FFFFFF"/>
        </w:rPr>
      </w:pPr>
    </w:p>
    <w:p w14:paraId="24400761" w14:textId="4C6F02D6" w:rsidR="00155D2F" w:rsidRDefault="00155D2F" w:rsidP="0037345D">
      <w:pPr>
        <w:pStyle w:val="ListParagraph"/>
        <w:ind w:left="360"/>
        <w:rPr>
          <w:sz w:val="28"/>
          <w:szCs w:val="28"/>
          <w:shd w:val="clear" w:color="auto" w:fill="FFFFFF"/>
        </w:rPr>
      </w:pPr>
      <w:r>
        <w:rPr>
          <w:sz w:val="28"/>
          <w:szCs w:val="28"/>
          <w:shd w:val="clear" w:color="auto" w:fill="FFFFFF"/>
        </w:rPr>
        <w:t>3. Aston Martin Cashflow 2021</w:t>
      </w:r>
    </w:p>
    <w:p w14:paraId="0AF62092" w14:textId="213CCFD5" w:rsidR="00155D2F" w:rsidRDefault="00155D2F" w:rsidP="0037345D">
      <w:pPr>
        <w:pStyle w:val="ListParagraph"/>
        <w:ind w:left="360"/>
        <w:rPr>
          <w:sz w:val="28"/>
          <w:szCs w:val="28"/>
          <w:shd w:val="clear" w:color="auto" w:fill="FFFFFF"/>
        </w:rPr>
      </w:pPr>
      <w:r>
        <w:rPr>
          <w:noProof/>
          <w:lang w:val="en-GB" w:eastAsia="en-GB"/>
        </w:rPr>
        <w:lastRenderedPageBreak/>
        <w:drawing>
          <wp:inline distT="0" distB="0" distL="0" distR="0" wp14:anchorId="2470BE1A" wp14:editId="18B677C3">
            <wp:extent cx="6172354" cy="57531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419" t="20688" r="27542" b="6306"/>
                    <a:stretch/>
                  </pic:blipFill>
                  <pic:spPr bwMode="auto">
                    <a:xfrm>
                      <a:off x="0" y="0"/>
                      <a:ext cx="6199199" cy="5778121"/>
                    </a:xfrm>
                    <a:prstGeom prst="rect">
                      <a:avLst/>
                    </a:prstGeom>
                    <a:ln>
                      <a:noFill/>
                    </a:ln>
                    <a:extLst>
                      <a:ext uri="{53640926-AAD7-44D8-BBD7-CCE9431645EC}">
                        <a14:shadowObscured xmlns:a14="http://schemas.microsoft.com/office/drawing/2010/main"/>
                      </a:ext>
                    </a:extLst>
                  </pic:spPr>
                </pic:pic>
              </a:graphicData>
            </a:graphic>
          </wp:inline>
        </w:drawing>
      </w:r>
    </w:p>
    <w:p w14:paraId="34FDD60D" w14:textId="0A6F7F49" w:rsidR="00155D2F" w:rsidRDefault="00155D2F" w:rsidP="0037345D">
      <w:pPr>
        <w:pStyle w:val="ListParagraph"/>
        <w:ind w:left="360"/>
        <w:rPr>
          <w:sz w:val="28"/>
          <w:szCs w:val="28"/>
          <w:shd w:val="clear" w:color="auto" w:fill="FFFFFF"/>
        </w:rPr>
      </w:pPr>
    </w:p>
    <w:p w14:paraId="7272CD10" w14:textId="413796E0" w:rsidR="00155D2F" w:rsidRDefault="00155D2F" w:rsidP="0037345D">
      <w:pPr>
        <w:pStyle w:val="ListParagraph"/>
        <w:ind w:left="360"/>
        <w:rPr>
          <w:sz w:val="28"/>
          <w:szCs w:val="28"/>
          <w:shd w:val="clear" w:color="auto" w:fill="FFFFFF"/>
        </w:rPr>
      </w:pPr>
    </w:p>
    <w:p w14:paraId="0CA3ECAA" w14:textId="079F2B01" w:rsidR="00155D2F" w:rsidRDefault="00155D2F" w:rsidP="0037345D">
      <w:pPr>
        <w:pStyle w:val="ListParagraph"/>
        <w:ind w:left="360"/>
        <w:rPr>
          <w:sz w:val="28"/>
          <w:szCs w:val="28"/>
          <w:shd w:val="clear" w:color="auto" w:fill="FFFFFF"/>
        </w:rPr>
      </w:pPr>
    </w:p>
    <w:p w14:paraId="00418894" w14:textId="5FAB68D7" w:rsidR="00155D2F" w:rsidRDefault="00155D2F" w:rsidP="0037345D">
      <w:pPr>
        <w:pStyle w:val="ListParagraph"/>
        <w:ind w:left="360"/>
        <w:rPr>
          <w:sz w:val="28"/>
          <w:szCs w:val="28"/>
          <w:shd w:val="clear" w:color="auto" w:fill="FFFFFF"/>
        </w:rPr>
      </w:pPr>
    </w:p>
    <w:p w14:paraId="4DE1E9C1" w14:textId="0037A81D" w:rsidR="00155D2F" w:rsidRDefault="00155D2F" w:rsidP="0037345D">
      <w:pPr>
        <w:pStyle w:val="ListParagraph"/>
        <w:ind w:left="360"/>
        <w:rPr>
          <w:sz w:val="28"/>
          <w:szCs w:val="28"/>
          <w:shd w:val="clear" w:color="auto" w:fill="FFFFFF"/>
        </w:rPr>
      </w:pPr>
    </w:p>
    <w:p w14:paraId="72391E33" w14:textId="0E187A68" w:rsidR="00155D2F" w:rsidRDefault="00155D2F" w:rsidP="0037345D">
      <w:pPr>
        <w:pStyle w:val="ListParagraph"/>
        <w:ind w:left="360"/>
        <w:rPr>
          <w:sz w:val="28"/>
          <w:szCs w:val="28"/>
          <w:shd w:val="clear" w:color="auto" w:fill="FFFFFF"/>
        </w:rPr>
      </w:pPr>
    </w:p>
    <w:p w14:paraId="5C1CAF56" w14:textId="7F51CA3A" w:rsidR="00155D2F" w:rsidRDefault="00155D2F" w:rsidP="0037345D">
      <w:pPr>
        <w:pStyle w:val="ListParagraph"/>
        <w:ind w:left="360"/>
        <w:rPr>
          <w:sz w:val="28"/>
          <w:szCs w:val="28"/>
          <w:shd w:val="clear" w:color="auto" w:fill="FFFFFF"/>
        </w:rPr>
      </w:pPr>
    </w:p>
    <w:p w14:paraId="7FC81478" w14:textId="71E498F8" w:rsidR="00155D2F" w:rsidRDefault="00155D2F" w:rsidP="0037345D">
      <w:pPr>
        <w:pStyle w:val="ListParagraph"/>
        <w:ind w:left="360"/>
        <w:rPr>
          <w:sz w:val="28"/>
          <w:szCs w:val="28"/>
          <w:shd w:val="clear" w:color="auto" w:fill="FFFFFF"/>
        </w:rPr>
      </w:pPr>
    </w:p>
    <w:p w14:paraId="69CD64D7" w14:textId="4F0897DE" w:rsidR="00155D2F" w:rsidRDefault="00155D2F" w:rsidP="0037345D">
      <w:pPr>
        <w:pStyle w:val="ListParagraph"/>
        <w:ind w:left="360"/>
        <w:rPr>
          <w:sz w:val="28"/>
          <w:szCs w:val="28"/>
          <w:shd w:val="clear" w:color="auto" w:fill="FFFFFF"/>
        </w:rPr>
      </w:pPr>
    </w:p>
    <w:p w14:paraId="17B70D80" w14:textId="6CB9659D" w:rsidR="00155D2F" w:rsidRDefault="00155D2F" w:rsidP="0037345D">
      <w:pPr>
        <w:pStyle w:val="ListParagraph"/>
        <w:ind w:left="360"/>
        <w:rPr>
          <w:sz w:val="28"/>
          <w:szCs w:val="28"/>
          <w:shd w:val="clear" w:color="auto" w:fill="FFFFFF"/>
        </w:rPr>
      </w:pPr>
    </w:p>
    <w:p w14:paraId="1F7C1686" w14:textId="292E8B31" w:rsidR="00155D2F" w:rsidRDefault="00155D2F" w:rsidP="0037345D">
      <w:pPr>
        <w:pStyle w:val="ListParagraph"/>
        <w:ind w:left="360"/>
        <w:rPr>
          <w:sz w:val="28"/>
          <w:szCs w:val="28"/>
          <w:shd w:val="clear" w:color="auto" w:fill="FFFFFF"/>
        </w:rPr>
      </w:pPr>
      <w:r>
        <w:rPr>
          <w:sz w:val="28"/>
          <w:szCs w:val="28"/>
          <w:shd w:val="clear" w:color="auto" w:fill="FFFFFF"/>
        </w:rPr>
        <w:t>4. Aston Martin Income Statement 2022</w:t>
      </w:r>
    </w:p>
    <w:p w14:paraId="799EA373" w14:textId="3244834D" w:rsidR="00155D2F" w:rsidRDefault="00155D2F" w:rsidP="0037345D">
      <w:pPr>
        <w:pStyle w:val="ListParagraph"/>
        <w:ind w:left="360"/>
        <w:rPr>
          <w:sz w:val="28"/>
          <w:szCs w:val="28"/>
          <w:shd w:val="clear" w:color="auto" w:fill="FFFFFF"/>
        </w:rPr>
      </w:pPr>
      <w:r>
        <w:rPr>
          <w:noProof/>
          <w:lang w:val="en-GB" w:eastAsia="en-GB"/>
        </w:rPr>
        <w:lastRenderedPageBreak/>
        <w:drawing>
          <wp:inline distT="0" distB="0" distL="0" distR="0" wp14:anchorId="2C3C6E8E" wp14:editId="7FB58748">
            <wp:extent cx="5978561" cy="4343400"/>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1106" t="18621" r="20563" b="6010"/>
                    <a:stretch/>
                  </pic:blipFill>
                  <pic:spPr bwMode="auto">
                    <a:xfrm>
                      <a:off x="0" y="0"/>
                      <a:ext cx="5989710" cy="4351500"/>
                    </a:xfrm>
                    <a:prstGeom prst="rect">
                      <a:avLst/>
                    </a:prstGeom>
                    <a:ln>
                      <a:noFill/>
                    </a:ln>
                    <a:extLst>
                      <a:ext uri="{53640926-AAD7-44D8-BBD7-CCE9431645EC}">
                        <a14:shadowObscured xmlns:a14="http://schemas.microsoft.com/office/drawing/2010/main"/>
                      </a:ext>
                    </a:extLst>
                  </pic:spPr>
                </pic:pic>
              </a:graphicData>
            </a:graphic>
          </wp:inline>
        </w:drawing>
      </w:r>
    </w:p>
    <w:p w14:paraId="096DE828" w14:textId="3A46D3DD" w:rsidR="00E00420" w:rsidRDefault="00E00420" w:rsidP="0037345D">
      <w:pPr>
        <w:pStyle w:val="ListParagraph"/>
        <w:ind w:left="360"/>
        <w:rPr>
          <w:sz w:val="28"/>
          <w:szCs w:val="28"/>
          <w:shd w:val="clear" w:color="auto" w:fill="FFFFFF"/>
        </w:rPr>
      </w:pPr>
    </w:p>
    <w:p w14:paraId="4A3AA019" w14:textId="67E369DC" w:rsidR="00E00420" w:rsidRDefault="00E00420" w:rsidP="0037345D">
      <w:pPr>
        <w:pStyle w:val="ListParagraph"/>
        <w:ind w:left="360"/>
        <w:rPr>
          <w:sz w:val="28"/>
          <w:szCs w:val="28"/>
          <w:shd w:val="clear" w:color="auto" w:fill="FFFFFF"/>
        </w:rPr>
      </w:pPr>
    </w:p>
    <w:p w14:paraId="1A61079F" w14:textId="07A5E309" w:rsidR="00E00420" w:rsidRDefault="00E00420" w:rsidP="0037345D">
      <w:pPr>
        <w:pStyle w:val="ListParagraph"/>
        <w:ind w:left="360"/>
        <w:rPr>
          <w:sz w:val="28"/>
          <w:szCs w:val="28"/>
          <w:shd w:val="clear" w:color="auto" w:fill="FFFFFF"/>
        </w:rPr>
      </w:pPr>
    </w:p>
    <w:p w14:paraId="02038300" w14:textId="72D08399" w:rsidR="00E00420" w:rsidRDefault="00E00420" w:rsidP="0037345D">
      <w:pPr>
        <w:pStyle w:val="ListParagraph"/>
        <w:ind w:left="360"/>
        <w:rPr>
          <w:sz w:val="28"/>
          <w:szCs w:val="28"/>
          <w:shd w:val="clear" w:color="auto" w:fill="FFFFFF"/>
        </w:rPr>
      </w:pPr>
    </w:p>
    <w:p w14:paraId="44558695" w14:textId="07E37C16" w:rsidR="00E00420" w:rsidRDefault="00E00420" w:rsidP="0037345D">
      <w:pPr>
        <w:pStyle w:val="ListParagraph"/>
        <w:ind w:left="360"/>
        <w:rPr>
          <w:sz w:val="28"/>
          <w:szCs w:val="28"/>
          <w:shd w:val="clear" w:color="auto" w:fill="FFFFFF"/>
        </w:rPr>
      </w:pPr>
    </w:p>
    <w:p w14:paraId="3D1C0061" w14:textId="5F766ED6" w:rsidR="00E00420" w:rsidRDefault="00E00420" w:rsidP="0037345D">
      <w:pPr>
        <w:pStyle w:val="ListParagraph"/>
        <w:ind w:left="360"/>
        <w:rPr>
          <w:sz w:val="28"/>
          <w:szCs w:val="28"/>
          <w:shd w:val="clear" w:color="auto" w:fill="FFFFFF"/>
        </w:rPr>
      </w:pPr>
    </w:p>
    <w:p w14:paraId="5D86E04E" w14:textId="5A5FC689" w:rsidR="00E00420" w:rsidRDefault="00E00420" w:rsidP="0037345D">
      <w:pPr>
        <w:pStyle w:val="ListParagraph"/>
        <w:ind w:left="360"/>
        <w:rPr>
          <w:sz w:val="28"/>
          <w:szCs w:val="28"/>
          <w:shd w:val="clear" w:color="auto" w:fill="FFFFFF"/>
        </w:rPr>
      </w:pPr>
    </w:p>
    <w:p w14:paraId="27505D2C" w14:textId="2581867F" w:rsidR="00E00420" w:rsidRDefault="00E00420" w:rsidP="0037345D">
      <w:pPr>
        <w:pStyle w:val="ListParagraph"/>
        <w:ind w:left="360"/>
        <w:rPr>
          <w:sz w:val="28"/>
          <w:szCs w:val="28"/>
          <w:shd w:val="clear" w:color="auto" w:fill="FFFFFF"/>
        </w:rPr>
      </w:pPr>
    </w:p>
    <w:p w14:paraId="75116A6F" w14:textId="4D713787" w:rsidR="00E00420" w:rsidRDefault="00E00420" w:rsidP="0037345D">
      <w:pPr>
        <w:pStyle w:val="ListParagraph"/>
        <w:ind w:left="360"/>
        <w:rPr>
          <w:sz w:val="28"/>
          <w:szCs w:val="28"/>
          <w:shd w:val="clear" w:color="auto" w:fill="FFFFFF"/>
        </w:rPr>
      </w:pPr>
    </w:p>
    <w:p w14:paraId="0B6C01A6" w14:textId="3DC70479" w:rsidR="00E00420" w:rsidRDefault="00E00420" w:rsidP="0037345D">
      <w:pPr>
        <w:pStyle w:val="ListParagraph"/>
        <w:ind w:left="360"/>
        <w:rPr>
          <w:sz w:val="28"/>
          <w:szCs w:val="28"/>
          <w:shd w:val="clear" w:color="auto" w:fill="FFFFFF"/>
        </w:rPr>
      </w:pPr>
    </w:p>
    <w:p w14:paraId="1703642F" w14:textId="00EE9627" w:rsidR="00E00420" w:rsidRDefault="00E00420" w:rsidP="0037345D">
      <w:pPr>
        <w:pStyle w:val="ListParagraph"/>
        <w:ind w:left="360"/>
        <w:rPr>
          <w:sz w:val="28"/>
          <w:szCs w:val="28"/>
          <w:shd w:val="clear" w:color="auto" w:fill="FFFFFF"/>
        </w:rPr>
      </w:pPr>
    </w:p>
    <w:p w14:paraId="5C02FBA1" w14:textId="3E96882B" w:rsidR="00E00420" w:rsidRDefault="00E00420" w:rsidP="0037345D">
      <w:pPr>
        <w:pStyle w:val="ListParagraph"/>
        <w:ind w:left="360"/>
        <w:rPr>
          <w:sz w:val="28"/>
          <w:szCs w:val="28"/>
          <w:shd w:val="clear" w:color="auto" w:fill="FFFFFF"/>
        </w:rPr>
      </w:pPr>
    </w:p>
    <w:p w14:paraId="2FF2B423" w14:textId="78A31B67" w:rsidR="00E00420" w:rsidRDefault="00E00420" w:rsidP="0037345D">
      <w:pPr>
        <w:pStyle w:val="ListParagraph"/>
        <w:ind w:left="360"/>
        <w:rPr>
          <w:sz w:val="28"/>
          <w:szCs w:val="28"/>
          <w:shd w:val="clear" w:color="auto" w:fill="FFFFFF"/>
        </w:rPr>
      </w:pPr>
    </w:p>
    <w:p w14:paraId="245F3029" w14:textId="3F4DC3C8" w:rsidR="00E00420" w:rsidRDefault="00E00420" w:rsidP="0037345D">
      <w:pPr>
        <w:pStyle w:val="ListParagraph"/>
        <w:ind w:left="360"/>
        <w:rPr>
          <w:sz w:val="28"/>
          <w:szCs w:val="28"/>
          <w:shd w:val="clear" w:color="auto" w:fill="FFFFFF"/>
        </w:rPr>
      </w:pPr>
    </w:p>
    <w:p w14:paraId="255C9E2F" w14:textId="1C2E605C" w:rsidR="00E00420" w:rsidRDefault="00E00420" w:rsidP="0037345D">
      <w:pPr>
        <w:pStyle w:val="ListParagraph"/>
        <w:ind w:left="360"/>
        <w:rPr>
          <w:sz w:val="28"/>
          <w:szCs w:val="28"/>
          <w:shd w:val="clear" w:color="auto" w:fill="FFFFFF"/>
        </w:rPr>
      </w:pPr>
    </w:p>
    <w:p w14:paraId="3A33789F" w14:textId="25429152" w:rsidR="00E00420" w:rsidRDefault="00E00420" w:rsidP="0037345D">
      <w:pPr>
        <w:pStyle w:val="ListParagraph"/>
        <w:ind w:left="360"/>
        <w:rPr>
          <w:sz w:val="28"/>
          <w:szCs w:val="28"/>
          <w:shd w:val="clear" w:color="auto" w:fill="FFFFFF"/>
        </w:rPr>
      </w:pPr>
    </w:p>
    <w:p w14:paraId="05CDB3DD" w14:textId="6A084043" w:rsidR="00E00420" w:rsidRDefault="00E00420" w:rsidP="0037345D">
      <w:pPr>
        <w:pStyle w:val="ListParagraph"/>
        <w:ind w:left="360"/>
        <w:rPr>
          <w:sz w:val="28"/>
          <w:szCs w:val="28"/>
          <w:shd w:val="clear" w:color="auto" w:fill="FFFFFF"/>
        </w:rPr>
      </w:pPr>
    </w:p>
    <w:p w14:paraId="599638EF" w14:textId="77777777" w:rsidR="00E00420" w:rsidRDefault="00E00420" w:rsidP="0037345D">
      <w:pPr>
        <w:pStyle w:val="ListParagraph"/>
        <w:ind w:left="360"/>
        <w:rPr>
          <w:sz w:val="28"/>
          <w:szCs w:val="28"/>
          <w:shd w:val="clear" w:color="auto" w:fill="FFFFFF"/>
        </w:rPr>
      </w:pPr>
    </w:p>
    <w:p w14:paraId="494799B2" w14:textId="06F7C56D" w:rsidR="00E00420" w:rsidRDefault="00E00420" w:rsidP="0037345D">
      <w:pPr>
        <w:pStyle w:val="ListParagraph"/>
        <w:ind w:left="360"/>
        <w:rPr>
          <w:sz w:val="28"/>
          <w:szCs w:val="28"/>
          <w:shd w:val="clear" w:color="auto" w:fill="FFFFFF"/>
        </w:rPr>
      </w:pPr>
      <w:r>
        <w:rPr>
          <w:sz w:val="28"/>
          <w:szCs w:val="28"/>
          <w:shd w:val="clear" w:color="auto" w:fill="FFFFFF"/>
        </w:rPr>
        <w:t>5. Aston Martin Balance Sheet 2022</w:t>
      </w:r>
    </w:p>
    <w:p w14:paraId="6A5DA995" w14:textId="0CE082C8" w:rsidR="00E00420" w:rsidRDefault="00E00420" w:rsidP="0037345D">
      <w:pPr>
        <w:pStyle w:val="ListParagraph"/>
        <w:ind w:left="360"/>
        <w:rPr>
          <w:sz w:val="28"/>
          <w:szCs w:val="28"/>
          <w:shd w:val="clear" w:color="auto" w:fill="FFFFFF"/>
        </w:rPr>
      </w:pPr>
      <w:r>
        <w:rPr>
          <w:noProof/>
          <w:lang w:val="en-GB" w:eastAsia="en-GB"/>
        </w:rPr>
        <w:lastRenderedPageBreak/>
        <w:drawing>
          <wp:inline distT="0" distB="0" distL="0" distR="0" wp14:anchorId="25D81436" wp14:editId="3C107AD8">
            <wp:extent cx="5695950" cy="3116020"/>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2739" t="23940" r="10758" b="21084"/>
                    <a:stretch/>
                  </pic:blipFill>
                  <pic:spPr bwMode="auto">
                    <a:xfrm>
                      <a:off x="0" y="0"/>
                      <a:ext cx="5715042" cy="3126464"/>
                    </a:xfrm>
                    <a:prstGeom prst="rect">
                      <a:avLst/>
                    </a:prstGeom>
                    <a:ln>
                      <a:noFill/>
                    </a:ln>
                    <a:extLst>
                      <a:ext uri="{53640926-AAD7-44D8-BBD7-CCE9431645EC}">
                        <a14:shadowObscured xmlns:a14="http://schemas.microsoft.com/office/drawing/2010/main"/>
                      </a:ext>
                    </a:extLst>
                  </pic:spPr>
                </pic:pic>
              </a:graphicData>
            </a:graphic>
          </wp:inline>
        </w:drawing>
      </w:r>
    </w:p>
    <w:p w14:paraId="1C05F38D" w14:textId="63C4ABF1" w:rsidR="00E00420" w:rsidRDefault="00E00420" w:rsidP="0037345D">
      <w:pPr>
        <w:pStyle w:val="ListParagraph"/>
        <w:ind w:left="360"/>
        <w:rPr>
          <w:sz w:val="28"/>
          <w:szCs w:val="28"/>
          <w:shd w:val="clear" w:color="auto" w:fill="FFFFFF"/>
        </w:rPr>
      </w:pPr>
      <w:r>
        <w:rPr>
          <w:noProof/>
          <w:lang w:val="en-GB" w:eastAsia="en-GB"/>
        </w:rPr>
        <w:drawing>
          <wp:inline distT="0" distB="0" distL="0" distR="0" wp14:anchorId="79109C2B" wp14:editId="4DD8358A">
            <wp:extent cx="5962650" cy="293735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2572" t="26896" r="11091" b="23744"/>
                    <a:stretch/>
                  </pic:blipFill>
                  <pic:spPr bwMode="auto">
                    <a:xfrm>
                      <a:off x="0" y="0"/>
                      <a:ext cx="5983093" cy="2947424"/>
                    </a:xfrm>
                    <a:prstGeom prst="rect">
                      <a:avLst/>
                    </a:prstGeom>
                    <a:ln>
                      <a:noFill/>
                    </a:ln>
                    <a:extLst>
                      <a:ext uri="{53640926-AAD7-44D8-BBD7-CCE9431645EC}">
                        <a14:shadowObscured xmlns:a14="http://schemas.microsoft.com/office/drawing/2010/main"/>
                      </a:ext>
                    </a:extLst>
                  </pic:spPr>
                </pic:pic>
              </a:graphicData>
            </a:graphic>
          </wp:inline>
        </w:drawing>
      </w:r>
    </w:p>
    <w:p w14:paraId="0B0535B7" w14:textId="07E60C5C" w:rsidR="00E00420" w:rsidRDefault="00E00420" w:rsidP="0037345D">
      <w:pPr>
        <w:pStyle w:val="ListParagraph"/>
        <w:ind w:left="360"/>
        <w:rPr>
          <w:sz w:val="28"/>
          <w:szCs w:val="28"/>
          <w:shd w:val="clear" w:color="auto" w:fill="FFFFFF"/>
        </w:rPr>
      </w:pPr>
    </w:p>
    <w:p w14:paraId="1F74D9E0" w14:textId="755B3ABA" w:rsidR="00E00420" w:rsidRDefault="00E00420" w:rsidP="0037345D">
      <w:pPr>
        <w:pStyle w:val="ListParagraph"/>
        <w:ind w:left="360"/>
        <w:rPr>
          <w:sz w:val="28"/>
          <w:szCs w:val="28"/>
          <w:shd w:val="clear" w:color="auto" w:fill="FFFFFF"/>
        </w:rPr>
      </w:pPr>
    </w:p>
    <w:p w14:paraId="47E8DC45" w14:textId="1640BA47" w:rsidR="00E00420" w:rsidRDefault="00E00420" w:rsidP="0037345D">
      <w:pPr>
        <w:pStyle w:val="ListParagraph"/>
        <w:ind w:left="360"/>
        <w:rPr>
          <w:sz w:val="28"/>
          <w:szCs w:val="28"/>
          <w:shd w:val="clear" w:color="auto" w:fill="FFFFFF"/>
        </w:rPr>
      </w:pPr>
    </w:p>
    <w:p w14:paraId="4C36E872" w14:textId="15153FDF" w:rsidR="00E00420" w:rsidRDefault="00E00420" w:rsidP="0037345D">
      <w:pPr>
        <w:pStyle w:val="ListParagraph"/>
        <w:ind w:left="360"/>
        <w:rPr>
          <w:sz w:val="28"/>
          <w:szCs w:val="28"/>
          <w:shd w:val="clear" w:color="auto" w:fill="FFFFFF"/>
        </w:rPr>
      </w:pPr>
    </w:p>
    <w:p w14:paraId="6B4001B6" w14:textId="0F85BB86" w:rsidR="00E00420" w:rsidRDefault="00E00420" w:rsidP="0037345D">
      <w:pPr>
        <w:pStyle w:val="ListParagraph"/>
        <w:ind w:left="360"/>
        <w:rPr>
          <w:sz w:val="28"/>
          <w:szCs w:val="28"/>
          <w:shd w:val="clear" w:color="auto" w:fill="FFFFFF"/>
        </w:rPr>
      </w:pPr>
    </w:p>
    <w:p w14:paraId="1877C0C0" w14:textId="53BB2956" w:rsidR="00E00420" w:rsidRDefault="00E00420" w:rsidP="0037345D">
      <w:pPr>
        <w:pStyle w:val="ListParagraph"/>
        <w:ind w:left="360"/>
        <w:rPr>
          <w:sz w:val="28"/>
          <w:szCs w:val="28"/>
          <w:shd w:val="clear" w:color="auto" w:fill="FFFFFF"/>
        </w:rPr>
      </w:pPr>
    </w:p>
    <w:p w14:paraId="4E2D9D96" w14:textId="372D49F2" w:rsidR="00E00420" w:rsidRDefault="00E00420" w:rsidP="0037345D">
      <w:pPr>
        <w:pStyle w:val="ListParagraph"/>
        <w:ind w:left="360"/>
        <w:rPr>
          <w:sz w:val="28"/>
          <w:szCs w:val="28"/>
          <w:shd w:val="clear" w:color="auto" w:fill="FFFFFF"/>
        </w:rPr>
      </w:pPr>
    </w:p>
    <w:p w14:paraId="5F7A9F9B" w14:textId="294708EE" w:rsidR="00E00420" w:rsidRDefault="00E00420" w:rsidP="0037345D">
      <w:pPr>
        <w:pStyle w:val="ListParagraph"/>
        <w:ind w:left="360"/>
        <w:rPr>
          <w:sz w:val="28"/>
          <w:szCs w:val="28"/>
          <w:shd w:val="clear" w:color="auto" w:fill="FFFFFF"/>
        </w:rPr>
      </w:pPr>
    </w:p>
    <w:p w14:paraId="252E5FB7" w14:textId="0A13DF1E" w:rsidR="00E00420" w:rsidRDefault="00E00420" w:rsidP="0037345D">
      <w:pPr>
        <w:pStyle w:val="ListParagraph"/>
        <w:ind w:left="360"/>
        <w:rPr>
          <w:sz w:val="28"/>
          <w:szCs w:val="28"/>
          <w:shd w:val="clear" w:color="auto" w:fill="FFFFFF"/>
        </w:rPr>
      </w:pPr>
    </w:p>
    <w:p w14:paraId="37633E71" w14:textId="7A022F28" w:rsidR="00E00420" w:rsidRDefault="00E00420" w:rsidP="0037345D">
      <w:pPr>
        <w:pStyle w:val="ListParagraph"/>
        <w:ind w:left="360"/>
        <w:rPr>
          <w:sz w:val="28"/>
          <w:szCs w:val="28"/>
          <w:shd w:val="clear" w:color="auto" w:fill="FFFFFF"/>
        </w:rPr>
      </w:pPr>
    </w:p>
    <w:p w14:paraId="26546104" w14:textId="67F9984C" w:rsidR="00E00420" w:rsidRDefault="00E00420" w:rsidP="0037345D">
      <w:pPr>
        <w:pStyle w:val="ListParagraph"/>
        <w:ind w:left="360"/>
        <w:rPr>
          <w:sz w:val="28"/>
          <w:szCs w:val="28"/>
          <w:shd w:val="clear" w:color="auto" w:fill="FFFFFF"/>
        </w:rPr>
      </w:pPr>
      <w:r>
        <w:rPr>
          <w:sz w:val="28"/>
          <w:szCs w:val="28"/>
          <w:shd w:val="clear" w:color="auto" w:fill="FFFFFF"/>
        </w:rPr>
        <w:t>6. Aston Martin Cashflow 2022</w:t>
      </w:r>
    </w:p>
    <w:p w14:paraId="6D547B5E" w14:textId="417AA7C6" w:rsidR="00E00420" w:rsidRDefault="00E00420" w:rsidP="0037345D">
      <w:pPr>
        <w:pStyle w:val="ListParagraph"/>
        <w:ind w:left="360"/>
        <w:rPr>
          <w:sz w:val="28"/>
          <w:szCs w:val="28"/>
          <w:shd w:val="clear" w:color="auto" w:fill="FFFFFF"/>
        </w:rPr>
      </w:pPr>
      <w:r>
        <w:rPr>
          <w:noProof/>
          <w:lang w:val="en-GB" w:eastAsia="en-GB"/>
        </w:rPr>
        <w:lastRenderedPageBreak/>
        <w:drawing>
          <wp:inline distT="0" distB="0" distL="0" distR="0" wp14:anchorId="44C18F03" wp14:editId="438CA028">
            <wp:extent cx="5667375" cy="486363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8057" t="22167" r="16243" b="8079"/>
                    <a:stretch/>
                  </pic:blipFill>
                  <pic:spPr bwMode="auto">
                    <a:xfrm>
                      <a:off x="0" y="0"/>
                      <a:ext cx="5685635" cy="4879309"/>
                    </a:xfrm>
                    <a:prstGeom prst="rect">
                      <a:avLst/>
                    </a:prstGeom>
                    <a:ln>
                      <a:noFill/>
                    </a:ln>
                    <a:extLst>
                      <a:ext uri="{53640926-AAD7-44D8-BBD7-CCE9431645EC}">
                        <a14:shadowObscured xmlns:a14="http://schemas.microsoft.com/office/drawing/2010/main"/>
                      </a:ext>
                    </a:extLst>
                  </pic:spPr>
                </pic:pic>
              </a:graphicData>
            </a:graphic>
          </wp:inline>
        </w:drawing>
      </w:r>
    </w:p>
    <w:p w14:paraId="19831F2A" w14:textId="77777777" w:rsidR="00E00420" w:rsidRDefault="00E00420" w:rsidP="0037345D">
      <w:pPr>
        <w:pStyle w:val="ListParagraph"/>
        <w:ind w:left="360"/>
        <w:rPr>
          <w:sz w:val="28"/>
          <w:szCs w:val="28"/>
          <w:shd w:val="clear" w:color="auto" w:fill="FFFFFF"/>
        </w:rPr>
      </w:pPr>
    </w:p>
    <w:sectPr w:rsidR="00E00420" w:rsidSect="00B656E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58106F" w14:textId="77777777" w:rsidR="008F7F88" w:rsidRDefault="008F7F88" w:rsidP="00894D0F">
      <w:pPr>
        <w:spacing w:after="0" w:line="240" w:lineRule="auto"/>
      </w:pPr>
      <w:r>
        <w:separator/>
      </w:r>
    </w:p>
  </w:endnote>
  <w:endnote w:type="continuationSeparator" w:id="0">
    <w:p w14:paraId="0510C04A" w14:textId="77777777" w:rsidR="008F7F88" w:rsidRDefault="008F7F88" w:rsidP="0089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1159513"/>
      <w:docPartObj>
        <w:docPartGallery w:val="Page Numbers (Bottom of Page)"/>
        <w:docPartUnique/>
      </w:docPartObj>
    </w:sdtPr>
    <w:sdtEndPr>
      <w:rPr>
        <w:noProof/>
      </w:rPr>
    </w:sdtEndPr>
    <w:sdtContent>
      <w:p w14:paraId="4543A0E2" w14:textId="3F3CC15F" w:rsidR="00894D0F" w:rsidRDefault="00894D0F">
        <w:pPr>
          <w:pStyle w:val="Footer"/>
          <w:jc w:val="center"/>
        </w:pPr>
        <w:r>
          <w:fldChar w:fldCharType="begin"/>
        </w:r>
        <w:r>
          <w:instrText xml:space="preserve"> PAGE   \* MERGEFORMAT </w:instrText>
        </w:r>
        <w:r>
          <w:fldChar w:fldCharType="separate"/>
        </w:r>
        <w:r w:rsidR="00707E9D">
          <w:rPr>
            <w:noProof/>
          </w:rPr>
          <w:t>18</w:t>
        </w:r>
        <w:r>
          <w:rPr>
            <w:noProof/>
          </w:rPr>
          <w:fldChar w:fldCharType="end"/>
        </w:r>
      </w:p>
    </w:sdtContent>
  </w:sdt>
  <w:p w14:paraId="657F9DAE" w14:textId="77777777" w:rsidR="00894D0F" w:rsidRDefault="00894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41A46" w14:textId="77777777" w:rsidR="008F7F88" w:rsidRDefault="008F7F88" w:rsidP="00894D0F">
      <w:pPr>
        <w:spacing w:after="0" w:line="240" w:lineRule="auto"/>
      </w:pPr>
      <w:r>
        <w:separator/>
      </w:r>
    </w:p>
  </w:footnote>
  <w:footnote w:type="continuationSeparator" w:id="0">
    <w:p w14:paraId="2B91B179" w14:textId="77777777" w:rsidR="008F7F88" w:rsidRDefault="008F7F88" w:rsidP="00894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B08FE"/>
    <w:multiLevelType w:val="multilevel"/>
    <w:tmpl w:val="337A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03CAD"/>
    <w:multiLevelType w:val="multilevel"/>
    <w:tmpl w:val="A4B8B2CE"/>
    <w:lvl w:ilvl="0">
      <w:start w:val="1"/>
      <w:numFmt w:val="decimal"/>
      <w:lvlText w:val="%1."/>
      <w:lvlJc w:val="left"/>
      <w:pPr>
        <w:ind w:left="360" w:hanging="360"/>
      </w:pPr>
      <w:rPr>
        <w:rFonts w:hint="default"/>
      </w:rPr>
    </w:lvl>
    <w:lvl w:ilvl="1">
      <w:start w:val="2"/>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90F2D92"/>
    <w:multiLevelType w:val="hybridMultilevel"/>
    <w:tmpl w:val="4722636E"/>
    <w:lvl w:ilvl="0" w:tplc="08090017">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732396"/>
    <w:multiLevelType w:val="multilevel"/>
    <w:tmpl w:val="D2B64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B5231E"/>
    <w:multiLevelType w:val="multilevel"/>
    <w:tmpl w:val="BC50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0A64AC"/>
    <w:multiLevelType w:val="hybridMultilevel"/>
    <w:tmpl w:val="68FCEED8"/>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722E7"/>
    <w:multiLevelType w:val="hybridMultilevel"/>
    <w:tmpl w:val="172A0498"/>
    <w:lvl w:ilvl="0" w:tplc="8CB0A1B2">
      <w:start w:val="1"/>
      <w:numFmt w:val="lowerLetter"/>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782BD5"/>
    <w:multiLevelType w:val="multilevel"/>
    <w:tmpl w:val="8F32F0C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2B29088C"/>
    <w:multiLevelType w:val="hybridMultilevel"/>
    <w:tmpl w:val="18EC7C1E"/>
    <w:lvl w:ilvl="0" w:tplc="01DCAD7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EE25278"/>
    <w:multiLevelType w:val="hybridMultilevel"/>
    <w:tmpl w:val="524A72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D752DB"/>
    <w:multiLevelType w:val="multilevel"/>
    <w:tmpl w:val="A4B8B2CE"/>
    <w:lvl w:ilvl="0">
      <w:start w:val="1"/>
      <w:numFmt w:val="decimal"/>
      <w:lvlText w:val="%1."/>
      <w:lvlJc w:val="left"/>
      <w:pPr>
        <w:ind w:left="644" w:hanging="360"/>
      </w:pPr>
      <w:rPr>
        <w:rFonts w:hint="default"/>
      </w:rPr>
    </w:lvl>
    <w:lvl w:ilvl="1">
      <w:start w:val="2"/>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42642DD6"/>
    <w:multiLevelType w:val="multilevel"/>
    <w:tmpl w:val="5776E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3F2628"/>
    <w:multiLevelType w:val="hybridMultilevel"/>
    <w:tmpl w:val="8CB802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7B788E"/>
    <w:multiLevelType w:val="multilevel"/>
    <w:tmpl w:val="7AD84564"/>
    <w:lvl w:ilvl="0">
      <w:start w:val="3"/>
      <w:numFmt w:val="decimal"/>
      <w:lvlText w:val="%1"/>
      <w:lvlJc w:val="left"/>
      <w:pPr>
        <w:ind w:left="384" w:hanging="384"/>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7125686A"/>
    <w:multiLevelType w:val="multilevel"/>
    <w:tmpl w:val="D9B20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F05F40"/>
    <w:multiLevelType w:val="multilevel"/>
    <w:tmpl w:val="C51A2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B136462"/>
    <w:multiLevelType w:val="multilevel"/>
    <w:tmpl w:val="9742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11"/>
  </w:num>
  <w:num w:numId="3">
    <w:abstractNumId w:val="0"/>
  </w:num>
  <w:num w:numId="4">
    <w:abstractNumId w:val="4"/>
  </w:num>
  <w:num w:numId="5">
    <w:abstractNumId w:val="15"/>
  </w:num>
  <w:num w:numId="6">
    <w:abstractNumId w:val="16"/>
  </w:num>
  <w:num w:numId="7">
    <w:abstractNumId w:val="3"/>
  </w:num>
  <w:num w:numId="8">
    <w:abstractNumId w:val="7"/>
  </w:num>
  <w:num w:numId="9">
    <w:abstractNumId w:val="1"/>
  </w:num>
  <w:num w:numId="10">
    <w:abstractNumId w:val="6"/>
  </w:num>
  <w:num w:numId="11">
    <w:abstractNumId w:val="9"/>
  </w:num>
  <w:num w:numId="12">
    <w:abstractNumId w:val="13"/>
  </w:num>
  <w:num w:numId="13">
    <w:abstractNumId w:val="2"/>
  </w:num>
  <w:num w:numId="14">
    <w:abstractNumId w:val="8"/>
  </w:num>
  <w:num w:numId="15">
    <w:abstractNumId w:val="12"/>
  </w:num>
  <w:num w:numId="16">
    <w:abstractNumId w:val="10"/>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099"/>
    <w:rsid w:val="00000823"/>
    <w:rsid w:val="00002336"/>
    <w:rsid w:val="00047A40"/>
    <w:rsid w:val="00097AEE"/>
    <w:rsid w:val="000C0EA2"/>
    <w:rsid w:val="000E5836"/>
    <w:rsid w:val="00114A88"/>
    <w:rsid w:val="00123700"/>
    <w:rsid w:val="00155D2F"/>
    <w:rsid w:val="001841AA"/>
    <w:rsid w:val="00187BD8"/>
    <w:rsid w:val="001A3BD7"/>
    <w:rsid w:val="001E757D"/>
    <w:rsid w:val="0020653E"/>
    <w:rsid w:val="00211F3B"/>
    <w:rsid w:val="0026057C"/>
    <w:rsid w:val="0027233A"/>
    <w:rsid w:val="002739E1"/>
    <w:rsid w:val="002867E1"/>
    <w:rsid w:val="002B3756"/>
    <w:rsid w:val="002D7FB9"/>
    <w:rsid w:val="002E1B12"/>
    <w:rsid w:val="003175A7"/>
    <w:rsid w:val="00334D50"/>
    <w:rsid w:val="00364B44"/>
    <w:rsid w:val="0037345D"/>
    <w:rsid w:val="003C3C7F"/>
    <w:rsid w:val="00402354"/>
    <w:rsid w:val="0042788D"/>
    <w:rsid w:val="00430BB8"/>
    <w:rsid w:val="00473FF3"/>
    <w:rsid w:val="00475D7E"/>
    <w:rsid w:val="00486286"/>
    <w:rsid w:val="004967AB"/>
    <w:rsid w:val="004E7AF6"/>
    <w:rsid w:val="00503BF4"/>
    <w:rsid w:val="00532B28"/>
    <w:rsid w:val="0055068E"/>
    <w:rsid w:val="005569D6"/>
    <w:rsid w:val="00592876"/>
    <w:rsid w:val="005B417B"/>
    <w:rsid w:val="006008DA"/>
    <w:rsid w:val="00662D93"/>
    <w:rsid w:val="006B2BBF"/>
    <w:rsid w:val="006E14B3"/>
    <w:rsid w:val="00707E9D"/>
    <w:rsid w:val="0074013A"/>
    <w:rsid w:val="00753FB8"/>
    <w:rsid w:val="00836CDF"/>
    <w:rsid w:val="00894D0F"/>
    <w:rsid w:val="008A2B52"/>
    <w:rsid w:val="008F7F88"/>
    <w:rsid w:val="009959FA"/>
    <w:rsid w:val="009B7C2E"/>
    <w:rsid w:val="009D7753"/>
    <w:rsid w:val="009E32E3"/>
    <w:rsid w:val="00A177C0"/>
    <w:rsid w:val="00A17FAF"/>
    <w:rsid w:val="00AB0566"/>
    <w:rsid w:val="00AF394C"/>
    <w:rsid w:val="00B20EBC"/>
    <w:rsid w:val="00B3342E"/>
    <w:rsid w:val="00B56B5A"/>
    <w:rsid w:val="00B656E6"/>
    <w:rsid w:val="00B8288A"/>
    <w:rsid w:val="00B94ACD"/>
    <w:rsid w:val="00BC102A"/>
    <w:rsid w:val="00BF0CFD"/>
    <w:rsid w:val="00C176E4"/>
    <w:rsid w:val="00C73C18"/>
    <w:rsid w:val="00C779CF"/>
    <w:rsid w:val="00C848E4"/>
    <w:rsid w:val="00D414EB"/>
    <w:rsid w:val="00D72ABB"/>
    <w:rsid w:val="00D84840"/>
    <w:rsid w:val="00E00420"/>
    <w:rsid w:val="00E05099"/>
    <w:rsid w:val="00E21BB0"/>
    <w:rsid w:val="00E8236D"/>
    <w:rsid w:val="00E91BA5"/>
    <w:rsid w:val="00EA7D5D"/>
    <w:rsid w:val="00EE291B"/>
    <w:rsid w:val="00EF79B7"/>
    <w:rsid w:val="00F21D57"/>
    <w:rsid w:val="00F50595"/>
    <w:rsid w:val="00F5745A"/>
    <w:rsid w:val="00FB1BF1"/>
    <w:rsid w:val="00FD1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BAD75"/>
  <w15:chartTrackingRefBased/>
  <w15:docId w15:val="{CD5F8829-8B76-4F2C-9954-3F37FDD6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9C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FB9"/>
    <w:rPr>
      <w:color w:val="0563C1" w:themeColor="hyperlink"/>
      <w:u w:val="single"/>
    </w:rPr>
  </w:style>
  <w:style w:type="character" w:customStyle="1" w:styleId="UnresolvedMention1">
    <w:name w:val="Unresolved Mention1"/>
    <w:basedOn w:val="DefaultParagraphFont"/>
    <w:uiPriority w:val="99"/>
    <w:semiHidden/>
    <w:unhideWhenUsed/>
    <w:rsid w:val="002D7FB9"/>
    <w:rPr>
      <w:color w:val="605E5C"/>
      <w:shd w:val="clear" w:color="auto" w:fill="E1DFDD"/>
    </w:rPr>
  </w:style>
  <w:style w:type="paragraph" w:styleId="ListParagraph">
    <w:name w:val="List Paragraph"/>
    <w:basedOn w:val="Normal"/>
    <w:uiPriority w:val="34"/>
    <w:qFormat/>
    <w:rsid w:val="00B94ACD"/>
    <w:pPr>
      <w:ind w:left="720"/>
      <w:contextualSpacing/>
    </w:pPr>
  </w:style>
  <w:style w:type="character" w:customStyle="1" w:styleId="sw">
    <w:name w:val="sw"/>
    <w:basedOn w:val="DefaultParagraphFont"/>
    <w:rsid w:val="00430BB8"/>
  </w:style>
  <w:style w:type="character" w:styleId="FollowedHyperlink">
    <w:name w:val="FollowedHyperlink"/>
    <w:basedOn w:val="DefaultParagraphFont"/>
    <w:uiPriority w:val="99"/>
    <w:semiHidden/>
    <w:unhideWhenUsed/>
    <w:rsid w:val="00B8288A"/>
    <w:rPr>
      <w:color w:val="954F72" w:themeColor="followedHyperlink"/>
      <w:u w:val="single"/>
    </w:rPr>
  </w:style>
  <w:style w:type="character" w:customStyle="1" w:styleId="UnresolvedMention">
    <w:name w:val="Unresolved Mention"/>
    <w:basedOn w:val="DefaultParagraphFont"/>
    <w:uiPriority w:val="99"/>
    <w:semiHidden/>
    <w:unhideWhenUsed/>
    <w:rsid w:val="00B8288A"/>
    <w:rPr>
      <w:color w:val="605E5C"/>
      <w:shd w:val="clear" w:color="auto" w:fill="E1DFDD"/>
    </w:rPr>
  </w:style>
  <w:style w:type="character" w:customStyle="1" w:styleId="mord">
    <w:name w:val="mord"/>
    <w:basedOn w:val="DefaultParagraphFont"/>
    <w:rsid w:val="00836CDF"/>
  </w:style>
  <w:style w:type="character" w:customStyle="1" w:styleId="mrel">
    <w:name w:val="mrel"/>
    <w:basedOn w:val="DefaultParagraphFont"/>
    <w:rsid w:val="00836CDF"/>
  </w:style>
  <w:style w:type="character" w:customStyle="1" w:styleId="mbin">
    <w:name w:val="mbin"/>
    <w:basedOn w:val="DefaultParagraphFont"/>
    <w:rsid w:val="00836CDF"/>
  </w:style>
  <w:style w:type="character" w:customStyle="1" w:styleId="vlist-s">
    <w:name w:val="vlist-s"/>
    <w:basedOn w:val="DefaultParagraphFont"/>
    <w:rsid w:val="00836CDF"/>
  </w:style>
  <w:style w:type="character" w:customStyle="1" w:styleId="formula">
    <w:name w:val="formula"/>
    <w:basedOn w:val="DefaultParagraphFont"/>
    <w:rsid w:val="00836CDF"/>
  </w:style>
  <w:style w:type="paragraph" w:styleId="NoSpacing">
    <w:name w:val="No Spacing"/>
    <w:uiPriority w:val="1"/>
    <w:qFormat/>
    <w:rsid w:val="0026057C"/>
    <w:pPr>
      <w:spacing w:after="0" w:line="240" w:lineRule="auto"/>
    </w:pPr>
  </w:style>
  <w:style w:type="paragraph" w:styleId="Header">
    <w:name w:val="header"/>
    <w:basedOn w:val="Normal"/>
    <w:link w:val="HeaderChar"/>
    <w:uiPriority w:val="99"/>
    <w:unhideWhenUsed/>
    <w:rsid w:val="00894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D0F"/>
  </w:style>
  <w:style w:type="paragraph" w:styleId="Footer">
    <w:name w:val="footer"/>
    <w:basedOn w:val="Normal"/>
    <w:link w:val="FooterChar"/>
    <w:uiPriority w:val="99"/>
    <w:unhideWhenUsed/>
    <w:rsid w:val="00894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D0F"/>
  </w:style>
  <w:style w:type="paragraph" w:styleId="NormalWeb">
    <w:name w:val="Normal (Web)"/>
    <w:basedOn w:val="Normal"/>
    <w:uiPriority w:val="99"/>
    <w:semiHidden/>
    <w:unhideWhenUsed/>
    <w:rsid w:val="00B56B5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odyText">
    <w:name w:val="Body Text"/>
    <w:basedOn w:val="Normal"/>
    <w:link w:val="BodyTextChar"/>
    <w:uiPriority w:val="99"/>
    <w:semiHidden/>
    <w:unhideWhenUsed/>
    <w:rsid w:val="0037345D"/>
    <w:pPr>
      <w:spacing w:after="120"/>
    </w:pPr>
  </w:style>
  <w:style w:type="character" w:customStyle="1" w:styleId="BodyTextChar">
    <w:name w:val="Body Text Char"/>
    <w:basedOn w:val="DefaultParagraphFont"/>
    <w:link w:val="BodyText"/>
    <w:uiPriority w:val="99"/>
    <w:semiHidden/>
    <w:rsid w:val="00373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434918">
      <w:bodyDiv w:val="1"/>
      <w:marLeft w:val="0"/>
      <w:marRight w:val="0"/>
      <w:marTop w:val="0"/>
      <w:marBottom w:val="0"/>
      <w:divBdr>
        <w:top w:val="none" w:sz="0" w:space="0" w:color="auto"/>
        <w:left w:val="none" w:sz="0" w:space="0" w:color="auto"/>
        <w:bottom w:val="none" w:sz="0" w:space="0" w:color="auto"/>
        <w:right w:val="none" w:sz="0" w:space="0" w:color="auto"/>
      </w:divBdr>
    </w:div>
    <w:div w:id="398210044">
      <w:bodyDiv w:val="1"/>
      <w:marLeft w:val="0"/>
      <w:marRight w:val="0"/>
      <w:marTop w:val="0"/>
      <w:marBottom w:val="0"/>
      <w:divBdr>
        <w:top w:val="none" w:sz="0" w:space="0" w:color="auto"/>
        <w:left w:val="none" w:sz="0" w:space="0" w:color="auto"/>
        <w:bottom w:val="none" w:sz="0" w:space="0" w:color="auto"/>
        <w:right w:val="none" w:sz="0" w:space="0" w:color="auto"/>
      </w:divBdr>
    </w:div>
    <w:div w:id="398287518">
      <w:bodyDiv w:val="1"/>
      <w:marLeft w:val="0"/>
      <w:marRight w:val="0"/>
      <w:marTop w:val="0"/>
      <w:marBottom w:val="0"/>
      <w:divBdr>
        <w:top w:val="none" w:sz="0" w:space="0" w:color="auto"/>
        <w:left w:val="none" w:sz="0" w:space="0" w:color="auto"/>
        <w:bottom w:val="none" w:sz="0" w:space="0" w:color="auto"/>
        <w:right w:val="none" w:sz="0" w:space="0" w:color="auto"/>
      </w:divBdr>
    </w:div>
    <w:div w:id="472068007">
      <w:bodyDiv w:val="1"/>
      <w:marLeft w:val="0"/>
      <w:marRight w:val="0"/>
      <w:marTop w:val="0"/>
      <w:marBottom w:val="0"/>
      <w:divBdr>
        <w:top w:val="none" w:sz="0" w:space="0" w:color="auto"/>
        <w:left w:val="none" w:sz="0" w:space="0" w:color="auto"/>
        <w:bottom w:val="none" w:sz="0" w:space="0" w:color="auto"/>
        <w:right w:val="none" w:sz="0" w:space="0" w:color="auto"/>
      </w:divBdr>
    </w:div>
    <w:div w:id="632712868">
      <w:bodyDiv w:val="1"/>
      <w:marLeft w:val="0"/>
      <w:marRight w:val="0"/>
      <w:marTop w:val="0"/>
      <w:marBottom w:val="0"/>
      <w:divBdr>
        <w:top w:val="none" w:sz="0" w:space="0" w:color="auto"/>
        <w:left w:val="none" w:sz="0" w:space="0" w:color="auto"/>
        <w:bottom w:val="none" w:sz="0" w:space="0" w:color="auto"/>
        <w:right w:val="none" w:sz="0" w:space="0" w:color="auto"/>
      </w:divBdr>
    </w:div>
    <w:div w:id="773328491">
      <w:bodyDiv w:val="1"/>
      <w:marLeft w:val="0"/>
      <w:marRight w:val="0"/>
      <w:marTop w:val="0"/>
      <w:marBottom w:val="0"/>
      <w:divBdr>
        <w:top w:val="none" w:sz="0" w:space="0" w:color="auto"/>
        <w:left w:val="none" w:sz="0" w:space="0" w:color="auto"/>
        <w:bottom w:val="none" w:sz="0" w:space="0" w:color="auto"/>
        <w:right w:val="none" w:sz="0" w:space="0" w:color="auto"/>
      </w:divBdr>
      <w:divsChild>
        <w:div w:id="2000302955">
          <w:marLeft w:val="0"/>
          <w:marRight w:val="0"/>
          <w:marTop w:val="0"/>
          <w:marBottom w:val="0"/>
          <w:divBdr>
            <w:top w:val="none" w:sz="0" w:space="0" w:color="auto"/>
            <w:left w:val="none" w:sz="0" w:space="0" w:color="auto"/>
            <w:bottom w:val="none" w:sz="0" w:space="0" w:color="auto"/>
            <w:right w:val="none" w:sz="0" w:space="0" w:color="auto"/>
          </w:divBdr>
          <w:divsChild>
            <w:div w:id="1805003084">
              <w:marLeft w:val="0"/>
              <w:marRight w:val="0"/>
              <w:marTop w:val="0"/>
              <w:marBottom w:val="0"/>
              <w:divBdr>
                <w:top w:val="none" w:sz="0" w:space="0" w:color="auto"/>
                <w:left w:val="none" w:sz="0" w:space="0" w:color="auto"/>
                <w:bottom w:val="none" w:sz="0" w:space="0" w:color="auto"/>
                <w:right w:val="none" w:sz="0" w:space="0" w:color="auto"/>
              </w:divBdr>
            </w:div>
          </w:divsChild>
        </w:div>
        <w:div w:id="1495610716">
          <w:marLeft w:val="0"/>
          <w:marRight w:val="0"/>
          <w:marTop w:val="0"/>
          <w:marBottom w:val="0"/>
          <w:divBdr>
            <w:top w:val="none" w:sz="0" w:space="0" w:color="auto"/>
            <w:left w:val="none" w:sz="0" w:space="0" w:color="auto"/>
            <w:bottom w:val="none" w:sz="0" w:space="0" w:color="auto"/>
            <w:right w:val="none" w:sz="0" w:space="0" w:color="auto"/>
          </w:divBdr>
          <w:divsChild>
            <w:div w:id="71665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048775">
      <w:bodyDiv w:val="1"/>
      <w:marLeft w:val="0"/>
      <w:marRight w:val="0"/>
      <w:marTop w:val="0"/>
      <w:marBottom w:val="0"/>
      <w:divBdr>
        <w:top w:val="none" w:sz="0" w:space="0" w:color="auto"/>
        <w:left w:val="none" w:sz="0" w:space="0" w:color="auto"/>
        <w:bottom w:val="none" w:sz="0" w:space="0" w:color="auto"/>
        <w:right w:val="none" w:sz="0" w:space="0" w:color="auto"/>
      </w:divBdr>
    </w:div>
    <w:div w:id="953288547">
      <w:bodyDiv w:val="1"/>
      <w:marLeft w:val="0"/>
      <w:marRight w:val="0"/>
      <w:marTop w:val="0"/>
      <w:marBottom w:val="0"/>
      <w:divBdr>
        <w:top w:val="none" w:sz="0" w:space="0" w:color="auto"/>
        <w:left w:val="none" w:sz="0" w:space="0" w:color="auto"/>
        <w:bottom w:val="none" w:sz="0" w:space="0" w:color="auto"/>
        <w:right w:val="none" w:sz="0" w:space="0" w:color="auto"/>
      </w:divBdr>
    </w:div>
    <w:div w:id="1213880229">
      <w:bodyDiv w:val="1"/>
      <w:marLeft w:val="0"/>
      <w:marRight w:val="0"/>
      <w:marTop w:val="0"/>
      <w:marBottom w:val="0"/>
      <w:divBdr>
        <w:top w:val="none" w:sz="0" w:space="0" w:color="auto"/>
        <w:left w:val="none" w:sz="0" w:space="0" w:color="auto"/>
        <w:bottom w:val="none" w:sz="0" w:space="0" w:color="auto"/>
        <w:right w:val="none" w:sz="0" w:space="0" w:color="auto"/>
      </w:divBdr>
    </w:div>
    <w:div w:id="1551261987">
      <w:bodyDiv w:val="1"/>
      <w:marLeft w:val="0"/>
      <w:marRight w:val="0"/>
      <w:marTop w:val="0"/>
      <w:marBottom w:val="0"/>
      <w:divBdr>
        <w:top w:val="none" w:sz="0" w:space="0" w:color="auto"/>
        <w:left w:val="none" w:sz="0" w:space="0" w:color="auto"/>
        <w:bottom w:val="none" w:sz="0" w:space="0" w:color="auto"/>
        <w:right w:val="none" w:sz="0" w:space="0" w:color="auto"/>
      </w:divBdr>
      <w:divsChild>
        <w:div w:id="1526867608">
          <w:marLeft w:val="0"/>
          <w:marRight w:val="0"/>
          <w:marTop w:val="720"/>
          <w:marBottom w:val="0"/>
          <w:divBdr>
            <w:top w:val="none" w:sz="0" w:space="0" w:color="auto"/>
            <w:left w:val="none" w:sz="0" w:space="0" w:color="auto"/>
            <w:bottom w:val="none" w:sz="0" w:space="0" w:color="auto"/>
            <w:right w:val="none" w:sz="0" w:space="0" w:color="auto"/>
          </w:divBdr>
          <w:divsChild>
            <w:div w:id="68059140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6435713">
          <w:marLeft w:val="0"/>
          <w:marRight w:val="0"/>
          <w:marTop w:val="720"/>
          <w:marBottom w:val="0"/>
          <w:divBdr>
            <w:top w:val="none" w:sz="0" w:space="0" w:color="auto"/>
            <w:left w:val="none" w:sz="0" w:space="0" w:color="auto"/>
            <w:bottom w:val="none" w:sz="0" w:space="0" w:color="auto"/>
            <w:right w:val="none" w:sz="0" w:space="0" w:color="auto"/>
          </w:divBdr>
          <w:divsChild>
            <w:div w:id="73964365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439419419">
          <w:marLeft w:val="0"/>
          <w:marRight w:val="0"/>
          <w:marTop w:val="720"/>
          <w:marBottom w:val="0"/>
          <w:divBdr>
            <w:top w:val="none" w:sz="0" w:space="0" w:color="auto"/>
            <w:left w:val="none" w:sz="0" w:space="0" w:color="auto"/>
            <w:bottom w:val="none" w:sz="0" w:space="0" w:color="auto"/>
            <w:right w:val="none" w:sz="0" w:space="0" w:color="auto"/>
          </w:divBdr>
          <w:divsChild>
            <w:div w:id="96069260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349216">
      <w:bodyDiv w:val="1"/>
      <w:marLeft w:val="0"/>
      <w:marRight w:val="0"/>
      <w:marTop w:val="0"/>
      <w:marBottom w:val="0"/>
      <w:divBdr>
        <w:top w:val="none" w:sz="0" w:space="0" w:color="auto"/>
        <w:left w:val="none" w:sz="0" w:space="0" w:color="auto"/>
        <w:bottom w:val="none" w:sz="0" w:space="0" w:color="auto"/>
        <w:right w:val="none" w:sz="0" w:space="0" w:color="auto"/>
      </w:divBdr>
    </w:div>
    <w:div w:id="1903174859">
      <w:bodyDiv w:val="1"/>
      <w:marLeft w:val="0"/>
      <w:marRight w:val="0"/>
      <w:marTop w:val="0"/>
      <w:marBottom w:val="0"/>
      <w:divBdr>
        <w:top w:val="none" w:sz="0" w:space="0" w:color="auto"/>
        <w:left w:val="none" w:sz="0" w:space="0" w:color="auto"/>
        <w:bottom w:val="none" w:sz="0" w:space="0" w:color="auto"/>
        <w:right w:val="none" w:sz="0" w:space="0" w:color="auto"/>
      </w:divBdr>
    </w:div>
    <w:div w:id="1987709353">
      <w:bodyDiv w:val="1"/>
      <w:marLeft w:val="0"/>
      <w:marRight w:val="0"/>
      <w:marTop w:val="0"/>
      <w:marBottom w:val="0"/>
      <w:divBdr>
        <w:top w:val="none" w:sz="0" w:space="0" w:color="auto"/>
        <w:left w:val="none" w:sz="0" w:space="0" w:color="auto"/>
        <w:bottom w:val="none" w:sz="0" w:space="0" w:color="auto"/>
        <w:right w:val="none" w:sz="0" w:space="0" w:color="auto"/>
      </w:divBdr>
    </w:div>
    <w:div w:id="206702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chart" Target="charts/chart11.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chart" Target="charts/chart10.xm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chart" Target="charts/chart1.xml"/><Relationship Id="rId19" Type="http://schemas.openxmlformats.org/officeDocument/2006/relationships/chart" Target="charts/chart9.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5.xml"/><Relationship Id="rId22" Type="http://schemas.openxmlformats.org/officeDocument/2006/relationships/chart" Target="charts/chart12.xml"/><Relationship Id="rId27" Type="http://schemas.openxmlformats.org/officeDocument/2006/relationships/image" Target="media/image9.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35088430127258E-2"/>
          <c:y val="0.33753849240182554"/>
          <c:w val="0.87878787878787878"/>
          <c:h val="0.55600487028836931"/>
        </c:manualLayout>
      </c:layout>
      <c:barChart>
        <c:barDir val="col"/>
        <c:grouping val="clustered"/>
        <c:varyColors val="0"/>
        <c:ser>
          <c:idx val="0"/>
          <c:order val="0"/>
          <c:tx>
            <c:strRef>
              <c:f>Sheet2!$B$5</c:f>
              <c:strCache>
                <c:ptCount val="1"/>
                <c:pt idx="0">
                  <c:v>Gross Margin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Sheet2!$C$4:$E$4</c:f>
              <c:numCache>
                <c:formatCode>General</c:formatCode>
                <c:ptCount val="3"/>
                <c:pt idx="0">
                  <c:v>2020</c:v>
                </c:pt>
                <c:pt idx="1">
                  <c:v>2021</c:v>
                </c:pt>
                <c:pt idx="2">
                  <c:v>2022</c:v>
                </c:pt>
              </c:numCache>
            </c:numRef>
          </c:cat>
          <c:val>
            <c:numRef>
              <c:f>Sheet2!$C$5:$E$5</c:f>
              <c:numCache>
                <c:formatCode>0.0%</c:formatCode>
                <c:ptCount val="3"/>
                <c:pt idx="0">
                  <c:v>0.18159529257927429</c:v>
                </c:pt>
                <c:pt idx="1">
                  <c:v>0.31379530722176574</c:v>
                </c:pt>
                <c:pt idx="2">
                  <c:v>0.34724016983570238</c:v>
                </c:pt>
              </c:numCache>
            </c:numRef>
          </c:val>
          <c:extLst>
            <c:ext xmlns:c16="http://schemas.microsoft.com/office/drawing/2014/chart" uri="{C3380CC4-5D6E-409C-BE32-E72D297353CC}">
              <c16:uniqueId val="{00000000-4B17-4B4F-B232-570627838AF1}"/>
            </c:ext>
          </c:extLst>
        </c:ser>
        <c:dLbls>
          <c:dLblPos val="outEnd"/>
          <c:showLegendKey val="0"/>
          <c:showVal val="1"/>
          <c:showCatName val="0"/>
          <c:showSerName val="0"/>
          <c:showPercent val="0"/>
          <c:showBubbleSize val="0"/>
        </c:dLbls>
        <c:gapWidth val="444"/>
        <c:overlap val="-90"/>
        <c:axId val="302629248"/>
        <c:axId val="304038536"/>
      </c:barChart>
      <c:catAx>
        <c:axId val="302629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04038536"/>
        <c:crosses val="autoZero"/>
        <c:auto val="1"/>
        <c:lblAlgn val="ctr"/>
        <c:lblOffset val="100"/>
        <c:noMultiLvlLbl val="0"/>
      </c:catAx>
      <c:valAx>
        <c:axId val="304038536"/>
        <c:scaling>
          <c:orientation val="minMax"/>
        </c:scaling>
        <c:delete val="1"/>
        <c:axPos val="l"/>
        <c:numFmt formatCode="0.0%" sourceLinked="1"/>
        <c:majorTickMark val="none"/>
        <c:minorTickMark val="none"/>
        <c:tickLblPos val="nextTo"/>
        <c:crossAx val="30262924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8549567531603459E-2"/>
          <c:y val="0"/>
          <c:w val="0.94145043246839655"/>
          <c:h val="0.64803828933148067"/>
        </c:manualLayout>
      </c:layout>
      <c:barChart>
        <c:barDir val="col"/>
        <c:grouping val="clustered"/>
        <c:varyColors val="0"/>
        <c:ser>
          <c:idx val="0"/>
          <c:order val="0"/>
          <c:tx>
            <c:strRef>
              <c:f>Sheet2!$B$6</c:f>
              <c:strCache>
                <c:ptCount val="1"/>
                <c:pt idx="0">
                  <c:v>Operating Profit %</c:v>
                </c:pt>
              </c:strCache>
            </c:strRef>
          </c:tx>
          <c:spPr>
            <a:solidFill>
              <a:schemeClr val="accent1">
                <a:alpha val="85000"/>
              </a:schemeClr>
            </a:solidFill>
            <a:ln w="9525" cap="flat" cmpd="sng" algn="ctr">
              <a:solidFill>
                <a:schemeClr val="lt1">
                  <a:alpha val="50000"/>
                </a:schemeClr>
              </a:solidFill>
              <a:round/>
            </a:ln>
            <a:effectLst/>
          </c:spPr>
          <c:invertIfNegative val="0"/>
          <c:dLbls>
            <c:dLbl>
              <c:idx val="1"/>
              <c:layout>
                <c:manualLayout>
                  <c:x val="-4.8790742641513747E-17"/>
                  <c:y val="6.864384033443783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385-4D3D-B2D4-42DB84D9C09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Sheet2!$C$4:$E$4</c:f>
              <c:numCache>
                <c:formatCode>General</c:formatCode>
                <c:ptCount val="3"/>
                <c:pt idx="0">
                  <c:v>2020</c:v>
                </c:pt>
                <c:pt idx="1">
                  <c:v>2021</c:v>
                </c:pt>
                <c:pt idx="2">
                  <c:v>2022</c:v>
                </c:pt>
              </c:numCache>
            </c:numRef>
          </c:cat>
          <c:val>
            <c:numRef>
              <c:f>Sheet2!$C$6:$E$6</c:f>
              <c:numCache>
                <c:formatCode>0.0%</c:formatCode>
                <c:ptCount val="3"/>
                <c:pt idx="0">
                  <c:v>-0.52778685845047402</c:v>
                </c:pt>
                <c:pt idx="1">
                  <c:v>-6.9843878389482333E-2</c:v>
                </c:pt>
                <c:pt idx="2">
                  <c:v>-0.16595901790659037</c:v>
                </c:pt>
              </c:numCache>
            </c:numRef>
          </c:val>
          <c:extLst>
            <c:ext xmlns:c16="http://schemas.microsoft.com/office/drawing/2014/chart" uri="{C3380CC4-5D6E-409C-BE32-E72D297353CC}">
              <c16:uniqueId val="{00000000-51BE-421E-A449-41EAD80EC429}"/>
            </c:ext>
          </c:extLst>
        </c:ser>
        <c:ser>
          <c:idx val="1"/>
          <c:order val="1"/>
          <c:tx>
            <c:strRef>
              <c:f>Sheet2!$B$7</c:f>
              <c:strCache>
                <c:ptCount val="1"/>
                <c:pt idx="0">
                  <c:v>Net Profit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Sheet2!$C$4:$E$4</c:f>
              <c:numCache>
                <c:formatCode>General</c:formatCode>
                <c:ptCount val="3"/>
                <c:pt idx="0">
                  <c:v>2020</c:v>
                </c:pt>
                <c:pt idx="1">
                  <c:v>2021</c:v>
                </c:pt>
                <c:pt idx="2">
                  <c:v>2022</c:v>
                </c:pt>
              </c:numCache>
            </c:numRef>
          </c:cat>
          <c:val>
            <c:numRef>
              <c:f>Sheet2!$C$7:$E$7</c:f>
              <c:numCache>
                <c:formatCode>0.0%</c:formatCode>
                <c:ptCount val="3"/>
                <c:pt idx="0">
                  <c:v>-0.6709709055246813</c:v>
                </c:pt>
                <c:pt idx="1">
                  <c:v>-0.17282936181867983</c:v>
                </c:pt>
                <c:pt idx="2">
                  <c:v>-0.53498246261768501</c:v>
                </c:pt>
              </c:numCache>
            </c:numRef>
          </c:val>
          <c:extLst>
            <c:ext xmlns:c16="http://schemas.microsoft.com/office/drawing/2014/chart" uri="{C3380CC4-5D6E-409C-BE32-E72D297353CC}">
              <c16:uniqueId val="{00000001-51BE-421E-A449-41EAD80EC429}"/>
            </c:ext>
          </c:extLst>
        </c:ser>
        <c:dLbls>
          <c:dLblPos val="inEnd"/>
          <c:showLegendKey val="0"/>
          <c:showVal val="1"/>
          <c:showCatName val="0"/>
          <c:showSerName val="0"/>
          <c:showPercent val="0"/>
          <c:showBubbleSize val="0"/>
        </c:dLbls>
        <c:gapWidth val="65"/>
        <c:axId val="329776560"/>
        <c:axId val="329776888"/>
      </c:barChart>
      <c:catAx>
        <c:axId val="3297765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9776888"/>
        <c:crosses val="autoZero"/>
        <c:auto val="1"/>
        <c:lblAlgn val="ctr"/>
        <c:lblOffset val="100"/>
        <c:noMultiLvlLbl val="0"/>
      </c:catAx>
      <c:valAx>
        <c:axId val="3297768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 sourceLinked="1"/>
        <c:majorTickMark val="none"/>
        <c:minorTickMark val="none"/>
        <c:tickLblPos val="nextTo"/>
        <c:crossAx val="32977656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Sheet2!$B$8</c:f>
              <c:strCache>
                <c:ptCount val="1"/>
                <c:pt idx="0">
                  <c:v>Return on Assets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Sheet2!$C$4:$E$4</c:f>
              <c:numCache>
                <c:formatCode>General</c:formatCode>
                <c:ptCount val="3"/>
                <c:pt idx="0">
                  <c:v>2020</c:v>
                </c:pt>
                <c:pt idx="1">
                  <c:v>2021</c:v>
                </c:pt>
                <c:pt idx="2">
                  <c:v>2022</c:v>
                </c:pt>
              </c:numCache>
            </c:numRef>
          </c:cat>
          <c:val>
            <c:numRef>
              <c:f>Sheet2!$C$8:$E$8</c:f>
              <c:numCache>
                <c:formatCode>0.0%</c:formatCode>
                <c:ptCount val="3"/>
                <c:pt idx="0">
                  <c:v>-0.14689043154655407</c:v>
                </c:pt>
                <c:pt idx="1">
                  <c:v>-6.6631467793030627E-2</c:v>
                </c:pt>
                <c:pt idx="2">
                  <c:v>-0.10567000911577029</c:v>
                </c:pt>
              </c:numCache>
            </c:numRef>
          </c:val>
          <c:extLst>
            <c:ext xmlns:c16="http://schemas.microsoft.com/office/drawing/2014/chart" uri="{C3380CC4-5D6E-409C-BE32-E72D297353CC}">
              <c16:uniqueId val="{00000000-5B6D-4BE3-BBDD-9C3623D5463A}"/>
            </c:ext>
          </c:extLst>
        </c:ser>
        <c:dLbls>
          <c:dLblPos val="inEnd"/>
          <c:showLegendKey val="0"/>
          <c:showVal val="1"/>
          <c:showCatName val="0"/>
          <c:showSerName val="0"/>
          <c:showPercent val="0"/>
          <c:showBubbleSize val="0"/>
        </c:dLbls>
        <c:gapWidth val="65"/>
        <c:axId val="335529016"/>
        <c:axId val="335529344"/>
      </c:barChart>
      <c:catAx>
        <c:axId val="3355290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35529344"/>
        <c:crosses val="autoZero"/>
        <c:auto val="1"/>
        <c:lblAlgn val="ctr"/>
        <c:lblOffset val="100"/>
        <c:noMultiLvlLbl val="0"/>
      </c:catAx>
      <c:valAx>
        <c:axId val="33552934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 sourceLinked="1"/>
        <c:majorTickMark val="none"/>
        <c:minorTickMark val="none"/>
        <c:tickLblPos val="nextTo"/>
        <c:crossAx val="3355290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Sheet2!$B$9</c:f>
              <c:strCache>
                <c:ptCount val="1"/>
                <c:pt idx="0">
                  <c:v>Return on Shareholder Equity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Sheet2!$C$4:$E$4</c:f>
              <c:numCache>
                <c:formatCode>General</c:formatCode>
                <c:ptCount val="3"/>
                <c:pt idx="0">
                  <c:v>2020</c:v>
                </c:pt>
                <c:pt idx="1">
                  <c:v>2021</c:v>
                </c:pt>
                <c:pt idx="2">
                  <c:v>2022</c:v>
                </c:pt>
              </c:numCache>
            </c:numRef>
          </c:cat>
          <c:val>
            <c:numRef>
              <c:f>Sheet2!$C$9:$E$9</c:f>
              <c:numCache>
                <c:formatCode>0.0%</c:formatCode>
                <c:ptCount val="3"/>
                <c:pt idx="0">
                  <c:v>-0.51050864320358158</c:v>
                </c:pt>
                <c:pt idx="1">
                  <c:v>-0.28664445790430043</c:v>
                </c:pt>
                <c:pt idx="2">
                  <c:v>-0.76707252514557966</c:v>
                </c:pt>
              </c:numCache>
            </c:numRef>
          </c:val>
          <c:extLst>
            <c:ext xmlns:c16="http://schemas.microsoft.com/office/drawing/2014/chart" uri="{C3380CC4-5D6E-409C-BE32-E72D297353CC}">
              <c16:uniqueId val="{00000000-0C7C-4099-A2DD-85A428B4E676}"/>
            </c:ext>
          </c:extLst>
        </c:ser>
        <c:dLbls>
          <c:dLblPos val="inEnd"/>
          <c:showLegendKey val="0"/>
          <c:showVal val="1"/>
          <c:showCatName val="0"/>
          <c:showSerName val="0"/>
          <c:showPercent val="0"/>
          <c:showBubbleSize val="0"/>
        </c:dLbls>
        <c:gapWidth val="65"/>
        <c:axId val="332611016"/>
        <c:axId val="332610360"/>
      </c:barChart>
      <c:catAx>
        <c:axId val="33261101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32610360"/>
        <c:crosses val="autoZero"/>
        <c:auto val="1"/>
        <c:lblAlgn val="ctr"/>
        <c:lblOffset val="100"/>
        <c:noMultiLvlLbl val="0"/>
      </c:catAx>
      <c:valAx>
        <c:axId val="3326103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 sourceLinked="1"/>
        <c:majorTickMark val="none"/>
        <c:minorTickMark val="none"/>
        <c:tickLblPos val="nextTo"/>
        <c:crossAx val="3326110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Sheet2!$B$12</c:f>
              <c:strCache>
                <c:ptCount val="1"/>
                <c:pt idx="0">
                  <c:v>Inventory Turns</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Sheet2!$C$11:$E$11</c:f>
              <c:numCache>
                <c:formatCode>General</c:formatCode>
                <c:ptCount val="3"/>
                <c:pt idx="0">
                  <c:v>2020</c:v>
                </c:pt>
                <c:pt idx="1">
                  <c:v>2021</c:v>
                </c:pt>
                <c:pt idx="2">
                  <c:v>2022</c:v>
                </c:pt>
              </c:numCache>
            </c:numRef>
          </c:cat>
          <c:val>
            <c:numRef>
              <c:f>Sheet2!$C$12:$E$12</c:f>
              <c:numCache>
                <c:formatCode>0.00</c:formatCode>
                <c:ptCount val="3"/>
                <c:pt idx="0">
                  <c:v>2.414175506268081</c:v>
                </c:pt>
                <c:pt idx="1">
                  <c:v>3.7189510143493316</c:v>
                </c:pt>
                <c:pt idx="2">
                  <c:v>1.402061855670103</c:v>
                </c:pt>
              </c:numCache>
            </c:numRef>
          </c:val>
          <c:extLst>
            <c:ext xmlns:c16="http://schemas.microsoft.com/office/drawing/2014/chart" uri="{C3380CC4-5D6E-409C-BE32-E72D297353CC}">
              <c16:uniqueId val="{00000000-B314-4BC3-A445-8F74926D3A4E}"/>
            </c:ext>
          </c:extLst>
        </c:ser>
        <c:dLbls>
          <c:dLblPos val="inEnd"/>
          <c:showLegendKey val="0"/>
          <c:showVal val="1"/>
          <c:showCatName val="0"/>
          <c:showSerName val="0"/>
          <c:showPercent val="0"/>
          <c:showBubbleSize val="0"/>
        </c:dLbls>
        <c:gapWidth val="41"/>
        <c:axId val="1020914288"/>
        <c:axId val="1020914704"/>
      </c:barChart>
      <c:catAx>
        <c:axId val="1020914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020914704"/>
        <c:crosses val="autoZero"/>
        <c:auto val="1"/>
        <c:lblAlgn val="ctr"/>
        <c:lblOffset val="100"/>
        <c:noMultiLvlLbl val="0"/>
      </c:catAx>
      <c:valAx>
        <c:axId val="1020914704"/>
        <c:scaling>
          <c:orientation val="minMax"/>
        </c:scaling>
        <c:delete val="1"/>
        <c:axPos val="l"/>
        <c:numFmt formatCode="0.00" sourceLinked="1"/>
        <c:majorTickMark val="none"/>
        <c:minorTickMark val="none"/>
        <c:tickLblPos val="nextTo"/>
        <c:crossAx val="102091428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Sheet1!$G$28</c:f>
              <c:strCache>
                <c:ptCount val="1"/>
                <c:pt idx="0">
                  <c:v>Days Sales Outstanding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Sheet1!$H$19:$J$19</c:f>
              <c:numCache>
                <c:formatCode>General</c:formatCode>
                <c:ptCount val="3"/>
                <c:pt idx="0">
                  <c:v>2020</c:v>
                </c:pt>
                <c:pt idx="1">
                  <c:v>2021</c:v>
                </c:pt>
                <c:pt idx="2">
                  <c:v>2022</c:v>
                </c:pt>
              </c:numCache>
            </c:numRef>
          </c:cat>
          <c:val>
            <c:numRef>
              <c:f>Sheet1!$H$28:$J$28</c:f>
              <c:numCache>
                <c:formatCode>0.00</c:formatCode>
                <c:ptCount val="3"/>
                <c:pt idx="0">
                  <c:v>106.13517489375614</c:v>
                </c:pt>
                <c:pt idx="1">
                  <c:v>81.111111111111114</c:v>
                </c:pt>
                <c:pt idx="2">
                  <c:v>97.061565442126636</c:v>
                </c:pt>
              </c:numCache>
            </c:numRef>
          </c:val>
          <c:extLst>
            <c:ext xmlns:c16="http://schemas.microsoft.com/office/drawing/2014/chart" uri="{C3380CC4-5D6E-409C-BE32-E72D297353CC}">
              <c16:uniqueId val="{00000000-AF2C-4A9B-A5EA-600DB652586E}"/>
            </c:ext>
          </c:extLst>
        </c:ser>
        <c:dLbls>
          <c:dLblPos val="inEnd"/>
          <c:showLegendKey val="0"/>
          <c:showVal val="1"/>
          <c:showCatName val="0"/>
          <c:showSerName val="0"/>
          <c:showPercent val="0"/>
          <c:showBubbleSize val="0"/>
        </c:dLbls>
        <c:gapWidth val="65"/>
        <c:axId val="413395840"/>
        <c:axId val="413396168"/>
      </c:barChart>
      <c:catAx>
        <c:axId val="4133958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3396168"/>
        <c:crosses val="autoZero"/>
        <c:auto val="1"/>
        <c:lblAlgn val="ctr"/>
        <c:lblOffset val="100"/>
        <c:noMultiLvlLbl val="0"/>
      </c:catAx>
      <c:valAx>
        <c:axId val="4133961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4133958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4081085608979741E-2"/>
          <c:y val="0.15969935576234787"/>
          <c:w val="0.9006098938332957"/>
          <c:h val="0.67953812959481674"/>
        </c:manualLayout>
      </c:layout>
      <c:barChart>
        <c:barDir val="col"/>
        <c:grouping val="clustered"/>
        <c:varyColors val="0"/>
        <c:ser>
          <c:idx val="0"/>
          <c:order val="0"/>
          <c:tx>
            <c:strRef>
              <c:f>Sheet2!$B$13</c:f>
              <c:strCache>
                <c:ptCount val="1"/>
                <c:pt idx="0">
                  <c:v>Current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Sheet2!$C$12:$E$12</c:f>
              <c:numCache>
                <c:formatCode>General</c:formatCode>
                <c:ptCount val="3"/>
                <c:pt idx="0">
                  <c:v>2020</c:v>
                </c:pt>
                <c:pt idx="1">
                  <c:v>2021</c:v>
                </c:pt>
                <c:pt idx="2">
                  <c:v>2022</c:v>
                </c:pt>
              </c:numCache>
            </c:numRef>
          </c:cat>
          <c:val>
            <c:numRef>
              <c:f>Sheet2!$C$13:$E$13</c:f>
              <c:numCache>
                <c:formatCode>0.00</c:formatCode>
                <c:ptCount val="3"/>
                <c:pt idx="0">
                  <c:v>1.1002103179512557</c:v>
                </c:pt>
                <c:pt idx="1">
                  <c:v>0.95713654441007501</c:v>
                </c:pt>
                <c:pt idx="2">
                  <c:v>0.80132659507264703</c:v>
                </c:pt>
              </c:numCache>
            </c:numRef>
          </c:val>
          <c:extLst>
            <c:ext xmlns:c16="http://schemas.microsoft.com/office/drawing/2014/chart" uri="{C3380CC4-5D6E-409C-BE32-E72D297353CC}">
              <c16:uniqueId val="{00000000-EAF6-490B-B3FE-694690D1261B}"/>
            </c:ext>
          </c:extLst>
        </c:ser>
        <c:dLbls>
          <c:dLblPos val="outEnd"/>
          <c:showLegendKey val="0"/>
          <c:showVal val="1"/>
          <c:showCatName val="0"/>
          <c:showSerName val="0"/>
          <c:showPercent val="0"/>
          <c:showBubbleSize val="0"/>
        </c:dLbls>
        <c:gapWidth val="444"/>
        <c:overlap val="-90"/>
        <c:axId val="295702424"/>
        <c:axId val="295696192"/>
      </c:barChart>
      <c:catAx>
        <c:axId val="2957024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95696192"/>
        <c:crosses val="autoZero"/>
        <c:auto val="1"/>
        <c:lblAlgn val="ctr"/>
        <c:lblOffset val="100"/>
        <c:noMultiLvlLbl val="0"/>
      </c:catAx>
      <c:valAx>
        <c:axId val="295696192"/>
        <c:scaling>
          <c:orientation val="minMax"/>
        </c:scaling>
        <c:delete val="1"/>
        <c:axPos val="l"/>
        <c:numFmt formatCode="0.00" sourceLinked="1"/>
        <c:majorTickMark val="none"/>
        <c:minorTickMark val="none"/>
        <c:tickLblPos val="nextTo"/>
        <c:crossAx val="295702424"/>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9159241859711648E-2"/>
          <c:y val="0.21961111111111112"/>
          <c:w val="0.928721853231816"/>
          <c:h val="0.66182370953630798"/>
        </c:manualLayout>
      </c:layout>
      <c:barChart>
        <c:barDir val="col"/>
        <c:grouping val="clustered"/>
        <c:varyColors val="0"/>
        <c:ser>
          <c:idx val="0"/>
          <c:order val="0"/>
          <c:tx>
            <c:strRef>
              <c:f>Sheet2!$B$14</c:f>
              <c:strCache>
                <c:ptCount val="1"/>
                <c:pt idx="0">
                  <c:v>Quick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Sheet2!$C$12:$E$12</c:f>
              <c:numCache>
                <c:formatCode>General</c:formatCode>
                <c:ptCount val="3"/>
                <c:pt idx="0">
                  <c:v>2020</c:v>
                </c:pt>
                <c:pt idx="1">
                  <c:v>2021</c:v>
                </c:pt>
                <c:pt idx="2">
                  <c:v>2022</c:v>
                </c:pt>
              </c:numCache>
            </c:numRef>
          </c:cat>
          <c:val>
            <c:numRef>
              <c:f>Sheet2!$C$14:$E$14</c:f>
              <c:numCache>
                <c:formatCode>0.00</c:formatCode>
                <c:ptCount val="3"/>
                <c:pt idx="0">
                  <c:v>0.84362241741927502</c:v>
                </c:pt>
                <c:pt idx="1">
                  <c:v>0.73972602739726012</c:v>
                </c:pt>
                <c:pt idx="2">
                  <c:v>0.47746894082964847</c:v>
                </c:pt>
              </c:numCache>
            </c:numRef>
          </c:val>
          <c:extLst>
            <c:ext xmlns:c16="http://schemas.microsoft.com/office/drawing/2014/chart" uri="{C3380CC4-5D6E-409C-BE32-E72D297353CC}">
              <c16:uniqueId val="{00000000-546E-4B69-98DC-980D139475A0}"/>
            </c:ext>
          </c:extLst>
        </c:ser>
        <c:dLbls>
          <c:dLblPos val="outEnd"/>
          <c:showLegendKey val="0"/>
          <c:showVal val="1"/>
          <c:showCatName val="0"/>
          <c:showSerName val="0"/>
          <c:showPercent val="0"/>
          <c:showBubbleSize val="0"/>
        </c:dLbls>
        <c:gapWidth val="444"/>
        <c:overlap val="-90"/>
        <c:axId val="378143072"/>
        <c:axId val="378121424"/>
      </c:barChart>
      <c:catAx>
        <c:axId val="3781430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78121424"/>
        <c:crosses val="autoZero"/>
        <c:auto val="1"/>
        <c:lblAlgn val="ctr"/>
        <c:lblOffset val="100"/>
        <c:noMultiLvlLbl val="0"/>
      </c:catAx>
      <c:valAx>
        <c:axId val="378121424"/>
        <c:scaling>
          <c:orientation val="minMax"/>
        </c:scaling>
        <c:delete val="1"/>
        <c:axPos val="l"/>
        <c:numFmt formatCode="0.00" sourceLinked="1"/>
        <c:majorTickMark val="none"/>
        <c:minorTickMark val="none"/>
        <c:tickLblPos val="nextTo"/>
        <c:crossAx val="3781430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Sheet2!$B$18</c:f>
              <c:strCache>
                <c:ptCount val="1"/>
                <c:pt idx="0">
                  <c:v>Cash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Sheet2!$C$15:$E$15</c:f>
              <c:numCache>
                <c:formatCode>General</c:formatCode>
                <c:ptCount val="3"/>
                <c:pt idx="0">
                  <c:v>2020</c:v>
                </c:pt>
                <c:pt idx="1">
                  <c:v>2021</c:v>
                </c:pt>
                <c:pt idx="2">
                  <c:v>2022</c:v>
                </c:pt>
              </c:numCache>
            </c:numRef>
          </c:cat>
          <c:val>
            <c:numRef>
              <c:f>Sheet2!$C$18:$E$18</c:f>
              <c:numCache>
                <c:formatCode>0.00</c:formatCode>
                <c:ptCount val="3"/>
                <c:pt idx="0">
                  <c:v>0.60546826673264875</c:v>
                </c:pt>
                <c:pt idx="1">
                  <c:v>0.46277065841802911</c:v>
                </c:pt>
                <c:pt idx="2">
                  <c:v>0.16445567487892188</c:v>
                </c:pt>
              </c:numCache>
            </c:numRef>
          </c:val>
          <c:extLst>
            <c:ext xmlns:c16="http://schemas.microsoft.com/office/drawing/2014/chart" uri="{C3380CC4-5D6E-409C-BE32-E72D297353CC}">
              <c16:uniqueId val="{00000000-4386-4525-B120-6A64E508C290}"/>
            </c:ext>
          </c:extLst>
        </c:ser>
        <c:dLbls>
          <c:dLblPos val="outEnd"/>
          <c:showLegendKey val="0"/>
          <c:showVal val="1"/>
          <c:showCatName val="0"/>
          <c:showSerName val="0"/>
          <c:showPercent val="0"/>
          <c:showBubbleSize val="0"/>
        </c:dLbls>
        <c:gapWidth val="444"/>
        <c:overlap val="-90"/>
        <c:axId val="1020913456"/>
        <c:axId val="1020913872"/>
      </c:barChart>
      <c:catAx>
        <c:axId val="1020913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20913872"/>
        <c:crosses val="autoZero"/>
        <c:auto val="1"/>
        <c:lblAlgn val="ctr"/>
        <c:lblOffset val="100"/>
        <c:noMultiLvlLbl val="0"/>
      </c:catAx>
      <c:valAx>
        <c:axId val="1020913872"/>
        <c:scaling>
          <c:orientation val="minMax"/>
        </c:scaling>
        <c:delete val="1"/>
        <c:axPos val="l"/>
        <c:numFmt formatCode="0.00" sourceLinked="1"/>
        <c:majorTickMark val="none"/>
        <c:minorTickMark val="none"/>
        <c:tickLblPos val="nextTo"/>
        <c:crossAx val="102091345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Sheet1!$B$41</c:f>
              <c:strCache>
                <c:ptCount val="1"/>
                <c:pt idx="0">
                  <c:v>Ordinary Shares</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Sheet1!$C$40:$E$40</c:f>
              <c:numCache>
                <c:formatCode>General</c:formatCode>
                <c:ptCount val="3"/>
                <c:pt idx="0">
                  <c:v>2020</c:v>
                </c:pt>
                <c:pt idx="1">
                  <c:v>2021</c:v>
                </c:pt>
                <c:pt idx="2">
                  <c:v>2022</c:v>
                </c:pt>
              </c:numCache>
            </c:numRef>
          </c:cat>
          <c:val>
            <c:numRef>
              <c:f>Sheet1!$C$41:$E$41</c:f>
              <c:numCache>
                <c:formatCode>#,##0</c:formatCode>
                <c:ptCount val="3"/>
                <c:pt idx="0">
                  <c:v>-543</c:v>
                </c:pt>
                <c:pt idx="1">
                  <c:v>-166</c:v>
                </c:pt>
                <c:pt idx="2">
                  <c:v>-290</c:v>
                </c:pt>
              </c:numCache>
            </c:numRef>
          </c:val>
          <c:extLst>
            <c:ext xmlns:c16="http://schemas.microsoft.com/office/drawing/2014/chart" uri="{C3380CC4-5D6E-409C-BE32-E72D297353CC}">
              <c16:uniqueId val="{00000000-C66A-4B6C-A527-0C9D58CC72D9}"/>
            </c:ext>
          </c:extLst>
        </c:ser>
        <c:dLbls>
          <c:dLblPos val="inEnd"/>
          <c:showLegendKey val="0"/>
          <c:showVal val="1"/>
          <c:showCatName val="0"/>
          <c:showSerName val="0"/>
          <c:showPercent val="0"/>
          <c:showBubbleSize val="0"/>
        </c:dLbls>
        <c:gapWidth val="41"/>
        <c:axId val="413356136"/>
        <c:axId val="413351544"/>
      </c:barChart>
      <c:catAx>
        <c:axId val="413356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13351544"/>
        <c:crosses val="autoZero"/>
        <c:auto val="1"/>
        <c:lblAlgn val="ctr"/>
        <c:lblOffset val="100"/>
        <c:noMultiLvlLbl val="0"/>
      </c:catAx>
      <c:valAx>
        <c:axId val="413351544"/>
        <c:scaling>
          <c:orientation val="minMax"/>
        </c:scaling>
        <c:delete val="1"/>
        <c:axPos val="l"/>
        <c:numFmt formatCode="#,##0" sourceLinked="1"/>
        <c:majorTickMark val="none"/>
        <c:minorTickMark val="none"/>
        <c:tickLblPos val="nextTo"/>
        <c:crossAx val="41335613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Laverage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Sheet2!$B$25</c:f>
              <c:strCache>
                <c:ptCount val="1"/>
                <c:pt idx="0">
                  <c:v>Gearing Ratio</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Sheet2!$C$24:$E$24</c:f>
              <c:numCache>
                <c:formatCode>General</c:formatCode>
                <c:ptCount val="3"/>
                <c:pt idx="0">
                  <c:v>2020</c:v>
                </c:pt>
                <c:pt idx="1">
                  <c:v>2021</c:v>
                </c:pt>
                <c:pt idx="2">
                  <c:v>2022</c:v>
                </c:pt>
              </c:numCache>
            </c:numRef>
          </c:cat>
          <c:val>
            <c:numRef>
              <c:f>Sheet2!$C$25:$E$25</c:f>
              <c:numCache>
                <c:formatCode>0.00%</c:formatCode>
                <c:ptCount val="3"/>
                <c:pt idx="0">
                  <c:v>0.5952177196073497</c:v>
                </c:pt>
                <c:pt idx="1">
                  <c:v>0.65911319878180974</c:v>
                </c:pt>
                <c:pt idx="2">
                  <c:v>0.78939740230782096</c:v>
                </c:pt>
              </c:numCache>
            </c:numRef>
          </c:val>
          <c:extLst>
            <c:ext xmlns:c16="http://schemas.microsoft.com/office/drawing/2014/chart" uri="{C3380CC4-5D6E-409C-BE32-E72D297353CC}">
              <c16:uniqueId val="{00000000-129F-4F20-A28F-C68532301B64}"/>
            </c:ext>
          </c:extLst>
        </c:ser>
        <c:ser>
          <c:idx val="1"/>
          <c:order val="1"/>
          <c:tx>
            <c:strRef>
              <c:f>Sheet2!$B$26</c:f>
              <c:strCache>
                <c:ptCount val="1"/>
                <c:pt idx="0">
                  <c:v>Debt / Equity Ratio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Sheet2!$C$24:$E$24</c:f>
              <c:numCache>
                <c:formatCode>General</c:formatCode>
                <c:ptCount val="3"/>
                <c:pt idx="0">
                  <c:v>2020</c:v>
                </c:pt>
                <c:pt idx="1">
                  <c:v>2021</c:v>
                </c:pt>
                <c:pt idx="2">
                  <c:v>2022</c:v>
                </c:pt>
              </c:numCache>
            </c:numRef>
          </c:cat>
          <c:val>
            <c:numRef>
              <c:f>Sheet2!$C$26:$E$26</c:f>
              <c:numCache>
                <c:formatCode>0.00</c:formatCode>
                <c:ptCount val="3"/>
                <c:pt idx="0">
                  <c:v>2.4756871035940802</c:v>
                </c:pt>
                <c:pt idx="1">
                  <c:v>3.3042095699576022</c:v>
                </c:pt>
                <c:pt idx="2">
                  <c:v>6.2623080995235565</c:v>
                </c:pt>
              </c:numCache>
            </c:numRef>
          </c:val>
          <c:extLst>
            <c:ext xmlns:c16="http://schemas.microsoft.com/office/drawing/2014/chart" uri="{C3380CC4-5D6E-409C-BE32-E72D297353CC}">
              <c16:uniqueId val="{00000001-129F-4F20-A28F-C68532301B64}"/>
            </c:ext>
          </c:extLst>
        </c:ser>
        <c:ser>
          <c:idx val="2"/>
          <c:order val="2"/>
          <c:tx>
            <c:strRef>
              <c:f>Sheet2!$B$27</c:f>
              <c:strCache>
                <c:ptCount val="1"/>
                <c:pt idx="0">
                  <c:v>LT Debt / Equity Ratio</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Sheet2!$C$24:$E$24</c:f>
              <c:numCache>
                <c:formatCode>General</c:formatCode>
                <c:ptCount val="3"/>
                <c:pt idx="0">
                  <c:v>2020</c:v>
                </c:pt>
                <c:pt idx="1">
                  <c:v>2021</c:v>
                </c:pt>
                <c:pt idx="2">
                  <c:v>2022</c:v>
                </c:pt>
              </c:numCache>
            </c:numRef>
          </c:cat>
          <c:val>
            <c:numRef>
              <c:f>Sheet2!$C$27:$E$27</c:f>
              <c:numCache>
                <c:formatCode>0.00</c:formatCode>
                <c:ptCount val="3"/>
                <c:pt idx="0">
                  <c:v>1.4704638726526553</c:v>
                </c:pt>
                <c:pt idx="1">
                  <c:v>1.9335251362810419</c:v>
                </c:pt>
                <c:pt idx="2">
                  <c:v>3.748279512969825</c:v>
                </c:pt>
              </c:numCache>
            </c:numRef>
          </c:val>
          <c:extLst>
            <c:ext xmlns:c16="http://schemas.microsoft.com/office/drawing/2014/chart" uri="{C3380CC4-5D6E-409C-BE32-E72D297353CC}">
              <c16:uniqueId val="{00000002-129F-4F20-A28F-C68532301B64}"/>
            </c:ext>
          </c:extLst>
        </c:ser>
        <c:dLbls>
          <c:dLblPos val="inEnd"/>
          <c:showLegendKey val="0"/>
          <c:showVal val="1"/>
          <c:showCatName val="0"/>
          <c:showSerName val="0"/>
          <c:showPercent val="0"/>
          <c:showBubbleSize val="0"/>
        </c:dLbls>
        <c:gapWidth val="65"/>
        <c:axId val="795369072"/>
        <c:axId val="795368240"/>
      </c:barChart>
      <c:catAx>
        <c:axId val="7953690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95368240"/>
        <c:crosses val="autoZero"/>
        <c:auto val="1"/>
        <c:lblAlgn val="ctr"/>
        <c:lblOffset val="100"/>
        <c:noMultiLvlLbl val="0"/>
      </c:catAx>
      <c:valAx>
        <c:axId val="79536824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7953690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Sheet1!$G$34</c:f>
              <c:strCache>
                <c:ptCount val="1"/>
                <c:pt idx="0">
                  <c:v>Interest Coverage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Sheet1!$H$19:$J$19</c:f>
              <c:numCache>
                <c:formatCode>General</c:formatCode>
                <c:ptCount val="3"/>
                <c:pt idx="0">
                  <c:v>2020</c:v>
                </c:pt>
                <c:pt idx="1">
                  <c:v>2021</c:v>
                </c:pt>
                <c:pt idx="2">
                  <c:v>2022</c:v>
                </c:pt>
              </c:numCache>
            </c:numRef>
          </c:cat>
          <c:val>
            <c:numRef>
              <c:f>Sheet1!$H$34:$J$34</c:f>
              <c:numCache>
                <c:formatCode>0.00</c:formatCode>
                <c:ptCount val="3"/>
                <c:pt idx="0">
                  <c:v>1.7635172037138176</c:v>
                </c:pt>
                <c:pt idx="1">
                  <c:v>0.44041450777202074</c:v>
                </c:pt>
                <c:pt idx="2">
                  <c:v>0.4066033469018544</c:v>
                </c:pt>
              </c:numCache>
            </c:numRef>
          </c:val>
          <c:extLst>
            <c:ext xmlns:c16="http://schemas.microsoft.com/office/drawing/2014/chart" uri="{C3380CC4-5D6E-409C-BE32-E72D297353CC}">
              <c16:uniqueId val="{00000000-E74F-4376-8047-60EE213E2A68}"/>
            </c:ext>
          </c:extLst>
        </c:ser>
        <c:dLbls>
          <c:dLblPos val="inEnd"/>
          <c:showLegendKey val="0"/>
          <c:showVal val="1"/>
          <c:showCatName val="0"/>
          <c:showSerName val="0"/>
          <c:showPercent val="0"/>
          <c:showBubbleSize val="0"/>
        </c:dLbls>
        <c:gapWidth val="41"/>
        <c:axId val="419508696"/>
        <c:axId val="419514272"/>
      </c:barChart>
      <c:catAx>
        <c:axId val="4195086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19514272"/>
        <c:crosses val="autoZero"/>
        <c:auto val="1"/>
        <c:lblAlgn val="ctr"/>
        <c:lblOffset val="100"/>
        <c:noMultiLvlLbl val="0"/>
      </c:catAx>
      <c:valAx>
        <c:axId val="419514272"/>
        <c:scaling>
          <c:orientation val="minMax"/>
        </c:scaling>
        <c:delete val="1"/>
        <c:axPos val="l"/>
        <c:numFmt formatCode="0.00" sourceLinked="1"/>
        <c:majorTickMark val="none"/>
        <c:minorTickMark val="none"/>
        <c:tickLblPos val="nextTo"/>
        <c:crossAx val="41950869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1470</TotalTime>
  <Pages>24</Pages>
  <Words>4128</Words>
  <Characters>23531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Aista Phillips</dc:creator>
  <cp:keywords/>
  <dc:description/>
  <cp:lastModifiedBy>Aista Phillips</cp:lastModifiedBy>
  <cp:revision>13</cp:revision>
  <dcterms:created xsi:type="dcterms:W3CDTF">2023-01-06T14:21:00Z</dcterms:created>
  <dcterms:modified xsi:type="dcterms:W3CDTF">2023-01-27T17:00:00Z</dcterms:modified>
</cp:coreProperties>
</file>