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02F3F7" w14:textId="75540E07" w:rsidR="004E0CDB" w:rsidRDefault="004E0CDB">
      <w:pPr>
        <w:rPr>
          <w:u w:val="single"/>
        </w:rPr>
      </w:pPr>
      <w:r w:rsidRPr="00A64F28">
        <w:rPr>
          <w:u w:val="single"/>
        </w:rPr>
        <w:t xml:space="preserve">A comparative analysis </w:t>
      </w:r>
      <w:r w:rsidR="00D239ED">
        <w:rPr>
          <w:u w:val="single"/>
        </w:rPr>
        <w:t xml:space="preserve">of </w:t>
      </w:r>
      <w:r w:rsidR="00F17725">
        <w:rPr>
          <w:u w:val="single"/>
        </w:rPr>
        <w:t>two</w:t>
      </w:r>
      <w:r w:rsidRPr="00A64F28">
        <w:rPr>
          <w:u w:val="single"/>
        </w:rPr>
        <w:t xml:space="preserve"> adaptations of </w:t>
      </w:r>
      <w:r w:rsidR="002A6652">
        <w:rPr>
          <w:u w:val="single"/>
        </w:rPr>
        <w:t>Doyle</w:t>
      </w:r>
      <w:r w:rsidRPr="00A64F28">
        <w:rPr>
          <w:u w:val="single"/>
        </w:rPr>
        <w:t xml:space="preserve">’s </w:t>
      </w:r>
      <w:r w:rsidR="00A64F28" w:rsidRPr="00A64F28">
        <w:rPr>
          <w:u w:val="single"/>
        </w:rPr>
        <w:t xml:space="preserve">story </w:t>
      </w:r>
      <w:r w:rsidRPr="00F17725">
        <w:rPr>
          <w:i/>
          <w:iCs/>
          <w:u w:val="single"/>
        </w:rPr>
        <w:t>The Hound of The Baskervilles</w:t>
      </w:r>
      <w:r w:rsidR="00F17725">
        <w:rPr>
          <w:u w:val="single"/>
        </w:rPr>
        <w:t>:</w:t>
      </w:r>
      <w:r w:rsidRPr="00A64F28">
        <w:rPr>
          <w:u w:val="single"/>
        </w:rPr>
        <w:t xml:space="preserve"> </w:t>
      </w:r>
      <w:proofErr w:type="spellStart"/>
      <w:r w:rsidR="00A64F28">
        <w:rPr>
          <w:u w:val="single"/>
        </w:rPr>
        <w:t>Lanfield</w:t>
      </w:r>
      <w:r w:rsidRPr="00A64F28">
        <w:rPr>
          <w:u w:val="single"/>
        </w:rPr>
        <w:t>’s</w:t>
      </w:r>
      <w:proofErr w:type="spellEnd"/>
      <w:r w:rsidRPr="00A64F28">
        <w:rPr>
          <w:u w:val="single"/>
        </w:rPr>
        <w:t xml:space="preserve"> film </w:t>
      </w:r>
      <w:r w:rsidRPr="00F17725">
        <w:rPr>
          <w:i/>
          <w:iCs/>
          <w:u w:val="single"/>
        </w:rPr>
        <w:t>The Hound of The Baskervilles</w:t>
      </w:r>
      <w:r w:rsidR="00A64F28" w:rsidRPr="00A64F28">
        <w:rPr>
          <w:u w:val="single"/>
        </w:rPr>
        <w:t xml:space="preserve"> </w:t>
      </w:r>
      <w:r w:rsidRPr="00A64F28">
        <w:rPr>
          <w:u w:val="single"/>
        </w:rPr>
        <w:t xml:space="preserve">(1939) and </w:t>
      </w:r>
      <w:r w:rsidR="00E049BB">
        <w:rPr>
          <w:u w:val="single"/>
        </w:rPr>
        <w:t>McGuigan’s</w:t>
      </w:r>
      <w:r w:rsidRPr="00A64F28">
        <w:rPr>
          <w:u w:val="single"/>
        </w:rPr>
        <w:t xml:space="preserve"> BBC </w:t>
      </w:r>
      <w:r w:rsidR="00A64F28">
        <w:rPr>
          <w:u w:val="single"/>
        </w:rPr>
        <w:t>S</w:t>
      </w:r>
      <w:r w:rsidRPr="00A64F28">
        <w:rPr>
          <w:u w:val="single"/>
        </w:rPr>
        <w:t xml:space="preserve">eries 2.2 </w:t>
      </w:r>
      <w:r w:rsidRPr="00F17725">
        <w:rPr>
          <w:i/>
          <w:iCs/>
          <w:u w:val="single"/>
        </w:rPr>
        <w:t>The Hound of Baskerville</w:t>
      </w:r>
      <w:r w:rsidR="007D6E21">
        <w:rPr>
          <w:i/>
          <w:iCs/>
          <w:u w:val="single"/>
        </w:rPr>
        <w:t>s</w:t>
      </w:r>
      <w:r w:rsidRPr="00A64F28">
        <w:rPr>
          <w:u w:val="single"/>
        </w:rPr>
        <w:t xml:space="preserve"> (2012)</w:t>
      </w:r>
    </w:p>
    <w:p w14:paraId="03763CC4" w14:textId="6A05D490" w:rsidR="000E5965" w:rsidRDefault="000E5965">
      <w:pPr>
        <w:rPr>
          <w:u w:val="single"/>
        </w:rPr>
      </w:pPr>
    </w:p>
    <w:p w14:paraId="67920632" w14:textId="5BE86C3B" w:rsidR="00954AD4" w:rsidRDefault="000E5965">
      <w:r w:rsidRPr="000E5965">
        <w:t>To date</w:t>
      </w:r>
      <w:r w:rsidR="00F17725">
        <w:t>,</w:t>
      </w:r>
      <w:r>
        <w:t xml:space="preserve"> there are over </w:t>
      </w:r>
      <w:r w:rsidR="00F17725">
        <w:t>twenty</w:t>
      </w:r>
      <w:r>
        <w:t xml:space="preserve"> film adap</w:t>
      </w:r>
      <w:r w:rsidR="00954AD4">
        <w:t>ta</w:t>
      </w:r>
      <w:r>
        <w:t xml:space="preserve">tions of </w:t>
      </w:r>
      <w:r w:rsidR="002A6652">
        <w:t>Doyle</w:t>
      </w:r>
      <w:r>
        <w:t xml:space="preserve">’s story </w:t>
      </w:r>
      <w:r w:rsidRPr="00F17725">
        <w:rPr>
          <w:i/>
          <w:iCs/>
        </w:rPr>
        <w:t>The H</w:t>
      </w:r>
      <w:r w:rsidR="00954AD4" w:rsidRPr="00F17725">
        <w:rPr>
          <w:i/>
          <w:iCs/>
        </w:rPr>
        <w:t>ound of the Baskervilles</w:t>
      </w:r>
      <w:r w:rsidR="00954AD4">
        <w:t xml:space="preserve"> </w:t>
      </w:r>
      <w:r w:rsidR="007D6E21">
        <w:t>written in 1902</w:t>
      </w:r>
      <w:r w:rsidR="007D6E21">
        <w:rPr>
          <w:color w:val="FF0000"/>
        </w:rPr>
        <w:t xml:space="preserve"> </w:t>
      </w:r>
      <w:r w:rsidR="00954AD4">
        <w:t>and Sherlock Holmes,</w:t>
      </w:r>
      <w:r w:rsidR="00D624FE">
        <w:t xml:space="preserve"> his fictional detective,</w:t>
      </w:r>
      <w:r w:rsidR="00954AD4">
        <w:t xml:space="preserve"> holds a Guin</w:t>
      </w:r>
      <w:r w:rsidR="00D624FE">
        <w:t>n</w:t>
      </w:r>
      <w:r w:rsidR="00954AD4">
        <w:t xml:space="preserve">ess World Record as </w:t>
      </w:r>
      <w:r w:rsidR="00ED4996">
        <w:t>the ‘</w:t>
      </w:r>
      <w:r w:rsidR="00ED4996" w:rsidRPr="00ED4996">
        <w:t>most portrayed literary human character in film &amp; TV</w:t>
      </w:r>
      <w:r w:rsidR="00ED4996">
        <w:t xml:space="preserve">’ </w:t>
      </w:r>
      <w:r w:rsidR="00B16BEC">
        <w:rPr>
          <w:color w:val="000000" w:themeColor="text1"/>
        </w:rPr>
        <w:t>(Guin</w:t>
      </w:r>
      <w:r w:rsidR="009F6106">
        <w:rPr>
          <w:color w:val="000000" w:themeColor="text1"/>
        </w:rPr>
        <w:t>n</w:t>
      </w:r>
      <w:r w:rsidR="00B16BEC">
        <w:rPr>
          <w:color w:val="000000" w:themeColor="text1"/>
        </w:rPr>
        <w:t xml:space="preserve">ess World </w:t>
      </w:r>
      <w:bookmarkStart w:id="0" w:name="_GoBack"/>
      <w:bookmarkEnd w:id="0"/>
      <w:r w:rsidR="00B16BEC">
        <w:rPr>
          <w:color w:val="000000" w:themeColor="text1"/>
        </w:rPr>
        <w:t>Records</w:t>
      </w:r>
      <w:r w:rsidR="00933187">
        <w:rPr>
          <w:color w:val="000000" w:themeColor="text1"/>
        </w:rPr>
        <w:t>,</w:t>
      </w:r>
      <w:r w:rsidR="00B16BEC">
        <w:rPr>
          <w:color w:val="000000" w:themeColor="text1"/>
        </w:rPr>
        <w:t xml:space="preserve"> 2012)</w:t>
      </w:r>
      <w:r w:rsidR="00F17725">
        <w:rPr>
          <w:color w:val="FF0000"/>
        </w:rPr>
        <w:t xml:space="preserve"> </w:t>
      </w:r>
      <w:r w:rsidR="00ED4996">
        <w:t xml:space="preserve">having been depicted </w:t>
      </w:r>
      <w:r w:rsidR="00D239ED">
        <w:t xml:space="preserve">over </w:t>
      </w:r>
      <w:r w:rsidR="00ED4996">
        <w:t>274 times</w:t>
      </w:r>
      <w:r w:rsidR="00D239ED">
        <w:t>.</w:t>
      </w:r>
      <w:r w:rsidR="007D6E21">
        <w:t xml:space="preserve">       </w:t>
      </w:r>
    </w:p>
    <w:p w14:paraId="7CB87C57" w14:textId="1D92AAD9" w:rsidR="000E5965" w:rsidRDefault="00954AD4">
      <w:r w:rsidRPr="00954AD4">
        <w:t>"Sherlock Holmes is a literary institution</w:t>
      </w:r>
      <w:r>
        <w:t>… the</w:t>
      </w:r>
      <w:r w:rsidRPr="00954AD4">
        <w:t xml:space="preserve"> title reflects his enduring appeal and demonstrates that his detective talents are as compelling today as they were 125 years ago."</w:t>
      </w:r>
      <w:r w:rsidR="00041033">
        <w:t xml:space="preserve"> (Gui</w:t>
      </w:r>
      <w:r w:rsidR="00F17725">
        <w:t>n</w:t>
      </w:r>
      <w:r w:rsidR="00041033">
        <w:t>ness Worl</w:t>
      </w:r>
      <w:r w:rsidR="00F17725">
        <w:t>d</w:t>
      </w:r>
      <w:r w:rsidR="00041033">
        <w:t xml:space="preserve"> Records, 2012)</w:t>
      </w:r>
    </w:p>
    <w:p w14:paraId="7300BE32" w14:textId="206B9CFF" w:rsidR="007841AD" w:rsidRDefault="00ED4996" w:rsidP="007841AD">
      <w:r>
        <w:t xml:space="preserve">This poses a </w:t>
      </w:r>
      <w:r w:rsidR="00D624FE">
        <w:t>challenge</w:t>
      </w:r>
      <w:r>
        <w:t xml:space="preserve"> when comparing any </w:t>
      </w:r>
      <w:r w:rsidR="005B13F9">
        <w:t xml:space="preserve">film </w:t>
      </w:r>
      <w:r>
        <w:t xml:space="preserve">adaptation to the original </w:t>
      </w:r>
      <w:r w:rsidR="007D6E21">
        <w:t xml:space="preserve">published </w:t>
      </w:r>
      <w:r>
        <w:t xml:space="preserve">in </w:t>
      </w:r>
      <w:r w:rsidR="007D6E21">
        <w:t>the magazine ‘</w:t>
      </w:r>
      <w:r w:rsidR="00041033">
        <w:t>T</w:t>
      </w:r>
      <w:r>
        <w:t>he Strand</w:t>
      </w:r>
      <w:r w:rsidR="007D6E21">
        <w:t>’</w:t>
      </w:r>
      <w:r>
        <w:t xml:space="preserve"> </w:t>
      </w:r>
      <w:r w:rsidR="00F17725">
        <w:t>of</w:t>
      </w:r>
      <w:r>
        <w:t xml:space="preserve"> 190</w:t>
      </w:r>
      <w:r w:rsidR="00D624FE">
        <w:t xml:space="preserve">2. </w:t>
      </w:r>
      <w:r w:rsidR="00D624FE" w:rsidRPr="00D624FE">
        <w:t>Gérard</w:t>
      </w:r>
      <w:r w:rsidR="00D624FE">
        <w:t xml:space="preserve"> Genette, as a structuralist, theorised </w:t>
      </w:r>
      <w:r w:rsidR="007841AD">
        <w:t xml:space="preserve">that all texts are inter-related, calling this </w:t>
      </w:r>
      <w:r w:rsidR="005B13F9">
        <w:t>‘</w:t>
      </w:r>
      <w:proofErr w:type="spellStart"/>
      <w:r w:rsidR="007841AD">
        <w:t>transtextuality</w:t>
      </w:r>
      <w:proofErr w:type="spellEnd"/>
      <w:r w:rsidR="005B13F9">
        <w:t>’</w:t>
      </w:r>
      <w:r w:rsidR="007841AD">
        <w:t>.</w:t>
      </w:r>
    </w:p>
    <w:p w14:paraId="29961E25" w14:textId="081BA17B" w:rsidR="00ED4996" w:rsidRPr="000E5965" w:rsidRDefault="007841AD" w:rsidP="00182ECE">
      <w:pPr>
        <w:ind w:left="567" w:right="567"/>
        <w:jc w:val="both"/>
      </w:pPr>
      <w:r>
        <w:br/>
      </w:r>
      <w:r w:rsidRPr="007841AD">
        <w:t xml:space="preserve">Genette uses the concept of </w:t>
      </w:r>
      <w:proofErr w:type="spellStart"/>
      <w:r w:rsidRPr="007841AD">
        <w:t>transtextuality</w:t>
      </w:r>
      <w:proofErr w:type="spellEnd"/>
      <w:r w:rsidRPr="007841AD">
        <w:t xml:space="preserve"> in such a way as</w:t>
      </w:r>
      <w:r>
        <w:br/>
      </w:r>
      <w:r w:rsidRPr="007841AD">
        <w:t xml:space="preserve">to show how texts can be systematically interpreted and understood. </w:t>
      </w:r>
      <w:r w:rsidR="002A6652">
        <w:t>…</w:t>
      </w:r>
      <w:proofErr w:type="spellStart"/>
      <w:r w:rsidRPr="007841AD">
        <w:t>Genette</w:t>
      </w:r>
      <w:proofErr w:type="spellEnd"/>
      <w:r w:rsidRPr="007841AD">
        <w:t xml:space="preserve"> subdivides the term </w:t>
      </w:r>
      <w:proofErr w:type="spellStart"/>
      <w:r w:rsidRPr="007841AD">
        <w:t>transtextuality</w:t>
      </w:r>
      <w:proofErr w:type="spellEnd"/>
      <w:r w:rsidRPr="007841AD">
        <w:t xml:space="preserve"> into five more specific categories: intertextuality, </w:t>
      </w:r>
      <w:proofErr w:type="spellStart"/>
      <w:r w:rsidRPr="007841AD">
        <w:t>paratextuality</w:t>
      </w:r>
      <w:proofErr w:type="spellEnd"/>
      <w:r w:rsidRPr="007841AD">
        <w:t xml:space="preserve">, </w:t>
      </w:r>
      <w:proofErr w:type="spellStart"/>
      <w:r w:rsidRPr="007841AD">
        <w:t>metatextuality</w:t>
      </w:r>
      <w:proofErr w:type="spellEnd"/>
      <w:r w:rsidRPr="007841AD">
        <w:t xml:space="preserve">, </w:t>
      </w:r>
      <w:proofErr w:type="spellStart"/>
      <w:r w:rsidRPr="007841AD">
        <w:t>hypertextuality</w:t>
      </w:r>
      <w:proofErr w:type="spellEnd"/>
      <w:r w:rsidRPr="007841AD">
        <w:t xml:space="preserve"> and </w:t>
      </w:r>
      <w:proofErr w:type="spellStart"/>
      <w:r w:rsidRPr="007841AD">
        <w:t>architextuality</w:t>
      </w:r>
      <w:proofErr w:type="spellEnd"/>
      <w:r>
        <w:t>. (</w:t>
      </w:r>
      <w:proofErr w:type="spellStart"/>
      <w:r w:rsidRPr="007841AD">
        <w:t>Simandan</w:t>
      </w:r>
      <w:proofErr w:type="spellEnd"/>
      <w:r w:rsidRPr="007841AD">
        <w:t>, 2011</w:t>
      </w:r>
      <w:r>
        <w:t>)</w:t>
      </w:r>
    </w:p>
    <w:p w14:paraId="74310823" w14:textId="694D4D05" w:rsidR="00F17725" w:rsidRDefault="007841AD">
      <w:r w:rsidRPr="007841AD">
        <w:t xml:space="preserve">Genette’s theory </w:t>
      </w:r>
      <w:r>
        <w:t xml:space="preserve">helps to unscramble and describe how </w:t>
      </w:r>
      <w:r w:rsidR="00F17725">
        <w:t>the adaptations of the book</w:t>
      </w:r>
      <w:r>
        <w:t xml:space="preserve"> </w:t>
      </w:r>
      <w:r w:rsidR="00F17725">
        <w:t>are</w:t>
      </w:r>
      <w:r>
        <w:t xml:space="preserve"> linked to what Leitch describes </w:t>
      </w:r>
      <w:r w:rsidR="007D6E21" w:rsidRPr="007D6E21">
        <w:t>as the Sherlock Holmes ‘franchise’</w:t>
      </w:r>
      <w:r w:rsidR="007D6E21">
        <w:t xml:space="preserve"> </w:t>
      </w:r>
      <w:r>
        <w:t xml:space="preserve">in his essay </w:t>
      </w:r>
      <w:r w:rsidRPr="00F17725">
        <w:rPr>
          <w:i/>
          <w:iCs/>
        </w:rPr>
        <w:t>The Hero with a Hundred Faces</w:t>
      </w:r>
      <w:r w:rsidR="00F17725">
        <w:t xml:space="preserve"> (</w:t>
      </w:r>
      <w:r w:rsidR="00C5041B">
        <w:rPr>
          <w:color w:val="000000" w:themeColor="text1"/>
        </w:rPr>
        <w:t>2007</w:t>
      </w:r>
      <w:r w:rsidR="00F17725" w:rsidRPr="00C5041B">
        <w:rPr>
          <w:color w:val="000000" w:themeColor="text1"/>
        </w:rPr>
        <w:t>)</w:t>
      </w:r>
      <w:r>
        <w:t>, rather than just the original</w:t>
      </w:r>
      <w:r w:rsidR="005B13F9">
        <w:t xml:space="preserve"> </w:t>
      </w:r>
      <w:proofErr w:type="spellStart"/>
      <w:r w:rsidR="005B13F9">
        <w:t>hypotext</w:t>
      </w:r>
      <w:proofErr w:type="spellEnd"/>
      <w:r w:rsidR="005B13F9">
        <w:t xml:space="preserve">. </w:t>
      </w:r>
      <w:r w:rsidR="00F17725">
        <w:t xml:space="preserve">In his 1939 adaptation, </w:t>
      </w:r>
      <w:proofErr w:type="spellStart"/>
      <w:r w:rsidR="00CC5E20">
        <w:t>Lanfield</w:t>
      </w:r>
      <w:proofErr w:type="spellEnd"/>
      <w:r w:rsidR="00D239ED">
        <w:t xml:space="preserve"> </w:t>
      </w:r>
      <w:r w:rsidR="00CC5E20">
        <w:t>stuck fairly faithfully to the plot, characterisations and dialogue of the original</w:t>
      </w:r>
      <w:r w:rsidR="002F57E5">
        <w:t xml:space="preserve"> – the intertextuality is clear</w:t>
      </w:r>
      <w:r w:rsidR="00CC5E20">
        <w:t xml:space="preserve">. </w:t>
      </w:r>
    </w:p>
    <w:p w14:paraId="78E791C3" w14:textId="2C4E37CC" w:rsidR="00FD537C" w:rsidRDefault="005B13F9">
      <w:r>
        <w:t xml:space="preserve">When </w:t>
      </w:r>
      <w:proofErr w:type="spellStart"/>
      <w:r>
        <w:t>Gatiss</w:t>
      </w:r>
      <w:proofErr w:type="spellEnd"/>
      <w:r>
        <w:t xml:space="preserve"> </w:t>
      </w:r>
      <w:r w:rsidR="00D239ED">
        <w:t>wrote</w:t>
      </w:r>
      <w:r>
        <w:t xml:space="preserve"> </w:t>
      </w:r>
      <w:r w:rsidR="007D6E21">
        <w:t xml:space="preserve">his adaptation </w:t>
      </w:r>
      <w:r>
        <w:t>for the BBC</w:t>
      </w:r>
      <w:r w:rsidR="00F17725">
        <w:t>,</w:t>
      </w:r>
      <w:r>
        <w:t xml:space="preserve"> he had over 100 years’ worth of adaptations influencing him, </w:t>
      </w:r>
      <w:r w:rsidR="007D6E21">
        <w:t>at</w:t>
      </w:r>
      <w:r w:rsidR="00F0469C">
        <w:t>tempting</w:t>
      </w:r>
      <w:r>
        <w:t xml:space="preserve"> a ‘pick and mix’ approach. However, despite being </w:t>
      </w:r>
      <w:r w:rsidR="007D6E21">
        <w:t xml:space="preserve">very much </w:t>
      </w:r>
      <w:r>
        <w:t xml:space="preserve">a modernisation, he explicitly and implicitly linked his adaptation to Doyle’s </w:t>
      </w:r>
      <w:r w:rsidR="00E05A02">
        <w:t>pl</w:t>
      </w:r>
      <w:r w:rsidR="00904DDE">
        <w:t>o</w:t>
      </w:r>
      <w:r w:rsidR="00E05A02">
        <w:t xml:space="preserve">t and </w:t>
      </w:r>
      <w:r>
        <w:t>characterisation</w:t>
      </w:r>
      <w:r w:rsidR="00904DDE">
        <w:t>s</w:t>
      </w:r>
      <w:r>
        <w:t>. The ‘metatext’</w:t>
      </w:r>
      <w:r w:rsidR="007D6E21">
        <w:t xml:space="preserve"> and</w:t>
      </w:r>
      <w:r w:rsidR="00CC5E20">
        <w:t xml:space="preserve"> the subtle and unsubtle references to Doyle’s Sherlock Holmes are unmissable.</w:t>
      </w:r>
      <w:r w:rsidR="00F17725">
        <w:t xml:space="preserve"> </w:t>
      </w:r>
      <w:r w:rsidR="00F17725" w:rsidRPr="00F17725">
        <w:t>In Genette’s own words</w:t>
      </w:r>
    </w:p>
    <w:p w14:paraId="0AFB3384" w14:textId="68F19166" w:rsidR="005B13F9" w:rsidRDefault="007D6E21" w:rsidP="005B13F9">
      <w:pPr>
        <w:ind w:left="720"/>
      </w:pPr>
      <w:r>
        <w:lastRenderedPageBreak/>
        <w:t>‘</w:t>
      </w:r>
      <w:r w:rsidR="005B13F9" w:rsidRPr="005B13F9">
        <w:t xml:space="preserve">it </w:t>
      </w:r>
      <w:r w:rsidR="002F57E5">
        <w:t xml:space="preserve">[the metatext] </w:t>
      </w:r>
      <w:r w:rsidR="005B13F9" w:rsidRPr="005B13F9">
        <w:t>unites a given text to another, of which it speaks without necessarily citing it (without summoning it), in fact sometimes even without naming it</w:t>
      </w:r>
      <w:r>
        <w:t>’</w:t>
      </w:r>
      <w:r w:rsidR="005B13F9" w:rsidRPr="005B13F9">
        <w:t xml:space="preserve"> </w:t>
      </w:r>
      <w:r w:rsidR="005B13F9">
        <w:t>(</w:t>
      </w:r>
      <w:r w:rsidR="00F17725">
        <w:t>Genette,</w:t>
      </w:r>
      <w:r w:rsidR="00007196" w:rsidRPr="00007196">
        <w:rPr>
          <w:color w:val="000000" w:themeColor="text1"/>
        </w:rPr>
        <w:t>1997,</w:t>
      </w:r>
      <w:r w:rsidR="00F17725" w:rsidRPr="00007196">
        <w:rPr>
          <w:color w:val="000000" w:themeColor="text1"/>
        </w:rPr>
        <w:t xml:space="preserve"> </w:t>
      </w:r>
      <w:r w:rsidR="00F17725">
        <w:t xml:space="preserve">cited in </w:t>
      </w:r>
      <w:proofErr w:type="spellStart"/>
      <w:r w:rsidR="005B13F9">
        <w:t>Simandan</w:t>
      </w:r>
      <w:proofErr w:type="spellEnd"/>
      <w:r w:rsidR="005B13F9">
        <w:t>, 2011</w:t>
      </w:r>
      <w:r w:rsidR="00BC0FE5">
        <w:t>, essay</w:t>
      </w:r>
      <w:r w:rsidR="005B13F9">
        <w:t>).</w:t>
      </w:r>
      <w:r w:rsidR="00ED0EB3">
        <w:br/>
      </w:r>
    </w:p>
    <w:p w14:paraId="13C6E509" w14:textId="03417F07" w:rsidR="00ED0EB3" w:rsidRPr="007841AD" w:rsidRDefault="00ED0EB3" w:rsidP="00ED0EB3">
      <w:r>
        <w:t>When comparing these three texts, this essay will concentrate on three elements: the character of Sherlock Holmes</w:t>
      </w:r>
      <w:r w:rsidR="007D6E21">
        <w:t>,</w:t>
      </w:r>
      <w:r>
        <w:t xml:space="preserve"> the relationship between Holmes and Watson and some of the similarities and differences in plots and settings.</w:t>
      </w:r>
    </w:p>
    <w:p w14:paraId="65C87B12" w14:textId="617010E0" w:rsidR="004E0CDB" w:rsidRDefault="004E0CDB"/>
    <w:p w14:paraId="0234A9E5" w14:textId="17B3B18E" w:rsidR="000B6BF8" w:rsidRDefault="00F17725">
      <w:r>
        <w:rPr>
          <w:u w:val="single"/>
        </w:rPr>
        <w:t>The c</w:t>
      </w:r>
      <w:r w:rsidR="002E0272" w:rsidRPr="002C44D4">
        <w:rPr>
          <w:u w:val="single"/>
        </w:rPr>
        <w:t xml:space="preserve">haracter of Sherlock Holmes </w:t>
      </w:r>
    </w:p>
    <w:p w14:paraId="6D37CCD1" w14:textId="02B2F3CF" w:rsidR="00000821" w:rsidRDefault="002A6652">
      <w:r>
        <w:t>Doyle</w:t>
      </w:r>
      <w:r w:rsidR="002C44D4">
        <w:t xml:space="preserve">’s description </w:t>
      </w:r>
      <w:r w:rsidR="00F63398">
        <w:t>of Holmes’ physical appearance, his mannerisms, his figures of speech</w:t>
      </w:r>
      <w:r w:rsidR="00FD537C">
        <w:t>, his habits, hobbies</w:t>
      </w:r>
      <w:r w:rsidR="00F63398">
        <w:t xml:space="preserve"> and his likes and dislikes </w:t>
      </w:r>
      <w:r w:rsidR="00F17725">
        <w:t>are reflected in</w:t>
      </w:r>
      <w:r w:rsidR="00000821">
        <w:t xml:space="preserve"> </w:t>
      </w:r>
      <w:r w:rsidR="00F63398">
        <w:t>P</w:t>
      </w:r>
      <w:r w:rsidR="00000821">
        <w:t>aget’s original illustrations</w:t>
      </w:r>
      <w:r w:rsidR="000B6BF8">
        <w:t>,</w:t>
      </w:r>
      <w:r w:rsidR="002C44D4">
        <w:t xml:space="preserve"> giv</w:t>
      </w:r>
      <w:r w:rsidR="00F17725">
        <w:t>ing</w:t>
      </w:r>
      <w:r w:rsidR="002C44D4">
        <w:t xml:space="preserve"> the reader a </w:t>
      </w:r>
      <w:r w:rsidR="00F63398">
        <w:t>strong mental</w:t>
      </w:r>
      <w:r w:rsidR="002C44D4">
        <w:t xml:space="preserve"> image of </w:t>
      </w:r>
      <w:r w:rsidR="00F63398">
        <w:t>the famous detective</w:t>
      </w:r>
      <w:r w:rsidR="00E05A02">
        <w:t xml:space="preserve">. </w:t>
      </w:r>
    </w:p>
    <w:p w14:paraId="0A9BEC2F" w14:textId="645CA383" w:rsidR="00624998" w:rsidRDefault="00F63398">
      <w:r>
        <w:t>In the novel</w:t>
      </w:r>
      <w:r w:rsidR="00F17725">
        <w:t>,</w:t>
      </w:r>
      <w:r>
        <w:t xml:space="preserve"> Holmes is described as </w:t>
      </w:r>
      <w:r w:rsidR="00FD537C">
        <w:t>tall and thin, with ‘eager eyes’ which when alert had a ‘hard, dry glitter’; wearing a dressing gown indoors and a ‘frock coat’ outdoors; smoking tobacco in a black clay pipe; drinking large pots of coffee; playing the violin; having a special hobby of newspaper font identification</w:t>
      </w:r>
      <w:r w:rsidR="007D6E21">
        <w:t>,</w:t>
      </w:r>
      <w:r w:rsidR="00FD537C">
        <w:t xml:space="preserve"> </w:t>
      </w:r>
      <w:r w:rsidR="000B6BF8">
        <w:t xml:space="preserve">often </w:t>
      </w:r>
      <w:r w:rsidR="007D6E21">
        <w:t xml:space="preserve">being </w:t>
      </w:r>
      <w:r w:rsidR="000B6BF8">
        <w:t xml:space="preserve">‘up all night’ and ‘very late in </w:t>
      </w:r>
      <w:r w:rsidR="00F17725">
        <w:t xml:space="preserve">the </w:t>
      </w:r>
      <w:r w:rsidR="000B6BF8">
        <w:t xml:space="preserve">mornings’ and </w:t>
      </w:r>
      <w:r w:rsidR="00FD537C">
        <w:t>being both ‘ a languid dreamer’ and ‘a man of action’</w:t>
      </w:r>
      <w:r w:rsidR="000B6BF8">
        <w:t xml:space="preserve">. </w:t>
      </w:r>
    </w:p>
    <w:p w14:paraId="3D9CC230" w14:textId="3B8729A3" w:rsidR="00624998" w:rsidRDefault="00182ECE" w:rsidP="00624998">
      <w:r w:rsidRPr="00624998"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3EBD66E2" wp14:editId="3F86971F">
            <wp:simplePos x="0" y="0"/>
            <wp:positionH relativeFrom="column">
              <wp:posOffset>2978867</wp:posOffset>
            </wp:positionH>
            <wp:positionV relativeFrom="paragraph">
              <wp:posOffset>80358</wp:posOffset>
            </wp:positionV>
            <wp:extent cx="1949450" cy="1500505"/>
            <wp:effectExtent l="0" t="0" r="0" b="4445"/>
            <wp:wrapSquare wrapText="bothSides"/>
            <wp:docPr id="2" name="Picture 2" descr="A picture containing indoor, photo, old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t-drawing-holmes-silv0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450" cy="1500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24998"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13B3D240" wp14:editId="7EDAAA7D">
            <wp:simplePos x="0" y="0"/>
            <wp:positionH relativeFrom="margin">
              <wp:posOffset>530860</wp:posOffset>
            </wp:positionH>
            <wp:positionV relativeFrom="paragraph">
              <wp:posOffset>65405</wp:posOffset>
            </wp:positionV>
            <wp:extent cx="1929765" cy="1426210"/>
            <wp:effectExtent l="0" t="0" r="0" b="2540"/>
            <wp:wrapTight wrapText="bothSides">
              <wp:wrapPolygon edited="0">
                <wp:start x="0" y="0"/>
                <wp:lineTo x="0" y="21350"/>
                <wp:lineTo x="21323" y="21350"/>
                <wp:lineTo x="21323" y="0"/>
                <wp:lineTo x="0" y="0"/>
              </wp:wrapPolygon>
            </wp:wrapTight>
            <wp:docPr id="1" name="Picture 1" descr="A person wearing a 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V5BZmFiMTIzZDUtZjM4ZS00YjZkLTlhOGEtYmE2ZGI1MTY4NWM5XkEyXkFqcGdeQXVyNzI1MjUzMDA@._V1_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9765" cy="1426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6DA86C" w14:textId="77777777" w:rsidR="00182ECE" w:rsidRDefault="00182ECE" w:rsidP="00624998"/>
    <w:p w14:paraId="25402778" w14:textId="77777777" w:rsidR="00182ECE" w:rsidRDefault="00182ECE" w:rsidP="00624998"/>
    <w:p w14:paraId="3880F467" w14:textId="1E9CEA57" w:rsidR="00182ECE" w:rsidRDefault="00182ECE" w:rsidP="00624998"/>
    <w:p w14:paraId="3B458E79" w14:textId="04D6CC46" w:rsidR="00182ECE" w:rsidRDefault="00182ECE" w:rsidP="00624998">
      <w:r w:rsidRPr="0062499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1BE359E3" wp14:editId="776B4DEE">
                <wp:simplePos x="0" y="0"/>
                <wp:positionH relativeFrom="margin">
                  <wp:posOffset>457118</wp:posOffset>
                </wp:positionH>
                <wp:positionV relativeFrom="paragraph">
                  <wp:posOffset>285177</wp:posOffset>
                </wp:positionV>
                <wp:extent cx="2461260" cy="389890"/>
                <wp:effectExtent l="0" t="0" r="0" b="0"/>
                <wp:wrapTight wrapText="bothSides">
                  <wp:wrapPolygon edited="0">
                    <wp:start x="0" y="0"/>
                    <wp:lineTo x="0" y="20052"/>
                    <wp:lineTo x="21399" y="20052"/>
                    <wp:lineTo x="21399" y="0"/>
                    <wp:lineTo x="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1260" cy="389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39A992" w14:textId="0FC6635F" w:rsidR="00624998" w:rsidRPr="00904DDE" w:rsidRDefault="00624998" w:rsidP="00624998">
                            <w:pPr>
                              <w:pStyle w:val="Caption"/>
                              <w:rPr>
                                <w:color w:val="000000" w:themeColor="text1"/>
                              </w:rPr>
                            </w:pPr>
                            <w:r w:rsidRPr="00904DDE">
                              <w:rPr>
                                <w:color w:val="000000" w:themeColor="text1"/>
                              </w:rPr>
                              <w:t>Basil Rathbone plays Sherloc</w:t>
                            </w:r>
                            <w:r w:rsidR="00BC0FE5">
                              <w:rPr>
                                <w:color w:val="000000" w:themeColor="text1"/>
                              </w:rPr>
                              <w:t>k</w:t>
                            </w:r>
                            <w:r w:rsidRPr="00904DD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gramStart"/>
                            <w:r w:rsidRPr="00904DDE">
                              <w:rPr>
                                <w:color w:val="000000" w:themeColor="text1"/>
                              </w:rPr>
                              <w:t>Holmes,  ‘</w:t>
                            </w:r>
                            <w:proofErr w:type="gramEnd"/>
                            <w:r w:rsidRPr="00904DDE">
                              <w:rPr>
                                <w:color w:val="000000" w:themeColor="text1"/>
                              </w:rPr>
                              <w:t>The Hound of the Baskervilles’, 1939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BE359E3" id="_x0000_t202" coordsize="21600,21600" o:spt="202" path="m0,0l0,21600,21600,21600,21600,0xe">
                <v:stroke joinstyle="miter"/>
                <v:path gradientshapeok="t" o:connecttype="rect"/>
              </v:shapetype>
              <v:shape id="Text_x0020_Box_x0020_9" o:spid="_x0000_s1026" type="#_x0000_t202" style="position:absolute;margin-left:36pt;margin-top:22.45pt;width:193.8pt;height:30.7pt;z-index:-25164390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" stroked="f">
                <v:textbox style="mso-fit-shape-to-text:t" inset="0,0,0,0">
                  <w:txbxContent>
                    <w:p w14:paraId="3C39A992" w14:textId="0FC6635F" w:rsidR="00624998" w:rsidRPr="00904DDE" w:rsidRDefault="00624998" w:rsidP="00624998">
                      <w:pPr>
                        <w:pStyle w:val="Caption"/>
                        <w:rPr>
                          <w:color w:val="000000" w:themeColor="text1"/>
                        </w:rPr>
                      </w:pPr>
                      <w:r w:rsidRPr="00904DDE">
                        <w:rPr>
                          <w:color w:val="000000" w:themeColor="text1"/>
                        </w:rPr>
                        <w:t>Basil Rathbone plays Sherloc</w:t>
                      </w:r>
                      <w:r w:rsidR="00BC0FE5">
                        <w:rPr>
                          <w:color w:val="000000" w:themeColor="text1"/>
                        </w:rPr>
                        <w:t>k</w:t>
                      </w:r>
                      <w:r w:rsidRPr="00904DDE">
                        <w:rPr>
                          <w:color w:val="000000" w:themeColor="text1"/>
                        </w:rPr>
                        <w:t xml:space="preserve"> </w:t>
                      </w:r>
                      <w:proofErr w:type="gramStart"/>
                      <w:r w:rsidRPr="00904DDE">
                        <w:rPr>
                          <w:color w:val="000000" w:themeColor="text1"/>
                        </w:rPr>
                        <w:t>Holmes,  ‘</w:t>
                      </w:r>
                      <w:proofErr w:type="gramEnd"/>
                      <w:r w:rsidRPr="00904DDE">
                        <w:rPr>
                          <w:color w:val="000000" w:themeColor="text1"/>
                        </w:rPr>
                        <w:t>The Hound of the Baskervilles’, 1939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591003A" w14:textId="1DD216FB" w:rsidR="00182ECE" w:rsidRDefault="00182ECE" w:rsidP="00624998"/>
    <w:p w14:paraId="71BC4E47" w14:textId="77777777" w:rsidR="00182ECE" w:rsidRDefault="00182ECE" w:rsidP="00624998"/>
    <w:p w14:paraId="4D472E05" w14:textId="7FF652CA" w:rsidR="00624998" w:rsidRPr="00624998" w:rsidRDefault="00624998" w:rsidP="00624998">
      <w:proofErr w:type="spellStart"/>
      <w:r w:rsidRPr="00624998">
        <w:t>Lanfield’s</w:t>
      </w:r>
      <w:proofErr w:type="spellEnd"/>
      <w:r w:rsidRPr="00624998">
        <w:t xml:space="preserve"> Holmes is close to the original, in character, in clothing and in speech, with much dialogue copied word for word. Stam, in </w:t>
      </w:r>
      <w:r w:rsidRPr="00624998">
        <w:rPr>
          <w:i/>
          <w:iCs/>
        </w:rPr>
        <w:t>Beyond Fidelity</w:t>
      </w:r>
      <w:r w:rsidRPr="00624998">
        <w:t xml:space="preserve"> (2008, p.77) questions whether fidelity involves being faithful to physical descriptions at the cost of quality acting. In the casting of Basil Rathbone, </w:t>
      </w:r>
      <w:proofErr w:type="spellStart"/>
      <w:r w:rsidRPr="00624998">
        <w:t>Lanfield</w:t>
      </w:r>
      <w:proofErr w:type="spellEnd"/>
      <w:r w:rsidRPr="00624998">
        <w:t xml:space="preserve"> was able to achieve both quality acting and a </w:t>
      </w:r>
      <w:r w:rsidRPr="00624998">
        <w:lastRenderedPageBreak/>
        <w:t xml:space="preserve">remarkably close physical match to Paget’s illustrations (see above). These illustrations are </w:t>
      </w:r>
      <w:proofErr w:type="spellStart"/>
      <w:r w:rsidRPr="00624998">
        <w:t>Genette’s</w:t>
      </w:r>
      <w:proofErr w:type="spellEnd"/>
      <w:r w:rsidRPr="00624998">
        <w:t xml:space="preserve"> ‘</w:t>
      </w:r>
      <w:proofErr w:type="spellStart"/>
      <w:r w:rsidRPr="00624998">
        <w:t>paratext</w:t>
      </w:r>
      <w:proofErr w:type="spellEnd"/>
      <w:r w:rsidRPr="00624998">
        <w:t xml:space="preserve">’; pieces of information and illustrations accompanying the text. In this case, the paratextual illustrations have heavily influenced </w:t>
      </w:r>
      <w:proofErr w:type="spellStart"/>
      <w:r w:rsidRPr="00624998">
        <w:t>Lanfield’s</w:t>
      </w:r>
      <w:proofErr w:type="spellEnd"/>
      <w:r w:rsidRPr="00624998">
        <w:t xml:space="preserve"> choice of actor, settings and costume. </w:t>
      </w:r>
      <w:r w:rsidR="00182ECE">
        <w:t xml:space="preserve">Like </w:t>
      </w:r>
      <w:proofErr w:type="spellStart"/>
      <w:r w:rsidR="00182ECE">
        <w:t>Lanfield</w:t>
      </w:r>
      <w:proofErr w:type="spellEnd"/>
      <w:r w:rsidR="00182ECE">
        <w:t xml:space="preserve">, </w:t>
      </w:r>
      <w:proofErr w:type="spellStart"/>
      <w:r w:rsidRPr="00624998">
        <w:t>McGuigan</w:t>
      </w:r>
      <w:proofErr w:type="spellEnd"/>
      <w:r w:rsidRPr="00624998">
        <w:t>, the</w:t>
      </w:r>
      <w:r w:rsidR="00182ECE">
        <w:t xml:space="preserve"> BBC</w:t>
      </w:r>
      <w:r w:rsidRPr="00624998">
        <w:t xml:space="preserve"> director, dressed </w:t>
      </w:r>
      <w:r w:rsidR="007D6E21">
        <w:t xml:space="preserve">his </w:t>
      </w:r>
      <w:r w:rsidRPr="00624998">
        <w:t>Holmes in a dressing gown and a modern ‘frock coat’ too. With Cumberbatch, we also have a tall, lean, dark-haired figure. His wavy, unkempt hair lends itself to the image of a more manic Holmes than either Doyle or Rathbone present.</w:t>
      </w:r>
    </w:p>
    <w:p w14:paraId="6BC38125" w14:textId="39E07181" w:rsidR="000B6BF8" w:rsidRDefault="00182ECE">
      <w:r>
        <w:t>Holmes’</w:t>
      </w:r>
      <w:r w:rsidR="000B6BF8">
        <w:t xml:space="preserve"> approach to his work</w:t>
      </w:r>
      <w:r w:rsidR="00B81366">
        <w:t xml:space="preserve"> </w:t>
      </w:r>
      <w:r w:rsidR="00F17725">
        <w:t>i</w:t>
      </w:r>
      <w:r w:rsidR="00B81366">
        <w:t>s meticulous</w:t>
      </w:r>
      <w:r w:rsidR="000B6BF8">
        <w:t xml:space="preserve">, </w:t>
      </w:r>
      <w:r w:rsidR="00B81366">
        <w:t xml:space="preserve">as described </w:t>
      </w:r>
      <w:r w:rsidR="000B6BF8">
        <w:t>by Watson:</w:t>
      </w:r>
    </w:p>
    <w:p w14:paraId="79632234" w14:textId="0D2B20FF" w:rsidR="00F63398" w:rsidRDefault="00E05A02" w:rsidP="007D6E21">
      <w:pPr>
        <w:ind w:left="567" w:right="1077"/>
        <w:jc w:val="both"/>
      </w:pPr>
      <w:r>
        <w:t>…</w:t>
      </w:r>
      <w:r w:rsidR="000B6BF8">
        <w:t>seclusion and solitude were very necessary</w:t>
      </w:r>
      <w:r>
        <w:t>…</w:t>
      </w:r>
      <w:r w:rsidR="000B6BF8">
        <w:t xml:space="preserve">in those hours of intense mental concentration during which he </w:t>
      </w:r>
      <w:r w:rsidR="00B81366">
        <w:t>weighed every particle of evidence, constructed alternative theories</w:t>
      </w:r>
      <w:r>
        <w:t xml:space="preserve"> </w:t>
      </w:r>
      <w:r w:rsidR="00CE3DA0">
        <w:t xml:space="preserve">(Doyle, </w:t>
      </w:r>
      <w:r w:rsidR="00C5041B">
        <w:rPr>
          <w:color w:val="000000" w:themeColor="text1"/>
        </w:rPr>
        <w:t>1902</w:t>
      </w:r>
      <w:r w:rsidR="00CE3DA0">
        <w:t xml:space="preserve">, </w:t>
      </w:r>
      <w:r w:rsidR="00B81366">
        <w:t>p. 683</w:t>
      </w:r>
      <w:r w:rsidR="00CE3DA0">
        <w:t>).</w:t>
      </w:r>
    </w:p>
    <w:p w14:paraId="4A9D9401" w14:textId="77777777" w:rsidR="00182ECE" w:rsidRDefault="00182ECE" w:rsidP="00B81366">
      <w:pPr>
        <w:ind w:left="720"/>
      </w:pPr>
    </w:p>
    <w:p w14:paraId="105E6211" w14:textId="77777777" w:rsidR="00904DDE" w:rsidRDefault="00B81366" w:rsidP="00904DDE">
      <w:pPr>
        <w:keepNext/>
      </w:pPr>
      <w:r w:rsidRPr="00B81366">
        <w:rPr>
          <w:noProof/>
          <w:lang w:eastAsia="en-GB"/>
        </w:rPr>
        <w:drawing>
          <wp:inline distT="0" distB="0" distL="0" distR="0" wp14:anchorId="07AF9CF7" wp14:editId="55F12C6B">
            <wp:extent cx="5295900" cy="27432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17658" r="7600" b="22517"/>
                    <a:stretch/>
                  </pic:blipFill>
                  <pic:spPr bwMode="auto">
                    <a:xfrm>
                      <a:off x="0" y="0"/>
                      <a:ext cx="5295900" cy="27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E1D2D9" w14:textId="7EF16079" w:rsidR="00B81366" w:rsidRDefault="00904DDE" w:rsidP="00904DDE">
      <w:pPr>
        <w:pStyle w:val="Caption"/>
      </w:pPr>
      <w:r>
        <w:t>‘</w:t>
      </w:r>
      <w:r w:rsidRPr="00904DDE">
        <w:rPr>
          <w:color w:val="000000" w:themeColor="text1"/>
        </w:rPr>
        <w:t>Mind Palace’ scene, The Hounds of Baskerville, 2012</w:t>
      </w:r>
    </w:p>
    <w:p w14:paraId="6185015E" w14:textId="6CAC3D5F" w:rsidR="00AC7E37" w:rsidRDefault="00904DDE">
      <w:r>
        <w:t>McGuigan’s</w:t>
      </w:r>
      <w:r w:rsidR="00F31246">
        <w:t xml:space="preserve"> ‘Mind Palace’ scene represents a moment where Holmes seeks solitude to think. Whilst using modern technology to give substance to his thoughts</w:t>
      </w:r>
      <w:r w:rsidR="00C03627">
        <w:t>,</w:t>
      </w:r>
      <w:r w:rsidR="00F31246">
        <w:t xml:space="preserve"> this scene remains faithful to and even enhances Doyle’s description of Holmes’ mental processes.</w:t>
      </w:r>
    </w:p>
    <w:p w14:paraId="7D78B293" w14:textId="1B228FC9" w:rsidR="00E049BB" w:rsidRDefault="00C50C08">
      <w:r>
        <w:t xml:space="preserve">Indeed, Cumberbatch’s Holmes is not the level-headed, calm, calculating, polite Victorian gentleman described by Doyle. In this adaptation, his character shows far greater depths of emotions: his anger, as he smashes equipment in the lab; his frustration and confusion </w:t>
      </w:r>
      <w:r>
        <w:lastRenderedPageBreak/>
        <w:t xml:space="preserve">when he ‘sees’ the hound and </w:t>
      </w:r>
      <w:r w:rsidR="00C5041B">
        <w:t xml:space="preserve">also </w:t>
      </w:r>
      <w:r>
        <w:t xml:space="preserve">a </w:t>
      </w:r>
      <w:r w:rsidR="00A73533">
        <w:t xml:space="preserve">light-hearted </w:t>
      </w:r>
      <w:r>
        <w:t>sense of humour, e.g. when his mental searches on ‘hound’ conjur</w:t>
      </w:r>
      <w:r w:rsidR="00A73533">
        <w:t>e</w:t>
      </w:r>
      <w:r>
        <w:t xml:space="preserve"> up Elvis Presley, who ‘</w:t>
      </w:r>
      <w:proofErr w:type="spellStart"/>
      <w:r w:rsidRPr="009E24F0">
        <w:rPr>
          <w:i/>
          <w:iCs/>
        </w:rPr>
        <w:t>aint</w:t>
      </w:r>
      <w:proofErr w:type="spellEnd"/>
      <w:r w:rsidRPr="009E24F0">
        <w:rPr>
          <w:i/>
          <w:iCs/>
        </w:rPr>
        <w:t xml:space="preserve"> nothing but a hound dog</w:t>
      </w:r>
      <w:r>
        <w:t>’</w:t>
      </w:r>
      <w:r w:rsidR="009F6106">
        <w:t xml:space="preserve"> (Presley</w:t>
      </w:r>
      <w:r w:rsidR="007D6E21">
        <w:t>,</w:t>
      </w:r>
      <w:r w:rsidR="009F6106">
        <w:t>1956, ‘Hound Dog’)</w:t>
      </w:r>
      <w:r w:rsidR="00A91BDD">
        <w:t>.</w:t>
      </w:r>
    </w:p>
    <w:p w14:paraId="6417AC20" w14:textId="416AB773" w:rsidR="00182ECE" w:rsidRDefault="00182ECE">
      <w:r>
        <w:t xml:space="preserve">Whilst the original story does not mention Holmes’ </w:t>
      </w:r>
      <w:r w:rsidR="000A1B96">
        <w:t xml:space="preserve">drug </w:t>
      </w:r>
      <w:r>
        <w:t xml:space="preserve">habit, first described </w:t>
      </w:r>
      <w:r w:rsidR="007D6E21">
        <w:t>by</w:t>
      </w:r>
      <w:r w:rsidR="000A1B96">
        <w:t xml:space="preserve"> Doyle</w:t>
      </w:r>
      <w:r w:rsidR="007D6E21">
        <w:t xml:space="preserve"> in</w:t>
      </w:r>
      <w:r>
        <w:t xml:space="preserve"> </w:t>
      </w:r>
      <w:r w:rsidR="000A1B96" w:rsidRPr="00294946">
        <w:rPr>
          <w:i/>
          <w:iCs/>
        </w:rPr>
        <w:t>‘The Study in Scarlet’</w:t>
      </w:r>
      <w:r w:rsidR="000A1B96">
        <w:t xml:space="preserve">, both adaptations refer to it; the ‘needle’ is mentioned in the film and a ‘7%’ solution in the TV series. These pieces </w:t>
      </w:r>
      <w:r w:rsidR="00294946">
        <w:t>of ‘metatext’</w:t>
      </w:r>
      <w:r w:rsidR="00294946" w:rsidRPr="00294946">
        <w:t xml:space="preserve"> draw on all </w:t>
      </w:r>
      <w:r w:rsidR="007D6E21">
        <w:t xml:space="preserve">of </w:t>
      </w:r>
      <w:r w:rsidR="00294946" w:rsidRPr="00294946">
        <w:t>Doyle’s works</w:t>
      </w:r>
      <w:r w:rsidR="00294946">
        <w:t xml:space="preserve"> and remind us, with some intrigue for the viewer, that Holmes is not perfect.</w:t>
      </w:r>
    </w:p>
    <w:p w14:paraId="2F314C4A" w14:textId="4EA9B1F0" w:rsidR="00000821" w:rsidRDefault="00ED0EB3">
      <w:pPr>
        <w:rPr>
          <w:u w:val="single"/>
        </w:rPr>
      </w:pPr>
      <w:r>
        <w:rPr>
          <w:u w:val="single"/>
        </w:rPr>
        <w:t>The r</w:t>
      </w:r>
      <w:r w:rsidR="00000821" w:rsidRPr="002C44D4">
        <w:rPr>
          <w:u w:val="single"/>
        </w:rPr>
        <w:t xml:space="preserve">elationship </w:t>
      </w:r>
      <w:r>
        <w:rPr>
          <w:u w:val="single"/>
        </w:rPr>
        <w:t xml:space="preserve">between Holmes and </w:t>
      </w:r>
      <w:r w:rsidR="00000821" w:rsidRPr="002C44D4">
        <w:rPr>
          <w:u w:val="single"/>
        </w:rPr>
        <w:t>Watson</w:t>
      </w:r>
    </w:p>
    <w:p w14:paraId="5F1C2272" w14:textId="05D40A7F" w:rsidR="006C6826" w:rsidRDefault="006C6826">
      <w:r>
        <w:t xml:space="preserve">The central characters common to all </w:t>
      </w:r>
      <w:r w:rsidR="00294946">
        <w:t>three</w:t>
      </w:r>
      <w:r>
        <w:t xml:space="preserve"> texts are Holmes and Watson. </w:t>
      </w:r>
      <w:r w:rsidR="00023B28">
        <w:t xml:space="preserve">Watson not only narrates the stories, </w:t>
      </w:r>
      <w:r w:rsidR="007D6E21">
        <w:t>similar to</w:t>
      </w:r>
      <w:r w:rsidR="00023B28">
        <w:t xml:space="preserve"> blogs, but </w:t>
      </w:r>
      <w:r w:rsidR="007D6E21">
        <w:t xml:space="preserve">he </w:t>
      </w:r>
      <w:r w:rsidR="00023B28">
        <w:t>is also the sounding board for Holmes’ theories</w:t>
      </w:r>
      <w:r w:rsidR="00294946">
        <w:t xml:space="preserve">, </w:t>
      </w:r>
      <w:r w:rsidR="00023B28">
        <w:t>his companion and sometimes an errand-boy at his bidding.</w:t>
      </w:r>
      <w:r w:rsidR="006A2289">
        <w:t xml:space="preserve"> </w:t>
      </w:r>
      <w:r w:rsidR="006A2289" w:rsidRPr="00EB0024">
        <w:t>Bruce’s Watson</w:t>
      </w:r>
      <w:r w:rsidR="00EB0024">
        <w:t>, in 1939,</w:t>
      </w:r>
      <w:r w:rsidR="006A2289" w:rsidRPr="00EB0024">
        <w:t xml:space="preserve"> carves a more pompous, bumbling figure than either Doyle’s or Freeman’s character</w:t>
      </w:r>
      <w:r w:rsidR="0038062E" w:rsidRPr="00EB0024">
        <w:t xml:space="preserve"> – but it did withstand a total of </w:t>
      </w:r>
      <w:r w:rsidR="00294946" w:rsidRPr="00EB0024">
        <w:t>14 film</w:t>
      </w:r>
      <w:r w:rsidR="0038062E" w:rsidRPr="00EB0024">
        <w:t xml:space="preserve"> appearances with Rathbone.</w:t>
      </w:r>
    </w:p>
    <w:p w14:paraId="4B07839F" w14:textId="06BAB64D" w:rsidR="00293B2D" w:rsidRDefault="00293B2D" w:rsidP="007D6E21">
      <w:pPr>
        <w:ind w:left="567" w:right="907"/>
        <w:jc w:val="both"/>
      </w:pPr>
      <w:r w:rsidRPr="00293B2D">
        <w:t xml:space="preserve">While not entirely passive, Watson's original role was mostly as an observer of Holmes and the chronicler of his cases. </w:t>
      </w:r>
      <w:r w:rsidR="00294946">
        <w:t>…</w:t>
      </w:r>
      <w:r w:rsidRPr="00293B2D">
        <w:t>In Nigel Bruce's hands</w:t>
      </w:r>
      <w:r w:rsidR="007D6E21">
        <w:t>,</w:t>
      </w:r>
      <w:r w:rsidRPr="00293B2D">
        <w:t xml:space="preserve"> the character became a comedic foil and a bit of a bumbler</w:t>
      </w:r>
      <w:r>
        <w:t xml:space="preserve"> (IMDb, 2020)</w:t>
      </w:r>
      <w:r w:rsidR="007D6E21">
        <w:t>.</w:t>
      </w:r>
    </w:p>
    <w:p w14:paraId="388F1D3E" w14:textId="4877E87C" w:rsidR="0038062E" w:rsidRDefault="009E24F0" w:rsidP="009E24F0">
      <w:r>
        <w:t>In both the film and BBC adaptation</w:t>
      </w:r>
      <w:r w:rsidR="007D6E21">
        <w:t>s,</w:t>
      </w:r>
      <w:r>
        <w:t xml:space="preserve"> the audience sees Watson getting frustrated and angry with Holmes. Bruce’s Watson is annoyed when Holmes reveals his disguise and Watson realises </w:t>
      </w:r>
      <w:r w:rsidR="007D6E21">
        <w:t xml:space="preserve">that </w:t>
      </w:r>
      <w:r>
        <w:t xml:space="preserve">he has been </w:t>
      </w:r>
      <w:r w:rsidR="00173A4E">
        <w:t>tricked</w:t>
      </w:r>
      <w:r>
        <w:t>. Freeman’s Watson</w:t>
      </w:r>
      <w:r w:rsidR="00EB0024">
        <w:t>, in 2012,</w:t>
      </w:r>
      <w:r>
        <w:t xml:space="preserve"> is also unforgiving when he discovers </w:t>
      </w:r>
      <w:r w:rsidR="007D6E21">
        <w:t xml:space="preserve">that </w:t>
      </w:r>
      <w:r>
        <w:t>he has been part of a Holmes experiment when</w:t>
      </w:r>
      <w:r w:rsidR="00BE1B43">
        <w:t xml:space="preserve"> </w:t>
      </w:r>
      <w:r w:rsidRPr="009E24F0">
        <w:t>trapped in the Baskerville</w:t>
      </w:r>
      <w:r w:rsidR="007D6E21">
        <w:t>s</w:t>
      </w:r>
      <w:r w:rsidRPr="009E24F0">
        <w:t xml:space="preserve"> research facility</w:t>
      </w:r>
      <w:r>
        <w:t xml:space="preserve">. He sulks for a while and </w:t>
      </w:r>
      <w:r w:rsidR="0038062E">
        <w:t xml:space="preserve">even </w:t>
      </w:r>
      <w:r>
        <w:t xml:space="preserve">blanks Holmes. </w:t>
      </w:r>
    </w:p>
    <w:p w14:paraId="3EA9C747" w14:textId="3F57C682" w:rsidR="009E24F0" w:rsidRPr="006C6826" w:rsidRDefault="0038062E" w:rsidP="009E24F0">
      <w:r>
        <w:t>Cumberbatch</w:t>
      </w:r>
      <w:r w:rsidR="007D6E21">
        <w:t>’s</w:t>
      </w:r>
      <w:r>
        <w:t xml:space="preserve"> and Freeman’s Holmes and Watson relationship is more complex than either the original text or film. In the first scene at 221B, Watson</w:t>
      </w:r>
      <w:r w:rsidR="00BE1B43">
        <w:t xml:space="preserve"> </w:t>
      </w:r>
      <w:r>
        <w:t>reminds Holmes, in a fraternal way, that he has given up smoking. Also when trying to gain entry to the MOD research facility, Watson on his</w:t>
      </w:r>
      <w:r w:rsidR="00173A4E">
        <w:t xml:space="preserve"> own</w:t>
      </w:r>
      <w:r>
        <w:t xml:space="preserve"> initiative, blags his way in. This characterisation is a step away from the original and 1939 film. Freeman’s Watson plays more of an integral part in the detection; </w:t>
      </w:r>
      <w:r w:rsidR="007D6E21">
        <w:t xml:space="preserve">he </w:t>
      </w:r>
      <w:r>
        <w:t xml:space="preserve">is more </w:t>
      </w:r>
      <w:r w:rsidR="007D6E21">
        <w:t xml:space="preserve">like </w:t>
      </w:r>
      <w:r>
        <w:t>a partner than an assistant and act</w:t>
      </w:r>
      <w:r w:rsidR="00173A4E">
        <w:t>s</w:t>
      </w:r>
      <w:r>
        <w:t xml:space="preserve"> independently.</w:t>
      </w:r>
    </w:p>
    <w:p w14:paraId="7AB8371A" w14:textId="0A8A744F" w:rsidR="00953DD8" w:rsidRDefault="00AC7E37">
      <w:r>
        <w:t xml:space="preserve">Stam </w:t>
      </w:r>
      <w:r w:rsidR="001B0474">
        <w:t xml:space="preserve">(2008, </w:t>
      </w:r>
      <w:r>
        <w:t>p</w:t>
      </w:r>
      <w:r w:rsidR="00953DD8">
        <w:t>.</w:t>
      </w:r>
      <w:r>
        <w:t xml:space="preserve"> 77</w:t>
      </w:r>
      <w:r w:rsidR="001B0474">
        <w:t>) states that ‘</w:t>
      </w:r>
      <w:r>
        <w:t>a performer brings baggage</w:t>
      </w:r>
      <w:r w:rsidR="001B0474">
        <w:t>…</w:t>
      </w:r>
      <w:r>
        <w:t xml:space="preserve"> a thespian intertext</w:t>
      </w:r>
      <w:r w:rsidR="001B0474">
        <w:t xml:space="preserve">’ which is the </w:t>
      </w:r>
      <w:r>
        <w:t xml:space="preserve">‘totality of antecedent roles’. In Freeman’s case, </w:t>
      </w:r>
      <w:r>
        <w:lastRenderedPageBreak/>
        <w:t>viewing him in 2020, he brings</w:t>
      </w:r>
      <w:r w:rsidR="001B0474">
        <w:t xml:space="preserve"> </w:t>
      </w:r>
      <w:r w:rsidR="007D6E21">
        <w:t xml:space="preserve">to the role </w:t>
      </w:r>
      <w:r w:rsidR="001B0474">
        <w:t xml:space="preserve">the ‘baggage’ of a </w:t>
      </w:r>
      <w:r w:rsidR="00953DD8">
        <w:t>Hobbit-like</w:t>
      </w:r>
      <w:r>
        <w:t xml:space="preserve"> ‘Baggins’</w:t>
      </w:r>
      <w:r w:rsidR="002B4274">
        <w:t>,</w:t>
      </w:r>
      <w:r w:rsidR="001B0474">
        <w:t xml:space="preserve"> nudity from ‘</w:t>
      </w:r>
      <w:r w:rsidR="002B4274">
        <w:t>Love Actually</w:t>
      </w:r>
      <w:r w:rsidR="001B0474">
        <w:t>’ and comedy from</w:t>
      </w:r>
      <w:r w:rsidR="002B4274">
        <w:t xml:space="preserve"> </w:t>
      </w:r>
      <w:r w:rsidR="001B0474">
        <w:t>‘</w:t>
      </w:r>
      <w:r w:rsidR="002B4274">
        <w:t>The Office</w:t>
      </w:r>
      <w:r w:rsidR="001B0474">
        <w:t>’.</w:t>
      </w:r>
      <w:r w:rsidR="00173A4E">
        <w:t xml:space="preserve"> His role as a ‘straight-man’ here is credible, but the intertextuality he brings as an actor is hard to put aside.</w:t>
      </w:r>
    </w:p>
    <w:p w14:paraId="56ECD31B" w14:textId="7A073AC9" w:rsidR="00AC7E37" w:rsidRDefault="00953DD8">
      <w:r>
        <w:t>However, t</w:t>
      </w:r>
      <w:r w:rsidRPr="00953DD8">
        <w:t>o Holmes, throughout the text</w:t>
      </w:r>
      <w:r w:rsidR="00173A4E">
        <w:t xml:space="preserve"> and adaptations</w:t>
      </w:r>
      <w:r w:rsidRPr="00953DD8">
        <w:t>, he is always ‘my dear Watson’, and as Cumberbatch’s Holmes attests, Watson is his one true friend.</w:t>
      </w:r>
    </w:p>
    <w:p w14:paraId="7CA4C710" w14:textId="15A25354" w:rsidR="004E0CDB" w:rsidRDefault="00294946">
      <w:pPr>
        <w:rPr>
          <w:u w:val="single"/>
        </w:rPr>
      </w:pPr>
      <w:r>
        <w:rPr>
          <w:u w:val="single"/>
        </w:rPr>
        <w:t>Some s</w:t>
      </w:r>
      <w:r w:rsidR="004E0CDB" w:rsidRPr="004E0CDB">
        <w:rPr>
          <w:u w:val="single"/>
        </w:rPr>
        <w:t>imilarities and differences</w:t>
      </w:r>
      <w:r w:rsidR="007D6E21">
        <w:rPr>
          <w:u w:val="single"/>
        </w:rPr>
        <w:t xml:space="preserve"> between the three texts</w:t>
      </w:r>
    </w:p>
    <w:p w14:paraId="1F46E5BC" w14:textId="6D3BA2C6" w:rsidR="007D6E21" w:rsidRPr="007D6E21" w:rsidRDefault="00EB0024">
      <w:pPr>
        <w:rPr>
          <w:u w:val="single"/>
        </w:rPr>
      </w:pPr>
      <w:r>
        <w:rPr>
          <w:u w:val="single"/>
        </w:rPr>
        <w:t>Similarities</w:t>
      </w:r>
    </w:p>
    <w:p w14:paraId="15565C51" w14:textId="485D434F" w:rsidR="00953DD8" w:rsidRDefault="00953DD8">
      <w:r>
        <w:t>221b Baker Street, as any Holmes fan will know, is the home of Sherlock Holmes. Even to this day</w:t>
      </w:r>
      <w:r w:rsidR="007D6E21">
        <w:t>,</w:t>
      </w:r>
      <w:r>
        <w:t xml:space="preserve"> </w:t>
      </w:r>
      <w:r w:rsidR="007D6E21">
        <w:t>one</w:t>
      </w:r>
      <w:r>
        <w:t xml:space="preserve"> cannot alight at Baker Street Underground </w:t>
      </w:r>
      <w:r w:rsidR="007D6E21">
        <w:t xml:space="preserve">station </w:t>
      </w:r>
      <w:r>
        <w:t>without realising this (see below).</w:t>
      </w:r>
    </w:p>
    <w:p w14:paraId="7C87E8DD" w14:textId="12043690" w:rsidR="00294946" w:rsidRDefault="00BE1B4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12B5CB2" wp14:editId="3ACEE13F">
                <wp:simplePos x="0" y="0"/>
                <wp:positionH relativeFrom="column">
                  <wp:posOffset>57150</wp:posOffset>
                </wp:positionH>
                <wp:positionV relativeFrom="paragraph">
                  <wp:posOffset>2472690</wp:posOffset>
                </wp:positionV>
                <wp:extent cx="3200400" cy="25844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25844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659EF5" w14:textId="2ABE3657" w:rsidR="00BE1B43" w:rsidRPr="00BE1B43" w:rsidRDefault="00BE1B43" w:rsidP="00BE1B43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BE1B43">
                              <w:rPr>
                                <w:color w:val="000000" w:themeColor="text1"/>
                              </w:rPr>
                              <w:t>Baker Street Underground Station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2B5CB2" id="Text_x0020_Box_x0020_10" o:spid="_x0000_s1027" type="#_x0000_t202" style="position:absolute;margin-left:4.5pt;margin-top:194.7pt;width:252pt;height:20.35pt;z-index:-251648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" stroked="f">
                <v:textbox style="mso-fit-shape-to-text:t" inset="0,0,0,0">
                  <w:txbxContent>
                    <w:p w14:paraId="11659EF5" w14:textId="2ABE3657" w:rsidR="00BE1B43" w:rsidRPr="00BE1B43" w:rsidRDefault="00BE1B43" w:rsidP="00BE1B43">
                      <w:pPr>
                        <w:pStyle w:val="Caption"/>
                        <w:rPr>
                          <w:noProof/>
                          <w:color w:val="000000" w:themeColor="text1"/>
                          <w:sz w:val="28"/>
                          <w:szCs w:val="28"/>
                        </w:rPr>
                      </w:pPr>
                      <w:r w:rsidRPr="00BE1B43">
                        <w:rPr>
                          <w:color w:val="000000" w:themeColor="text1"/>
                        </w:rPr>
                        <w:t>Baker Street Underground Station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953DD8"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 wp14:anchorId="477B3789" wp14:editId="4AD7226F">
            <wp:simplePos x="0" y="0"/>
            <wp:positionH relativeFrom="margin">
              <wp:posOffset>57150</wp:posOffset>
            </wp:positionH>
            <wp:positionV relativeFrom="paragraph">
              <wp:posOffset>15240</wp:posOffset>
            </wp:positionV>
            <wp:extent cx="3200400" cy="2400300"/>
            <wp:effectExtent l="0" t="0" r="0" b="0"/>
            <wp:wrapTight wrapText="bothSides">
              <wp:wrapPolygon edited="0">
                <wp:start x="0" y="0"/>
                <wp:lineTo x="0" y="21429"/>
                <wp:lineTo x="21471" y="21429"/>
                <wp:lineTo x="21471" y="0"/>
                <wp:lineTo x="0" y="0"/>
              </wp:wrapPolygon>
            </wp:wrapTight>
            <wp:docPr id="4" name="Picture 4" descr="A close up of a c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baker street station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53DD8">
        <w:t xml:space="preserve">The original text does not mention </w:t>
      </w:r>
      <w:r w:rsidR="003271CE">
        <w:t xml:space="preserve">221b </w:t>
      </w:r>
      <w:r w:rsidR="00953DD8">
        <w:t>at all</w:t>
      </w:r>
      <w:r w:rsidR="009E6E8F">
        <w:t xml:space="preserve"> by number</w:t>
      </w:r>
      <w:r w:rsidR="00953DD8">
        <w:t xml:space="preserve">. But readers of </w:t>
      </w:r>
      <w:r w:rsidR="007D6E21">
        <w:t>‘</w:t>
      </w:r>
      <w:r w:rsidR="00953DD8">
        <w:t>The Strand</w:t>
      </w:r>
      <w:r w:rsidR="007D6E21">
        <w:t>’</w:t>
      </w:r>
      <w:r w:rsidR="00953DD8">
        <w:t xml:space="preserve"> serialisation will already know this piece of intertextual fact, which originated in </w:t>
      </w:r>
      <w:r w:rsidR="002A6652">
        <w:t>Doyle</w:t>
      </w:r>
      <w:r w:rsidR="00953DD8">
        <w:t xml:space="preserve">’s first story, </w:t>
      </w:r>
      <w:r w:rsidR="00953DD8" w:rsidRPr="00294946">
        <w:rPr>
          <w:i/>
          <w:iCs/>
        </w:rPr>
        <w:t>‘The Study in Scarlet’</w:t>
      </w:r>
      <w:r w:rsidR="009E6E8F">
        <w:t>. Both film and modern TV adaptation</w:t>
      </w:r>
      <w:r w:rsidR="007D6E21">
        <w:t>s</w:t>
      </w:r>
      <w:r w:rsidR="009E6E8F">
        <w:t xml:space="preserve"> have scenes including the famous number on the street door. </w:t>
      </w:r>
    </w:p>
    <w:p w14:paraId="5426B8C5" w14:textId="226E4CE0" w:rsidR="00953DD8" w:rsidRDefault="009E6E8F">
      <w:r>
        <w:t xml:space="preserve">Both put Holmes and Watson in a Victorian house, with Victorian décor and ornaments. </w:t>
      </w:r>
    </w:p>
    <w:p w14:paraId="3B9E4EB9" w14:textId="16FF0279" w:rsidR="009E6E8F" w:rsidRDefault="009E6E8F">
      <w:r>
        <w:t xml:space="preserve">The other setting which plays an intrinsic </w:t>
      </w:r>
      <w:r w:rsidR="000F3EBA">
        <w:t xml:space="preserve">part in all three texts is Dartmoor </w:t>
      </w:r>
      <w:r w:rsidR="00077336">
        <w:t>–</w:t>
      </w:r>
      <w:r w:rsidR="000F3EBA">
        <w:t xml:space="preserve"> </w:t>
      </w:r>
      <w:r w:rsidR="00077336">
        <w:t xml:space="preserve">its rocky tors and </w:t>
      </w:r>
      <w:r w:rsidR="000F3EBA">
        <w:t xml:space="preserve">Great </w:t>
      </w:r>
      <w:proofErr w:type="spellStart"/>
      <w:r w:rsidR="000F3EBA">
        <w:t>Grimpen</w:t>
      </w:r>
      <w:proofErr w:type="spellEnd"/>
      <w:r w:rsidR="000F3EBA">
        <w:t xml:space="preserve"> Mire - generally creat</w:t>
      </w:r>
      <w:r w:rsidR="00077336">
        <w:t>ing</w:t>
      </w:r>
      <w:r w:rsidR="000F3EBA">
        <w:t xml:space="preserve"> a dark, misty and scare-mongering back-drop for the howling hound to patrol.</w:t>
      </w:r>
    </w:p>
    <w:p w14:paraId="341F1AF3" w14:textId="19D396DB" w:rsidR="00294946" w:rsidRDefault="00294946" w:rsidP="00294946">
      <w:r>
        <w:t xml:space="preserve">The </w:t>
      </w:r>
      <w:r w:rsidR="007D6E21">
        <w:t>h</w:t>
      </w:r>
      <w:r>
        <w:t>ound itself appears faithfully in both adaptations; the original is described as:</w:t>
      </w:r>
    </w:p>
    <w:p w14:paraId="2859BBE3" w14:textId="1835EB1F" w:rsidR="00294946" w:rsidRDefault="00294946" w:rsidP="007D6E21">
      <w:pPr>
        <w:ind w:left="567" w:right="964"/>
        <w:jc w:val="both"/>
      </w:pPr>
      <w:r>
        <w:t xml:space="preserve">Giant, savage, and as large as a small lioness… the huge jaws seemed to be dripping with a bluish flame and the small, deep-set cruel eyes were ringed with fire (Doyle, </w:t>
      </w:r>
      <w:r w:rsidR="00EB0024">
        <w:t>1981,</w:t>
      </w:r>
      <w:r>
        <w:t>The Hound of the Baskervilles, p. 757)</w:t>
      </w:r>
      <w:r w:rsidR="007D6E21">
        <w:t>.</w:t>
      </w:r>
    </w:p>
    <w:p w14:paraId="4240C32C" w14:textId="1CC81B94" w:rsidR="00294946" w:rsidRDefault="00294946" w:rsidP="00294946">
      <w:proofErr w:type="spellStart"/>
      <w:r>
        <w:lastRenderedPageBreak/>
        <w:t>Lanfield</w:t>
      </w:r>
      <w:proofErr w:type="spellEnd"/>
      <w:r>
        <w:t>, working without colour, could not represent the glowing phosphorous, but still created a savage beast</w:t>
      </w:r>
      <w:r w:rsidR="001401BC">
        <w:t xml:space="preserve">, as did </w:t>
      </w:r>
      <w:r>
        <w:t>McGuigan,</w:t>
      </w:r>
      <w:r w:rsidR="001401BC">
        <w:t xml:space="preserve"> who with modern effects</w:t>
      </w:r>
      <w:r w:rsidR="007D6E21">
        <w:t>,</w:t>
      </w:r>
      <w:r w:rsidR="001401BC">
        <w:t xml:space="preserve"> could make it glow too.</w:t>
      </w:r>
    </w:p>
    <w:p w14:paraId="20FCA77A" w14:textId="39CE339C" w:rsidR="00173A4E" w:rsidRDefault="00173A4E">
      <w:r>
        <w:t>There are visual references in both film texts to a specific scene in the story:</w:t>
      </w:r>
    </w:p>
    <w:p w14:paraId="2CEEACC5" w14:textId="32A36435" w:rsidR="000F3EBA" w:rsidRDefault="000F3EBA" w:rsidP="00182ECE">
      <w:pPr>
        <w:ind w:left="567" w:right="567"/>
        <w:jc w:val="both"/>
      </w:pPr>
      <w:r>
        <w:t>There, outlined as black as an ebony statue on that shining background, I saw the figure of a man upon the tor</w:t>
      </w:r>
      <w:r w:rsidR="00077336">
        <w:t xml:space="preserve"> </w:t>
      </w:r>
      <w:r>
        <w:t>(</w:t>
      </w:r>
      <w:r w:rsidR="002A6652">
        <w:t>Doyle</w:t>
      </w:r>
      <w:r>
        <w:t>,</w:t>
      </w:r>
      <w:r w:rsidRPr="00EB0024">
        <w:t>1902,</w:t>
      </w:r>
      <w:r w:rsidR="008330D5">
        <w:t xml:space="preserve"> </w:t>
      </w:r>
      <w:r>
        <w:t>p.726).</w:t>
      </w:r>
    </w:p>
    <w:p w14:paraId="347D3B15" w14:textId="1EB28682" w:rsidR="00953DD8" w:rsidRDefault="00077336">
      <w:r>
        <w:t>Doyle’s words and Paget’s illustrations inspire</w:t>
      </w:r>
      <w:r w:rsidR="007D6E21">
        <w:t>d</w:t>
      </w:r>
      <w:r>
        <w:t xml:space="preserve"> both adaptations (see b</w:t>
      </w:r>
      <w:r w:rsidR="00173A4E">
        <w:t>e</w:t>
      </w:r>
      <w:r>
        <w:t>low).</w:t>
      </w:r>
    </w:p>
    <w:p w14:paraId="7EE74C0E" w14:textId="023B8489" w:rsidR="00953DD8" w:rsidRDefault="00953DD8"/>
    <w:p w14:paraId="6D2E5382" w14:textId="41B1AB83" w:rsidR="007F10D3" w:rsidRDefault="00173A4E">
      <w:pPr>
        <w:rPr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80DA79D" wp14:editId="5FE5B572">
                <wp:simplePos x="0" y="0"/>
                <wp:positionH relativeFrom="column">
                  <wp:posOffset>3152775</wp:posOffset>
                </wp:positionH>
                <wp:positionV relativeFrom="paragraph">
                  <wp:posOffset>3038475</wp:posOffset>
                </wp:positionV>
                <wp:extent cx="2154555" cy="233680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4555" cy="23368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99A68F" w14:textId="77777777" w:rsidR="00BE1B43" w:rsidRDefault="00173A4E" w:rsidP="00BE1B43">
                            <w:pPr>
                              <w:pStyle w:val="Caption"/>
                              <w:spacing w:after="0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BE1B43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“I saw the figure of a man upon the Tor” </w:t>
                            </w:r>
                          </w:p>
                          <w:p w14:paraId="2E07A6EB" w14:textId="3CA199E4" w:rsidR="00173A4E" w:rsidRPr="00BE1B43" w:rsidRDefault="00173A4E" w:rsidP="00BE1B43">
                            <w:pPr>
                              <w:pStyle w:val="Caption"/>
                              <w:spacing w:after="0"/>
                              <w:jc w:val="center"/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BE1B43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Sidney Paget 1891</w:t>
                            </w:r>
                            <w:r w:rsidR="00BE1B43" w:rsidRPr="00BE1B43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www.victorianweb.org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0DA79D" id="Text_x0020_Box_x0020_8" o:spid="_x0000_s1028" type="#_x0000_t202" style="position:absolute;margin-left:248.25pt;margin-top:239.25pt;width:169.65pt;height:18.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" stroked="f">
                <v:textbox style="mso-fit-shape-to-text:t" inset="0,0,0,0">
                  <w:txbxContent>
                    <w:p w14:paraId="1E99A68F" w14:textId="77777777" w:rsidR="00BE1B43" w:rsidRDefault="00173A4E" w:rsidP="00BE1B43">
                      <w:pPr>
                        <w:pStyle w:val="Caption"/>
                        <w:spacing w:after="0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BE1B43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“I saw the figure of a man upon the Tor” </w:t>
                      </w:r>
                    </w:p>
                    <w:p w14:paraId="2E07A6EB" w14:textId="3CA199E4" w:rsidR="00173A4E" w:rsidRPr="00BE1B43" w:rsidRDefault="00173A4E" w:rsidP="00BE1B43">
                      <w:pPr>
                        <w:pStyle w:val="Caption"/>
                        <w:spacing w:after="0"/>
                        <w:jc w:val="center"/>
                        <w:rPr>
                          <w:color w:val="000000" w:themeColor="text1"/>
                          <w:sz w:val="16"/>
                          <w:szCs w:val="16"/>
                        </w:rPr>
                      </w:pPr>
                      <w:r w:rsidRPr="00BE1B43">
                        <w:rPr>
                          <w:color w:val="000000" w:themeColor="text1"/>
                          <w:sz w:val="16"/>
                          <w:szCs w:val="16"/>
                        </w:rPr>
                        <w:t>Sidney Paget 1891</w:t>
                      </w:r>
                      <w:r w:rsidR="00BE1B43" w:rsidRPr="00BE1B43">
                        <w:rPr>
                          <w:color w:val="000000" w:themeColor="text1"/>
                          <w:sz w:val="16"/>
                          <w:szCs w:val="16"/>
                        </w:rPr>
                        <w:t xml:space="preserve"> www.victorianweb.org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77336">
        <w:rPr>
          <w:noProof/>
          <w:u w:val="single"/>
          <w:lang w:eastAsia="en-GB"/>
        </w:rPr>
        <w:drawing>
          <wp:anchor distT="0" distB="0" distL="114300" distR="114300" simplePos="0" relativeHeight="251660288" behindDoc="0" locked="0" layoutInCell="1" allowOverlap="1" wp14:anchorId="339BF49C" wp14:editId="1F935DDB">
            <wp:simplePos x="0" y="0"/>
            <wp:positionH relativeFrom="margin">
              <wp:posOffset>3152775</wp:posOffset>
            </wp:positionH>
            <wp:positionV relativeFrom="paragraph">
              <wp:posOffset>9525</wp:posOffset>
            </wp:positionV>
            <wp:extent cx="2154555" cy="2971800"/>
            <wp:effectExtent l="0" t="0" r="0" b="0"/>
            <wp:wrapSquare wrapText="bothSides"/>
            <wp:docPr id="5" name="Picture 5" descr="A picture containing grass, photo, field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igure of  a ma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455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10D3">
        <w:rPr>
          <w:noProof/>
          <w:u w:val="single"/>
          <w:lang w:eastAsia="en-GB"/>
        </w:rPr>
        <w:drawing>
          <wp:inline distT="0" distB="0" distL="0" distR="0" wp14:anchorId="5D30838C" wp14:editId="5A733E8D">
            <wp:extent cx="2543175" cy="1236086"/>
            <wp:effectExtent l="0" t="0" r="0" b="2540"/>
            <wp:docPr id="3" name="Picture 3" descr="A person standing on a rocky h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Hound Rock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8305" cy="1272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DC278" w14:textId="6332C8A1" w:rsidR="00E049BB" w:rsidRDefault="00077336">
      <w:pPr>
        <w:rPr>
          <w:u w:val="single"/>
        </w:rPr>
      </w:pPr>
      <w:r w:rsidRPr="000F3EBA"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137C35E2" wp14:editId="77C421DE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2581275" cy="1699260"/>
            <wp:effectExtent l="0" t="0" r="0" b="0"/>
            <wp:wrapTight wrapText="bothSides">
              <wp:wrapPolygon edited="0">
                <wp:start x="0" y="0"/>
                <wp:lineTo x="0" y="21309"/>
                <wp:lineTo x="21361" y="21309"/>
                <wp:lineTo x="2136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228" b="35189"/>
                    <a:stretch/>
                  </pic:blipFill>
                  <pic:spPr bwMode="auto">
                    <a:xfrm>
                      <a:off x="0" y="0"/>
                      <a:ext cx="2589543" cy="17049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EB7D6E" w14:textId="2AB4CD2E" w:rsidR="008A560B" w:rsidRDefault="008A560B">
      <w:pPr>
        <w:rPr>
          <w:u w:val="single"/>
        </w:rPr>
      </w:pPr>
    </w:p>
    <w:p w14:paraId="2F997962" w14:textId="2D6F45E3" w:rsidR="008A560B" w:rsidRDefault="008A560B">
      <w:pPr>
        <w:rPr>
          <w:u w:val="single"/>
        </w:rPr>
      </w:pPr>
    </w:p>
    <w:p w14:paraId="7FC2414A" w14:textId="40CE9C87" w:rsidR="008A560B" w:rsidRDefault="008A560B">
      <w:pPr>
        <w:rPr>
          <w:u w:val="single"/>
        </w:rPr>
      </w:pPr>
    </w:p>
    <w:p w14:paraId="3BBA2466" w14:textId="346B6E1B" w:rsidR="008A560B" w:rsidRDefault="008A560B">
      <w:pPr>
        <w:rPr>
          <w:u w:val="single"/>
        </w:rPr>
      </w:pPr>
    </w:p>
    <w:p w14:paraId="3AA63369" w14:textId="77777777" w:rsidR="00077336" w:rsidRDefault="00077336" w:rsidP="00953DD8"/>
    <w:p w14:paraId="5B6B1425" w14:textId="0301EC4B" w:rsidR="00E049BB" w:rsidRPr="008B361B" w:rsidRDefault="008330D5">
      <w:r>
        <w:t>.</w:t>
      </w:r>
      <w:r w:rsidR="003367B1">
        <w:br/>
      </w:r>
      <w:r w:rsidR="00E049BB">
        <w:rPr>
          <w:u w:val="single"/>
        </w:rPr>
        <w:t>Differences</w:t>
      </w:r>
      <w:r w:rsidR="008B361B">
        <w:rPr>
          <w:u w:val="single"/>
        </w:rPr>
        <w:t xml:space="preserve"> </w:t>
      </w:r>
    </w:p>
    <w:p w14:paraId="3B0BFF97" w14:textId="396F2FD1" w:rsidR="00E049BB" w:rsidRDefault="00450BBC">
      <w:proofErr w:type="spellStart"/>
      <w:r>
        <w:t>Lanfield’s</w:t>
      </w:r>
      <w:proofErr w:type="spellEnd"/>
      <w:r>
        <w:t xml:space="preserve"> adaptation is quite faithful in plot and dialogue</w:t>
      </w:r>
      <w:r w:rsidR="007D6E21">
        <w:t xml:space="preserve"> to the original text</w:t>
      </w:r>
      <w:r>
        <w:t xml:space="preserve">. He changes the relationship between the scheming </w:t>
      </w:r>
      <w:proofErr w:type="spellStart"/>
      <w:r>
        <w:t>Stapletons</w:t>
      </w:r>
      <w:proofErr w:type="spellEnd"/>
      <w:r>
        <w:t xml:space="preserve"> to allow for a r</w:t>
      </w:r>
      <w:r w:rsidR="00E049BB">
        <w:t xml:space="preserve">omance </w:t>
      </w:r>
      <w:r>
        <w:t xml:space="preserve">between Miss Stapleton and </w:t>
      </w:r>
      <w:r w:rsidR="00E049BB" w:rsidRPr="00E049BB">
        <w:t>Sir Henry</w:t>
      </w:r>
      <w:r>
        <w:t xml:space="preserve"> Baskervill</w:t>
      </w:r>
      <w:r w:rsidRPr="00EB0024">
        <w:t>e</w:t>
      </w:r>
      <w:r>
        <w:t xml:space="preserve"> – no doubt with the viewing audience in mind.</w:t>
      </w:r>
      <w:r w:rsidR="00160FD3">
        <w:t xml:space="preserve"> Also</w:t>
      </w:r>
      <w:r w:rsidR="007D6E21">
        <w:t>,</w:t>
      </w:r>
      <w:r w:rsidR="00160FD3">
        <w:t xml:space="preserve"> he puts </w:t>
      </w:r>
      <w:r w:rsidR="00E049BB">
        <w:t xml:space="preserve">Holmes </w:t>
      </w:r>
      <w:r w:rsidR="00160FD3">
        <w:t>in</w:t>
      </w:r>
      <w:r w:rsidR="00E049BB">
        <w:t xml:space="preserve"> disguise</w:t>
      </w:r>
      <w:r w:rsidR="00160FD3">
        <w:t xml:space="preserve">. </w:t>
      </w:r>
      <w:proofErr w:type="spellStart"/>
      <w:r w:rsidR="00160FD3">
        <w:t>Doyles</w:t>
      </w:r>
      <w:proofErr w:type="spellEnd"/>
      <w:r w:rsidR="00160FD3">
        <w:t xml:space="preserve">’ Holmes often takes on a disguise but not in this story – an example of </w:t>
      </w:r>
      <w:proofErr w:type="spellStart"/>
      <w:r w:rsidR="00160FD3">
        <w:t>transtextuality</w:t>
      </w:r>
      <w:proofErr w:type="spellEnd"/>
      <w:r w:rsidR="00160FD3">
        <w:t xml:space="preserve"> – being influenced by a text other than the original.</w:t>
      </w:r>
    </w:p>
    <w:p w14:paraId="445DAEFD" w14:textId="12EE0DCF" w:rsidR="00B6359D" w:rsidRDefault="00541CD5">
      <w:r w:rsidRPr="00541CD5">
        <w:lastRenderedPageBreak/>
        <w:t>McGuigan’s contemporary adaptation differs in plot and we find Holmes and Watson in a modern world; driving a Defender</w:t>
      </w:r>
      <w:r w:rsidR="007D6E21">
        <w:t>,</w:t>
      </w:r>
      <w:r w:rsidRPr="00541CD5">
        <w:t xml:space="preserve"> writing blogs</w:t>
      </w:r>
      <w:r w:rsidR="007D6E21">
        <w:t>,</w:t>
      </w:r>
      <w:r w:rsidRPr="00541CD5">
        <w:t xml:space="preserve"> dealing with conspiracy theories in MOD research establishments, but there</w:t>
      </w:r>
      <w:r w:rsidR="007D6E21">
        <w:t xml:space="preserve"> </w:t>
      </w:r>
      <w:r w:rsidRPr="00541CD5">
        <w:t xml:space="preserve">are </w:t>
      </w:r>
      <w:r w:rsidR="007D6E21">
        <w:t xml:space="preserve">still </w:t>
      </w:r>
      <w:r w:rsidRPr="00541CD5">
        <w:t xml:space="preserve">so many references to the original Holmes and Watson that </w:t>
      </w:r>
      <w:r w:rsidR="007D6E21">
        <w:t>the audience</w:t>
      </w:r>
      <w:r w:rsidRPr="00541CD5">
        <w:t xml:space="preserve"> recognise</w:t>
      </w:r>
      <w:r w:rsidR="007D6E21">
        <w:t>s</w:t>
      </w:r>
      <w:r w:rsidRPr="00541CD5">
        <w:t xml:space="preserve"> them as </w:t>
      </w:r>
      <w:r w:rsidR="002A6652">
        <w:t>Doyle</w:t>
      </w:r>
      <w:r w:rsidR="00B6359D">
        <w:t>’s</w:t>
      </w:r>
      <w:r w:rsidRPr="00541CD5">
        <w:t xml:space="preserve"> </w:t>
      </w:r>
      <w:r w:rsidR="00B6359D">
        <w:t xml:space="preserve">iconic </w:t>
      </w:r>
      <w:r w:rsidRPr="00541CD5">
        <w:t>characters</w:t>
      </w:r>
      <w:r w:rsidR="00B6359D">
        <w:t>.</w:t>
      </w:r>
    </w:p>
    <w:p w14:paraId="2C346795" w14:textId="62997CBA" w:rsidR="00B6359D" w:rsidRDefault="00B6359D">
      <w:r>
        <w:t>It is 118 years since ‘The Hound of the Baskervilles’ was published and over that time Holmes and Watson have become household names</w:t>
      </w:r>
      <w:r w:rsidR="00624998">
        <w:t>;</w:t>
      </w:r>
      <w:r>
        <w:t xml:space="preserve"> part of</w:t>
      </w:r>
      <w:r w:rsidR="001401BC">
        <w:t xml:space="preserve"> </w:t>
      </w:r>
      <w:r>
        <w:t>our culture</w:t>
      </w:r>
      <w:r w:rsidR="00624998">
        <w:t xml:space="preserve"> and</w:t>
      </w:r>
      <w:r w:rsidR="001401BC">
        <w:t xml:space="preserve"> even our urban language</w:t>
      </w:r>
      <w:r w:rsidR="00EB0024">
        <w:t xml:space="preserve"> - </w:t>
      </w:r>
      <w:r w:rsidR="00624998">
        <w:t xml:space="preserve">with phrases like </w:t>
      </w:r>
      <w:r w:rsidR="00624998" w:rsidRPr="00624998">
        <w:rPr>
          <w:i/>
          <w:iCs/>
        </w:rPr>
        <w:t>‘No s##t Sherlock’</w:t>
      </w:r>
      <w:r>
        <w:t xml:space="preserve">. </w:t>
      </w:r>
      <w:r w:rsidR="002A6652">
        <w:t>Doyle</w:t>
      </w:r>
      <w:r>
        <w:t xml:space="preserve"> could be hailed as the original architect of </w:t>
      </w:r>
      <w:r w:rsidR="00D239ED">
        <w:t>his own</w:t>
      </w:r>
      <w:r>
        <w:t xml:space="preserve"> detective genre</w:t>
      </w:r>
      <w:r w:rsidR="00D239ED">
        <w:t>. This ‘</w:t>
      </w:r>
      <w:proofErr w:type="spellStart"/>
      <w:r w:rsidR="00D239ED">
        <w:t>architextuality</w:t>
      </w:r>
      <w:proofErr w:type="spellEnd"/>
      <w:r w:rsidR="00D239ED">
        <w:t>’</w:t>
      </w:r>
      <w:r w:rsidR="001401BC">
        <w:t xml:space="preserve">, </w:t>
      </w:r>
      <w:r w:rsidR="00DD10FA">
        <w:t>which</w:t>
      </w:r>
      <w:r w:rsidR="001401BC">
        <w:t xml:space="preserve"> </w:t>
      </w:r>
      <w:proofErr w:type="spellStart"/>
      <w:r w:rsidR="001401BC">
        <w:t>Genette</w:t>
      </w:r>
      <w:proofErr w:type="spellEnd"/>
      <w:r w:rsidR="001401BC">
        <w:t xml:space="preserve"> describes </w:t>
      </w:r>
      <w:r w:rsidR="00DD10FA">
        <w:t>as</w:t>
      </w:r>
      <w:r w:rsidR="001401BC">
        <w:t xml:space="preserve"> </w:t>
      </w:r>
      <w:r w:rsidR="001401BC" w:rsidRPr="001401BC">
        <w:t>“the reader’s expectations, and thus their reception of the work”</w:t>
      </w:r>
      <w:r w:rsidR="001401BC">
        <w:t xml:space="preserve"> (</w:t>
      </w:r>
      <w:r w:rsidR="007D6E21">
        <w:t xml:space="preserve">1997, </w:t>
      </w:r>
      <w:r w:rsidR="001401BC">
        <w:t xml:space="preserve">cited in </w:t>
      </w:r>
      <w:proofErr w:type="spellStart"/>
      <w:r w:rsidR="001401BC">
        <w:t>Simanda</w:t>
      </w:r>
      <w:r w:rsidR="00EB0024">
        <w:t>n</w:t>
      </w:r>
      <w:proofErr w:type="spellEnd"/>
      <w:r w:rsidR="001401BC">
        <w:t>, 2011),</w:t>
      </w:r>
      <w:r w:rsidR="00D239ED">
        <w:t xml:space="preserve"> has created the foundation for others to build their adaptations upon.</w:t>
      </w:r>
      <w:r w:rsidR="002A6652">
        <w:t xml:space="preserve"> To create good adaptations, </w:t>
      </w:r>
      <w:r w:rsidR="007D6E21">
        <w:t>such as</w:t>
      </w:r>
      <w:r w:rsidR="002A6652">
        <w:t xml:space="preserve"> both </w:t>
      </w:r>
      <w:proofErr w:type="spellStart"/>
      <w:r w:rsidR="002A6652">
        <w:t>Lanfield’s</w:t>
      </w:r>
      <w:proofErr w:type="spellEnd"/>
      <w:r w:rsidR="002A6652">
        <w:t xml:space="preserve"> and </w:t>
      </w:r>
      <w:proofErr w:type="spellStart"/>
      <w:r w:rsidR="002A6652">
        <w:t>McGuigan’s</w:t>
      </w:r>
      <w:proofErr w:type="spellEnd"/>
      <w:r w:rsidR="002A6652">
        <w:t xml:space="preserve">, </w:t>
      </w:r>
      <w:r w:rsidR="007D6E21">
        <w:t xml:space="preserve">it </w:t>
      </w:r>
      <w:r w:rsidR="002A6652">
        <w:t>is elementary</w:t>
      </w:r>
      <w:r w:rsidR="00EB0024">
        <w:t xml:space="preserve"> - </w:t>
      </w:r>
      <w:r w:rsidR="00904DDE">
        <w:t>keep true to the original. That is what the audience crave</w:t>
      </w:r>
      <w:r w:rsidR="007D6E21">
        <w:t>s</w:t>
      </w:r>
      <w:r w:rsidR="00904DDE">
        <w:t>.</w:t>
      </w:r>
    </w:p>
    <w:p w14:paraId="0436E8A7" w14:textId="5F81AC6C" w:rsidR="00A64F28" w:rsidRDefault="001401BC">
      <w:r>
        <w:t>(Wordcount 1</w:t>
      </w:r>
      <w:r w:rsidR="007D6E21">
        <w:t>7</w:t>
      </w:r>
      <w:r w:rsidR="00802B0C">
        <w:t xml:space="preserve">25 </w:t>
      </w:r>
      <w:r w:rsidR="00802B0C" w:rsidRPr="00802B0C">
        <w:rPr>
          <w:i/>
          <w:iCs/>
        </w:rPr>
        <w:t>including captions</w:t>
      </w:r>
      <w:r>
        <w:t>)</w:t>
      </w:r>
    </w:p>
    <w:p w14:paraId="02E68A2F" w14:textId="3AE576F7" w:rsidR="00A64F28" w:rsidRDefault="00A64F28">
      <w:pPr>
        <w:rPr>
          <w:u w:val="single"/>
        </w:rPr>
      </w:pPr>
      <w:r w:rsidRPr="00A64F28">
        <w:rPr>
          <w:u w:val="single"/>
        </w:rPr>
        <w:t>References</w:t>
      </w:r>
    </w:p>
    <w:p w14:paraId="2B874F93" w14:textId="1DFEEFC6" w:rsidR="00ED4996" w:rsidRDefault="002A6652">
      <w:r>
        <w:t>Doyle</w:t>
      </w:r>
      <w:r w:rsidR="00CE3DA0" w:rsidRPr="00CE3DA0">
        <w:t xml:space="preserve">, A. </w:t>
      </w:r>
      <w:r w:rsidR="00CE3DA0">
        <w:t xml:space="preserve">(1981) </w:t>
      </w:r>
      <w:r w:rsidR="00CE3DA0" w:rsidRPr="00CE3DA0">
        <w:t>The Penguin Complete Sherlock Holmes</w:t>
      </w:r>
      <w:r w:rsidR="00CE3DA0">
        <w:t xml:space="preserve">.  Penguin </w:t>
      </w:r>
    </w:p>
    <w:p w14:paraId="0CA73032" w14:textId="08128E25" w:rsidR="00B16BEC" w:rsidRDefault="00ED4996">
      <w:r>
        <w:t xml:space="preserve">Guinness World Records. Available at: </w:t>
      </w:r>
      <w:hyperlink r:id="rId13" w:history="1">
        <w:r w:rsidRPr="00A869BE">
          <w:rPr>
            <w:rStyle w:val="Hyperlink"/>
          </w:rPr>
          <w:t>https://www.guinnessworldrecords.com/news/2012/5/sherlock-holmes-awarded-title-for-most-portrayed-literary-human-character-in-film-tv-41743/</w:t>
        </w:r>
      </w:hyperlink>
      <w:r>
        <w:t xml:space="preserve"> </w:t>
      </w:r>
      <w:r w:rsidR="00CE3DA0">
        <w:t xml:space="preserve"> </w:t>
      </w:r>
      <w:r>
        <w:t xml:space="preserve">(accessed 2/05/20) </w:t>
      </w:r>
    </w:p>
    <w:p w14:paraId="4AE3D07F" w14:textId="0017F920" w:rsidR="006A2289" w:rsidRDefault="006A2289">
      <w:r>
        <w:t xml:space="preserve">IMDb ‘The Hound of the Baskervilles (1939)’ Available at: </w:t>
      </w:r>
      <w:hyperlink r:id="rId14" w:history="1">
        <w:r w:rsidR="00933187" w:rsidRPr="00C34B32">
          <w:rPr>
            <w:rStyle w:val="Hyperlink"/>
          </w:rPr>
          <w:t>www.imdb.com</w:t>
        </w:r>
      </w:hyperlink>
      <w:r>
        <w:t xml:space="preserve"> (accessed 08/04/2020)</w:t>
      </w:r>
    </w:p>
    <w:p w14:paraId="1011A398" w14:textId="70C4BB5C" w:rsidR="00CE3DA0" w:rsidRPr="00CE3DA0" w:rsidRDefault="00B16BEC">
      <w:r>
        <w:t>Leitch, T. (2007) Film Adaptation and Its Discontents. US: Johns Hopkins</w:t>
      </w:r>
      <w:r w:rsidR="00CE3DA0">
        <w:t xml:space="preserve"> </w:t>
      </w:r>
      <w:r>
        <w:t>UP.</w:t>
      </w:r>
      <w:r w:rsidR="00CE3DA0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6F2AF003" w14:textId="12BF0077" w:rsidR="002B4274" w:rsidRPr="002B4274" w:rsidRDefault="002B4274">
      <w:bookmarkStart w:id="1" w:name="_Hlk39307962"/>
      <w:proofErr w:type="spellStart"/>
      <w:r w:rsidRPr="002B4274">
        <w:t>Simandan</w:t>
      </w:r>
      <w:proofErr w:type="spellEnd"/>
      <w:r w:rsidRPr="002B4274">
        <w:t>, V.M</w:t>
      </w:r>
      <w:r>
        <w:t xml:space="preserve"> (2011) ‘</w:t>
      </w:r>
      <w:proofErr w:type="spellStart"/>
      <w:r>
        <w:t>Genette’s</w:t>
      </w:r>
      <w:proofErr w:type="spellEnd"/>
      <w:r>
        <w:t xml:space="preserve"> Elements of Intertextuality’ </w:t>
      </w:r>
      <w:bookmarkEnd w:id="1"/>
      <w:r>
        <w:t xml:space="preserve">Available at: </w:t>
      </w:r>
      <w:hyperlink r:id="rId15" w:history="1">
        <w:r w:rsidRPr="00A226F9">
          <w:rPr>
            <w:rStyle w:val="Hyperlink"/>
          </w:rPr>
          <w:t>https://www.simandan.com/genettes-elements-of-intertextuality/</w:t>
        </w:r>
      </w:hyperlink>
      <w:r>
        <w:t xml:space="preserve"> (Accessed on 15/03/20)</w:t>
      </w:r>
    </w:p>
    <w:p w14:paraId="031A592C" w14:textId="0E482387" w:rsidR="00AC7E37" w:rsidRDefault="00AC7E37">
      <w:r w:rsidRPr="00AC7E37">
        <w:t xml:space="preserve">Stam, R. and </w:t>
      </w:r>
      <w:proofErr w:type="spellStart"/>
      <w:r w:rsidRPr="00AC7E37">
        <w:t>Raengo</w:t>
      </w:r>
      <w:proofErr w:type="spellEnd"/>
      <w:r w:rsidRPr="00AC7E37">
        <w:t>, A. (eds.) (2008) Literature and Film: A Guide to the Theory and Practice of Film Adaptation. Oxford: Wiley Blackwell</w:t>
      </w:r>
    </w:p>
    <w:p w14:paraId="0087B688" w14:textId="409557E1" w:rsidR="00AC7E37" w:rsidRDefault="00AC7E37">
      <w:r>
        <w:t xml:space="preserve">The Hound of the Baskervilles 1939 [film] Directed by S. </w:t>
      </w:r>
      <w:proofErr w:type="spellStart"/>
      <w:r>
        <w:t>Lanfield</w:t>
      </w:r>
      <w:proofErr w:type="spellEnd"/>
      <w:r>
        <w:t xml:space="preserve"> USA/UK </w:t>
      </w:r>
      <w:r w:rsidRPr="00AC7E37">
        <w:t>Twentieth Century Fox</w:t>
      </w:r>
    </w:p>
    <w:p w14:paraId="3C591E91" w14:textId="53FA6A8F" w:rsidR="00AC7E37" w:rsidRDefault="00AC7E37">
      <w:r>
        <w:t>The Hounds of Baskerville 2012 [TV series] Series 2, Episode 2, Directed by P. McGuigan UK BBC</w:t>
      </w:r>
    </w:p>
    <w:p w14:paraId="7D2AED86" w14:textId="5876F0F8" w:rsidR="00D44068" w:rsidRDefault="00D44068">
      <w:r>
        <w:lastRenderedPageBreak/>
        <w:t xml:space="preserve">Victorian Web, Paget’s Illustrations Available at: </w:t>
      </w:r>
      <w:hyperlink r:id="rId16" w:history="1">
        <w:r w:rsidRPr="00A226F9">
          <w:rPr>
            <w:rStyle w:val="Hyperlink"/>
          </w:rPr>
          <w:t>http://www.victorianweb.org/art/illustration/pagets/index.html</w:t>
        </w:r>
      </w:hyperlink>
      <w:r>
        <w:t xml:space="preserve"> (accessed 17/03/20)</w:t>
      </w:r>
    </w:p>
    <w:p w14:paraId="660735F4" w14:textId="3E4A2A1A" w:rsidR="00933187" w:rsidRDefault="00933187">
      <w:r>
        <w:t>(Reference Wordcount:118)</w:t>
      </w:r>
    </w:p>
    <w:sectPr w:rsidR="00933187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64F0F4" w14:textId="77777777" w:rsidR="007679AB" w:rsidRDefault="007679AB" w:rsidP="00F1086E">
      <w:pPr>
        <w:spacing w:after="0" w:line="240" w:lineRule="auto"/>
      </w:pPr>
      <w:r>
        <w:separator/>
      </w:r>
    </w:p>
  </w:endnote>
  <w:endnote w:type="continuationSeparator" w:id="0">
    <w:p w14:paraId="0408125D" w14:textId="77777777" w:rsidR="007679AB" w:rsidRDefault="007679AB" w:rsidP="00F108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A3ED9A" w14:textId="77777777" w:rsidR="007679AB" w:rsidRDefault="007679AB" w:rsidP="00F1086E">
      <w:pPr>
        <w:spacing w:after="0" w:line="240" w:lineRule="auto"/>
      </w:pPr>
      <w:r>
        <w:separator/>
      </w:r>
    </w:p>
  </w:footnote>
  <w:footnote w:type="continuationSeparator" w:id="0">
    <w:p w14:paraId="30416E95" w14:textId="77777777" w:rsidR="007679AB" w:rsidRDefault="007679AB" w:rsidP="00F108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22DA1D" w14:textId="2B858561" w:rsidR="00F1086E" w:rsidRDefault="00F1086E">
    <w:pPr>
      <w:pStyle w:val="Header"/>
    </w:pPr>
    <w:r>
      <w:t>Adaptation (HPMF5007)                                  Ieuan Whittaker (1802062)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wMzezNDIyMDI2M7VU0lEKTi0uzszPAykwqgUAbl2AsSwAAAA="/>
  </w:docVars>
  <w:rsids>
    <w:rsidRoot w:val="002E0272"/>
    <w:rsid w:val="00000821"/>
    <w:rsid w:val="00002C0E"/>
    <w:rsid w:val="0000381D"/>
    <w:rsid w:val="00007196"/>
    <w:rsid w:val="00023B28"/>
    <w:rsid w:val="00041033"/>
    <w:rsid w:val="000454E7"/>
    <w:rsid w:val="0006464D"/>
    <w:rsid w:val="00077336"/>
    <w:rsid w:val="000A1B96"/>
    <w:rsid w:val="000B52B1"/>
    <w:rsid w:val="000B6BF8"/>
    <w:rsid w:val="000E5965"/>
    <w:rsid w:val="000F3EBA"/>
    <w:rsid w:val="001042F1"/>
    <w:rsid w:val="001401BC"/>
    <w:rsid w:val="00140E8D"/>
    <w:rsid w:val="00160FD3"/>
    <w:rsid w:val="00173A4E"/>
    <w:rsid w:val="00182ECE"/>
    <w:rsid w:val="001B0474"/>
    <w:rsid w:val="001F31A9"/>
    <w:rsid w:val="00264C7F"/>
    <w:rsid w:val="00293B2D"/>
    <w:rsid w:val="00294946"/>
    <w:rsid w:val="002A06DD"/>
    <w:rsid w:val="002A6652"/>
    <w:rsid w:val="002B4274"/>
    <w:rsid w:val="002C44D4"/>
    <w:rsid w:val="002D1844"/>
    <w:rsid w:val="002E0272"/>
    <w:rsid w:val="002F57E5"/>
    <w:rsid w:val="003271CE"/>
    <w:rsid w:val="003367B1"/>
    <w:rsid w:val="0038062E"/>
    <w:rsid w:val="00383BB8"/>
    <w:rsid w:val="003F5FDD"/>
    <w:rsid w:val="00436C91"/>
    <w:rsid w:val="00450BBC"/>
    <w:rsid w:val="004E0CDB"/>
    <w:rsid w:val="00533A5B"/>
    <w:rsid w:val="00541CD5"/>
    <w:rsid w:val="005442E8"/>
    <w:rsid w:val="00574C4E"/>
    <w:rsid w:val="005A16CA"/>
    <w:rsid w:val="005A7EE1"/>
    <w:rsid w:val="005B13F9"/>
    <w:rsid w:val="0060210B"/>
    <w:rsid w:val="00624998"/>
    <w:rsid w:val="00632052"/>
    <w:rsid w:val="006A2289"/>
    <w:rsid w:val="006B4A06"/>
    <w:rsid w:val="006B6783"/>
    <w:rsid w:val="006C6826"/>
    <w:rsid w:val="00735EF0"/>
    <w:rsid w:val="007679AB"/>
    <w:rsid w:val="007841AD"/>
    <w:rsid w:val="007D6E21"/>
    <w:rsid w:val="007F10D3"/>
    <w:rsid w:val="007F2BCD"/>
    <w:rsid w:val="00802B0C"/>
    <w:rsid w:val="00810597"/>
    <w:rsid w:val="00810EDF"/>
    <w:rsid w:val="008301E7"/>
    <w:rsid w:val="008330D5"/>
    <w:rsid w:val="00875B4D"/>
    <w:rsid w:val="008A560B"/>
    <w:rsid w:val="008B361B"/>
    <w:rsid w:val="00904DDE"/>
    <w:rsid w:val="00933187"/>
    <w:rsid w:val="00953DD8"/>
    <w:rsid w:val="00954AD4"/>
    <w:rsid w:val="00973E31"/>
    <w:rsid w:val="00981139"/>
    <w:rsid w:val="00983DF7"/>
    <w:rsid w:val="009A3FFD"/>
    <w:rsid w:val="009D2A41"/>
    <w:rsid w:val="009E24F0"/>
    <w:rsid w:val="009E6012"/>
    <w:rsid w:val="009E6E8F"/>
    <w:rsid w:val="009E7568"/>
    <w:rsid w:val="009F6106"/>
    <w:rsid w:val="00A35178"/>
    <w:rsid w:val="00A64F28"/>
    <w:rsid w:val="00A73533"/>
    <w:rsid w:val="00A91BDD"/>
    <w:rsid w:val="00AC7E37"/>
    <w:rsid w:val="00B16BEC"/>
    <w:rsid w:val="00B6359D"/>
    <w:rsid w:val="00B81366"/>
    <w:rsid w:val="00BA72AB"/>
    <w:rsid w:val="00BC0FE5"/>
    <w:rsid w:val="00BE1B43"/>
    <w:rsid w:val="00C03627"/>
    <w:rsid w:val="00C310DA"/>
    <w:rsid w:val="00C5041B"/>
    <w:rsid w:val="00C50C08"/>
    <w:rsid w:val="00CB4915"/>
    <w:rsid w:val="00CC5E20"/>
    <w:rsid w:val="00CE3DA0"/>
    <w:rsid w:val="00CE66C2"/>
    <w:rsid w:val="00D239ED"/>
    <w:rsid w:val="00D44068"/>
    <w:rsid w:val="00D624FE"/>
    <w:rsid w:val="00D758F1"/>
    <w:rsid w:val="00D87D67"/>
    <w:rsid w:val="00DD10FA"/>
    <w:rsid w:val="00DF717F"/>
    <w:rsid w:val="00E049BB"/>
    <w:rsid w:val="00E05A02"/>
    <w:rsid w:val="00E20341"/>
    <w:rsid w:val="00E23CF5"/>
    <w:rsid w:val="00EB0024"/>
    <w:rsid w:val="00ED0EB3"/>
    <w:rsid w:val="00ED4996"/>
    <w:rsid w:val="00F0469C"/>
    <w:rsid w:val="00F07BB4"/>
    <w:rsid w:val="00F1086E"/>
    <w:rsid w:val="00F17725"/>
    <w:rsid w:val="00F31246"/>
    <w:rsid w:val="00F624D1"/>
    <w:rsid w:val="00F62FB1"/>
    <w:rsid w:val="00F63398"/>
    <w:rsid w:val="00FD537C"/>
    <w:rsid w:val="00FE4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5DBAF"/>
  <w15:chartTrackingRefBased/>
  <w15:docId w15:val="{5074E573-7C36-4146-99C8-1AB690987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Theme="minorHAnsi" w:hAnsi="Arial" w:cs="Arial"/>
        <w:sz w:val="28"/>
        <w:szCs w:val="28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C7E3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7E3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B4274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2B4274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73A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10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86E"/>
  </w:style>
  <w:style w:type="paragraph" w:styleId="Footer">
    <w:name w:val="footer"/>
    <w:basedOn w:val="Normal"/>
    <w:link w:val="FooterChar"/>
    <w:uiPriority w:val="99"/>
    <w:unhideWhenUsed/>
    <w:rsid w:val="00F108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6.jpeg"/><Relationship Id="rId12" Type="http://schemas.openxmlformats.org/officeDocument/2006/relationships/image" Target="media/image7.jpeg"/><Relationship Id="rId13" Type="http://schemas.openxmlformats.org/officeDocument/2006/relationships/hyperlink" Target="https://www.guinnessworldrecords.com/news/2012/5/sherlock-holmes-awarded-title-for-most-portrayed-literary-human-character-in-film-tv-41743/" TargetMode="External"/><Relationship Id="rId14" Type="http://schemas.openxmlformats.org/officeDocument/2006/relationships/hyperlink" Target="http://www.imdb.com" TargetMode="External"/><Relationship Id="rId15" Type="http://schemas.openxmlformats.org/officeDocument/2006/relationships/hyperlink" Target="https://www.simandan.com/genettes-elements-of-intertextuality/" TargetMode="External"/><Relationship Id="rId16" Type="http://schemas.openxmlformats.org/officeDocument/2006/relationships/hyperlink" Target="http://www.victorianweb.org/art/illustration/pagets/index.html" TargetMode="External"/><Relationship Id="rId17" Type="http://schemas.openxmlformats.org/officeDocument/2006/relationships/header" Target="header1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jpg"/><Relationship Id="rId7" Type="http://schemas.openxmlformats.org/officeDocument/2006/relationships/image" Target="media/image2.jpeg"/><Relationship Id="rId8" Type="http://schemas.openxmlformats.org/officeDocument/2006/relationships/image" Target="media/image3.png"/><Relationship Id="rId9" Type="http://schemas.openxmlformats.org/officeDocument/2006/relationships/image" Target="media/image4.jpg"/><Relationship Id="rId10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8</Pages>
  <Words>1995</Words>
  <Characters>11374</Characters>
  <Application>Microsoft Macintosh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Christina Rayner</dc:creator>
  <cp:keywords/>
  <dc:description/>
  <cp:lastModifiedBy>Microsoft Office User</cp:lastModifiedBy>
  <cp:revision>5</cp:revision>
  <dcterms:created xsi:type="dcterms:W3CDTF">2020-05-23T09:24:00Z</dcterms:created>
  <dcterms:modified xsi:type="dcterms:W3CDTF">2020-05-29T14:23:00Z</dcterms:modified>
</cp:coreProperties>
</file>