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307FF" w:rsidR="00D73361" w:rsidP="00B70F9A" w:rsidRDefault="00B70F9A" w14:paraId="5BEE1A43" w14:textId="77777777">
      <w:pPr>
        <w:widowControl/>
        <w:spacing w:after="277" w:line="256" w:lineRule="auto"/>
        <w:jc w:val="both"/>
        <w:rPr>
          <w:sz w:val="24"/>
          <w:szCs w:val="24"/>
        </w:rPr>
      </w:pPr>
      <w:r w:rsidRPr="00A307FF">
        <w:rPr>
          <w:color w:val="000000"/>
          <w:sz w:val="24"/>
          <w:szCs w:val="24"/>
          <w:lang w:eastAsia="zh-CN" w:bidi="ar"/>
        </w:rPr>
        <w:t xml:space="preserve"> </w:t>
      </w:r>
    </w:p>
    <w:p w:rsidRPr="00A307FF" w:rsidR="00D73361" w:rsidP="00B70F9A" w:rsidRDefault="00B70F9A" w14:paraId="5BEE1A44" w14:textId="77777777">
      <w:pPr>
        <w:widowControl/>
        <w:spacing w:line="256" w:lineRule="auto"/>
        <w:jc w:val="both"/>
        <w:rPr>
          <w:sz w:val="24"/>
          <w:szCs w:val="24"/>
        </w:rPr>
      </w:pPr>
      <w:r w:rsidRPr="00A307FF">
        <w:rPr>
          <w:color w:val="000000"/>
          <w:sz w:val="24"/>
          <w:szCs w:val="24"/>
          <w:lang w:eastAsia="zh-CN" w:bidi="ar"/>
        </w:rPr>
        <w:t xml:space="preserve"> </w:t>
      </w:r>
    </w:p>
    <w:p w:rsidRPr="00A307FF" w:rsidR="00D73361" w:rsidP="00B70F9A" w:rsidRDefault="00B70F9A" w14:paraId="5BEE1A45" w14:textId="77777777">
      <w:pPr>
        <w:widowControl/>
        <w:spacing w:after="172" w:line="256" w:lineRule="auto"/>
        <w:ind w:left="-1"/>
        <w:jc w:val="both"/>
        <w:rPr>
          <w:sz w:val="24"/>
          <w:szCs w:val="24"/>
        </w:rPr>
      </w:pPr>
      <w:r w:rsidR="00B70F9A">
        <w:drawing>
          <wp:inline wp14:editId="1928E79D" wp14:anchorId="5BEE1A87">
            <wp:extent cx="3743325" cy="1497330"/>
            <wp:effectExtent l="0" t="0" r="0" b="0"/>
            <wp:docPr id="2" name="Picture 3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36"/>
                    <pic:cNvPicPr>
                      <a:picLocks noChangeAspect="1"/>
                    </pic:cNvPicPr>
                  </pic:nvPicPr>
                  <pic:blipFill>
                    <a:blip xmlns:r="http://schemas.openxmlformats.org/officeDocument/2006/relationships" r:embed="rId9"/>
                    <a:stretch>
                      <a:fillRect/>
                    </a:stretch>
                  </pic:blipFill>
                  <pic:spPr>
                    <a:xfrm rot="0">
                      <a:off x="0" y="0"/>
                      <a:ext cx="3743325" cy="1497330"/>
                    </a:xfrm>
                    <a:prstGeom prst="rect">
                      <a:avLst/>
                    </a:prstGeom>
                    <a:noFill/>
                    <a:ln>
                      <a:noFill/>
                    </a:ln>
                  </pic:spPr>
                </pic:pic>
              </a:graphicData>
            </a:graphic>
          </wp:inline>
        </w:drawing>
      </w:r>
    </w:p>
    <w:p w:rsidRPr="00A307FF" w:rsidR="00D73361" w:rsidP="00B70F9A" w:rsidRDefault="00B70F9A" w14:paraId="5BEE1A46" w14:textId="77777777">
      <w:pPr>
        <w:widowControl/>
        <w:spacing w:after="318" w:line="256" w:lineRule="auto"/>
        <w:jc w:val="both"/>
        <w:rPr>
          <w:sz w:val="24"/>
          <w:szCs w:val="24"/>
        </w:rPr>
      </w:pPr>
      <w:r w:rsidRPr="00A307FF">
        <w:rPr>
          <w:color w:val="000000"/>
          <w:sz w:val="24"/>
          <w:szCs w:val="24"/>
          <w:lang w:eastAsia="zh-CN" w:bidi="ar"/>
        </w:rPr>
        <w:t xml:space="preserve"> </w:t>
      </w:r>
    </w:p>
    <w:p w:rsidRPr="00202D80" w:rsidR="00D73361" w:rsidP="00B70F9A" w:rsidRDefault="00B70F9A" w14:paraId="5BEE1A47" w14:textId="77777777">
      <w:pPr>
        <w:widowControl/>
        <w:spacing w:after="297" w:line="256" w:lineRule="auto"/>
        <w:jc w:val="both"/>
        <w:rPr>
          <w:b/>
          <w:bCs/>
          <w:sz w:val="24"/>
          <w:szCs w:val="24"/>
        </w:rPr>
      </w:pPr>
      <w:r w:rsidRPr="00A307FF">
        <w:rPr>
          <w:color w:val="000000"/>
          <w:sz w:val="24"/>
          <w:szCs w:val="24"/>
          <w:lang w:eastAsia="zh-CN" w:bidi="ar"/>
        </w:rPr>
        <w:t xml:space="preserve"> </w:t>
      </w:r>
    </w:p>
    <w:p w:rsidRPr="00202D80" w:rsidR="00D73361" w:rsidP="7197FCDA" w:rsidRDefault="00B70F9A" w14:paraId="5BEE1A48" w14:textId="3F915662">
      <w:pPr>
        <w:widowControl w:val="1"/>
        <w:spacing w:after="295" w:line="256" w:lineRule="auto"/>
        <w:ind w:left="-5" w:hanging="10"/>
        <w:jc w:val="both"/>
        <w:rPr>
          <w:rFonts w:ascii="Arial" w:hAnsi="Arial" w:eastAsia="Arial" w:cs="Arial"/>
          <w:b w:val="1"/>
          <w:bCs w:val="1"/>
          <w:sz w:val="22"/>
          <w:szCs w:val="22"/>
        </w:rPr>
      </w:pPr>
      <w:r w:rsidRPr="7197FCDA" w:rsidR="00B70F9A">
        <w:rPr>
          <w:rFonts w:ascii="Arial" w:hAnsi="Arial" w:eastAsia="Arial" w:cs="Arial"/>
          <w:b w:val="1"/>
          <w:bCs w:val="1"/>
          <w:color w:val="000000" w:themeColor="text1" w:themeTint="FF" w:themeShade="FF"/>
          <w:sz w:val="22"/>
          <w:szCs w:val="22"/>
          <w:lang w:eastAsia="zh-CN" w:bidi="ar"/>
        </w:rPr>
        <w:t xml:space="preserve">Student name: </w:t>
      </w:r>
      <w:r w:rsidRPr="7197FCDA" w:rsidR="00202D80">
        <w:rPr>
          <w:rFonts w:ascii="Arial" w:hAnsi="Arial" w:eastAsia="Arial" w:cs="Arial"/>
          <w:b w:val="1"/>
          <w:bCs w:val="1"/>
          <w:color w:val="000000" w:themeColor="text1" w:themeTint="FF" w:themeShade="FF"/>
          <w:sz w:val="22"/>
          <w:szCs w:val="22"/>
          <w:lang w:eastAsia="zh-CN" w:bidi="ar"/>
        </w:rPr>
        <w:t xml:space="preserve">Sajna Ahmed </w:t>
      </w:r>
    </w:p>
    <w:p w:rsidRPr="00A307FF" w:rsidR="00D73361" w:rsidP="7197FCDA" w:rsidRDefault="00D73361" w14:paraId="5BEE1A4A" w14:textId="6F51DBA4">
      <w:pPr>
        <w:widowControl w:val="1"/>
        <w:spacing w:after="295" w:line="256" w:lineRule="auto"/>
        <w:ind w:left="-5" w:hanging="10"/>
        <w:jc w:val="both"/>
        <w:rPr>
          <w:rFonts w:ascii="Arial" w:hAnsi="Arial" w:eastAsia="Arial" w:cs="Arial"/>
          <w:b w:val="1"/>
          <w:bCs w:val="1"/>
          <w:sz w:val="22"/>
          <w:szCs w:val="22"/>
        </w:rPr>
      </w:pPr>
      <w:r w:rsidRPr="7197FCDA" w:rsidR="00B70F9A">
        <w:rPr>
          <w:rFonts w:ascii="Arial" w:hAnsi="Arial" w:eastAsia="Arial" w:cs="Arial"/>
          <w:b w:val="1"/>
          <w:bCs w:val="1"/>
          <w:color w:val="000000" w:themeColor="text1" w:themeTint="FF" w:themeShade="FF"/>
          <w:sz w:val="22"/>
          <w:szCs w:val="22"/>
          <w:lang w:eastAsia="zh-CN" w:bidi="ar"/>
        </w:rPr>
        <w:t xml:space="preserve">Student ID: </w:t>
      </w:r>
      <w:r w:rsidRPr="7197FCDA" w:rsidR="00202D80">
        <w:rPr>
          <w:rFonts w:ascii="Arial" w:hAnsi="Arial" w:eastAsia="Arial" w:cs="Arial"/>
          <w:b w:val="1"/>
          <w:bCs w:val="1"/>
          <w:color w:val="000000" w:themeColor="text1" w:themeTint="FF" w:themeShade="FF"/>
          <w:sz w:val="22"/>
          <w:szCs w:val="22"/>
          <w:lang w:eastAsia="zh-CN" w:bidi="ar"/>
        </w:rPr>
        <w:t>2431225</w:t>
      </w:r>
    </w:p>
    <w:p w:rsidRPr="00202D80" w:rsidR="00D73361" w:rsidP="7197FCDA" w:rsidRDefault="00B70F9A" w14:paraId="5BEE1A4B" w14:textId="49325DE2">
      <w:pPr>
        <w:widowControl w:val="1"/>
        <w:spacing w:after="295" w:line="256" w:lineRule="auto"/>
        <w:ind w:left="-5" w:hanging="10"/>
        <w:jc w:val="both"/>
        <w:rPr>
          <w:rFonts w:ascii="Arial" w:hAnsi="Arial" w:eastAsia="Arial" w:cs="Arial"/>
          <w:b w:val="1"/>
          <w:bCs w:val="1"/>
          <w:sz w:val="22"/>
          <w:szCs w:val="22"/>
        </w:rPr>
      </w:pPr>
      <w:r w:rsidRPr="7197FCDA" w:rsidR="00B70F9A">
        <w:rPr>
          <w:rFonts w:ascii="Arial" w:hAnsi="Arial" w:eastAsia="Arial" w:cs="Arial"/>
          <w:b w:val="1"/>
          <w:bCs w:val="1"/>
          <w:color w:val="000000" w:themeColor="text1" w:themeTint="FF" w:themeShade="FF"/>
          <w:sz w:val="22"/>
          <w:szCs w:val="22"/>
          <w:lang w:eastAsia="zh-CN" w:bidi="ar"/>
        </w:rPr>
        <w:t xml:space="preserve">Module </w:t>
      </w:r>
      <w:r w:rsidRPr="7197FCDA" w:rsidR="00202D80">
        <w:rPr>
          <w:rFonts w:ascii="Arial" w:hAnsi="Arial" w:eastAsia="Arial" w:cs="Arial"/>
          <w:b w:val="1"/>
          <w:bCs w:val="1"/>
          <w:color w:val="000000" w:themeColor="text1" w:themeTint="FF" w:themeShade="FF"/>
          <w:sz w:val="22"/>
          <w:szCs w:val="22"/>
          <w:lang w:eastAsia="zh-CN" w:bidi="ar"/>
        </w:rPr>
        <w:t>name</w:t>
      </w:r>
      <w:r w:rsidRPr="7197FCDA" w:rsidR="00202D80">
        <w:rPr>
          <w:rFonts w:ascii="Arial" w:hAnsi="Arial" w:eastAsia="Arial" w:cs="Arial"/>
          <w:color w:val="000000" w:themeColor="text1" w:themeTint="FF" w:themeShade="FF"/>
          <w:sz w:val="22"/>
          <w:szCs w:val="22"/>
          <w:lang w:eastAsia="zh-CN" w:bidi="ar"/>
        </w:rPr>
        <w:t>:</w:t>
      </w:r>
      <w:r w:rsidRPr="7197FCDA" w:rsidR="00202D80">
        <w:rPr>
          <w:rFonts w:ascii="Arial" w:hAnsi="Arial" w:eastAsia="Arial" w:cs="Arial"/>
          <w:b w:val="1"/>
          <w:bCs w:val="1"/>
          <w:color w:val="000000" w:themeColor="text1" w:themeTint="FF" w:themeShade="FF"/>
          <w:sz w:val="22"/>
          <w:szCs w:val="22"/>
          <w:lang w:eastAsia="zh-CN" w:bidi="ar"/>
        </w:rPr>
        <w:t xml:space="preserve"> Introduction to Physiology </w:t>
      </w:r>
    </w:p>
    <w:p w:rsidRPr="00202D80" w:rsidR="00D73361" w:rsidP="7197FCDA" w:rsidRDefault="00B70F9A" w14:paraId="5BEE1A4C" w14:textId="4234EF06">
      <w:pPr>
        <w:widowControl w:val="1"/>
        <w:spacing w:after="295" w:line="360" w:lineRule="auto"/>
        <w:ind w:left="-5" w:hanging="10"/>
        <w:jc w:val="both"/>
        <w:rPr>
          <w:rFonts w:ascii="Arial" w:hAnsi="Arial" w:eastAsia="Arial" w:cs="Arial"/>
          <w:b w:val="1"/>
          <w:bCs w:val="1"/>
          <w:sz w:val="22"/>
          <w:szCs w:val="22"/>
        </w:rPr>
      </w:pPr>
      <w:r w:rsidRPr="7197FCDA" w:rsidR="00B70F9A">
        <w:rPr>
          <w:rFonts w:ascii="Arial" w:hAnsi="Arial" w:eastAsia="Arial" w:cs="Arial"/>
          <w:b w:val="1"/>
          <w:bCs w:val="1"/>
          <w:color w:val="000000" w:themeColor="text1" w:themeTint="FF" w:themeShade="FF"/>
          <w:sz w:val="22"/>
          <w:szCs w:val="22"/>
          <w:lang w:eastAsia="zh-CN" w:bidi="ar"/>
        </w:rPr>
        <w:t>Module code</w:t>
      </w:r>
      <w:r w:rsidRPr="7197FCDA" w:rsidR="00B70F9A">
        <w:rPr>
          <w:rFonts w:ascii="Arial" w:hAnsi="Arial" w:eastAsia="Arial" w:cs="Arial"/>
          <w:color w:val="000000" w:themeColor="text1" w:themeTint="FF" w:themeShade="FF"/>
          <w:sz w:val="22"/>
          <w:szCs w:val="22"/>
          <w:lang w:eastAsia="zh-CN" w:bidi="ar"/>
        </w:rPr>
        <w:t xml:space="preserve">: </w:t>
      </w:r>
      <w:r w:rsidRPr="7197FCDA" w:rsidR="00202D80">
        <w:rPr>
          <w:rFonts w:ascii="Arial" w:hAnsi="Arial" w:eastAsia="Arial" w:cs="Arial"/>
          <w:b w:val="1"/>
          <w:bCs w:val="1"/>
          <w:color w:val="000000" w:themeColor="text1" w:themeTint="FF" w:themeShade="FF"/>
          <w:sz w:val="22"/>
          <w:szCs w:val="22"/>
          <w:lang w:eastAsia="zh-CN" w:bidi="ar"/>
        </w:rPr>
        <w:t>BMHP5023</w:t>
      </w:r>
    </w:p>
    <w:p w:rsidRPr="00202D80" w:rsidR="00D73361" w:rsidP="7197FCDA" w:rsidRDefault="00B70F9A" w14:paraId="5BEE1A4D" w14:textId="67B60D0E">
      <w:pPr>
        <w:widowControl w:val="1"/>
        <w:spacing w:after="295" w:line="256" w:lineRule="auto"/>
        <w:ind w:left="-5" w:hanging="10"/>
        <w:jc w:val="both"/>
        <w:rPr>
          <w:rFonts w:ascii="Arial" w:hAnsi="Arial" w:eastAsia="Arial" w:cs="Arial"/>
          <w:b w:val="1"/>
          <w:bCs w:val="1"/>
          <w:sz w:val="22"/>
          <w:szCs w:val="22"/>
        </w:rPr>
      </w:pPr>
      <w:r w:rsidRPr="7197FCDA" w:rsidR="00B70F9A">
        <w:rPr>
          <w:rFonts w:ascii="Arial" w:hAnsi="Arial" w:eastAsia="Arial" w:cs="Arial"/>
          <w:b w:val="1"/>
          <w:bCs w:val="1"/>
          <w:color w:val="000000" w:themeColor="text1" w:themeTint="FF" w:themeShade="FF"/>
          <w:sz w:val="22"/>
          <w:szCs w:val="22"/>
          <w:lang w:eastAsia="zh-CN" w:bidi="ar"/>
        </w:rPr>
        <w:t>Lecturer name</w:t>
      </w:r>
      <w:r w:rsidRPr="7197FCDA" w:rsidR="00B70F9A">
        <w:rPr>
          <w:rFonts w:ascii="Arial" w:hAnsi="Arial" w:eastAsia="Arial" w:cs="Arial"/>
          <w:color w:val="000000" w:themeColor="text1" w:themeTint="FF" w:themeShade="FF"/>
          <w:sz w:val="22"/>
          <w:szCs w:val="22"/>
          <w:lang w:eastAsia="zh-CN" w:bidi="ar"/>
        </w:rPr>
        <w:t xml:space="preserve">: </w:t>
      </w:r>
      <w:r w:rsidRPr="7197FCDA" w:rsidR="00202D80">
        <w:rPr>
          <w:rFonts w:ascii="Arial" w:hAnsi="Arial" w:eastAsia="Arial" w:cs="Arial"/>
          <w:b w:val="1"/>
          <w:bCs w:val="1"/>
          <w:color w:val="000000" w:themeColor="text1" w:themeTint="FF" w:themeShade="FF"/>
          <w:sz w:val="22"/>
          <w:szCs w:val="22"/>
          <w:lang w:eastAsia="zh-CN" w:bidi="ar"/>
        </w:rPr>
        <w:t xml:space="preserve">Dr </w:t>
      </w:r>
      <w:r w:rsidRPr="7197FCDA" w:rsidR="00202D80">
        <w:rPr>
          <w:rFonts w:ascii="Arial" w:hAnsi="Arial" w:eastAsia="Arial" w:cs="Arial"/>
          <w:b w:val="1"/>
          <w:bCs w:val="1"/>
          <w:color w:val="000000" w:themeColor="text1" w:themeTint="FF" w:themeShade="FF"/>
          <w:sz w:val="22"/>
          <w:szCs w:val="22"/>
          <w:lang w:eastAsia="zh-CN" w:bidi="ar"/>
        </w:rPr>
        <w:t>S</w:t>
      </w:r>
      <w:r w:rsidRPr="7197FCDA" w:rsidR="00C4078C">
        <w:rPr>
          <w:rFonts w:ascii="Arial" w:hAnsi="Arial" w:eastAsia="Arial" w:cs="Arial"/>
          <w:b w:val="1"/>
          <w:bCs w:val="1"/>
          <w:color w:val="000000" w:themeColor="text1" w:themeTint="FF" w:themeShade="FF"/>
          <w:sz w:val="22"/>
          <w:szCs w:val="22"/>
          <w:lang w:eastAsia="zh-CN" w:bidi="ar"/>
        </w:rPr>
        <w:t>orban</w:t>
      </w:r>
      <w:r w:rsidRPr="7197FCDA" w:rsidR="00C4078C">
        <w:rPr>
          <w:rFonts w:ascii="Arial" w:hAnsi="Arial" w:eastAsia="Arial" w:cs="Arial"/>
          <w:b w:val="1"/>
          <w:bCs w:val="1"/>
          <w:color w:val="000000" w:themeColor="text1" w:themeTint="FF" w:themeShade="FF"/>
          <w:sz w:val="22"/>
          <w:szCs w:val="22"/>
          <w:lang w:eastAsia="zh-CN" w:bidi="ar"/>
        </w:rPr>
        <w:t xml:space="preserve"> Sadiq</w:t>
      </w:r>
    </w:p>
    <w:p w:rsidR="03C83D65" w:rsidP="7197FCDA" w:rsidRDefault="03C83D65" w14:paraId="3E17E226" w14:textId="168B602B">
      <w:pPr>
        <w:widowControl w:val="1"/>
        <w:spacing w:after="295" w:line="256" w:lineRule="auto"/>
        <w:ind w:left="-5" w:hanging="10"/>
        <w:jc w:val="both"/>
        <w:rPr>
          <w:rFonts w:ascii="Arial" w:hAnsi="Arial" w:eastAsia="Arial" w:cs="Arial"/>
          <w:b w:val="1"/>
          <w:bCs w:val="1"/>
          <w:color w:val="000000" w:themeColor="text1" w:themeTint="FF" w:themeShade="FF"/>
          <w:sz w:val="22"/>
          <w:szCs w:val="22"/>
          <w:lang w:eastAsia="zh-CN" w:bidi="ar"/>
        </w:rPr>
      </w:pPr>
      <w:r w:rsidRPr="7197FCDA" w:rsidR="03C83D65">
        <w:rPr>
          <w:rFonts w:ascii="Arial" w:hAnsi="Arial" w:eastAsia="Arial" w:cs="Arial"/>
          <w:b w:val="1"/>
          <w:bCs w:val="1"/>
          <w:color w:val="000000" w:themeColor="text1" w:themeTint="FF" w:themeShade="FF"/>
          <w:sz w:val="22"/>
          <w:szCs w:val="22"/>
          <w:lang w:eastAsia="zh-CN" w:bidi="ar"/>
        </w:rPr>
        <w:t>Submission deadline: 9</w:t>
      </w:r>
      <w:r w:rsidRPr="7197FCDA" w:rsidR="03C83D65">
        <w:rPr>
          <w:rFonts w:ascii="Arial" w:hAnsi="Arial" w:eastAsia="Arial" w:cs="Arial"/>
          <w:b w:val="1"/>
          <w:bCs w:val="1"/>
          <w:color w:val="000000" w:themeColor="text1" w:themeTint="FF" w:themeShade="FF"/>
          <w:sz w:val="22"/>
          <w:szCs w:val="22"/>
          <w:vertAlign w:val="superscript"/>
          <w:lang w:eastAsia="zh-CN" w:bidi="ar"/>
        </w:rPr>
        <w:t>th</w:t>
      </w:r>
      <w:r w:rsidRPr="7197FCDA" w:rsidR="03C83D65">
        <w:rPr>
          <w:rFonts w:ascii="Arial" w:hAnsi="Arial" w:eastAsia="Arial" w:cs="Arial"/>
          <w:b w:val="1"/>
          <w:bCs w:val="1"/>
          <w:color w:val="000000" w:themeColor="text1" w:themeTint="FF" w:themeShade="FF"/>
          <w:sz w:val="22"/>
          <w:szCs w:val="22"/>
          <w:lang w:eastAsia="zh-CN" w:bidi="ar"/>
        </w:rPr>
        <w:t xml:space="preserve"> April </w:t>
      </w:r>
    </w:p>
    <w:p w:rsidRPr="00A307FF" w:rsidR="00D73361" w:rsidP="7197FCDA" w:rsidRDefault="00B70F9A" w14:paraId="5BEE1A4F" w14:textId="7BD52954">
      <w:pPr>
        <w:widowControl w:val="1"/>
        <w:tabs>
          <w:tab w:val="left" w:leader="none" w:pos="2745"/>
        </w:tabs>
        <w:spacing w:before="0" w:after="295" w:line="256" w:lineRule="auto"/>
        <w:ind w:left="-5" w:hanging="10"/>
        <w:jc w:val="both"/>
        <w:rPr>
          <w:rFonts w:ascii="Arial" w:hAnsi="Arial" w:eastAsia="Arial" w:cs="Arial"/>
          <w:b w:val="1"/>
          <w:bCs w:val="1"/>
          <w:color w:val="1F1F1F"/>
          <w:sz w:val="22"/>
          <w:szCs w:val="22"/>
        </w:rPr>
      </w:pPr>
      <w:r w:rsidRPr="7197FCDA" w:rsidR="00B70F9A">
        <w:rPr>
          <w:rFonts w:ascii="Arial" w:hAnsi="Arial" w:eastAsia="Arial" w:cs="Arial"/>
          <w:b w:val="1"/>
          <w:bCs w:val="1"/>
          <w:color w:val="000000" w:themeColor="text1" w:themeTint="FF" w:themeShade="FF"/>
          <w:sz w:val="22"/>
          <w:szCs w:val="22"/>
          <w:lang w:eastAsia="zh-CN" w:bidi="ar"/>
        </w:rPr>
        <w:t>Assessment:</w:t>
      </w:r>
      <w:r w:rsidRPr="7197FCDA" w:rsidR="0DC7F602">
        <w:rPr>
          <w:rFonts w:ascii="Arial" w:hAnsi="Arial" w:eastAsia="Arial" w:cs="Arial"/>
          <w:b w:val="1"/>
          <w:bCs w:val="1"/>
          <w:color w:val="000000" w:themeColor="text1" w:themeTint="FF" w:themeShade="FF"/>
          <w:sz w:val="22"/>
          <w:szCs w:val="22"/>
          <w:lang w:eastAsia="zh-CN" w:bidi="ar"/>
        </w:rPr>
        <w:t xml:space="preserve"> </w:t>
      </w:r>
      <w:r w:rsidRPr="7197FCDA" w:rsidR="00B70F9A">
        <w:rPr>
          <w:rFonts w:ascii="Arial" w:hAnsi="Arial" w:eastAsia="Arial" w:cs="Arial"/>
          <w:b w:val="1"/>
          <w:bCs w:val="1"/>
          <w:color w:val="1F1F1F"/>
          <w:sz w:val="22"/>
          <w:szCs w:val="22"/>
        </w:rPr>
        <w:t>Case Study Report: Type 2 Diabetes and the Importance of Blood Glucose Monitoring</w:t>
      </w:r>
    </w:p>
    <w:p w:rsidR="00D73361" w:rsidP="7197FCDA" w:rsidRDefault="00D73361" w14:paraId="5BEE1A50" w14:textId="77777777">
      <w:pPr>
        <w:rPr>
          <w:rFonts w:ascii="Arial" w:hAnsi="Arial" w:eastAsia="Arial" w:cs="Arial"/>
          <w:b w:val="1"/>
          <w:bCs w:val="1"/>
          <w:sz w:val="22"/>
          <w:szCs w:val="22"/>
        </w:rPr>
      </w:pPr>
    </w:p>
    <w:p w:rsidR="00B05C1B" w:rsidP="7197FCDA" w:rsidRDefault="00B05C1B" w14:paraId="77B63F13" w14:textId="77777777">
      <w:pPr>
        <w:rPr>
          <w:rFonts w:ascii="Arial" w:hAnsi="Arial" w:eastAsia="Arial" w:cs="Arial"/>
          <w:b w:val="1"/>
          <w:bCs w:val="1"/>
          <w:sz w:val="22"/>
          <w:szCs w:val="22"/>
        </w:rPr>
      </w:pPr>
    </w:p>
    <w:p w:rsidR="00B05C1B" w:rsidP="7197FCDA" w:rsidRDefault="00B05C1B" w14:paraId="5489763A" w14:textId="77777777">
      <w:pPr>
        <w:rPr>
          <w:rFonts w:ascii="Arial" w:hAnsi="Arial" w:eastAsia="Arial" w:cs="Arial"/>
          <w:sz w:val="22"/>
          <w:szCs w:val="22"/>
        </w:rPr>
      </w:pPr>
    </w:p>
    <w:p w:rsidR="00B05C1B" w:rsidP="7197FCDA" w:rsidRDefault="00B05C1B" w14:paraId="0E8CB626" w14:textId="77777777">
      <w:pPr>
        <w:rPr>
          <w:rFonts w:ascii="Arial" w:hAnsi="Arial" w:eastAsia="Arial" w:cs="Arial"/>
          <w:sz w:val="22"/>
          <w:szCs w:val="22"/>
        </w:rPr>
      </w:pPr>
    </w:p>
    <w:p w:rsidR="00B05C1B" w:rsidP="7197FCDA" w:rsidRDefault="00B05C1B" w14:paraId="4849288A" w14:textId="77777777">
      <w:pPr>
        <w:rPr>
          <w:rFonts w:ascii="Arial" w:hAnsi="Arial" w:eastAsia="Arial" w:cs="Arial"/>
          <w:sz w:val="22"/>
          <w:szCs w:val="22"/>
        </w:rPr>
      </w:pPr>
    </w:p>
    <w:p w:rsidR="00B05C1B" w:rsidP="7197FCDA" w:rsidRDefault="00B05C1B" w14:paraId="0B967E51" w14:textId="77777777">
      <w:pPr>
        <w:rPr>
          <w:rFonts w:ascii="Arial" w:hAnsi="Arial" w:eastAsia="Arial" w:cs="Arial"/>
          <w:sz w:val="22"/>
          <w:szCs w:val="22"/>
        </w:rPr>
      </w:pPr>
    </w:p>
    <w:p w:rsidR="00B05C1B" w:rsidP="7197FCDA" w:rsidRDefault="00B05C1B" w14:paraId="56F1D511" w14:textId="77777777">
      <w:pPr>
        <w:rPr>
          <w:rFonts w:ascii="Arial" w:hAnsi="Arial" w:eastAsia="Arial" w:cs="Arial"/>
          <w:sz w:val="22"/>
          <w:szCs w:val="22"/>
        </w:rPr>
      </w:pPr>
    </w:p>
    <w:p w:rsidR="00B05C1B" w:rsidP="7197FCDA" w:rsidRDefault="00B05C1B" w14:paraId="72C80C2A" w14:textId="77777777">
      <w:pPr>
        <w:rPr>
          <w:rFonts w:ascii="Arial" w:hAnsi="Arial" w:eastAsia="Arial" w:cs="Arial"/>
          <w:sz w:val="22"/>
          <w:szCs w:val="22"/>
        </w:rPr>
      </w:pPr>
    </w:p>
    <w:p w:rsidR="00B05C1B" w:rsidP="7197FCDA" w:rsidRDefault="00B05C1B" w14:paraId="108F5E72" w14:textId="77777777">
      <w:pPr>
        <w:rPr>
          <w:rFonts w:ascii="Arial" w:hAnsi="Arial" w:eastAsia="Arial" w:cs="Arial"/>
          <w:sz w:val="22"/>
          <w:szCs w:val="22"/>
        </w:rPr>
      </w:pPr>
    </w:p>
    <w:p w:rsidR="00B05C1B" w:rsidP="7197FCDA" w:rsidRDefault="00B05C1B" w14:paraId="5B3FF728" w14:textId="77777777">
      <w:pPr>
        <w:rPr>
          <w:rFonts w:ascii="Arial" w:hAnsi="Arial" w:eastAsia="Arial" w:cs="Arial"/>
          <w:sz w:val="22"/>
          <w:szCs w:val="22"/>
        </w:rPr>
      </w:pPr>
    </w:p>
    <w:p w:rsidR="7197FCDA" w:rsidP="7197FCDA" w:rsidRDefault="7197FCDA" w14:paraId="234F5CDC" w14:textId="6F915207">
      <w:pPr>
        <w:rPr>
          <w:rFonts w:ascii="Arial" w:hAnsi="Arial" w:eastAsia="Arial" w:cs="Arial"/>
          <w:sz w:val="22"/>
          <w:szCs w:val="22"/>
        </w:rPr>
      </w:pPr>
    </w:p>
    <w:p w:rsidR="7197FCDA" w:rsidP="7197FCDA" w:rsidRDefault="7197FCDA" w14:paraId="35A94901" w14:textId="2998CBE0">
      <w:pPr>
        <w:rPr>
          <w:rFonts w:ascii="Arial" w:hAnsi="Arial" w:eastAsia="Arial" w:cs="Arial"/>
          <w:sz w:val="22"/>
          <w:szCs w:val="22"/>
        </w:rPr>
      </w:pPr>
    </w:p>
    <w:p w:rsidR="7197FCDA" w:rsidP="7197FCDA" w:rsidRDefault="7197FCDA" w14:paraId="6525C740" w14:textId="161CEACC">
      <w:pPr>
        <w:rPr>
          <w:rFonts w:ascii="Arial" w:hAnsi="Arial" w:eastAsia="Arial" w:cs="Arial"/>
          <w:sz w:val="22"/>
          <w:szCs w:val="22"/>
        </w:rPr>
      </w:pPr>
    </w:p>
    <w:p w:rsidR="7197FCDA" w:rsidP="7197FCDA" w:rsidRDefault="7197FCDA" w14:paraId="67058A31" w14:textId="7388163B">
      <w:pPr>
        <w:rPr>
          <w:rFonts w:ascii="Arial" w:hAnsi="Arial" w:eastAsia="Arial" w:cs="Arial"/>
          <w:sz w:val="22"/>
          <w:szCs w:val="22"/>
        </w:rPr>
      </w:pPr>
    </w:p>
    <w:p w:rsidR="00B05C1B" w:rsidP="7197FCDA" w:rsidRDefault="00B05C1B" w14:paraId="63C2BEC0" w14:textId="77777777">
      <w:pPr>
        <w:rPr>
          <w:rFonts w:ascii="Arial" w:hAnsi="Arial" w:eastAsia="Arial" w:cs="Arial"/>
          <w:sz w:val="22"/>
          <w:szCs w:val="22"/>
        </w:rPr>
      </w:pPr>
    </w:p>
    <w:p w:rsidR="00B05C1B" w:rsidP="7197FCDA" w:rsidRDefault="00B05C1B" w14:paraId="086D2574" w14:textId="77777777">
      <w:pPr>
        <w:rPr>
          <w:rFonts w:ascii="Arial" w:hAnsi="Arial" w:eastAsia="Arial" w:cs="Arial"/>
          <w:sz w:val="22"/>
          <w:szCs w:val="22"/>
        </w:rPr>
      </w:pPr>
    </w:p>
    <w:p w:rsidR="00B05C1B" w:rsidP="7197FCDA" w:rsidRDefault="00B05C1B" w14:paraId="3BA5D0E1" w14:textId="77777777">
      <w:pPr>
        <w:rPr>
          <w:rFonts w:ascii="Arial" w:hAnsi="Arial" w:eastAsia="Arial" w:cs="Arial"/>
          <w:sz w:val="22"/>
          <w:szCs w:val="22"/>
        </w:rPr>
      </w:pPr>
    </w:p>
    <w:p w:rsidR="00B05C1B" w:rsidP="7197FCDA" w:rsidRDefault="00B05C1B" w14:paraId="51DB98E3" w14:textId="77777777">
      <w:pPr>
        <w:rPr>
          <w:rFonts w:ascii="Arial" w:hAnsi="Arial" w:eastAsia="Arial" w:cs="Arial"/>
          <w:sz w:val="22"/>
          <w:szCs w:val="22"/>
        </w:rPr>
      </w:pPr>
    </w:p>
    <w:p w:rsidR="7197FCDA" w:rsidP="7197FCDA" w:rsidRDefault="7197FCDA" w14:paraId="2805A841" w14:textId="15C9CC4C">
      <w:pPr>
        <w:pStyle w:val="Normal"/>
        <w:rPr>
          <w:rFonts w:ascii="Arial" w:hAnsi="Arial" w:eastAsia="Arial" w:cs="Arial"/>
          <w:sz w:val="22"/>
          <w:szCs w:val="22"/>
        </w:rPr>
      </w:pPr>
    </w:p>
    <w:p w:rsidR="00B05C1B" w:rsidP="7197FCDA" w:rsidRDefault="00B05C1B" w14:paraId="404796E2" w14:textId="77777777">
      <w:pPr>
        <w:rPr>
          <w:rFonts w:ascii="Arial" w:hAnsi="Arial" w:eastAsia="Arial" w:cs="Arial"/>
          <w:sz w:val="22"/>
          <w:szCs w:val="22"/>
        </w:rPr>
      </w:pPr>
    </w:p>
    <w:p w:rsidRPr="00A307FF" w:rsidR="00D73361" w:rsidP="7197FCDA" w:rsidRDefault="00B70F9A" w14:paraId="5BEE1A51" w14:textId="73F0B8C8">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1. Introduction</w:t>
      </w:r>
    </w:p>
    <w:p w:rsidRPr="00A307FF" w:rsidR="00D73361" w:rsidP="7197FCDA" w:rsidRDefault="005218E5" w14:paraId="5BEE1A54" w14:textId="6A8DFF24">
      <w:pPr>
        <w:spacing w:after="240" w:line="275" w:lineRule="auto"/>
        <w:jc w:val="both"/>
        <w:rPr>
          <w:rFonts w:ascii="Arial" w:hAnsi="Arial" w:eastAsia="Arial" w:cs="Arial"/>
          <w:color w:val="1F1F1F"/>
          <w:sz w:val="22"/>
          <w:szCs w:val="22"/>
        </w:rPr>
      </w:pPr>
      <w:r w:rsidRPr="7197FCDA" w:rsidR="005218E5">
        <w:rPr>
          <w:rFonts w:ascii="Arial" w:hAnsi="Arial" w:eastAsia="Arial" w:cs="Arial"/>
          <w:color w:val="1F1F1F"/>
          <w:sz w:val="22"/>
          <w:szCs w:val="22"/>
        </w:rPr>
        <w:t xml:space="preserve">Diabetes mellitus </w:t>
      </w:r>
      <w:r w:rsidRPr="7197FCDA" w:rsidR="005218E5">
        <w:rPr>
          <w:rFonts w:ascii="Arial" w:hAnsi="Arial" w:eastAsia="Arial" w:cs="Arial"/>
          <w:color w:val="1F1F1F"/>
          <w:sz w:val="22"/>
          <w:szCs w:val="22"/>
        </w:rPr>
        <w:t>represents</w:t>
      </w:r>
      <w:r w:rsidRPr="7197FCDA" w:rsidR="005218E5">
        <w:rPr>
          <w:rFonts w:ascii="Arial" w:hAnsi="Arial" w:eastAsia="Arial" w:cs="Arial"/>
          <w:color w:val="1F1F1F"/>
          <w:sz w:val="22"/>
          <w:szCs w:val="22"/>
        </w:rPr>
        <w:t xml:space="preserve"> one of the most significant clinical and public</w:t>
      </w:r>
      <w:r w:rsidRPr="7197FCDA" w:rsidR="23F3EBD6">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 xml:space="preserve">health challenges of the modern era, evolving from a rare disease of the wealthy to a global pandemic that spans all </w:t>
      </w:r>
      <w:r w:rsidRPr="7197FCDA" w:rsidR="58C24743">
        <w:rPr>
          <w:rFonts w:ascii="Arial" w:hAnsi="Arial" w:eastAsia="Arial" w:cs="Arial"/>
          <w:color w:val="1F1F1F"/>
          <w:sz w:val="22"/>
          <w:szCs w:val="22"/>
        </w:rPr>
        <w:t>socio-economic</w:t>
      </w:r>
      <w:r w:rsidRPr="7197FCDA" w:rsidR="005218E5">
        <w:rPr>
          <w:rFonts w:ascii="Arial" w:hAnsi="Arial" w:eastAsia="Arial" w:cs="Arial"/>
          <w:color w:val="1F1F1F"/>
          <w:sz w:val="22"/>
          <w:szCs w:val="22"/>
        </w:rPr>
        <w:t xml:space="preserve"> strata. Far from being a simple condition of "elevated sugar," it is a complex, systemic metabolic disorder characterized by a fundamental breakdown in the body’s homeostatic mechanisms. This state of persistent hyperglycemia arises from a combination of defects in insulin secretion, insulin action, or a catastrophic intersection of both (American Diabetes Association, 2023). According to the World Health Organization (2023), the global prevalence of diabetes has risen dramatically over the last three decades, </w:t>
      </w:r>
      <w:r w:rsidRPr="7197FCDA" w:rsidR="005218E5">
        <w:rPr>
          <w:rFonts w:ascii="Arial" w:hAnsi="Arial" w:eastAsia="Arial" w:cs="Arial"/>
          <w:color w:val="1F1F1F"/>
          <w:sz w:val="22"/>
          <w:szCs w:val="22"/>
        </w:rPr>
        <w:t>largely fueled</w:t>
      </w:r>
      <w:r w:rsidRPr="7197FCDA" w:rsidR="005218E5">
        <w:rPr>
          <w:rFonts w:ascii="Arial" w:hAnsi="Arial" w:eastAsia="Arial" w:cs="Arial"/>
          <w:color w:val="1F1F1F"/>
          <w:sz w:val="22"/>
          <w:szCs w:val="22"/>
        </w:rPr>
        <w:t xml:space="preserve"> by rapid urbanization, shifting dietary patterns, and the rise of sedentary lifestyles. While the disease manifests in several forms most notably Type 1, Type 2, and gestational diabetes Type 2 Diabetes Mellitus (T2DM) </w:t>
      </w:r>
      <w:r w:rsidRPr="7197FCDA" w:rsidR="005218E5">
        <w:rPr>
          <w:rFonts w:ascii="Arial" w:hAnsi="Arial" w:eastAsia="Arial" w:cs="Arial"/>
          <w:color w:val="1F1F1F"/>
          <w:sz w:val="22"/>
          <w:szCs w:val="22"/>
        </w:rPr>
        <w:t>remains</w:t>
      </w:r>
      <w:r w:rsidRPr="7197FCDA" w:rsidR="005218E5">
        <w:rPr>
          <w:rFonts w:ascii="Arial" w:hAnsi="Arial" w:eastAsia="Arial" w:cs="Arial"/>
          <w:color w:val="1F1F1F"/>
          <w:sz w:val="22"/>
          <w:szCs w:val="22"/>
        </w:rPr>
        <w:t xml:space="preserve"> the most prevalent, accounting for approximately 90% of all global cases (NICE, 2022). T2DM is primarily a</w:t>
      </w:r>
      <w:r w:rsidRPr="7197FCDA" w:rsidR="23D2B3A3">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disease</w:t>
      </w:r>
      <w:r w:rsidRPr="7197FCDA" w:rsidR="1DB99D73">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 xml:space="preserve">of progressive insulin resistance. In this state, the body’s peripheral </w:t>
      </w:r>
      <w:r w:rsidRPr="7197FCDA" w:rsidR="62A74808">
        <w:rPr>
          <w:rFonts w:ascii="Arial" w:hAnsi="Arial" w:eastAsia="Arial" w:cs="Arial"/>
          <w:color w:val="1F1F1F"/>
          <w:sz w:val="22"/>
          <w:szCs w:val="22"/>
        </w:rPr>
        <w:t>tissues,</w:t>
      </w:r>
      <w:r w:rsidRPr="7197FCDA" w:rsidR="005218E5">
        <w:rPr>
          <w:rFonts w:ascii="Arial" w:hAnsi="Arial" w:eastAsia="Arial" w:cs="Arial"/>
          <w:color w:val="1F1F1F"/>
          <w:sz w:val="22"/>
          <w:szCs w:val="22"/>
        </w:rPr>
        <w:t xml:space="preserve"> most notably </w:t>
      </w:r>
      <w:r w:rsidRPr="7197FCDA" w:rsidR="4F6E6F7E">
        <w:rPr>
          <w:rFonts w:ascii="Arial" w:hAnsi="Arial" w:eastAsia="Arial" w:cs="Arial"/>
          <w:color w:val="1F1F1F"/>
          <w:sz w:val="22"/>
          <w:szCs w:val="22"/>
        </w:rPr>
        <w:t>the skeletal</w:t>
      </w:r>
      <w:r w:rsidRPr="7197FCDA" w:rsidR="005218E5">
        <w:rPr>
          <w:rFonts w:ascii="Arial" w:hAnsi="Arial" w:eastAsia="Arial" w:cs="Arial"/>
          <w:color w:val="1F1F1F"/>
          <w:sz w:val="22"/>
          <w:szCs w:val="22"/>
        </w:rPr>
        <w:t xml:space="preserve"> muscle, the liver, and adipose </w:t>
      </w:r>
      <w:r w:rsidRPr="7197FCDA" w:rsidR="219277C3">
        <w:rPr>
          <w:rFonts w:ascii="Arial" w:hAnsi="Arial" w:eastAsia="Arial" w:cs="Arial"/>
          <w:color w:val="1F1F1F"/>
          <w:sz w:val="22"/>
          <w:szCs w:val="22"/>
        </w:rPr>
        <w:t>tissue,</w:t>
      </w:r>
      <w:r w:rsidRPr="7197FCDA" w:rsidR="005218E5">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fail to</w:t>
      </w:r>
      <w:r w:rsidRPr="7197FCDA" w:rsidR="005218E5">
        <w:rPr>
          <w:rFonts w:ascii="Arial" w:hAnsi="Arial" w:eastAsia="Arial" w:cs="Arial"/>
          <w:color w:val="1F1F1F"/>
          <w:sz w:val="22"/>
          <w:szCs w:val="22"/>
        </w:rPr>
        <w:t xml:space="preserve"> respond appropriately to the signaling of insulin. This leads to a dangerous accumulation of glucose in the bloodstream, which acts as a slow</w:t>
      </w:r>
      <w:r w:rsidRPr="7197FCDA" w:rsidR="1EEC011C">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 xml:space="preserve">acting metabolic toxin to the vascular and nervous </w:t>
      </w:r>
      <w:r w:rsidRPr="7197FCDA" w:rsidR="72D73ED1">
        <w:rPr>
          <w:rFonts w:ascii="Arial" w:hAnsi="Arial" w:eastAsia="Arial" w:cs="Arial"/>
          <w:color w:val="1F1F1F"/>
          <w:sz w:val="22"/>
          <w:szCs w:val="22"/>
        </w:rPr>
        <w:t>systems. The</w:t>
      </w:r>
      <w:r w:rsidRPr="7197FCDA" w:rsidR="005218E5">
        <w:rPr>
          <w:rFonts w:ascii="Arial" w:hAnsi="Arial" w:eastAsia="Arial" w:cs="Arial"/>
          <w:color w:val="1F1F1F"/>
          <w:sz w:val="22"/>
          <w:szCs w:val="22"/>
        </w:rPr>
        <w:t xml:space="preserve"> endocrine system, specifically the pancreas, serves as the central hub for </w:t>
      </w:r>
      <w:r w:rsidRPr="7197FCDA" w:rsidR="005218E5">
        <w:rPr>
          <w:rFonts w:ascii="Arial" w:hAnsi="Arial" w:eastAsia="Arial" w:cs="Arial"/>
          <w:color w:val="1F1F1F"/>
          <w:sz w:val="22"/>
          <w:szCs w:val="22"/>
        </w:rPr>
        <w:t>maintaining</w:t>
      </w:r>
      <w:r w:rsidRPr="7197FCDA" w:rsidR="005218E5">
        <w:rPr>
          <w:rFonts w:ascii="Arial" w:hAnsi="Arial" w:eastAsia="Arial" w:cs="Arial"/>
          <w:color w:val="1F1F1F"/>
          <w:sz w:val="22"/>
          <w:szCs w:val="22"/>
        </w:rPr>
        <w:t xml:space="preserve"> glucose balance. However, the pathophysiology of T2DM also involves the gut, the liver, and even the brain, highlighting the multi</w:t>
      </w:r>
      <w:r w:rsidRPr="7197FCDA" w:rsidR="041F80AE">
        <w:rPr>
          <w:rFonts w:ascii="Arial" w:hAnsi="Arial" w:eastAsia="Arial" w:cs="Arial"/>
          <w:color w:val="1F1F1F"/>
          <w:sz w:val="22"/>
          <w:szCs w:val="22"/>
        </w:rPr>
        <w:t xml:space="preserve"> </w:t>
      </w:r>
      <w:r w:rsidRPr="7197FCDA" w:rsidR="005218E5">
        <w:rPr>
          <w:rFonts w:ascii="Arial" w:hAnsi="Arial" w:eastAsia="Arial" w:cs="Arial"/>
          <w:color w:val="1F1F1F"/>
          <w:sz w:val="22"/>
          <w:szCs w:val="22"/>
        </w:rPr>
        <w:t xml:space="preserve">organ nature of the condition. When this system fails, the impact is felt across every physiological framework, leading to severe complications such as cardiovascular disease, renal failure, and permanent vision loss (Hall and Hall, 2021). This report will examine the physiological regulation of blood glucose, the biochemical pathways of cellular metabolism, the clinical necessity of rigorous monitoring, and </w:t>
      </w:r>
      <w:r w:rsidRPr="7197FCDA" w:rsidR="7B2F4263">
        <w:rPr>
          <w:rFonts w:ascii="Arial" w:hAnsi="Arial" w:eastAsia="Arial" w:cs="Arial"/>
          <w:color w:val="1F1F1F"/>
          <w:sz w:val="22"/>
          <w:szCs w:val="22"/>
        </w:rPr>
        <w:t>evidence-based</w:t>
      </w:r>
      <w:r w:rsidRPr="7197FCDA" w:rsidR="005218E5">
        <w:rPr>
          <w:rFonts w:ascii="Arial" w:hAnsi="Arial" w:eastAsia="Arial" w:cs="Arial"/>
          <w:color w:val="1F1F1F"/>
          <w:sz w:val="22"/>
          <w:szCs w:val="22"/>
        </w:rPr>
        <w:t xml:space="preserve"> lifestyle interventions aimed at improving patient outcomes</w:t>
      </w:r>
      <w:r w:rsidRPr="7197FCDA" w:rsidR="00B70F9A">
        <w:rPr>
          <w:rFonts w:ascii="Arial" w:hAnsi="Arial" w:eastAsia="Arial" w:cs="Arial"/>
          <w:color w:val="1F1F1F"/>
          <w:sz w:val="22"/>
          <w:szCs w:val="22"/>
        </w:rPr>
        <w:t>.</w:t>
      </w:r>
    </w:p>
    <w:p w:rsidRPr="00A307FF" w:rsidR="00D73361" w:rsidP="7197FCDA" w:rsidRDefault="00B70F9A" w14:paraId="5BEE1A55" w14:textId="77777777">
      <w:pPr>
        <w:pStyle w:val="Heading1"/>
        <w:widowControl w:val="1"/>
        <w:spacing w:before="0"/>
        <w:ind w:left="-15"/>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2. </w:t>
      </w:r>
      <w:r w:rsidRPr="7197FCDA" w:rsidR="00B70F9A">
        <w:rPr>
          <w:rFonts w:ascii="Arial" w:hAnsi="Arial" w:eastAsia="Arial" w:cs="Arial"/>
          <w:sz w:val="22"/>
          <w:szCs w:val="22"/>
        </w:rPr>
        <w:t xml:space="preserve">Blood Sugar Regulation </w:t>
      </w:r>
    </w:p>
    <w:p w:rsidRPr="00A307FF" w:rsidR="00D73361" w:rsidP="7197FCDA" w:rsidRDefault="00B70F9A" w14:paraId="5BEE1A56" w14:textId="30ED68D6">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The human body requires a constant, steady supply of glucose to </w:t>
      </w:r>
      <w:r w:rsidRPr="7197FCDA" w:rsidR="00B70F9A">
        <w:rPr>
          <w:rFonts w:ascii="Arial" w:hAnsi="Arial" w:eastAsia="Arial" w:cs="Arial"/>
          <w:color w:val="1F1F1F"/>
          <w:sz w:val="22"/>
          <w:szCs w:val="22"/>
        </w:rPr>
        <w:t xml:space="preserve">maintain</w:t>
      </w:r>
      <w:r w:rsidRPr="7197FCDA" w:rsidR="00B70F9A">
        <w:rPr>
          <w:rFonts w:ascii="Arial" w:hAnsi="Arial" w:eastAsia="Arial" w:cs="Arial"/>
          <w:color w:val="1F1F1F"/>
          <w:sz w:val="22"/>
          <w:szCs w:val="22"/>
        </w:rPr>
        <w:t xml:space="preserve"> basic </w:t>
      </w:r>
      <w:r w:rsidRPr="7197FCDA" w:rsidR="6294E75A">
        <w:rPr>
          <w:rFonts w:ascii="Arial" w:hAnsi="Arial" w:eastAsia="Arial" w:cs="Arial"/>
          <w:color w:val="1F1F1F"/>
          <w:sz w:val="22"/>
          <w:szCs w:val="22"/>
        </w:rPr>
        <w:t xml:space="preserve">cellular; the</w:t>
      </w:r>
      <w:r w:rsidRPr="7197FCDA" w:rsidR="00067258">
        <w:rPr>
          <w:rFonts w:ascii="Arial" w:hAnsi="Arial" w:eastAsia="Arial" w:cs="Arial"/>
          <w:color w:val="0F1729"/>
          <w:sz w:val="22"/>
          <w:szCs w:val="22"/>
          <w:shd w:val="clear" w:color="auto" w:fill="FFFFFF"/>
        </w:rPr>
        <w:t xml:space="preserve"> human body requires a constant, steady supply of glucose to </w:t>
      </w:r>
      <w:r w:rsidRPr="7197FCDA" w:rsidR="00067258">
        <w:rPr>
          <w:rFonts w:ascii="Arial" w:hAnsi="Arial" w:eastAsia="Arial" w:cs="Arial"/>
          <w:color w:val="0F1729"/>
          <w:sz w:val="22"/>
          <w:szCs w:val="22"/>
          <w:shd w:val="clear" w:color="auto" w:fill="FFFFFF"/>
        </w:rPr>
        <w:t xml:space="preserve">maintain</w:t>
      </w:r>
      <w:r w:rsidRPr="7197FCDA" w:rsidR="00067258">
        <w:rPr>
          <w:rFonts w:ascii="Arial" w:hAnsi="Arial" w:eastAsia="Arial" w:cs="Arial"/>
          <w:color w:val="0F1729"/>
          <w:sz w:val="22"/>
          <w:szCs w:val="22"/>
          <w:shd w:val="clear" w:color="auto" w:fill="FFFFFF"/>
        </w:rPr>
        <w:t xml:space="preserve"> basic cellular functions. This is particularly critical for the central nervous system, which consumes a disproportionate amount of the body’s available </w:t>
      </w:r>
      <w:r w:rsidRPr="7197FCDA" w:rsidR="60900C11">
        <w:rPr>
          <w:rFonts w:ascii="Arial" w:hAnsi="Arial" w:eastAsia="Arial" w:cs="Arial"/>
          <w:color w:val="0F1729"/>
          <w:sz w:val="22"/>
          <w:szCs w:val="22"/>
          <w:shd w:val="clear" w:color="auto" w:fill="FFFFFF"/>
        </w:rPr>
        <w:t xml:space="preserve">glucose at</w:t>
      </w:r>
      <w:r w:rsidRPr="7197FCDA" w:rsidR="00067258">
        <w:rPr>
          <w:rFonts w:ascii="Arial" w:hAnsi="Arial" w:eastAsia="Arial" w:cs="Arial"/>
          <w:color w:val="0F1729"/>
          <w:sz w:val="22"/>
          <w:szCs w:val="22"/>
          <w:shd w:val="clear" w:color="auto" w:fill="FFFFFF"/>
        </w:rPr>
        <w:t xml:space="preserve"> </w:t>
      </w:r>
      <w:r w:rsidRPr="7197FCDA" w:rsidR="00067258">
        <w:rPr>
          <w:rFonts w:ascii="Arial" w:hAnsi="Arial" w:eastAsia="Arial" w:cs="Arial"/>
          <w:color w:val="0F1729"/>
          <w:sz w:val="22"/>
          <w:szCs w:val="22"/>
          <w:shd w:val="clear" w:color="auto" w:fill="FFFFFF"/>
        </w:rPr>
        <w:t xml:space="preserve">nearly 120</w:t>
      </w:r>
      <w:r w:rsidRPr="7197FCDA" w:rsidR="00067258">
        <w:rPr>
          <w:rFonts w:ascii="Arial" w:hAnsi="Arial" w:eastAsia="Arial" w:cs="Arial"/>
          <w:color w:val="0F1729"/>
          <w:sz w:val="22"/>
          <w:szCs w:val="22"/>
          <w:shd w:val="clear" w:color="auto" w:fill="FFFFFF"/>
        </w:rPr>
        <w:t xml:space="preserve"> grams per day. Maintaining blood sugar within a very narrow physiological window typically 4.0 to 5.9 mmol/L during fasting states is a masterpiece of homeostatic engineering governed by the endocrine pancreas (</w:t>
      </w:r>
      <w:r w:rsidRPr="7197FCDA" w:rsidR="00067258">
        <w:rPr>
          <w:rFonts w:ascii="Arial" w:hAnsi="Arial" w:eastAsia="Arial" w:cs="Arial"/>
          <w:color w:val="0F1729"/>
          <w:sz w:val="22"/>
          <w:szCs w:val="22"/>
          <w:shd w:val="clear" w:color="auto" w:fill="FFFFFF"/>
        </w:rPr>
        <w:t xml:space="preserve">Marieb</w:t>
      </w:r>
      <w:r w:rsidRPr="7197FCDA" w:rsidR="00067258">
        <w:rPr>
          <w:rFonts w:ascii="Arial" w:hAnsi="Arial" w:eastAsia="Arial" w:cs="Arial"/>
          <w:color w:val="0F1729"/>
          <w:sz w:val="22"/>
          <w:szCs w:val="22"/>
          <w:shd w:val="clear" w:color="auto" w:fill="FFFFFF"/>
        </w:rPr>
        <w:t xml:space="preserve"> and Hoehn, 2019)</w:t>
      </w:r>
      <w:r w:rsidRPr="7197FCDA" w:rsidR="00000D3C">
        <w:rPr>
          <w:rFonts w:ascii="Arial" w:hAnsi="Arial" w:eastAsia="Arial" w:cs="Arial"/>
          <w:color w:val="0F1729"/>
          <w:sz w:val="22"/>
          <w:szCs w:val="22"/>
          <w:shd w:val="clear" w:color="auto" w:fill="FFFFFF"/>
        </w:rPr>
        <w:t>.</w:t>
      </w:r>
    </w:p>
    <w:p w:rsidRPr="00A307FF" w:rsidR="00D73361" w:rsidP="7197FCDA" w:rsidRDefault="00B70F9A" w14:paraId="5BEE1A57"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2.1 The Postprandial Response and Insulin Action</w:t>
      </w:r>
    </w:p>
    <w:p w:rsidRPr="00A307FF" w:rsidR="00D73361" w:rsidP="7197FCDA" w:rsidRDefault="00BC6437" w14:paraId="5BEE1A59" w14:textId="40CCAB17">
      <w:pPr>
        <w:spacing w:after="240" w:line="275" w:lineRule="auto"/>
        <w:jc w:val="both"/>
        <w:rPr>
          <w:rFonts w:ascii="Arial" w:hAnsi="Arial" w:eastAsia="Arial" w:cs="Arial"/>
          <w:color w:val="1F1F1F"/>
          <w:sz w:val="22"/>
          <w:szCs w:val="22"/>
        </w:rPr>
      </w:pPr>
      <w:r w:rsidRPr="7197FCDA" w:rsidR="00BC6437">
        <w:rPr>
          <w:rFonts w:ascii="Arial" w:hAnsi="Arial" w:eastAsia="Arial" w:cs="Arial"/>
          <w:color w:val="0F1729"/>
          <w:sz w:val="22"/>
          <w:szCs w:val="22"/>
          <w:shd w:val="clear" w:color="auto" w:fill="FFFFFF"/>
        </w:rPr>
        <w:t xml:space="preserve">Immediately following the consumption of a meal, the digestive system hydrolyzes complex carbohydrates into simple monosaccharides, primarily glucose. As this glucose enters the bloodstream, the elevation is detected by specialized glucose</w:t>
      </w:r>
      <w:r w:rsidRPr="7197FCDA" w:rsidR="162B024C">
        <w:rPr>
          <w:rFonts w:ascii="Arial" w:hAnsi="Arial" w:eastAsia="Arial" w:cs="Arial"/>
          <w:color w:val="0F1729"/>
          <w:sz w:val="22"/>
          <w:szCs w:val="22"/>
          <w:shd w:val="clear" w:color="auto" w:fill="FFFFFF"/>
        </w:rPr>
        <w:t xml:space="preserve"> </w:t>
      </w:r>
      <w:r w:rsidRPr="7197FCDA" w:rsidR="00BC6437">
        <w:rPr>
          <w:rFonts w:ascii="Arial" w:hAnsi="Arial" w:eastAsia="Arial" w:cs="Arial"/>
          <w:color w:val="0F1729"/>
          <w:sz w:val="22"/>
          <w:szCs w:val="22"/>
          <w:shd w:val="clear" w:color="auto" w:fill="FFFFFF"/>
        </w:rPr>
        <w:t xml:space="preserve">sensing receptors on the beta cells </w:t>
      </w:r>
      <w:r w:rsidRPr="7197FCDA" w:rsidR="00BC6437">
        <w:rPr>
          <w:rFonts w:ascii="Arial" w:hAnsi="Arial" w:eastAsia="Arial" w:cs="Arial"/>
          <w:color w:val="0F1729"/>
          <w:sz w:val="22"/>
          <w:szCs w:val="22"/>
          <w:shd w:val="clear" w:color="auto" w:fill="FFFFFF"/>
        </w:rPr>
        <w:t xml:space="preserve">located</w:t>
      </w:r>
      <w:r w:rsidRPr="7197FCDA" w:rsidR="00BC6437">
        <w:rPr>
          <w:rFonts w:ascii="Arial" w:hAnsi="Arial" w:eastAsia="Arial" w:cs="Arial"/>
          <w:color w:val="0F1729"/>
          <w:sz w:val="22"/>
          <w:szCs w:val="22"/>
          <w:shd w:val="clear" w:color="auto" w:fill="FFFFFF"/>
        </w:rPr>
        <w:t xml:space="preserve"> in the Islets of </w:t>
      </w:r>
      <w:r w:rsidRPr="7197FCDA" w:rsidR="7A092402">
        <w:rPr>
          <w:rFonts w:ascii="Arial" w:hAnsi="Arial" w:eastAsia="Arial" w:cs="Arial"/>
          <w:color w:val="0F1729"/>
          <w:sz w:val="22"/>
          <w:szCs w:val="22"/>
          <w:shd w:val="clear" w:color="auto" w:fill="FFFFFF"/>
        </w:rPr>
        <w:t xml:space="preserve">Langerhans</w:t>
      </w:r>
      <w:r w:rsidRPr="7197FCDA" w:rsidR="00BC6437">
        <w:rPr>
          <w:rFonts w:ascii="Arial" w:hAnsi="Arial" w:eastAsia="Arial" w:cs="Arial"/>
          <w:color w:val="0F1729"/>
          <w:sz w:val="22"/>
          <w:szCs w:val="22"/>
          <w:shd w:val="clear" w:color="auto" w:fill="FFFFFF"/>
        </w:rPr>
        <w:t xml:space="preserve">. In response, these cells </w:t>
      </w:r>
      <w:r w:rsidRPr="7197FCDA" w:rsidR="00BC6437">
        <w:rPr>
          <w:rFonts w:ascii="Arial" w:hAnsi="Arial" w:eastAsia="Arial" w:cs="Arial"/>
          <w:color w:val="0F1729"/>
          <w:sz w:val="22"/>
          <w:szCs w:val="22"/>
          <w:shd w:val="clear" w:color="auto" w:fill="FFFFFF"/>
        </w:rPr>
        <w:t>secrete insulin directly into the systemic circulation. Insulin functions as the primary anabolic hormone of the body. It travels to target cells and binds to high</w:t>
      </w:r>
      <w:r w:rsidRPr="7197FCDA" w:rsidR="7DE362D7">
        <w:rPr>
          <w:rFonts w:ascii="Arial" w:hAnsi="Arial" w:eastAsia="Arial" w:cs="Arial"/>
          <w:color w:val="0F1729"/>
          <w:sz w:val="22"/>
          <w:szCs w:val="22"/>
          <w:shd w:val="clear" w:color="auto" w:fill="FFFFFF"/>
        </w:rPr>
        <w:t xml:space="preserve"> </w:t>
      </w:r>
      <w:r w:rsidRPr="7197FCDA" w:rsidR="00BC6437">
        <w:rPr>
          <w:rFonts w:ascii="Arial" w:hAnsi="Arial" w:eastAsia="Arial" w:cs="Arial"/>
          <w:color w:val="0F1729"/>
          <w:sz w:val="22"/>
          <w:szCs w:val="22"/>
          <w:shd w:val="clear" w:color="auto" w:fill="FFFFFF"/>
        </w:rPr>
        <w:t xml:space="preserve">affinity insulin receptors on the cell surface (Hall and Hall, 2021). This binding triggers a sophisticated intracellular signaling cascade, involving the </w:t>
      </w:r>
      <w:r w:rsidRPr="7197FCDA" w:rsidR="7388A9BB">
        <w:rPr>
          <w:rFonts w:ascii="Arial" w:hAnsi="Arial" w:eastAsia="Arial" w:cs="Arial"/>
          <w:color w:val="0F1729"/>
          <w:sz w:val="22"/>
          <w:szCs w:val="22"/>
          <w:shd w:val="clear" w:color="auto" w:fill="FFFFFF"/>
        </w:rPr>
        <w:t>p</w:t>
      </w:r>
      <w:r w:rsidRPr="7197FCDA" w:rsidR="00BC6437">
        <w:rPr>
          <w:rFonts w:ascii="Arial" w:hAnsi="Arial" w:eastAsia="Arial" w:cs="Arial"/>
          <w:color w:val="0F1729"/>
          <w:sz w:val="22"/>
          <w:szCs w:val="22"/>
          <w:shd w:val="clear" w:color="auto" w:fill="FFFFFF"/>
        </w:rPr>
        <w:t>hosphoinositide 3</w:t>
      </w:r>
      <w:r w:rsidRPr="7197FCDA" w:rsidR="78C12661">
        <w:rPr>
          <w:rFonts w:ascii="Arial" w:hAnsi="Arial" w:eastAsia="Arial" w:cs="Arial"/>
          <w:color w:val="0F1729"/>
          <w:sz w:val="22"/>
          <w:szCs w:val="22"/>
          <w:shd w:val="clear" w:color="auto" w:fill="FFFFFF"/>
        </w:rPr>
        <w:t xml:space="preserve"> </w:t>
      </w:r>
      <w:r w:rsidRPr="7197FCDA" w:rsidR="00BC6437">
        <w:rPr>
          <w:rFonts w:ascii="Arial" w:hAnsi="Arial" w:eastAsia="Arial" w:cs="Arial"/>
          <w:color w:val="0F1729"/>
          <w:sz w:val="22"/>
          <w:szCs w:val="22"/>
          <w:shd w:val="clear" w:color="auto" w:fill="FFFFFF"/>
        </w:rPr>
        <w:t>kinase (PI3K) pathway, which leads to the translocation of glucose transporter proteins, specifically GLUT4, to the cell membrane. These transporters act as channels, allowing glucose to move out of the blood and into the cell via facilitated diffusion. Within the cell, glucose is either oxidized for immediate energy or</w:t>
      </w:r>
      <w:r w:rsidRPr="7197FCDA" w:rsidR="01C3CCA4">
        <w:rPr>
          <w:rFonts w:ascii="Arial" w:hAnsi="Arial" w:eastAsia="Arial" w:cs="Arial"/>
          <w:color w:val="0F1729"/>
          <w:sz w:val="22"/>
          <w:szCs w:val="22"/>
          <w:shd w:val="clear" w:color="auto" w:fill="FFFFFF"/>
        </w:rPr>
        <w:t xml:space="preserve"> </w:t>
      </w:r>
      <w:r w:rsidRPr="7197FCDA" w:rsidR="00BC6437">
        <w:rPr>
          <w:rFonts w:ascii="Arial" w:hAnsi="Arial" w:eastAsia="Arial" w:cs="Arial"/>
          <w:color w:val="0F1729"/>
          <w:sz w:val="22"/>
          <w:szCs w:val="22"/>
          <w:shd w:val="clear" w:color="auto" w:fill="FFFFFF"/>
        </w:rPr>
        <w:lastRenderedPageBreak/>
        <w:t>converted into glycogen for storage through glycogenesis (Nelson and Cox, 2021). Furthermore, insulin inhibits the breakdown of fats and proteins, ensuring the body uses the available glucose as its primary fuel source.</w:t>
      </w:r>
    </w:p>
    <w:p w:rsidRPr="00A307FF" w:rsidR="00D73361" w:rsidP="7197FCDA" w:rsidRDefault="00B70F9A" w14:paraId="5BEE1A5A"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2.2 Glucagon and Fasting Homeostasis</w:t>
      </w:r>
    </w:p>
    <w:p w:rsidRPr="00A307FF" w:rsidR="00D73361" w:rsidP="7197FCDA" w:rsidRDefault="00EE514D" w14:paraId="5BEE1A5C" w14:textId="066C1817">
      <w:pPr>
        <w:spacing w:after="240" w:line="275" w:lineRule="auto"/>
        <w:jc w:val="both"/>
        <w:rPr>
          <w:rFonts w:ascii="Arial" w:hAnsi="Arial" w:eastAsia="Arial" w:cs="Arial"/>
          <w:color w:val="1F1F1F"/>
          <w:sz w:val="22"/>
          <w:szCs w:val="22"/>
        </w:rPr>
      </w:pPr>
      <w:r w:rsidRPr="7197FCDA" w:rsidR="00EE514D">
        <w:rPr>
          <w:rFonts w:ascii="Arial" w:hAnsi="Arial" w:eastAsia="Arial" w:cs="Arial"/>
          <w:color w:val="0F1729"/>
          <w:sz w:val="22"/>
          <w:szCs w:val="22"/>
          <w:shd w:val="clear" w:color="auto" w:fill="FFFFFF"/>
        </w:rPr>
        <w:t xml:space="preserve">The system is equally vigilant during periods of fasting. </w:t>
      </w:r>
      <w:r w:rsidRPr="7197FCDA" w:rsidR="00EE514D">
        <w:rPr>
          <w:rFonts w:ascii="Arial" w:hAnsi="Arial" w:eastAsia="Arial" w:cs="Arial"/>
          <w:color w:val="0F1729"/>
          <w:sz w:val="22"/>
          <w:szCs w:val="22"/>
          <w:shd w:val="clear" w:color="auto" w:fill="FFFFFF"/>
        </w:rPr>
        <w:t>As blood glucose levels decline, the alpha cells of the pancreas release glucagon.</w:t>
      </w:r>
      <w:r w:rsidRPr="7197FCDA" w:rsidR="00EE514D">
        <w:rPr>
          <w:rFonts w:ascii="Arial" w:hAnsi="Arial" w:eastAsia="Arial" w:cs="Arial"/>
          <w:color w:val="0F1729"/>
          <w:sz w:val="22"/>
          <w:szCs w:val="22"/>
          <w:shd w:val="clear" w:color="auto" w:fill="FFFFFF"/>
        </w:rPr>
        <w:t xml:space="preserve"> Glucagon is the functional antagonist of insulin; it targets the liver to stimulate glycogenolysis (the breakdown of stored glycogen) and gluconeogenesis (the synthesis of glucose from </w:t>
      </w:r>
      <w:r w:rsidRPr="7197FCDA" w:rsidR="1145661E">
        <w:rPr>
          <w:rFonts w:ascii="Arial" w:hAnsi="Arial" w:eastAsia="Arial" w:cs="Arial"/>
          <w:color w:val="0F1729"/>
          <w:sz w:val="22"/>
          <w:szCs w:val="22"/>
          <w:shd w:val="clear" w:color="auto" w:fill="FFFFFF"/>
        </w:rPr>
        <w:t>non-carbohydrate</w:t>
      </w:r>
      <w:r w:rsidRPr="7197FCDA" w:rsidR="00EE514D">
        <w:rPr>
          <w:rFonts w:ascii="Arial" w:hAnsi="Arial" w:eastAsia="Arial" w:cs="Arial"/>
          <w:color w:val="0F1729"/>
          <w:sz w:val="22"/>
          <w:szCs w:val="22"/>
          <w:shd w:val="clear" w:color="auto" w:fill="FFFFFF"/>
        </w:rPr>
        <w:t xml:space="preserve"> sources like amino acids and glycerol) (</w:t>
      </w:r>
      <w:r w:rsidRPr="7197FCDA" w:rsidR="00EE514D">
        <w:rPr>
          <w:rFonts w:ascii="Arial" w:hAnsi="Arial" w:eastAsia="Arial" w:cs="Arial"/>
          <w:color w:val="0F1729"/>
          <w:sz w:val="22"/>
          <w:szCs w:val="22"/>
          <w:shd w:val="clear" w:color="auto" w:fill="FFFFFF"/>
        </w:rPr>
        <w:t>Marieb</w:t>
      </w:r>
      <w:r w:rsidRPr="7197FCDA" w:rsidR="00EE514D">
        <w:rPr>
          <w:rFonts w:ascii="Arial" w:hAnsi="Arial" w:eastAsia="Arial" w:cs="Arial"/>
          <w:color w:val="0F1729"/>
          <w:sz w:val="22"/>
          <w:szCs w:val="22"/>
          <w:shd w:val="clear" w:color="auto" w:fill="FFFFFF"/>
        </w:rPr>
        <w:t xml:space="preserve"> and Hoehn, 2019). This push</w:t>
      </w:r>
      <w:r w:rsidRPr="7197FCDA" w:rsidR="075301AE">
        <w:rPr>
          <w:rFonts w:ascii="Arial" w:hAnsi="Arial" w:eastAsia="Arial" w:cs="Arial"/>
          <w:color w:val="0F1729"/>
          <w:sz w:val="22"/>
          <w:szCs w:val="22"/>
          <w:shd w:val="clear" w:color="auto" w:fill="FFFFFF"/>
        </w:rPr>
        <w:t xml:space="preserve"> </w:t>
      </w:r>
      <w:r w:rsidRPr="7197FCDA" w:rsidR="00EE514D">
        <w:rPr>
          <w:rFonts w:ascii="Arial" w:hAnsi="Arial" w:eastAsia="Arial" w:cs="Arial"/>
          <w:color w:val="0F1729"/>
          <w:sz w:val="22"/>
          <w:szCs w:val="22"/>
          <w:shd w:val="clear" w:color="auto" w:fill="FFFFFF"/>
        </w:rPr>
        <w:t>and</w:t>
      </w:r>
      <w:r w:rsidRPr="7197FCDA" w:rsidR="3A2FF7C6">
        <w:rPr>
          <w:rFonts w:ascii="Arial" w:hAnsi="Arial" w:eastAsia="Arial" w:cs="Arial"/>
          <w:color w:val="0F1729"/>
          <w:sz w:val="22"/>
          <w:szCs w:val="22"/>
          <w:shd w:val="clear" w:color="auto" w:fill="FFFFFF"/>
        </w:rPr>
        <w:t xml:space="preserve"> </w:t>
      </w:r>
      <w:r w:rsidRPr="7197FCDA" w:rsidR="00EE514D">
        <w:rPr>
          <w:rFonts w:ascii="Arial" w:hAnsi="Arial" w:eastAsia="Arial" w:cs="Arial"/>
          <w:color w:val="0F1729"/>
          <w:sz w:val="22"/>
          <w:szCs w:val="22"/>
          <w:shd w:val="clear" w:color="auto" w:fill="FFFFFF"/>
        </w:rPr>
        <w:t xml:space="preserve">pull relationship between insulin and glucagon ensures that the body’s </w:t>
      </w:r>
      <w:r w:rsidRPr="7197FCDA" w:rsidR="7833B3EB">
        <w:rPr>
          <w:rFonts w:ascii="Arial" w:hAnsi="Arial" w:eastAsia="Arial" w:cs="Arial"/>
          <w:color w:val="0F1729"/>
          <w:sz w:val="22"/>
          <w:szCs w:val="22"/>
          <w:shd w:val="clear" w:color="auto" w:fill="FFFFFF"/>
        </w:rPr>
        <w:t>fuel</w:t>
      </w:r>
      <w:r w:rsidRPr="7197FCDA" w:rsidR="00EE514D">
        <w:rPr>
          <w:rFonts w:ascii="Arial" w:hAnsi="Arial" w:eastAsia="Arial" w:cs="Arial"/>
          <w:color w:val="0F1729"/>
          <w:sz w:val="22"/>
          <w:szCs w:val="22"/>
          <w:shd w:val="clear" w:color="auto" w:fill="FFFFFF"/>
        </w:rPr>
        <w:t xml:space="preserve"> tank </w:t>
      </w:r>
      <w:r w:rsidRPr="7197FCDA" w:rsidR="00EE514D">
        <w:rPr>
          <w:rFonts w:ascii="Arial" w:hAnsi="Arial" w:eastAsia="Arial" w:cs="Arial"/>
          <w:color w:val="0F1729"/>
          <w:sz w:val="22"/>
          <w:szCs w:val="22"/>
          <w:shd w:val="clear" w:color="auto" w:fill="FFFFFF"/>
        </w:rPr>
        <w:t>remains</w:t>
      </w:r>
      <w:r w:rsidRPr="7197FCDA" w:rsidR="00EE514D">
        <w:rPr>
          <w:rFonts w:ascii="Arial" w:hAnsi="Arial" w:eastAsia="Arial" w:cs="Arial"/>
          <w:color w:val="0F1729"/>
          <w:sz w:val="22"/>
          <w:szCs w:val="22"/>
          <w:shd w:val="clear" w:color="auto" w:fill="FFFFFF"/>
        </w:rPr>
        <w:t xml:space="preserve"> optimally filled, preventing the lethargy of hypoglycemia and the systemic damage of hyperglycemia. In a healthy state, the liver acts as a glucose reservoir, releasing energy exactly when needed. However, in diabetic patients, the liver often continues to produce glucose even when blood sugar is already high, as it </w:t>
      </w:r>
      <w:r w:rsidRPr="7197FCDA" w:rsidR="00EE514D">
        <w:rPr>
          <w:rFonts w:ascii="Arial" w:hAnsi="Arial" w:eastAsia="Arial" w:cs="Arial"/>
          <w:color w:val="0F1729"/>
          <w:sz w:val="22"/>
          <w:szCs w:val="22"/>
          <w:shd w:val="clear" w:color="auto" w:fill="FFFFFF"/>
        </w:rPr>
        <w:t>fails to</w:t>
      </w:r>
      <w:r w:rsidRPr="7197FCDA" w:rsidR="00EE514D">
        <w:rPr>
          <w:rFonts w:ascii="Arial" w:hAnsi="Arial" w:eastAsia="Arial" w:cs="Arial"/>
          <w:color w:val="0F1729"/>
          <w:sz w:val="22"/>
          <w:szCs w:val="22"/>
          <w:shd w:val="clear" w:color="auto" w:fill="FFFFFF"/>
        </w:rPr>
        <w:t xml:space="preserve"> receive the "stop" signal from insulin (Hall and Hall, 2021).</w:t>
      </w:r>
    </w:p>
    <w:p w:rsidRPr="00A307FF" w:rsidR="00D73361" w:rsidP="7197FCDA" w:rsidRDefault="00B70F9A" w14:paraId="5BEE1A5D"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2.3 Pathophysiology in Type 2 Diabetes</w:t>
      </w:r>
    </w:p>
    <w:p w:rsidRPr="00A307FF" w:rsidR="00D73361" w:rsidP="7197FCDA" w:rsidRDefault="005A14C1" w14:paraId="5BEE1A5E" w14:textId="336A7FEF">
      <w:pPr>
        <w:spacing w:after="240" w:line="275" w:lineRule="auto"/>
        <w:jc w:val="both"/>
        <w:rPr>
          <w:rFonts w:ascii="Arial" w:hAnsi="Arial" w:eastAsia="Arial" w:cs="Arial"/>
          <w:color w:val="1F1F1F"/>
          <w:sz w:val="22"/>
          <w:szCs w:val="22"/>
        </w:rPr>
      </w:pPr>
      <w:r w:rsidRPr="7197FCDA" w:rsidR="005A14C1">
        <w:rPr>
          <w:rFonts w:ascii="Arial" w:hAnsi="Arial" w:eastAsia="Arial" w:cs="Arial"/>
          <w:color w:val="0F1729"/>
          <w:sz w:val="22"/>
          <w:szCs w:val="22"/>
          <w:shd w:val="clear" w:color="auto" w:fill="FFFFFF"/>
        </w:rPr>
        <w:t xml:space="preserve">In T2DM, this feedback loop is compromised by insulin resistance. Initially, the body compensates by producing excessive amounts of insulin (hyperinsulinemia). This period of </w:t>
      </w:r>
      <w:r w:rsidRPr="7197FCDA" w:rsidR="550F57DD">
        <w:rPr>
          <w:rFonts w:ascii="Arial" w:hAnsi="Arial" w:eastAsia="Arial" w:cs="Arial"/>
          <w:color w:val="0F1729"/>
          <w:sz w:val="22"/>
          <w:szCs w:val="22"/>
          <w:shd w:val="clear" w:color="auto" w:fill="FFFFFF"/>
        </w:rPr>
        <w:t>prediabetes</w:t>
      </w:r>
      <w:r w:rsidRPr="7197FCDA" w:rsidR="005A14C1">
        <w:rPr>
          <w:rFonts w:ascii="Arial" w:hAnsi="Arial" w:eastAsia="Arial" w:cs="Arial"/>
          <w:color w:val="0F1729"/>
          <w:sz w:val="22"/>
          <w:szCs w:val="22"/>
          <w:shd w:val="clear" w:color="auto" w:fill="FFFFFF"/>
        </w:rPr>
        <w:t xml:space="preserve"> can last for years, with </w:t>
      </w:r>
      <w:r w:rsidRPr="7197FCDA" w:rsidR="78B69A5A">
        <w:rPr>
          <w:rFonts w:ascii="Arial" w:hAnsi="Arial" w:eastAsia="Arial" w:cs="Arial"/>
          <w:color w:val="0F1729"/>
          <w:sz w:val="22"/>
          <w:szCs w:val="22"/>
          <w:shd w:val="clear" w:color="auto" w:fill="FFFFFF"/>
        </w:rPr>
        <w:t>pancreas</w:t>
      </w:r>
      <w:r w:rsidRPr="7197FCDA" w:rsidR="005A14C1">
        <w:rPr>
          <w:rFonts w:ascii="Arial" w:hAnsi="Arial" w:eastAsia="Arial" w:cs="Arial"/>
          <w:color w:val="0F1729"/>
          <w:sz w:val="22"/>
          <w:szCs w:val="22"/>
          <w:shd w:val="clear" w:color="auto" w:fill="FFFFFF"/>
        </w:rPr>
        <w:t xml:space="preserve"> overworking to</w:t>
      </w:r>
      <w:r w:rsidRPr="7197FCDA" w:rsidR="005A14C1">
        <w:rPr>
          <w:rFonts w:ascii="Arial" w:hAnsi="Arial" w:eastAsia="Arial" w:cs="Arial"/>
          <w:color w:val="0F1729"/>
          <w:sz w:val="22"/>
          <w:szCs w:val="22"/>
          <w:shd w:val="clear" w:color="auto" w:fill="FFFFFF"/>
        </w:rPr>
        <w:t xml:space="preserve"> </w:t>
      </w:r>
      <w:r w:rsidRPr="7197FCDA" w:rsidR="005A14C1">
        <w:rPr>
          <w:rFonts w:ascii="Arial" w:hAnsi="Arial" w:eastAsia="Arial" w:cs="Arial"/>
          <w:color w:val="0F1729"/>
          <w:sz w:val="22"/>
          <w:szCs w:val="22"/>
          <w:shd w:val="clear" w:color="auto" w:fill="FFFFFF"/>
        </w:rPr>
        <w:t>maintai</w:t>
      </w:r>
      <w:r w:rsidRPr="7197FCDA" w:rsidR="005A14C1">
        <w:rPr>
          <w:rFonts w:ascii="Arial" w:hAnsi="Arial" w:eastAsia="Arial" w:cs="Arial"/>
          <w:color w:val="0F1729"/>
          <w:sz w:val="22"/>
          <w:szCs w:val="22"/>
          <w:shd w:val="clear" w:color="auto" w:fill="FFFFFF"/>
        </w:rPr>
        <w:t>n</w:t>
      </w:r>
      <w:r w:rsidRPr="7197FCDA" w:rsidR="005A14C1">
        <w:rPr>
          <w:rFonts w:ascii="Arial" w:hAnsi="Arial" w:eastAsia="Arial" w:cs="Arial"/>
          <w:color w:val="0F1729"/>
          <w:sz w:val="22"/>
          <w:szCs w:val="22"/>
          <w:shd w:val="clear" w:color="auto" w:fill="FFFFFF"/>
        </w:rPr>
        <w:t xml:space="preserve"> normal blood sugar levels. Over time, however, the beta cells become exhausted and begin to fail. This leads to a double-edged sword: the cells</w:t>
      </w:r>
      <w:r w:rsidRPr="7197FCDA" w:rsidR="005A14C1">
        <w:rPr>
          <w:rFonts w:ascii="Arial" w:hAnsi="Arial" w:eastAsia="Arial" w:cs="Arial"/>
          <w:color w:val="0F1729"/>
          <w:sz w:val="22"/>
          <w:szCs w:val="22"/>
          <w:shd w:val="clear" w:color="auto" w:fill="FFFFFF"/>
        </w:rPr>
        <w:t xml:space="preserve"> </w:t>
      </w:r>
      <w:r w:rsidRPr="7197FCDA" w:rsidR="005A14C1">
        <w:rPr>
          <w:rFonts w:ascii="Arial" w:hAnsi="Arial" w:eastAsia="Arial" w:cs="Arial"/>
          <w:color w:val="0F1729"/>
          <w:sz w:val="22"/>
          <w:szCs w:val="22"/>
          <w:shd w:val="clear" w:color="auto" w:fill="FFFFFF"/>
        </w:rPr>
        <w:t>remai</w:t>
      </w:r>
      <w:r w:rsidRPr="7197FCDA" w:rsidR="005A14C1">
        <w:rPr>
          <w:rFonts w:ascii="Arial" w:hAnsi="Arial" w:eastAsia="Arial" w:cs="Arial"/>
          <w:color w:val="0F1729"/>
          <w:sz w:val="22"/>
          <w:szCs w:val="22"/>
          <w:shd w:val="clear" w:color="auto" w:fill="FFFFFF"/>
        </w:rPr>
        <w:t>n</w:t>
      </w:r>
      <w:r w:rsidRPr="7197FCDA" w:rsidR="005A14C1">
        <w:rPr>
          <w:rFonts w:ascii="Arial" w:hAnsi="Arial" w:eastAsia="Arial" w:cs="Arial"/>
          <w:color w:val="0F1729"/>
          <w:sz w:val="22"/>
          <w:szCs w:val="22"/>
          <w:shd w:val="clear" w:color="auto" w:fill="FFFFFF"/>
        </w:rPr>
        <w:t xml:space="preserve"> unresponsive to insulin, and the pancreas can no longer produce enough of it to overcome that resistance (American Diabetes Association, 2023). Consequently, glucose</w:t>
      </w:r>
      <w:r w:rsidRPr="7197FCDA" w:rsidR="005A14C1">
        <w:rPr>
          <w:rFonts w:ascii="Arial" w:hAnsi="Arial" w:eastAsia="Arial" w:cs="Arial"/>
          <w:color w:val="0F1729"/>
          <w:sz w:val="22"/>
          <w:szCs w:val="22"/>
          <w:shd w:val="clear" w:color="auto" w:fill="FFFFFF"/>
        </w:rPr>
        <w:t xml:space="preserve"> </w:t>
      </w:r>
      <w:r w:rsidRPr="7197FCDA" w:rsidR="005A14C1">
        <w:rPr>
          <w:rFonts w:ascii="Arial" w:hAnsi="Arial" w:eastAsia="Arial" w:cs="Arial"/>
          <w:color w:val="0F1729"/>
          <w:sz w:val="22"/>
          <w:szCs w:val="22"/>
          <w:shd w:val="clear" w:color="auto" w:fill="FFFFFF"/>
        </w:rPr>
        <w:t>remain</w:t>
      </w:r>
      <w:r w:rsidRPr="7197FCDA" w:rsidR="005A14C1">
        <w:rPr>
          <w:rFonts w:ascii="Arial" w:hAnsi="Arial" w:eastAsia="Arial" w:cs="Arial"/>
          <w:color w:val="0F1729"/>
          <w:sz w:val="22"/>
          <w:szCs w:val="22"/>
          <w:shd w:val="clear" w:color="auto" w:fill="FFFFFF"/>
        </w:rPr>
        <w:t>s</w:t>
      </w:r>
      <w:r w:rsidRPr="7197FCDA" w:rsidR="005A14C1">
        <w:rPr>
          <w:rFonts w:ascii="Arial" w:hAnsi="Arial" w:eastAsia="Arial" w:cs="Arial"/>
          <w:color w:val="0F1729"/>
          <w:sz w:val="22"/>
          <w:szCs w:val="22"/>
          <w:shd w:val="clear" w:color="auto" w:fill="FFFFFF"/>
        </w:rPr>
        <w:t xml:space="preserve"> trapped in the bloodstream, while the cells are effectively starved of energy</w:t>
      </w:r>
      <w:r w:rsidRPr="7197FCDA" w:rsidR="00B70F9A">
        <w:rPr>
          <w:rFonts w:ascii="Arial" w:hAnsi="Arial" w:eastAsia="Arial" w:cs="Arial"/>
          <w:color w:val="1F1F1F"/>
          <w:sz w:val="22"/>
          <w:szCs w:val="22"/>
        </w:rPr>
        <w:t>.</w:t>
      </w:r>
    </w:p>
    <w:p w:rsidRPr="00A307FF" w:rsidR="00D73361" w:rsidP="7197FCDA" w:rsidRDefault="00B70F9A" w14:paraId="5BEE1A5F" w14:textId="77777777">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3. Cellular Metabolism</w:t>
      </w:r>
    </w:p>
    <w:p w:rsidRPr="00A307FF" w:rsidR="00D73361" w:rsidP="7197FCDA" w:rsidRDefault="002B195B" w14:paraId="5BEE1A60" w14:textId="413790BC">
      <w:pPr>
        <w:spacing w:after="240" w:line="275" w:lineRule="auto"/>
        <w:jc w:val="both"/>
        <w:rPr>
          <w:rFonts w:ascii="Arial" w:hAnsi="Arial" w:eastAsia="Arial" w:cs="Arial"/>
          <w:color w:val="1F1F1F"/>
          <w:sz w:val="22"/>
          <w:szCs w:val="22"/>
        </w:rPr>
      </w:pPr>
      <w:r w:rsidRPr="7197FCDA" w:rsidR="002B195B">
        <w:rPr>
          <w:rFonts w:ascii="Arial" w:hAnsi="Arial" w:eastAsia="Arial" w:cs="Arial"/>
          <w:color w:val="0F1729"/>
          <w:sz w:val="22"/>
          <w:szCs w:val="22"/>
          <w:shd w:val="clear" w:color="auto" w:fill="FFFFFF"/>
        </w:rPr>
        <w:t xml:space="preserve">To understand the profound fatigue and tissue damage associated with T2DM, one must examine the biochemical engine of the </w:t>
      </w:r>
      <w:r w:rsidRPr="7197FCDA" w:rsidR="098A9BC8">
        <w:rPr>
          <w:rFonts w:ascii="Arial" w:hAnsi="Arial" w:eastAsia="Arial" w:cs="Arial"/>
          <w:color w:val="0F1729"/>
          <w:sz w:val="22"/>
          <w:szCs w:val="22"/>
          <w:shd w:val="clear" w:color="auto" w:fill="FFFFFF"/>
        </w:rPr>
        <w:t>cell. Every</w:t>
      </w:r>
      <w:r w:rsidRPr="7197FCDA" w:rsidR="002B195B">
        <w:rPr>
          <w:rFonts w:ascii="Arial" w:hAnsi="Arial" w:eastAsia="Arial" w:cs="Arial"/>
          <w:color w:val="0F1729"/>
          <w:sz w:val="22"/>
          <w:szCs w:val="22"/>
          <w:shd w:val="clear" w:color="auto" w:fill="FFFFFF"/>
        </w:rPr>
        <w:t xml:space="preserve"> biological process, from the beating of the heart to the firing of a neuron, requires energy in the form of </w:t>
      </w:r>
      <w:r w:rsidRPr="7197FCDA" w:rsidR="2C617347">
        <w:rPr>
          <w:rFonts w:ascii="Arial" w:hAnsi="Arial" w:eastAsia="Arial" w:cs="Arial"/>
          <w:color w:val="0F1729"/>
          <w:sz w:val="22"/>
          <w:szCs w:val="22"/>
          <w:shd w:val="clear" w:color="auto" w:fill="FFFFFF"/>
        </w:rPr>
        <w:t>a</w:t>
      </w:r>
      <w:r w:rsidRPr="7197FCDA" w:rsidR="002B195B">
        <w:rPr>
          <w:rFonts w:ascii="Arial" w:hAnsi="Arial" w:eastAsia="Arial" w:cs="Arial"/>
          <w:color w:val="0F1729"/>
          <w:sz w:val="22"/>
          <w:szCs w:val="22"/>
          <w:shd w:val="clear" w:color="auto" w:fill="FFFFFF"/>
        </w:rPr>
        <w:t>denosine</w:t>
      </w:r>
      <w:r w:rsidRPr="7197FCDA" w:rsidR="002B195B">
        <w:rPr>
          <w:rFonts w:ascii="Arial" w:hAnsi="Arial" w:eastAsia="Arial" w:cs="Arial"/>
          <w:color w:val="0F1729"/>
          <w:sz w:val="22"/>
          <w:szCs w:val="22"/>
          <w:shd w:val="clear" w:color="auto" w:fill="FFFFFF"/>
        </w:rPr>
        <w:t xml:space="preserve"> </w:t>
      </w:r>
      <w:r w:rsidRPr="7197FCDA" w:rsidR="4493FB3F">
        <w:rPr>
          <w:rFonts w:ascii="Arial" w:hAnsi="Arial" w:eastAsia="Arial" w:cs="Arial"/>
          <w:color w:val="0F1729"/>
          <w:sz w:val="22"/>
          <w:szCs w:val="22"/>
          <w:shd w:val="clear" w:color="auto" w:fill="FFFFFF"/>
        </w:rPr>
        <w:t>t</w:t>
      </w:r>
      <w:r w:rsidRPr="7197FCDA" w:rsidR="002B195B">
        <w:rPr>
          <w:rFonts w:ascii="Arial" w:hAnsi="Arial" w:eastAsia="Arial" w:cs="Arial"/>
          <w:color w:val="0F1729"/>
          <w:sz w:val="22"/>
          <w:szCs w:val="22"/>
          <w:shd w:val="clear" w:color="auto" w:fill="FFFFFF"/>
        </w:rPr>
        <w:t>riphosphate (ATP</w:t>
      </w:r>
      <w:r w:rsidRPr="7197FCDA" w:rsidR="00D26888">
        <w:rPr>
          <w:rFonts w:ascii="Arial" w:hAnsi="Arial" w:eastAsia="Arial" w:cs="Arial"/>
          <w:color w:val="0F1729"/>
          <w:sz w:val="22"/>
          <w:szCs w:val="22"/>
          <w:shd w:val="clear" w:color="auto" w:fill="FFFFFF"/>
        </w:rPr>
        <w:t>).</w:t>
      </w:r>
    </w:p>
    <w:p w:rsidRPr="00A307FF" w:rsidR="00D73361" w:rsidP="7197FCDA" w:rsidRDefault="00B70F9A" w14:paraId="5BEE1A61"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3.1 The Aerobic Pathway (Cellular Respiration)</w:t>
      </w:r>
    </w:p>
    <w:p w:rsidRPr="00A307FF" w:rsidR="00D73361" w:rsidP="7197FCDA" w:rsidRDefault="00B70F9A" w14:paraId="5BEE1A62"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The primary method for generating ATP is aerobic cellular respiration, where glucose is oxidized in the presence of oxygen. The overall reaction is:</w:t>
      </w:r>
    </w:p>
    <w:p w:rsidRPr="00A307FF" w:rsidR="00D73361" w:rsidP="7197FCDA" w:rsidRDefault="00B70F9A" w14:paraId="5BEE1A63" w14:textId="77777777">
      <w:pPr>
        <w:spacing w:after="120" w:line="275" w:lineRule="auto"/>
        <w:jc w:val="both"/>
        <w:rPr>
          <w:rFonts w:ascii="Arial" w:hAnsi="Arial" w:eastAsia="Arial" w:cs="Arial"/>
          <w:color w:val="1F1F1F"/>
          <w:sz w:val="22"/>
          <w:szCs w:val="22"/>
        </w:rPr>
      </w:pPr>
      <w:r w:rsidR="00B70F9A">
        <w:drawing>
          <wp:inline wp14:editId="4F4F1811" wp14:anchorId="5BEE1A89">
            <wp:extent cx="5753100" cy="673100"/>
            <wp:effectExtent l="0" t="0" r="0" b="0"/>
            <wp:docPr id="1" name="image1.png"/>
            <wp:cNvGraphicFramePr/>
            <a:graphic>
              <a:graphicData xmlns:a="http://schemas.openxmlformats.org/drawingml/2006/main" uri="http://schemas.openxmlformats.org/drawingml/2006/picture">
                <pic:pic xmlns:pic="http://schemas.openxmlformats.org/drawingml/2006/picture">
                  <pic:nvPicPr>
                    <pic:cNvPr id="1" name="image1.png"/>
                    <pic:cNvPicPr preferRelativeResize="0"/>
                  </pic:nvPicPr>
                  <pic:blipFill>
                    <a:blip xmlns:r="http://schemas.openxmlformats.org/officeDocument/2006/relationships" r:embed="rId10"/>
                    <a:srcRect/>
                    <a:stretch>
                      <a:fillRect/>
                    </a:stretch>
                  </pic:blipFill>
                  <pic:spPr>
                    <a:xfrm>
                      <a:off x="0" y="0"/>
                      <a:ext cx="5753100" cy="673100"/>
                    </a:xfrm>
                    <a:prstGeom prst="rect">
                      <a:avLst/>
                    </a:prstGeom>
                  </pic:spPr>
                </pic:pic>
              </a:graphicData>
            </a:graphic>
          </wp:inline>
        </w:drawing>
      </w:r>
      <w:r w:rsidRPr="7197FCDA" w:rsidR="00B70F9A">
        <w:rPr>
          <w:rFonts w:ascii="Arial" w:hAnsi="Arial" w:eastAsia="Arial" w:cs="Arial"/>
          <w:color w:val="1F1F1F"/>
          <w:sz w:val="22"/>
          <w:szCs w:val="22"/>
        </w:rPr>
        <w:t>This metabolic journey occurs in three distinct stages:</w:t>
      </w:r>
    </w:p>
    <w:p w:rsidRPr="00A307FF" w:rsidR="00D73361" w:rsidP="7197FCDA" w:rsidRDefault="00B70F9A" w14:paraId="5BEE1A64" w14:textId="71712FD2">
      <w:pPr>
        <w:numPr>
          <w:ilvl w:val="0"/>
          <w:numId w:val="1"/>
        </w:numPr>
        <w:spacing w:line="275" w:lineRule="auto"/>
        <w:jc w:val="both"/>
        <w:rPr>
          <w:rFonts w:ascii="Arial" w:hAnsi="Arial" w:eastAsia="Arial" w:cs="Arial"/>
          <w:sz w:val="22"/>
          <w:szCs w:val="22"/>
        </w:rPr>
      </w:pPr>
      <w:r w:rsidRPr="7197FCDA" w:rsidR="00B70F9A">
        <w:rPr>
          <w:rFonts w:ascii="Arial" w:hAnsi="Arial" w:eastAsia="Arial" w:cs="Arial"/>
          <w:b w:val="1"/>
          <w:bCs w:val="1"/>
          <w:color w:val="1F1F1F"/>
          <w:sz w:val="22"/>
          <w:szCs w:val="22"/>
        </w:rPr>
        <w:t>Glycolysis:</w:t>
      </w:r>
      <w:r w:rsidRPr="7197FCDA" w:rsidR="00B70F9A">
        <w:rPr>
          <w:rFonts w:ascii="Arial" w:hAnsi="Arial" w:eastAsia="Arial" w:cs="Arial"/>
          <w:color w:val="1F1F1F"/>
          <w:sz w:val="22"/>
          <w:szCs w:val="22"/>
        </w:rPr>
        <w:t xml:space="preserve"> Occurring in the cytosol, this stage breaks a single glucose molecule into two molecules of pyruvate, yielding a small amount of ATP and high</w:t>
      </w:r>
      <w:r w:rsidRPr="7197FCDA" w:rsidR="52F04D66">
        <w:rPr>
          <w:rFonts w:ascii="Arial" w:hAnsi="Arial" w:eastAsia="Arial" w:cs="Arial"/>
          <w:color w:val="1F1F1F"/>
          <w:sz w:val="22"/>
          <w:szCs w:val="22"/>
        </w:rPr>
        <w:t xml:space="preserve"> </w:t>
      </w:r>
      <w:r w:rsidRPr="7197FCDA" w:rsidR="00B70F9A">
        <w:rPr>
          <w:rFonts w:ascii="Arial" w:hAnsi="Arial" w:eastAsia="Arial" w:cs="Arial"/>
          <w:color w:val="1F1F1F"/>
          <w:sz w:val="22"/>
          <w:szCs w:val="22"/>
        </w:rPr>
        <w:t>energy electron carriers (Nelson and Cox, 2021).</w:t>
      </w:r>
    </w:p>
    <w:p w:rsidRPr="00A307FF" w:rsidR="00D73361" w:rsidP="7197FCDA" w:rsidRDefault="00B70F9A" w14:paraId="5BEE1A65" w14:textId="1F0F7C0B">
      <w:pPr>
        <w:numPr>
          <w:ilvl w:val="0"/>
          <w:numId w:val="1"/>
        </w:numPr>
        <w:spacing w:line="275" w:lineRule="auto"/>
        <w:jc w:val="both"/>
        <w:rPr>
          <w:rFonts w:ascii="Arial" w:hAnsi="Arial" w:eastAsia="Arial" w:cs="Arial"/>
          <w:sz w:val="22"/>
          <w:szCs w:val="22"/>
        </w:rPr>
      </w:pPr>
      <w:r w:rsidRPr="7197FCDA" w:rsidR="00B70F9A">
        <w:rPr>
          <w:rFonts w:ascii="Arial" w:hAnsi="Arial" w:eastAsia="Arial" w:cs="Arial"/>
          <w:b w:val="1"/>
          <w:bCs w:val="1"/>
          <w:color w:val="1F1F1F"/>
          <w:sz w:val="22"/>
          <w:szCs w:val="22"/>
        </w:rPr>
        <w:t>The Citric Acid Cycle (Krebs Cycle):</w:t>
      </w:r>
      <w:r w:rsidRPr="7197FCDA" w:rsidR="00B70F9A">
        <w:rPr>
          <w:rFonts w:ascii="Arial" w:hAnsi="Arial" w:eastAsia="Arial" w:cs="Arial"/>
          <w:color w:val="1F1F1F"/>
          <w:sz w:val="22"/>
          <w:szCs w:val="22"/>
        </w:rPr>
        <w:t xml:space="preserve"> Pyruvate enters the mitochondria, where it is completely oxidized, releasing carbon dioxide and capturing high</w:t>
      </w:r>
      <w:r w:rsidRPr="7197FCDA" w:rsidR="0BF29AD0">
        <w:rPr>
          <w:rFonts w:ascii="Arial" w:hAnsi="Arial" w:eastAsia="Arial" w:cs="Arial"/>
          <w:color w:val="1F1F1F"/>
          <w:sz w:val="22"/>
          <w:szCs w:val="22"/>
        </w:rPr>
        <w:t xml:space="preserve"> </w:t>
      </w:r>
      <w:r w:rsidRPr="7197FCDA" w:rsidR="00B70F9A">
        <w:rPr>
          <w:rFonts w:ascii="Arial" w:hAnsi="Arial" w:eastAsia="Arial" w:cs="Arial"/>
          <w:color w:val="1F1F1F"/>
          <w:sz w:val="22"/>
          <w:szCs w:val="22"/>
        </w:rPr>
        <w:t>energy electrons in carrier molecules like NADH and FADH2.</w:t>
      </w:r>
    </w:p>
    <w:p w:rsidRPr="00A307FF" w:rsidR="00D73361" w:rsidP="7197FCDA" w:rsidRDefault="00B70F9A" w14:paraId="5BEE1A66" w14:textId="1651187D">
      <w:pPr>
        <w:numPr>
          <w:ilvl w:val="0"/>
          <w:numId w:val="1"/>
        </w:numPr>
        <w:spacing w:after="120" w:line="275" w:lineRule="auto"/>
        <w:jc w:val="both"/>
        <w:rPr>
          <w:rFonts w:ascii="Arial" w:hAnsi="Arial" w:eastAsia="Arial" w:cs="Arial"/>
          <w:sz w:val="22"/>
          <w:szCs w:val="22"/>
        </w:rPr>
      </w:pPr>
      <w:r w:rsidRPr="7197FCDA" w:rsidR="00B70F9A">
        <w:rPr>
          <w:rFonts w:ascii="Arial" w:hAnsi="Arial" w:eastAsia="Arial" w:cs="Arial"/>
          <w:b w:val="1"/>
          <w:bCs w:val="1"/>
          <w:color w:val="1F1F1F"/>
          <w:sz w:val="22"/>
          <w:szCs w:val="22"/>
        </w:rPr>
        <w:t>The Electron Transport Chain (ETC):</w:t>
      </w:r>
      <w:r w:rsidRPr="7197FCDA" w:rsidR="00B70F9A">
        <w:rPr>
          <w:rFonts w:ascii="Arial" w:hAnsi="Arial" w:eastAsia="Arial" w:cs="Arial"/>
          <w:color w:val="1F1F1F"/>
          <w:sz w:val="22"/>
          <w:szCs w:val="22"/>
        </w:rPr>
        <w:t xml:space="preserve"> </w:t>
      </w:r>
      <w:r w:rsidRPr="7197FCDA" w:rsidR="00B70F9A">
        <w:rPr>
          <w:rFonts w:ascii="Arial" w:hAnsi="Arial" w:eastAsia="Arial" w:cs="Arial"/>
          <w:color w:val="1F1F1F"/>
          <w:sz w:val="22"/>
          <w:szCs w:val="22"/>
        </w:rPr>
        <w:t>Located</w:t>
      </w:r>
      <w:r w:rsidRPr="7197FCDA" w:rsidR="00B70F9A">
        <w:rPr>
          <w:rFonts w:ascii="Arial" w:hAnsi="Arial" w:eastAsia="Arial" w:cs="Arial"/>
          <w:color w:val="1F1F1F"/>
          <w:sz w:val="22"/>
          <w:szCs w:val="22"/>
        </w:rPr>
        <w:t xml:space="preserve"> on the inner mitochondrial membrane, this is where the bulk of ATP (</w:t>
      </w:r>
      <w:r w:rsidRPr="7197FCDA" w:rsidR="00B70F9A">
        <w:rPr>
          <w:rFonts w:ascii="Arial" w:hAnsi="Arial" w:eastAsia="Arial" w:cs="Arial"/>
          <w:color w:val="1F1F1F"/>
          <w:sz w:val="22"/>
          <w:szCs w:val="22"/>
        </w:rPr>
        <w:t>roughly 32</w:t>
      </w:r>
      <w:r w:rsidRPr="7197FCDA" w:rsidR="00B70F9A">
        <w:rPr>
          <w:rFonts w:ascii="Arial" w:hAnsi="Arial" w:eastAsia="Arial" w:cs="Arial"/>
          <w:color w:val="1F1F1F"/>
          <w:sz w:val="22"/>
          <w:szCs w:val="22"/>
        </w:rPr>
        <w:t xml:space="preserve"> molecules) is generated. Oxygen acts as the</w:t>
      </w:r>
      <w:r w:rsidRPr="7197FCDA" w:rsidR="2B61F10B">
        <w:rPr>
          <w:rFonts w:ascii="Arial" w:hAnsi="Arial" w:eastAsia="Arial" w:cs="Arial"/>
          <w:color w:val="1F1F1F"/>
          <w:sz w:val="22"/>
          <w:szCs w:val="22"/>
        </w:rPr>
        <w:t xml:space="preserve"> </w:t>
      </w:r>
      <w:r w:rsidRPr="7197FCDA" w:rsidR="00B70F9A">
        <w:rPr>
          <w:rFonts w:ascii="Arial" w:hAnsi="Arial" w:eastAsia="Arial" w:cs="Arial"/>
          <w:color w:val="1F1F1F"/>
          <w:sz w:val="22"/>
          <w:szCs w:val="22"/>
        </w:rPr>
        <w:t>final electron acceptor</w:t>
      </w:r>
      <w:r w:rsidRPr="7197FCDA" w:rsidR="0C2E09F7">
        <w:rPr>
          <w:rFonts w:ascii="Arial" w:hAnsi="Arial" w:eastAsia="Arial" w:cs="Arial"/>
          <w:color w:val="1F1F1F"/>
          <w:sz w:val="22"/>
          <w:szCs w:val="22"/>
        </w:rPr>
        <w:t xml:space="preserve"> </w:t>
      </w:r>
      <w:r w:rsidRPr="7197FCDA" w:rsidR="00B70F9A">
        <w:rPr>
          <w:rFonts w:ascii="Arial" w:hAnsi="Arial" w:eastAsia="Arial" w:cs="Arial"/>
          <w:color w:val="1F1F1F"/>
          <w:sz w:val="22"/>
          <w:szCs w:val="22"/>
        </w:rPr>
        <w:t>at the end of this chain. Without oxygen, the process fails, and the cell must rely on anaerobic fermentation, which is far too inefficient to sustain human life (</w:t>
      </w:r>
      <w:r w:rsidRPr="7197FCDA" w:rsidR="00B70F9A">
        <w:rPr>
          <w:rFonts w:ascii="Arial" w:hAnsi="Arial" w:eastAsia="Arial" w:cs="Arial"/>
          <w:color w:val="1F1F1F"/>
          <w:sz w:val="22"/>
          <w:szCs w:val="22"/>
        </w:rPr>
        <w:t>Marieb</w:t>
      </w:r>
      <w:r w:rsidRPr="7197FCDA" w:rsidR="00B70F9A">
        <w:rPr>
          <w:rFonts w:ascii="Arial" w:hAnsi="Arial" w:eastAsia="Arial" w:cs="Arial"/>
          <w:color w:val="1F1F1F"/>
          <w:sz w:val="22"/>
          <w:szCs w:val="22"/>
        </w:rPr>
        <w:t xml:space="preserve"> and Hoehn, 2019).</w:t>
      </w:r>
    </w:p>
    <w:p w:rsidRPr="00A307FF" w:rsidR="00D73361" w:rsidP="7197FCDA" w:rsidRDefault="00B70F9A" w14:paraId="5BEE1A67"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3.2 Metabolic Dysfunction in T2DM</w:t>
      </w:r>
    </w:p>
    <w:p w:rsidRPr="00A307FF" w:rsidR="00D73361" w:rsidP="7197FCDA" w:rsidRDefault="004529B0" w14:paraId="5BEE1A69" w14:textId="145CCF90">
      <w:pPr>
        <w:spacing w:after="240" w:line="275" w:lineRule="auto"/>
        <w:jc w:val="both"/>
        <w:rPr>
          <w:rFonts w:ascii="Arial" w:hAnsi="Arial" w:eastAsia="Arial" w:cs="Arial"/>
          <w:color w:val="1F1F1F"/>
          <w:sz w:val="22"/>
          <w:szCs w:val="22"/>
        </w:rPr>
      </w:pPr>
      <w:r w:rsidRPr="7197FCDA" w:rsidR="004529B0">
        <w:rPr>
          <w:rFonts w:ascii="Arial" w:hAnsi="Arial" w:eastAsia="Arial" w:cs="Arial"/>
          <w:color w:val="0F1729"/>
          <w:sz w:val="22"/>
          <w:szCs w:val="22"/>
          <w:shd w:val="clear" w:color="auto" w:fill="FFFFFF"/>
        </w:rPr>
        <w:t>In T2DM, the breakdown in insulin signaling creates a starvation in the midst of plenty.</w:t>
      </w:r>
      <w:r w:rsidRPr="7197FCDA" w:rsidR="004529B0">
        <w:rPr>
          <w:rFonts w:ascii="Arial" w:hAnsi="Arial" w:eastAsia="Arial" w:cs="Arial"/>
          <w:color w:val="0F1729"/>
          <w:sz w:val="22"/>
          <w:szCs w:val="22"/>
          <w:shd w:val="clear" w:color="auto" w:fill="FFFFFF"/>
        </w:rPr>
        <w:t xml:space="preserve"> Despite high blood glucose levels, the mitochondria within muscle and nerve cells are starved of fuel because glucose cannot enter the cell efficiently. This explains the chronic fatigue often reported by </w:t>
      </w:r>
      <w:r w:rsidRPr="7197FCDA" w:rsidR="79807779">
        <w:rPr>
          <w:rFonts w:ascii="Arial" w:hAnsi="Arial" w:eastAsia="Arial" w:cs="Arial"/>
          <w:color w:val="0F1729"/>
          <w:sz w:val="22"/>
          <w:szCs w:val="22"/>
          <w:shd w:val="clear" w:color="auto" w:fill="FFFFFF"/>
        </w:rPr>
        <w:t xml:space="preserve">patients that </w:t>
      </w:r>
      <w:r w:rsidRPr="7197FCDA" w:rsidR="004529B0">
        <w:rPr>
          <w:rFonts w:ascii="Arial" w:hAnsi="Arial" w:eastAsia="Arial" w:cs="Arial"/>
          <w:color w:val="0F1729"/>
          <w:sz w:val="22"/>
          <w:szCs w:val="22"/>
          <w:shd w:val="clear" w:color="auto" w:fill="FFFFFF"/>
        </w:rPr>
        <w:t xml:space="preserve">the body has </w:t>
      </w:r>
      <w:r w:rsidRPr="7197FCDA" w:rsidR="58C6D8F8">
        <w:rPr>
          <w:rFonts w:ascii="Arial" w:hAnsi="Arial" w:eastAsia="Arial" w:cs="Arial"/>
          <w:color w:val="0F1729"/>
          <w:sz w:val="22"/>
          <w:szCs w:val="22"/>
          <w:shd w:val="clear" w:color="auto" w:fill="FFFFFF"/>
        </w:rPr>
        <w:t>fuel</w:t>
      </w:r>
      <w:r w:rsidRPr="7197FCDA" w:rsidR="004529B0">
        <w:rPr>
          <w:rFonts w:ascii="Arial" w:hAnsi="Arial" w:eastAsia="Arial" w:cs="Arial"/>
          <w:color w:val="0F1729"/>
          <w:sz w:val="22"/>
          <w:szCs w:val="22"/>
          <w:shd w:val="clear" w:color="auto" w:fill="FFFFFF"/>
        </w:rPr>
        <w:t xml:space="preserve">, but the fuel line is blocked (Hall and Hall, 2021). Furthermore, when the body cannot </w:t>
      </w:r>
      <w:r w:rsidRPr="7197FCDA" w:rsidR="004529B0">
        <w:rPr>
          <w:rFonts w:ascii="Arial" w:hAnsi="Arial" w:eastAsia="Arial" w:cs="Arial"/>
          <w:color w:val="0F1729"/>
          <w:sz w:val="22"/>
          <w:szCs w:val="22"/>
          <w:shd w:val="clear" w:color="auto" w:fill="FFFFFF"/>
        </w:rPr>
        <w:t>utilize</w:t>
      </w:r>
      <w:r w:rsidRPr="7197FCDA" w:rsidR="004529B0">
        <w:rPr>
          <w:rFonts w:ascii="Arial" w:hAnsi="Arial" w:eastAsia="Arial" w:cs="Arial"/>
          <w:color w:val="0F1729"/>
          <w:sz w:val="22"/>
          <w:szCs w:val="22"/>
          <w:shd w:val="clear" w:color="auto" w:fill="FFFFFF"/>
        </w:rPr>
        <w:t xml:space="preserve"> glucose, it begins to oxidize fats at an accelerated rate through a process called beta</w:t>
      </w:r>
      <w:r w:rsidRPr="7197FCDA" w:rsidR="2FA4E08E">
        <w:rPr>
          <w:rFonts w:ascii="Arial" w:hAnsi="Arial" w:eastAsia="Arial" w:cs="Arial"/>
          <w:color w:val="0F1729"/>
          <w:sz w:val="22"/>
          <w:szCs w:val="22"/>
          <w:shd w:val="clear" w:color="auto" w:fill="FFFFFF"/>
        </w:rPr>
        <w:t xml:space="preserve"> </w:t>
      </w:r>
      <w:r w:rsidRPr="7197FCDA" w:rsidR="004529B0">
        <w:rPr>
          <w:rFonts w:ascii="Arial" w:hAnsi="Arial" w:eastAsia="Arial" w:cs="Arial"/>
          <w:color w:val="0F1729"/>
          <w:sz w:val="22"/>
          <w:szCs w:val="22"/>
          <w:shd w:val="clear" w:color="auto" w:fill="FFFFFF"/>
        </w:rPr>
        <w:t>oxidation. While this provides a temporary energy source, it also leads to the production of metabolic byproducts and reactive oxygen species (ROS). These molecules contribute to systemic inflammation and oxidative stress, which further damages the very blood vessels meant to transport oxygen and nutrients, creating a vicious cycle of metabolic and vascular decline (World Health Organization, 2023)</w:t>
      </w:r>
      <w:r w:rsidRPr="7197FCDA" w:rsidR="00B70F9A">
        <w:rPr>
          <w:rFonts w:ascii="Arial" w:hAnsi="Arial" w:eastAsia="Arial" w:cs="Arial"/>
          <w:color w:val="1F1F1F"/>
          <w:sz w:val="22"/>
          <w:szCs w:val="22"/>
        </w:rPr>
        <w:t>.</w:t>
      </w:r>
    </w:p>
    <w:p w:rsidRPr="00A307FF" w:rsidR="00D73361" w:rsidP="7197FCDA" w:rsidRDefault="00B70F9A" w14:paraId="5BEE1A6A" w14:textId="77777777">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4. Recording and Tracking Blood Sugar Levels</w:t>
      </w:r>
    </w:p>
    <w:p w:rsidRPr="00A307FF" w:rsidR="00D73361" w:rsidP="7197FCDA" w:rsidRDefault="00B70F9A" w14:paraId="5BEE1A6B"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Management of T2DM is a partnership between the patient and the healthcare provider, and the most critical tool in this partnership is objective data. </w:t>
      </w:r>
      <w:r w:rsidRPr="7197FCDA" w:rsidR="00B70F9A">
        <w:rPr>
          <w:rFonts w:ascii="Arial" w:hAnsi="Arial" w:eastAsia="Arial" w:cs="Arial"/>
          <w:color w:val="1F1F1F"/>
          <w:sz w:val="22"/>
          <w:szCs w:val="22"/>
        </w:rPr>
        <w:t>Without consistent monitoring, the patient is unable to understand the impact of their daily choices.</w:t>
      </w:r>
    </w:p>
    <w:p w:rsidRPr="00A307FF" w:rsidR="00D73361" w:rsidP="7197FCDA" w:rsidRDefault="00B70F9A" w14:paraId="5BEE1A6C"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4.1 Self-Monitoring and CGM</w:t>
      </w:r>
    </w:p>
    <w:p w:rsidRPr="00A307FF" w:rsidR="00D73361" w:rsidP="7197FCDA" w:rsidRDefault="00041AE0" w14:paraId="5BEE1A6E" w14:textId="11553052">
      <w:pPr>
        <w:spacing w:after="240" w:line="275" w:lineRule="auto"/>
        <w:jc w:val="both"/>
        <w:rPr>
          <w:rFonts w:ascii="Arial" w:hAnsi="Arial" w:eastAsia="Arial" w:cs="Arial"/>
          <w:color w:val="1F1F1F"/>
          <w:sz w:val="22"/>
          <w:szCs w:val="22"/>
        </w:rPr>
      </w:pPr>
      <w:r w:rsidRPr="7197FCDA" w:rsidR="67836242">
        <w:rPr>
          <w:rFonts w:ascii="Arial" w:hAnsi="Arial" w:eastAsia="Arial" w:cs="Arial"/>
          <w:color w:val="0F1729"/>
          <w:sz w:val="22"/>
          <w:szCs w:val="22"/>
          <w:shd w:val="clear" w:color="auto" w:fill="FFFFFF"/>
        </w:rPr>
        <w:t xml:space="preserve">Self-monitoring</w:t>
      </w:r>
      <w:r w:rsidRPr="7197FCDA" w:rsidR="00041AE0">
        <w:rPr>
          <w:rFonts w:ascii="Arial" w:hAnsi="Arial" w:eastAsia="Arial" w:cs="Arial"/>
          <w:color w:val="0F1729"/>
          <w:sz w:val="22"/>
          <w:szCs w:val="22"/>
          <w:shd w:val="clear" w:color="auto" w:fill="FFFFFF"/>
        </w:rPr>
        <w:t xml:space="preserve"> of blood glucose (SMBG) via a finger</w:t>
      </w:r>
      <w:r w:rsidRPr="7197FCDA" w:rsidR="7E18078F">
        <w:rPr>
          <w:rFonts w:ascii="Arial" w:hAnsi="Arial" w:eastAsia="Arial" w:cs="Arial"/>
          <w:color w:val="0F1729"/>
          <w:sz w:val="22"/>
          <w:szCs w:val="22"/>
          <w:shd w:val="clear" w:color="auto" w:fill="FFFFFF"/>
        </w:rPr>
        <w:t xml:space="preserve"> </w:t>
      </w:r>
      <w:r w:rsidRPr="7197FCDA" w:rsidR="00041AE0">
        <w:rPr>
          <w:rFonts w:ascii="Arial" w:hAnsi="Arial" w:eastAsia="Arial" w:cs="Arial"/>
          <w:color w:val="0F1729"/>
          <w:sz w:val="22"/>
          <w:szCs w:val="22"/>
          <w:shd w:val="clear" w:color="auto" w:fill="FFFFFF"/>
        </w:rPr>
        <w:t xml:space="preserve">prick meter provides an immediate </w:t>
      </w:r>
      <w:r w:rsidRPr="7197FCDA" w:rsidR="00041AE0">
        <w:rPr>
          <w:rFonts w:ascii="Arial" w:hAnsi="Arial" w:eastAsia="Arial" w:cs="Arial"/>
          <w:color w:val="0F1729"/>
          <w:sz w:val="22"/>
          <w:szCs w:val="22"/>
          <w:shd w:val="clear" w:color="auto" w:fill="FFFFFF"/>
        </w:rPr>
        <w:t>snapshot of a patient’s glucose level at a specific moment. For someone with T2DM, testing before and after meals is vital to see the direct impact of their diet (NICE, 2022). In recent years, Continuous Glucose Monitoring (CGM) has revolutionized care. A small sensor measures glucose in the interstitial fluid every few minutes, providing a movie</w:t>
      </w:r>
      <w:r w:rsidRPr="7197FCDA" w:rsidR="39097025">
        <w:rPr>
          <w:rFonts w:ascii="Arial" w:hAnsi="Arial" w:eastAsia="Arial" w:cs="Arial"/>
          <w:color w:val="0F1729"/>
          <w:sz w:val="22"/>
          <w:szCs w:val="22"/>
          <w:shd w:val="clear" w:color="auto" w:fill="FFFFFF"/>
        </w:rPr>
        <w:t xml:space="preserve"> </w:t>
      </w:r>
      <w:r w:rsidRPr="7197FCDA" w:rsidR="00041AE0">
        <w:rPr>
          <w:rFonts w:ascii="Arial" w:hAnsi="Arial" w:eastAsia="Arial" w:cs="Arial"/>
          <w:color w:val="0F1729"/>
          <w:sz w:val="22"/>
          <w:szCs w:val="22"/>
          <w:shd w:val="clear" w:color="auto" w:fill="FFFFFF"/>
        </w:rPr>
        <w:lastRenderedPageBreak/>
        <w:t>of the patient’s metabolic health rather than just a single point in time. This technology allows patients to see trends for example, a slow rise in sugar overnight or a sharp drop after a walk enabling much more precise lifestyle adjustments (American Diabetes Association, 2023). The "Time in Range" (TIR) metric, which tracks the percentage of the day a patient stays within their target glucose window, is becoming a primary goal of therapy</w:t>
      </w:r>
      <w:r w:rsidRPr="7197FCDA" w:rsidR="00B70F9A">
        <w:rPr>
          <w:rFonts w:ascii="Arial" w:hAnsi="Arial" w:eastAsia="Arial" w:cs="Arial"/>
          <w:color w:val="1F1F1F"/>
          <w:sz w:val="22"/>
          <w:szCs w:val="22"/>
        </w:rPr>
        <w:t>.</w:t>
      </w:r>
    </w:p>
    <w:p w:rsidRPr="00A307FF" w:rsidR="00D73361" w:rsidP="7197FCDA" w:rsidRDefault="00B70F9A" w14:paraId="5BEE1A6F"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4.2 The HbA1c: The Long-Term Metric</w:t>
      </w:r>
    </w:p>
    <w:p w:rsidRPr="00A307FF" w:rsidR="00D73361" w:rsidP="7197FCDA" w:rsidRDefault="00290AB5" w14:paraId="5BEE1A71" w14:textId="0F1AAD65">
      <w:pPr>
        <w:spacing w:after="240" w:line="275" w:lineRule="auto"/>
        <w:jc w:val="both"/>
        <w:rPr>
          <w:rFonts w:ascii="Arial" w:hAnsi="Arial" w:eastAsia="Arial" w:cs="Arial"/>
          <w:color w:val="1F1F1F"/>
          <w:sz w:val="22"/>
          <w:szCs w:val="22"/>
        </w:rPr>
      </w:pPr>
      <w:r w:rsidRPr="7197FCDA" w:rsidR="00290AB5">
        <w:rPr>
          <w:rFonts w:ascii="Arial" w:hAnsi="Arial" w:eastAsia="Arial" w:cs="Arial"/>
          <w:color w:val="0F1729"/>
          <w:sz w:val="22"/>
          <w:szCs w:val="22"/>
          <w:shd w:val="clear" w:color="auto" w:fill="FFFFFF"/>
        </w:rPr>
        <w:t xml:space="preserve">While daily tests show the weather, the HbA1c test shows the climate. Glucose sticks to the hemoglobin in red blood cells through a process called glycation. Since these cells live for about 120 days, measuring the percentage of glycated hemoglobin provides an </w:t>
      </w:r>
      <w:r w:rsidRPr="7197FCDA" w:rsidR="34BFF809">
        <w:rPr>
          <w:rFonts w:ascii="Arial" w:hAnsi="Arial" w:eastAsia="Arial" w:cs="Arial"/>
          <w:color w:val="0F1729"/>
          <w:sz w:val="22"/>
          <w:szCs w:val="22"/>
          <w:shd w:val="clear" w:color="auto" w:fill="FFFFFF"/>
        </w:rPr>
        <w:t>average</w:t>
      </w:r>
      <w:r w:rsidRPr="7197FCDA" w:rsidR="00290AB5">
        <w:rPr>
          <w:rFonts w:ascii="Arial" w:hAnsi="Arial" w:eastAsia="Arial" w:cs="Arial"/>
          <w:color w:val="0F1729"/>
          <w:sz w:val="22"/>
          <w:szCs w:val="22"/>
          <w:shd w:val="clear" w:color="auto" w:fill="FFFFFF"/>
        </w:rPr>
        <w:t xml:space="preserve"> blood sugar levels over the past three months (NICE, 2022). Clinical research has shown that every 1% reduction in HbA1c significantly lowers the risk of microvascular complications by up to 37%. For most T2DM patients, an HbA1c target of 48 mmol/mol (6.5%) or lower is recommended to prevent the progression of heart and kidney disease</w:t>
      </w:r>
      <w:r w:rsidRPr="7197FCDA" w:rsidR="00B70F9A">
        <w:rPr>
          <w:rFonts w:ascii="Arial" w:hAnsi="Arial" w:eastAsia="Arial" w:cs="Arial"/>
          <w:color w:val="1F1F1F"/>
          <w:sz w:val="22"/>
          <w:szCs w:val="22"/>
        </w:rPr>
        <w:t>.</w:t>
      </w:r>
    </w:p>
    <w:p w:rsidRPr="00A307FF" w:rsidR="00D73361" w:rsidP="7197FCDA" w:rsidRDefault="00B70F9A" w14:paraId="5BEE1A72" w14:textId="77777777">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5. Recommendations </w:t>
      </w:r>
    </w:p>
    <w:p w:rsidRPr="00A307FF" w:rsidR="00D73361" w:rsidP="7197FCDA" w:rsidRDefault="00B70F9A" w14:paraId="5BEE1A73" w14:textId="188E702F">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The modern consensus is that T2DM is not an inevitable death sentence but a condition that can often be managed, and sometimes even put into remission, through aggressive lifestyle modification.</w:t>
      </w:r>
    </w:p>
    <w:p w:rsidRPr="00A307FF" w:rsidR="00D73361" w:rsidP="7197FCDA" w:rsidRDefault="00B70F9A" w14:paraId="5BEE1A74"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5.1 Nutritional Strategy and the Glycemic Index</w:t>
      </w:r>
    </w:p>
    <w:p w:rsidRPr="00A307FF" w:rsidR="00D73361" w:rsidP="7197FCDA" w:rsidRDefault="00535224" w14:paraId="5BEE1A76" w14:textId="1432F532">
      <w:pPr>
        <w:spacing w:after="240" w:line="275" w:lineRule="auto"/>
        <w:jc w:val="both"/>
        <w:rPr>
          <w:rFonts w:ascii="Arial" w:hAnsi="Arial" w:eastAsia="Arial" w:cs="Arial"/>
          <w:color w:val="1F1F1F"/>
          <w:sz w:val="22"/>
          <w:szCs w:val="22"/>
        </w:rPr>
      </w:pPr>
      <w:r w:rsidRPr="7197FCDA" w:rsidR="00535224">
        <w:rPr>
          <w:rFonts w:ascii="Arial" w:hAnsi="Arial" w:eastAsia="Arial" w:cs="Arial"/>
          <w:color w:val="0F1729"/>
          <w:sz w:val="22"/>
          <w:szCs w:val="22"/>
          <w:shd w:val="clear" w:color="auto" w:fill="FFFFFF"/>
        </w:rPr>
        <w:t xml:space="preserve">Dietary management is no longer </w:t>
      </w:r>
      <w:r w:rsidRPr="7197FCDA" w:rsidR="00535224">
        <w:rPr>
          <w:rFonts w:ascii="Arial" w:hAnsi="Arial" w:eastAsia="Arial" w:cs="Arial"/>
          <w:color w:val="0F1729"/>
          <w:sz w:val="22"/>
          <w:szCs w:val="22"/>
          <w:shd w:val="clear" w:color="auto" w:fill="FFFFFF"/>
        </w:rPr>
        <w:t>just about avoiding</w:t>
      </w:r>
      <w:r w:rsidRPr="7197FCDA" w:rsidR="00535224">
        <w:rPr>
          <w:rFonts w:ascii="Arial" w:hAnsi="Arial" w:eastAsia="Arial" w:cs="Arial"/>
          <w:color w:val="0F1729"/>
          <w:sz w:val="22"/>
          <w:szCs w:val="22"/>
          <w:shd w:val="clear" w:color="auto" w:fill="FFFFFF"/>
        </w:rPr>
        <w:t xml:space="preserve"> table sugar; it is about managing the glycemic load and insulin response. Patients should prioritize a diet rich in low</w:t>
      </w:r>
      <w:r w:rsidRPr="7197FCDA" w:rsidR="46535243">
        <w:rPr>
          <w:rFonts w:ascii="Arial" w:hAnsi="Arial" w:eastAsia="Arial" w:cs="Arial"/>
          <w:color w:val="0F1729"/>
          <w:sz w:val="22"/>
          <w:szCs w:val="22"/>
          <w:shd w:val="clear" w:color="auto" w:fill="FFFFFF"/>
        </w:rPr>
        <w:t xml:space="preserve"> </w:t>
      </w:r>
      <w:r w:rsidRPr="7197FCDA" w:rsidR="00535224">
        <w:rPr>
          <w:rFonts w:ascii="Arial" w:hAnsi="Arial" w:eastAsia="Arial" w:cs="Arial"/>
          <w:color w:val="0F1729"/>
          <w:sz w:val="22"/>
          <w:szCs w:val="22"/>
          <w:shd w:val="clear" w:color="auto" w:fill="FFFFFF"/>
        </w:rPr>
        <w:t>GI, high</w:t>
      </w:r>
      <w:r w:rsidRPr="7197FCDA" w:rsidR="62A07BD5">
        <w:rPr>
          <w:rFonts w:ascii="Arial" w:hAnsi="Arial" w:eastAsia="Arial" w:cs="Arial"/>
          <w:color w:val="0F1729"/>
          <w:sz w:val="22"/>
          <w:szCs w:val="22"/>
          <w:shd w:val="clear" w:color="auto" w:fill="FFFFFF"/>
        </w:rPr>
        <w:t xml:space="preserve"> </w:t>
      </w:r>
      <w:r w:rsidRPr="7197FCDA" w:rsidR="00535224">
        <w:rPr>
          <w:rFonts w:ascii="Arial" w:hAnsi="Arial" w:eastAsia="Arial" w:cs="Arial"/>
          <w:color w:val="0F1729"/>
          <w:sz w:val="22"/>
          <w:szCs w:val="22"/>
          <w:shd w:val="clear" w:color="auto" w:fill="FFFFFF"/>
        </w:rPr>
        <w:t xml:space="preserve">fiber foods. Fiber acts as a physical barrier in the gut, slowing the rate of glucose absorption and preventing the postprandial spikes that contribute to insulin resistance (World Health Organization, 2023). A diet high in leafy greens, whole grains, and lean proteins helps stabilize energy levels throughout the day. Conversely, highly processed carbohydrates which are absorbed </w:t>
      </w:r>
      <w:r w:rsidRPr="7197FCDA" w:rsidR="00535224">
        <w:rPr>
          <w:rFonts w:ascii="Arial" w:hAnsi="Arial" w:eastAsia="Arial" w:cs="Arial"/>
          <w:color w:val="0F1729"/>
          <w:sz w:val="22"/>
          <w:szCs w:val="22"/>
          <w:shd w:val="clear" w:color="auto" w:fill="FFFFFF"/>
        </w:rPr>
        <w:t>almost instantly</w:t>
      </w:r>
      <w:r w:rsidRPr="7197FCDA" w:rsidR="00535224">
        <w:rPr>
          <w:rFonts w:ascii="Arial" w:hAnsi="Arial" w:eastAsia="Arial" w:cs="Arial"/>
          <w:color w:val="0F1729"/>
          <w:sz w:val="22"/>
          <w:szCs w:val="22"/>
          <w:shd w:val="clear" w:color="auto" w:fill="FFFFFF"/>
        </w:rPr>
        <w:t xml:space="preserve"> force the pancreas to produce massive amounts of insulin, further exhausting the beta cells and promoting fat storage (NICE, 2022)</w:t>
      </w:r>
      <w:r w:rsidRPr="7197FCDA" w:rsidR="00B70F9A">
        <w:rPr>
          <w:rFonts w:ascii="Arial" w:hAnsi="Arial" w:eastAsia="Arial" w:cs="Arial"/>
          <w:color w:val="1F1F1F"/>
          <w:sz w:val="22"/>
          <w:szCs w:val="22"/>
        </w:rPr>
        <w:t>.</w:t>
      </w:r>
    </w:p>
    <w:p w:rsidRPr="00A307FF" w:rsidR="00D73361" w:rsidP="7197FCDA" w:rsidRDefault="00B70F9A" w14:paraId="5BEE1A77" w14:textId="781DF2EE">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5.2 Exercise as Medicine</w:t>
      </w:r>
    </w:p>
    <w:p w:rsidRPr="00A307FF" w:rsidR="00D73361" w:rsidP="7197FCDA" w:rsidRDefault="008D168E" w14:paraId="5BEE1A79" w14:textId="747CACD7">
      <w:pPr>
        <w:spacing w:after="240" w:line="275" w:lineRule="auto"/>
        <w:jc w:val="both"/>
        <w:rPr>
          <w:rFonts w:ascii="Arial" w:hAnsi="Arial" w:eastAsia="Arial" w:cs="Arial"/>
          <w:color w:val="1F1F1F"/>
          <w:sz w:val="22"/>
          <w:szCs w:val="22"/>
        </w:rPr>
      </w:pPr>
      <w:r w:rsidRPr="7197FCDA" w:rsidR="008D168E">
        <w:rPr>
          <w:rFonts w:ascii="Arial" w:hAnsi="Arial" w:eastAsia="Arial" w:cs="Arial"/>
          <w:color w:val="0F1729"/>
          <w:sz w:val="22"/>
          <w:szCs w:val="22"/>
          <w:shd w:val="clear" w:color="auto" w:fill="FFFFFF"/>
        </w:rPr>
        <w:t xml:space="preserve">Physical activity is unique because it stimulates glucose uptake independently of insulin. When a muscle contracts, it triggers the movement of GLUT4 transporters to the cell surface, allowing the muscle to</w:t>
      </w:r>
      <w:r w:rsidRPr="7197FCDA" w:rsidR="789C7F69">
        <w:rPr>
          <w:rFonts w:ascii="Arial" w:hAnsi="Arial" w:eastAsia="Arial" w:cs="Arial"/>
          <w:color w:val="0F1729"/>
          <w:sz w:val="22"/>
          <w:szCs w:val="22"/>
          <w:shd w:val="clear" w:color="auto" w:fill="FFFFFF"/>
        </w:rPr>
        <w:t xml:space="preserve"> </w:t>
      </w:r>
      <w:r w:rsidRPr="7197FCDA" w:rsidR="008D168E">
        <w:rPr>
          <w:rFonts w:ascii="Arial" w:hAnsi="Arial" w:eastAsia="Arial" w:cs="Arial"/>
          <w:color w:val="0F1729"/>
          <w:sz w:val="22"/>
          <w:szCs w:val="22"/>
          <w:shd w:val="clear" w:color="auto" w:fill="FFFFFF"/>
        </w:rPr>
        <w:t xml:space="preserve">suck glucose out of the blood even if the person is </w:t>
      </w:r>
      <w:r w:rsidRPr="7197FCDA" w:rsidR="3B9F6922">
        <w:rPr>
          <w:rFonts w:ascii="Arial" w:hAnsi="Arial" w:eastAsia="Arial" w:cs="Arial"/>
          <w:color w:val="0F1729"/>
          <w:sz w:val="22"/>
          <w:szCs w:val="22"/>
          <w:shd w:val="clear" w:color="auto" w:fill="FFFFFF"/>
        </w:rPr>
        <w:t xml:space="preserve">insulin resistant</w:t>
      </w:r>
      <w:r w:rsidRPr="7197FCDA" w:rsidR="008D168E">
        <w:rPr>
          <w:rFonts w:ascii="Arial" w:hAnsi="Arial" w:eastAsia="Arial" w:cs="Arial"/>
          <w:color w:val="0F1729"/>
          <w:sz w:val="22"/>
          <w:szCs w:val="22"/>
          <w:shd w:val="clear" w:color="auto" w:fill="FFFFFF"/>
        </w:rPr>
        <w:t xml:space="preserve">. A combination of aerobic exercise (like brisk walking) and resistance </w:t>
      </w:r>
      <w:r w:rsidRPr="7197FCDA" w:rsidR="008D168E">
        <w:rPr>
          <w:rFonts w:ascii="Arial" w:hAnsi="Arial" w:eastAsia="Arial" w:cs="Arial"/>
          <w:color w:val="0F1729"/>
          <w:sz w:val="22"/>
          <w:szCs w:val="22"/>
          <w:shd w:val="clear" w:color="auto" w:fill="FFFFFF"/>
        </w:rPr>
        <w:t xml:space="preserve">training is </w:t>
      </w:r>
      <w:r w:rsidRPr="7197FCDA" w:rsidR="008D168E">
        <w:rPr>
          <w:rFonts w:ascii="Arial" w:hAnsi="Arial" w:eastAsia="Arial" w:cs="Arial"/>
          <w:color w:val="0F1729"/>
          <w:sz w:val="22"/>
          <w:szCs w:val="22"/>
          <w:shd w:val="clear" w:color="auto" w:fill="FFFFFF"/>
        </w:rPr>
        <w:t>optimal</w:t>
      </w:r>
      <w:r w:rsidRPr="7197FCDA" w:rsidR="008D168E">
        <w:rPr>
          <w:rFonts w:ascii="Arial" w:hAnsi="Arial" w:eastAsia="Arial" w:cs="Arial"/>
          <w:color w:val="0F1729"/>
          <w:sz w:val="22"/>
          <w:szCs w:val="22"/>
          <w:shd w:val="clear" w:color="auto" w:fill="FFFFFF"/>
        </w:rPr>
        <w:t xml:space="preserve">. Resistance training builds muscle mass, which serves as a glucose sink for the body. The more muscle a person has, the more storage space they have for glucose, which naturally lowers blood sugar levels even when the person is resting (American Diabetes Association, 2023). </w:t>
      </w:r>
      <w:r w:rsidRPr="7197FCDA" w:rsidR="008D168E">
        <w:rPr>
          <w:rFonts w:ascii="Arial" w:hAnsi="Arial" w:eastAsia="Arial" w:cs="Arial"/>
          <w:color w:val="0F1729"/>
          <w:sz w:val="22"/>
          <w:szCs w:val="22"/>
          <w:shd w:val="clear" w:color="auto" w:fill="FFFFFF"/>
        </w:rPr>
        <w:lastRenderedPageBreak/>
        <w:t>Guidelines recommend at least 150 minutes of moderate activity per week, ideally spread over at least three days</w:t>
      </w:r>
      <w:r w:rsidRPr="7197FCDA" w:rsidR="00B70F9A">
        <w:rPr>
          <w:rFonts w:ascii="Arial" w:hAnsi="Arial" w:eastAsia="Arial" w:cs="Arial"/>
          <w:color w:val="1F1F1F"/>
          <w:sz w:val="22"/>
          <w:szCs w:val="22"/>
        </w:rPr>
        <w:t>.</w:t>
      </w:r>
    </w:p>
    <w:p w:rsidRPr="00A307FF" w:rsidR="00D73361" w:rsidP="7197FCDA" w:rsidRDefault="00B70F9A" w14:paraId="5BEE1A7A" w14:textId="77777777">
      <w:pPr>
        <w:pStyle w:val="Heading3"/>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5.3 Weight Loss and the Path to Remission</w:t>
      </w:r>
    </w:p>
    <w:p w:rsidRPr="00A307FF" w:rsidR="00D73361" w:rsidP="7197FCDA" w:rsidRDefault="007A36EB" w14:paraId="5BEE1A7C" w14:textId="0A5CBA1E">
      <w:pPr>
        <w:spacing w:after="240" w:line="275" w:lineRule="auto"/>
        <w:jc w:val="both"/>
        <w:rPr>
          <w:rFonts w:ascii="Arial" w:hAnsi="Arial" w:eastAsia="Arial" w:cs="Arial"/>
          <w:color w:val="1F1F1F"/>
          <w:sz w:val="22"/>
          <w:szCs w:val="22"/>
        </w:rPr>
      </w:pPr>
      <w:r w:rsidRPr="7197FCDA" w:rsidR="007A36EB">
        <w:rPr>
          <w:rFonts w:ascii="Arial" w:hAnsi="Arial" w:eastAsia="Arial" w:cs="Arial"/>
          <w:color w:val="0F1729"/>
          <w:sz w:val="22"/>
          <w:szCs w:val="22"/>
          <w:shd w:val="clear" w:color="auto" w:fill="FFFFFF"/>
        </w:rPr>
        <w:t xml:space="preserve">Recent clinical trials, such as the </w:t>
      </w:r>
      <w:r w:rsidRPr="7197FCDA" w:rsidR="00D26888">
        <w:rPr>
          <w:rFonts w:ascii="Arial" w:hAnsi="Arial" w:eastAsia="Arial" w:cs="Arial"/>
          <w:color w:val="0F1729"/>
          <w:sz w:val="22"/>
          <w:szCs w:val="22"/>
          <w:shd w:val="clear" w:color="auto" w:fill="FFFFFF"/>
        </w:rPr>
        <w:t>d</w:t>
      </w:r>
      <w:r w:rsidRPr="7197FCDA" w:rsidR="00D26888">
        <w:rPr>
          <w:rFonts w:ascii="Arial" w:hAnsi="Arial" w:eastAsia="Arial" w:cs="Arial"/>
          <w:color w:val="0F1729"/>
          <w:sz w:val="22"/>
          <w:szCs w:val="22"/>
          <w:shd w:val="clear" w:color="auto" w:fill="FFFFFF"/>
        </w:rPr>
        <w:t>irect</w:t>
      </w:r>
      <w:r w:rsidRPr="7197FCDA" w:rsidR="007A36EB">
        <w:rPr>
          <w:rFonts w:ascii="Arial" w:hAnsi="Arial" w:eastAsia="Arial" w:cs="Arial"/>
          <w:color w:val="0F1729"/>
          <w:sz w:val="22"/>
          <w:szCs w:val="22"/>
          <w:shd w:val="clear" w:color="auto" w:fill="FFFFFF"/>
        </w:rPr>
        <w:t xml:space="preserve"> trial, have shown that significant weight loss (usually over 10-15kg) can </w:t>
      </w:r>
      <w:r w:rsidRPr="7197FCDA" w:rsidR="00D26888">
        <w:rPr>
          <w:rFonts w:ascii="Arial" w:hAnsi="Arial" w:eastAsia="Arial" w:cs="Arial"/>
          <w:color w:val="0F1729"/>
          <w:sz w:val="22"/>
          <w:szCs w:val="22"/>
          <w:shd w:val="clear" w:color="auto" w:fill="FFFFFF"/>
        </w:rPr>
        <w:t>reverse</w:t>
      </w:r>
      <w:r w:rsidRPr="7197FCDA" w:rsidR="007A36EB">
        <w:rPr>
          <w:rFonts w:ascii="Arial" w:hAnsi="Arial" w:eastAsia="Arial" w:cs="Arial"/>
          <w:color w:val="0F1729"/>
          <w:sz w:val="22"/>
          <w:szCs w:val="22"/>
          <w:shd w:val="clear" w:color="auto" w:fill="FFFFFF"/>
        </w:rPr>
        <w:t xml:space="preserve"> T2DM in many patients, particularly those who have been diagnosed within the last six years. This occurs because weight loss removes ectopic fat from the liver and pancreas. When fat is removed from the pancreas, the beta cells can reboot and start producing insulin normally again (NICE, 2022). Weight management is not just about aesthetics</w:t>
      </w:r>
      <w:r w:rsidRPr="7197FCDA" w:rsidR="190E2F86">
        <w:rPr>
          <w:rFonts w:ascii="Arial" w:hAnsi="Arial" w:eastAsia="Arial" w:cs="Arial"/>
          <w:color w:val="0F1729"/>
          <w:sz w:val="22"/>
          <w:szCs w:val="22"/>
          <w:shd w:val="clear" w:color="auto" w:fill="FFFFFF"/>
        </w:rPr>
        <w:t xml:space="preserve"> </w:t>
      </w:r>
      <w:r w:rsidRPr="7197FCDA" w:rsidR="007A36EB">
        <w:rPr>
          <w:rFonts w:ascii="Arial" w:hAnsi="Arial" w:eastAsia="Arial" w:cs="Arial"/>
          <w:color w:val="0F1729"/>
          <w:sz w:val="22"/>
          <w:szCs w:val="22"/>
          <w:shd w:val="clear" w:color="auto" w:fill="FFFFFF"/>
        </w:rPr>
        <w:t xml:space="preserve">it is about reducing the production of inflammatory cytokines by visceral fat. Patients should aim for a sustainable 5–10% reduction in body weight to see significant improvements in insulin sensitivity and metabolic health (World Health Organization, 2023)</w:t>
      </w:r>
      <w:r w:rsidRPr="7197FCDA" w:rsidR="00B70F9A">
        <w:rPr>
          <w:rFonts w:ascii="Arial" w:hAnsi="Arial" w:eastAsia="Arial" w:cs="Arial"/>
          <w:color w:val="1F1F1F"/>
          <w:sz w:val="22"/>
          <w:szCs w:val="22"/>
        </w:rPr>
        <w:t>.</w:t>
      </w:r>
    </w:p>
    <w:p w:rsidRPr="00A307FF" w:rsidR="00D73361" w:rsidP="7197FCDA" w:rsidRDefault="00B70F9A" w14:paraId="5BEE1A7D" w14:textId="77777777">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6. Conclusion</w:t>
      </w:r>
    </w:p>
    <w:p w:rsidRPr="00A307FF" w:rsidR="00D73361" w:rsidP="7197FCDA" w:rsidRDefault="002429CD" w14:paraId="7C743D09" w14:textId="5B80FAEF">
      <w:pPr>
        <w:spacing w:after="240" w:line="275" w:lineRule="auto"/>
        <w:jc w:val="both"/>
        <w:rPr>
          <w:rFonts w:ascii="Arial" w:hAnsi="Arial" w:eastAsia="Arial" w:cs="Arial"/>
          <w:color w:val="1F1F1F"/>
          <w:sz w:val="22"/>
          <w:szCs w:val="22"/>
        </w:rPr>
      </w:pPr>
      <w:r w:rsidRPr="7197FCDA" w:rsidR="002429CD">
        <w:rPr>
          <w:rFonts w:ascii="Arial" w:hAnsi="Arial" w:eastAsia="Arial" w:cs="Arial"/>
          <w:color w:val="0F1729"/>
          <w:sz w:val="22"/>
          <w:szCs w:val="22"/>
          <w:shd w:val="clear" w:color="auto" w:fill="FFFFFF"/>
        </w:rPr>
        <w:t xml:space="preserve">Type 2 Diabetes is a multifaceted disorder that </w:t>
      </w:r>
      <w:r w:rsidRPr="7197FCDA" w:rsidR="002429CD">
        <w:rPr>
          <w:rFonts w:ascii="Arial" w:hAnsi="Arial" w:eastAsia="Arial" w:cs="Arial"/>
          <w:color w:val="0F1729"/>
          <w:sz w:val="22"/>
          <w:szCs w:val="22"/>
          <w:shd w:val="clear" w:color="auto" w:fill="FFFFFF"/>
        </w:rPr>
        <w:t>represents</w:t>
      </w:r>
      <w:r w:rsidRPr="7197FCDA" w:rsidR="002429CD">
        <w:rPr>
          <w:rFonts w:ascii="Arial" w:hAnsi="Arial" w:eastAsia="Arial" w:cs="Arial"/>
          <w:color w:val="0F1729"/>
          <w:sz w:val="22"/>
          <w:szCs w:val="22"/>
          <w:shd w:val="clear" w:color="auto" w:fill="FFFFFF"/>
        </w:rPr>
        <w:t xml:space="preserve"> a breakdown in the body's fundamental energy</w:t>
      </w:r>
      <w:r w:rsidRPr="7197FCDA" w:rsidR="54F304E5">
        <w:rPr>
          <w:rFonts w:ascii="Arial" w:hAnsi="Arial" w:eastAsia="Arial" w:cs="Arial"/>
          <w:color w:val="0F1729"/>
          <w:sz w:val="22"/>
          <w:szCs w:val="22"/>
          <w:shd w:val="clear" w:color="auto" w:fill="FFFFFF"/>
        </w:rPr>
        <w:t xml:space="preserve"> </w:t>
      </w:r>
      <w:r w:rsidRPr="7197FCDA" w:rsidR="002429CD">
        <w:rPr>
          <w:rFonts w:ascii="Arial" w:hAnsi="Arial" w:eastAsia="Arial" w:cs="Arial"/>
          <w:color w:val="0F1729"/>
          <w:sz w:val="22"/>
          <w:szCs w:val="22"/>
          <w:shd w:val="clear" w:color="auto" w:fill="FFFFFF"/>
        </w:rPr>
        <w:t>processing system. From the endocrine failures in the pancreas to the metabolic starvation of the cells, the effects of T2DM are pervasive and systemic. However, the condition is highly responsive to intervention. The key to long</w:t>
      </w:r>
      <w:r w:rsidRPr="7197FCDA" w:rsidR="236AD17F">
        <w:rPr>
          <w:rFonts w:ascii="Arial" w:hAnsi="Arial" w:eastAsia="Arial" w:cs="Arial"/>
          <w:color w:val="0F1729"/>
          <w:sz w:val="22"/>
          <w:szCs w:val="22"/>
          <w:shd w:val="clear" w:color="auto" w:fill="FFFFFF"/>
        </w:rPr>
        <w:t xml:space="preserve"> </w:t>
      </w:r>
      <w:r w:rsidRPr="7197FCDA" w:rsidR="002429CD">
        <w:rPr>
          <w:rFonts w:ascii="Arial" w:hAnsi="Arial" w:eastAsia="Arial" w:cs="Arial"/>
          <w:color w:val="0F1729"/>
          <w:sz w:val="22"/>
          <w:szCs w:val="22"/>
          <w:shd w:val="clear" w:color="auto" w:fill="FFFFFF"/>
        </w:rPr>
        <w:t xml:space="preserve">term health lies in the transition from being a passive patient to an active manager of one's own metabolic data. Through the diligent use of monitoring </w:t>
      </w:r>
      <w:r w:rsidRPr="7197FCDA" w:rsidR="07AC24C8">
        <w:rPr>
          <w:rFonts w:ascii="Arial" w:hAnsi="Arial" w:eastAsia="Arial" w:cs="Arial"/>
          <w:color w:val="0F1729"/>
          <w:sz w:val="22"/>
          <w:szCs w:val="22"/>
          <w:shd w:val="clear" w:color="auto" w:fill="FFFFFF"/>
        </w:rPr>
        <w:t>technologies,</w:t>
      </w:r>
      <w:r w:rsidRPr="7197FCDA" w:rsidR="002429CD">
        <w:rPr>
          <w:rFonts w:ascii="Arial" w:hAnsi="Arial" w:eastAsia="Arial" w:cs="Arial"/>
          <w:color w:val="0F1729"/>
          <w:sz w:val="22"/>
          <w:szCs w:val="22"/>
          <w:shd w:val="clear" w:color="auto" w:fill="FFFFFF"/>
        </w:rPr>
        <w:t xml:space="preserve"> SMBG, CGM, and the HbA1c </w:t>
      </w:r>
      <w:r w:rsidRPr="7197FCDA" w:rsidR="4BF3735A">
        <w:rPr>
          <w:rFonts w:ascii="Arial" w:hAnsi="Arial" w:eastAsia="Arial" w:cs="Arial"/>
          <w:color w:val="0F1729"/>
          <w:sz w:val="22"/>
          <w:szCs w:val="22"/>
          <w:shd w:val="clear" w:color="auto" w:fill="FFFFFF"/>
        </w:rPr>
        <w:t>test,</w:t>
      </w:r>
      <w:r w:rsidRPr="7197FCDA" w:rsidR="002429CD">
        <w:rPr>
          <w:rFonts w:ascii="Arial" w:hAnsi="Arial" w:eastAsia="Arial" w:cs="Arial"/>
          <w:color w:val="0F1729"/>
          <w:sz w:val="22"/>
          <w:szCs w:val="22"/>
          <w:shd w:val="clear" w:color="auto" w:fill="FFFFFF"/>
        </w:rPr>
        <w:t xml:space="preserve"> individuals can gain the insights necessary to make informed, </w:t>
      </w:r>
      <w:r w:rsidRPr="7197FCDA" w:rsidR="423320BC">
        <w:rPr>
          <w:rFonts w:ascii="Arial" w:hAnsi="Arial" w:eastAsia="Arial" w:cs="Arial"/>
          <w:color w:val="0F1729"/>
          <w:sz w:val="22"/>
          <w:szCs w:val="22"/>
          <w:shd w:val="clear" w:color="auto" w:fill="FFFFFF"/>
        </w:rPr>
        <w:t>lifesaving</w:t>
      </w:r>
      <w:r w:rsidRPr="7197FCDA" w:rsidR="002429CD">
        <w:rPr>
          <w:rFonts w:ascii="Arial" w:hAnsi="Arial" w:eastAsia="Arial" w:cs="Arial"/>
          <w:color w:val="0F1729"/>
          <w:sz w:val="22"/>
          <w:szCs w:val="22"/>
          <w:shd w:val="clear" w:color="auto" w:fill="FFFFFF"/>
        </w:rPr>
        <w:t xml:space="preserve"> choices. By embracing a lifestyle centered on low</w:t>
      </w:r>
      <w:r w:rsidRPr="7197FCDA" w:rsidR="3C1DE725">
        <w:rPr>
          <w:rFonts w:ascii="Arial" w:hAnsi="Arial" w:eastAsia="Arial" w:cs="Arial"/>
          <w:color w:val="0F1729"/>
          <w:sz w:val="22"/>
          <w:szCs w:val="22"/>
          <w:shd w:val="clear" w:color="auto" w:fill="FFFFFF"/>
        </w:rPr>
        <w:t xml:space="preserve"> </w:t>
      </w:r>
      <w:r w:rsidRPr="7197FCDA" w:rsidR="002429CD">
        <w:rPr>
          <w:rFonts w:ascii="Arial" w:hAnsi="Arial" w:eastAsia="Arial" w:cs="Arial"/>
          <w:color w:val="0F1729"/>
          <w:sz w:val="22"/>
          <w:szCs w:val="22"/>
          <w:shd w:val="clear" w:color="auto" w:fill="FFFFFF"/>
        </w:rPr>
        <w:t xml:space="preserve">GI nutrition, consistent physical activity, and proactive weight management, the trajectory of T2DM can be fundamentally altered. With the right support and </w:t>
      </w:r>
      <w:r w:rsidRPr="7197FCDA" w:rsidR="3AB92EDC">
        <w:rPr>
          <w:rFonts w:ascii="Arial" w:hAnsi="Arial" w:eastAsia="Arial" w:cs="Arial"/>
          <w:color w:val="0F1729"/>
          <w:sz w:val="22"/>
          <w:szCs w:val="22"/>
          <w:shd w:val="clear" w:color="auto" w:fill="FFFFFF"/>
        </w:rPr>
        <w:t>evidence-based</w:t>
      </w:r>
      <w:r w:rsidRPr="7197FCDA" w:rsidR="002429CD">
        <w:rPr>
          <w:rFonts w:ascii="Arial" w:hAnsi="Arial" w:eastAsia="Arial" w:cs="Arial"/>
          <w:color w:val="0F1729"/>
          <w:sz w:val="22"/>
          <w:szCs w:val="22"/>
          <w:shd w:val="clear" w:color="auto" w:fill="FFFFFF"/>
        </w:rPr>
        <w:t xml:space="preserve"> strategies, individuals with Type 2 Diabetes can lead long, healthy lives free from the burden of debilitating complications</w:t>
      </w:r>
      <w:r w:rsidRPr="7197FCDA" w:rsidR="00B70F9A">
        <w:rPr>
          <w:rFonts w:ascii="Arial" w:hAnsi="Arial" w:eastAsia="Arial" w:cs="Arial"/>
          <w:color w:val="1F1F1F"/>
          <w:sz w:val="22"/>
          <w:szCs w:val="22"/>
        </w:rPr>
        <w:t>.</w:t>
      </w:r>
    </w:p>
    <w:p w:rsidR="7197FCDA" w:rsidP="7197FCDA" w:rsidRDefault="7197FCDA" w14:paraId="095AADE5" w14:textId="1E508986">
      <w:pPr>
        <w:spacing w:after="240" w:line="275" w:lineRule="auto"/>
        <w:jc w:val="both"/>
        <w:rPr>
          <w:rFonts w:ascii="Arial" w:hAnsi="Arial" w:eastAsia="Arial" w:cs="Arial"/>
          <w:color w:val="1F1F1F"/>
          <w:sz w:val="22"/>
          <w:szCs w:val="22"/>
        </w:rPr>
      </w:pPr>
    </w:p>
    <w:p w:rsidRPr="00A307FF" w:rsidR="00D73361" w:rsidP="7197FCDA" w:rsidRDefault="00B70F9A" w14:paraId="5BEE1A80" w14:textId="77777777">
      <w:pPr>
        <w:pStyle w:val="Heading2"/>
        <w:spacing w:before="0" w:after="12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References</w:t>
      </w:r>
    </w:p>
    <w:p w:rsidRPr="00A307FF" w:rsidR="00D73361" w:rsidP="7197FCDA" w:rsidRDefault="00B70F9A" w14:paraId="5BEE1A81" w14:textId="76D5978F">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American Diabetes Association (2023) 'Standards of Care in Diabetes 2023', </w:t>
      </w:r>
      <w:r w:rsidRPr="7197FCDA" w:rsidR="00B70F9A">
        <w:rPr>
          <w:rFonts w:ascii="Arial" w:hAnsi="Arial" w:eastAsia="Arial" w:cs="Arial"/>
          <w:i w:val="1"/>
          <w:iCs w:val="1"/>
          <w:color w:val="1F1F1F"/>
          <w:sz w:val="22"/>
          <w:szCs w:val="22"/>
        </w:rPr>
        <w:t>Diabetes Care</w:t>
      </w:r>
      <w:r w:rsidRPr="7197FCDA" w:rsidR="00B70F9A">
        <w:rPr>
          <w:rFonts w:ascii="Arial" w:hAnsi="Arial" w:eastAsia="Arial" w:cs="Arial"/>
          <w:color w:val="1F1F1F"/>
          <w:sz w:val="22"/>
          <w:szCs w:val="22"/>
        </w:rPr>
        <w:t>, 46(Supplement 1), pp. S1–S291.</w:t>
      </w:r>
    </w:p>
    <w:p w:rsidRPr="00A307FF" w:rsidR="00D73361" w:rsidP="7197FCDA" w:rsidRDefault="00B70F9A" w14:paraId="5BEE1A82"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Hall, J.E. and Hall, M.E. (2021)</w:t>
      </w:r>
      <w:r w:rsidRPr="7197FCDA" w:rsidR="00B70F9A">
        <w:rPr>
          <w:rFonts w:ascii="Arial" w:hAnsi="Arial" w:eastAsia="Arial" w:cs="Arial"/>
          <w:color w:val="1F1F1F"/>
          <w:sz w:val="22"/>
          <w:szCs w:val="22"/>
        </w:rPr>
        <w:t xml:space="preserve"> </w:t>
      </w:r>
      <w:r w:rsidRPr="7197FCDA" w:rsidR="00B70F9A">
        <w:rPr>
          <w:rFonts w:ascii="Arial" w:hAnsi="Arial" w:eastAsia="Arial" w:cs="Arial"/>
          <w:i w:val="1"/>
          <w:iCs w:val="1"/>
          <w:color w:val="1F1F1F"/>
          <w:sz w:val="22"/>
          <w:szCs w:val="22"/>
        </w:rPr>
        <w:t>Guyton</w:t>
      </w:r>
      <w:r w:rsidRPr="7197FCDA" w:rsidR="00B70F9A">
        <w:rPr>
          <w:rFonts w:ascii="Arial" w:hAnsi="Arial" w:eastAsia="Arial" w:cs="Arial"/>
          <w:i w:val="1"/>
          <w:iCs w:val="1"/>
          <w:color w:val="1F1F1F"/>
          <w:sz w:val="22"/>
          <w:szCs w:val="22"/>
        </w:rPr>
        <w:t xml:space="preserve"> and Hall Textbook of Medical Physiology</w:t>
      </w:r>
      <w:r w:rsidRPr="7197FCDA" w:rsidR="00B70F9A">
        <w:rPr>
          <w:rFonts w:ascii="Arial" w:hAnsi="Arial" w:eastAsia="Arial" w:cs="Arial"/>
          <w:color w:val="1F1F1F"/>
          <w:sz w:val="22"/>
          <w:szCs w:val="22"/>
        </w:rPr>
        <w:t xml:space="preserve">. 14th </w:t>
      </w:r>
      <w:r w:rsidRPr="7197FCDA" w:rsidR="00B70F9A">
        <w:rPr>
          <w:rFonts w:ascii="Arial" w:hAnsi="Arial" w:eastAsia="Arial" w:cs="Arial"/>
          <w:color w:val="1F1F1F"/>
          <w:sz w:val="22"/>
          <w:szCs w:val="22"/>
        </w:rPr>
        <w:t>edn</w:t>
      </w:r>
      <w:r w:rsidRPr="7197FCDA" w:rsidR="00B70F9A">
        <w:rPr>
          <w:rFonts w:ascii="Arial" w:hAnsi="Arial" w:eastAsia="Arial" w:cs="Arial"/>
          <w:color w:val="1F1F1F"/>
          <w:sz w:val="22"/>
          <w:szCs w:val="22"/>
        </w:rPr>
        <w:t>. Philadelphia: Elsevier.</w:t>
      </w:r>
    </w:p>
    <w:p w:rsidRPr="00A307FF" w:rsidR="00D73361" w:rsidP="7197FCDA" w:rsidRDefault="00B70F9A" w14:paraId="5BEE1A83"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Marieb</w:t>
      </w:r>
      <w:r w:rsidRPr="7197FCDA" w:rsidR="00B70F9A">
        <w:rPr>
          <w:rFonts w:ascii="Arial" w:hAnsi="Arial" w:eastAsia="Arial" w:cs="Arial"/>
          <w:color w:val="1F1F1F"/>
          <w:sz w:val="22"/>
          <w:szCs w:val="22"/>
        </w:rPr>
        <w:t>, E.N. and Hoehn, K. (2019)</w:t>
      </w:r>
      <w:r w:rsidRPr="7197FCDA" w:rsidR="00B70F9A">
        <w:rPr>
          <w:rFonts w:ascii="Arial" w:hAnsi="Arial" w:eastAsia="Arial" w:cs="Arial"/>
          <w:color w:val="1F1F1F"/>
          <w:sz w:val="22"/>
          <w:szCs w:val="22"/>
        </w:rPr>
        <w:t xml:space="preserve"> </w:t>
      </w:r>
      <w:r w:rsidRPr="7197FCDA" w:rsidR="00B70F9A">
        <w:rPr>
          <w:rFonts w:ascii="Arial" w:hAnsi="Arial" w:eastAsia="Arial" w:cs="Arial"/>
          <w:i w:val="1"/>
          <w:iCs w:val="1"/>
          <w:color w:val="1F1F1F"/>
          <w:sz w:val="22"/>
          <w:szCs w:val="22"/>
        </w:rPr>
        <w:t>Human</w:t>
      </w:r>
      <w:r w:rsidRPr="7197FCDA" w:rsidR="00B70F9A">
        <w:rPr>
          <w:rFonts w:ascii="Arial" w:hAnsi="Arial" w:eastAsia="Arial" w:cs="Arial"/>
          <w:i w:val="1"/>
          <w:iCs w:val="1"/>
          <w:color w:val="1F1F1F"/>
          <w:sz w:val="22"/>
          <w:szCs w:val="22"/>
        </w:rPr>
        <w:t xml:space="preserve"> Anatomy and Physiology</w:t>
      </w:r>
      <w:r w:rsidRPr="7197FCDA" w:rsidR="00B70F9A">
        <w:rPr>
          <w:rFonts w:ascii="Arial" w:hAnsi="Arial" w:eastAsia="Arial" w:cs="Arial"/>
          <w:color w:val="1F1F1F"/>
          <w:sz w:val="22"/>
          <w:szCs w:val="22"/>
        </w:rPr>
        <w:t xml:space="preserve">. 11th </w:t>
      </w:r>
      <w:r w:rsidRPr="7197FCDA" w:rsidR="00B70F9A">
        <w:rPr>
          <w:rFonts w:ascii="Arial" w:hAnsi="Arial" w:eastAsia="Arial" w:cs="Arial"/>
          <w:color w:val="1F1F1F"/>
          <w:sz w:val="22"/>
          <w:szCs w:val="22"/>
        </w:rPr>
        <w:t>edn</w:t>
      </w:r>
      <w:r w:rsidRPr="7197FCDA" w:rsidR="00B70F9A">
        <w:rPr>
          <w:rFonts w:ascii="Arial" w:hAnsi="Arial" w:eastAsia="Arial" w:cs="Arial"/>
          <w:color w:val="1F1F1F"/>
          <w:sz w:val="22"/>
          <w:szCs w:val="22"/>
        </w:rPr>
        <w:t>. London: Pearson Education.</w:t>
      </w:r>
    </w:p>
    <w:p w:rsidRPr="00A307FF" w:rsidR="00D73361" w:rsidP="7197FCDA" w:rsidRDefault="00B70F9A" w14:paraId="5BEE1A84"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National Institute for Health and Care Excellence (2022) </w:t>
      </w:r>
      <w:r w:rsidRPr="7197FCDA" w:rsidR="00B70F9A">
        <w:rPr>
          <w:rFonts w:ascii="Arial" w:hAnsi="Arial" w:eastAsia="Arial" w:cs="Arial"/>
          <w:i w:val="1"/>
          <w:iCs w:val="1"/>
          <w:color w:val="1F1F1F"/>
          <w:sz w:val="22"/>
          <w:szCs w:val="22"/>
        </w:rPr>
        <w:t xml:space="preserve">Type 2 diabetes in adults: </w:t>
      </w:r>
      <w:r w:rsidRPr="7197FCDA" w:rsidR="00B70F9A">
        <w:rPr>
          <w:rFonts w:ascii="Arial" w:hAnsi="Arial" w:eastAsia="Arial" w:cs="Arial"/>
          <w:i w:val="1"/>
          <w:iCs w:val="1"/>
          <w:color w:val="1F1F1F"/>
          <w:sz w:val="22"/>
          <w:szCs w:val="22"/>
        </w:rPr>
        <w:t>management (NG28)</w:t>
      </w:r>
      <w:r w:rsidRPr="7197FCDA" w:rsidR="00B70F9A">
        <w:rPr>
          <w:rFonts w:ascii="Arial" w:hAnsi="Arial" w:eastAsia="Arial" w:cs="Arial"/>
          <w:color w:val="1F1F1F"/>
          <w:sz w:val="22"/>
          <w:szCs w:val="22"/>
        </w:rPr>
        <w:t>. London: NICE. Available at: https://www.nice.org.uk/guidance/ng28 (Accessed: 13 March 2026).</w:t>
      </w:r>
    </w:p>
    <w:p w:rsidRPr="00A307FF" w:rsidR="00D73361" w:rsidP="7197FCDA" w:rsidRDefault="00B70F9A" w14:paraId="5BEE1A85"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Nelson, D.L. and Cox, M.M. (2021) </w:t>
      </w:r>
      <w:r w:rsidRPr="7197FCDA" w:rsidR="00B70F9A">
        <w:rPr>
          <w:rFonts w:ascii="Arial" w:hAnsi="Arial" w:eastAsia="Arial" w:cs="Arial"/>
          <w:i w:val="1"/>
          <w:iCs w:val="1"/>
          <w:color w:val="1F1F1F"/>
          <w:sz w:val="22"/>
          <w:szCs w:val="22"/>
        </w:rPr>
        <w:t>Lehninger</w:t>
      </w:r>
      <w:r w:rsidRPr="7197FCDA" w:rsidR="00B70F9A">
        <w:rPr>
          <w:rFonts w:ascii="Arial" w:hAnsi="Arial" w:eastAsia="Arial" w:cs="Arial"/>
          <w:i w:val="1"/>
          <w:iCs w:val="1"/>
          <w:color w:val="1F1F1F"/>
          <w:sz w:val="22"/>
          <w:szCs w:val="22"/>
        </w:rPr>
        <w:t xml:space="preserve"> Principles of Biochemistry</w:t>
      </w:r>
      <w:r w:rsidRPr="7197FCDA" w:rsidR="00B70F9A">
        <w:rPr>
          <w:rFonts w:ascii="Arial" w:hAnsi="Arial" w:eastAsia="Arial" w:cs="Arial"/>
          <w:color w:val="1F1F1F"/>
          <w:sz w:val="22"/>
          <w:szCs w:val="22"/>
        </w:rPr>
        <w:t xml:space="preserve">. 8th </w:t>
      </w:r>
      <w:r w:rsidRPr="7197FCDA" w:rsidR="00B70F9A">
        <w:rPr>
          <w:rFonts w:ascii="Arial" w:hAnsi="Arial" w:eastAsia="Arial" w:cs="Arial"/>
          <w:color w:val="1F1F1F"/>
          <w:sz w:val="22"/>
          <w:szCs w:val="22"/>
        </w:rPr>
        <w:t>edn</w:t>
      </w:r>
      <w:r w:rsidRPr="7197FCDA" w:rsidR="00B70F9A">
        <w:rPr>
          <w:rFonts w:ascii="Arial" w:hAnsi="Arial" w:eastAsia="Arial" w:cs="Arial"/>
          <w:color w:val="1F1F1F"/>
          <w:sz w:val="22"/>
          <w:szCs w:val="22"/>
        </w:rPr>
        <w:t>. New York: W.H. Freeman.</w:t>
      </w:r>
    </w:p>
    <w:p w:rsidRPr="00A307FF" w:rsidR="00D73361" w:rsidP="7197FCDA" w:rsidRDefault="00B70F9A" w14:paraId="5BEE1A86" w14:textId="77777777">
      <w:pPr>
        <w:spacing w:after="240" w:line="275" w:lineRule="auto"/>
        <w:jc w:val="both"/>
        <w:rPr>
          <w:rFonts w:ascii="Arial" w:hAnsi="Arial" w:eastAsia="Arial" w:cs="Arial"/>
          <w:color w:val="1F1F1F"/>
          <w:sz w:val="22"/>
          <w:szCs w:val="22"/>
        </w:rPr>
      </w:pPr>
      <w:r w:rsidRPr="7197FCDA" w:rsidR="00B70F9A">
        <w:rPr>
          <w:rFonts w:ascii="Arial" w:hAnsi="Arial" w:eastAsia="Arial" w:cs="Arial"/>
          <w:color w:val="1F1F1F"/>
          <w:sz w:val="22"/>
          <w:szCs w:val="22"/>
        </w:rPr>
        <w:t xml:space="preserve">World Health Organization (2023) </w:t>
      </w:r>
      <w:r w:rsidRPr="7197FCDA" w:rsidR="00B70F9A">
        <w:rPr>
          <w:rFonts w:ascii="Arial" w:hAnsi="Arial" w:eastAsia="Arial" w:cs="Arial"/>
          <w:i w:val="1"/>
          <w:iCs w:val="1"/>
          <w:color w:val="1F1F1F"/>
          <w:sz w:val="22"/>
          <w:szCs w:val="22"/>
        </w:rPr>
        <w:t>Diabetes</w:t>
      </w:r>
      <w:r w:rsidRPr="7197FCDA" w:rsidR="00B70F9A">
        <w:rPr>
          <w:rFonts w:ascii="Arial" w:hAnsi="Arial" w:eastAsia="Arial" w:cs="Arial"/>
          <w:color w:val="1F1F1F"/>
          <w:sz w:val="22"/>
          <w:szCs w:val="22"/>
        </w:rPr>
        <w:t>. Available at: https://www.who.int/news-room/fact-sheets/detail/diabetes (Accessed: 13 March 2026).</w:t>
      </w:r>
    </w:p>
    <w:p w:rsidR="7197FCDA" w:rsidP="7197FCDA" w:rsidRDefault="7197FCDA" w14:paraId="494F513C" w14:textId="441C7F1C">
      <w:pPr>
        <w:spacing w:after="240" w:line="275" w:lineRule="auto"/>
        <w:jc w:val="both"/>
        <w:rPr>
          <w:rFonts w:ascii="Arial" w:hAnsi="Arial" w:eastAsia="Arial" w:cs="Arial"/>
          <w:color w:val="1F1F1F"/>
          <w:sz w:val="22"/>
          <w:szCs w:val="22"/>
        </w:rPr>
      </w:pPr>
    </w:p>
    <w:p w:rsidR="7197FCDA" w:rsidP="7197FCDA" w:rsidRDefault="7197FCDA" w14:paraId="769D1575" w14:textId="4A46ED8D">
      <w:pPr>
        <w:spacing w:after="240" w:line="275" w:lineRule="auto"/>
        <w:jc w:val="both"/>
        <w:rPr>
          <w:rFonts w:ascii="Arial" w:hAnsi="Arial" w:eastAsia="Arial" w:cs="Arial"/>
          <w:color w:val="1F1F1F"/>
          <w:sz w:val="22"/>
          <w:szCs w:val="22"/>
        </w:rPr>
      </w:pPr>
    </w:p>
    <w:sectPr w:rsidRPr="00A307FF" w:rsidR="00D73361">
      <w:pgSz w:w="12240" w:h="15840" w:orient="portrait"/>
      <w:pgMar w:top="1440" w:right="1440" w:bottom="1440" w:left="1440" w:header="0" w:footer="720" w:gutter="0"/>
      <w:pgNumType w:start="1"/>
      <w:cols w:space="720"/>
      <w:headerReference w:type="default" r:id="Radbcd9ee45e8405e"/>
      <w:footerReference w:type="default" r:id="R135f02b9f0434d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EFE6FA70-BE55-4FC7-AD5D-798A864C1BA8}" r:id="rId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5E753C1E-D97C-43F6-A65C-757DE7829B77}" r:id="rId2"/>
  </w:font>
  <w:font w:name="Google San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w:fontKey="{BBCBD555-3835-4AE0-B14B-FE0D6521DB0D}" r:id="rId3"/>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97FCDA" w:rsidTr="7197FCDA" w14:paraId="51C19F29">
      <w:trPr>
        <w:trHeight w:val="300"/>
      </w:trPr>
      <w:tc>
        <w:tcPr>
          <w:tcW w:w="3120" w:type="dxa"/>
          <w:tcMar/>
        </w:tcPr>
        <w:p w:rsidR="7197FCDA" w:rsidP="7197FCDA" w:rsidRDefault="7197FCDA" w14:paraId="6A025F14" w14:textId="0662F5DC">
          <w:pPr>
            <w:pStyle w:val="Header"/>
            <w:bidi w:val="0"/>
            <w:ind w:left="-115"/>
            <w:jc w:val="left"/>
          </w:pPr>
        </w:p>
      </w:tc>
      <w:tc>
        <w:tcPr>
          <w:tcW w:w="3120" w:type="dxa"/>
          <w:tcMar/>
        </w:tcPr>
        <w:p w:rsidR="7197FCDA" w:rsidP="7197FCDA" w:rsidRDefault="7197FCDA" w14:paraId="5D3A8BBD" w14:textId="55542C7E">
          <w:pPr>
            <w:pStyle w:val="Header"/>
            <w:bidi w:val="0"/>
            <w:jc w:val="center"/>
          </w:pPr>
        </w:p>
      </w:tc>
      <w:tc>
        <w:tcPr>
          <w:tcW w:w="3120" w:type="dxa"/>
          <w:tcMar/>
        </w:tcPr>
        <w:p w:rsidR="7197FCDA" w:rsidP="7197FCDA" w:rsidRDefault="7197FCDA" w14:paraId="74F4C0F6" w14:textId="5F65C763">
          <w:pPr>
            <w:pStyle w:val="Header"/>
            <w:bidi w:val="0"/>
            <w:ind w:right="-115"/>
            <w:jc w:val="right"/>
          </w:pPr>
        </w:p>
      </w:tc>
    </w:tr>
  </w:tbl>
  <w:p w:rsidR="7197FCDA" w:rsidP="7197FCDA" w:rsidRDefault="7197FCDA" w14:paraId="76E061DB" w14:textId="0E5249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97FCDA" w:rsidTr="7197FCDA" w14:paraId="4F3CC54C">
      <w:trPr>
        <w:trHeight w:val="300"/>
      </w:trPr>
      <w:tc>
        <w:tcPr>
          <w:tcW w:w="3120" w:type="dxa"/>
          <w:tcMar/>
        </w:tcPr>
        <w:p w:rsidR="7197FCDA" w:rsidP="7197FCDA" w:rsidRDefault="7197FCDA" w14:paraId="191E7276" w14:textId="34483BB7">
          <w:pPr>
            <w:pStyle w:val="Header"/>
            <w:bidi w:val="0"/>
            <w:ind w:left="-115"/>
            <w:jc w:val="left"/>
          </w:pPr>
        </w:p>
      </w:tc>
      <w:tc>
        <w:tcPr>
          <w:tcW w:w="3120" w:type="dxa"/>
          <w:tcMar/>
        </w:tcPr>
        <w:p w:rsidR="7197FCDA" w:rsidP="7197FCDA" w:rsidRDefault="7197FCDA" w14:paraId="5C39F41D" w14:textId="5EC75F4B">
          <w:pPr>
            <w:pStyle w:val="Header"/>
            <w:bidi w:val="0"/>
            <w:jc w:val="center"/>
          </w:pPr>
        </w:p>
      </w:tc>
      <w:tc>
        <w:tcPr>
          <w:tcW w:w="3120" w:type="dxa"/>
          <w:tcMar/>
        </w:tcPr>
        <w:p w:rsidR="7197FCDA" w:rsidP="7197FCDA" w:rsidRDefault="7197FCDA" w14:paraId="0EDEF860" w14:textId="31CD1882">
          <w:pPr>
            <w:pStyle w:val="Header"/>
            <w:bidi w:val="0"/>
            <w:ind w:right="-115"/>
            <w:jc w:val="right"/>
          </w:pPr>
        </w:p>
      </w:tc>
    </w:tr>
  </w:tbl>
  <w:p w:rsidR="7197FCDA" w:rsidP="7197FCDA" w:rsidRDefault="7197FCDA" w14:paraId="0B11CE46" w14:textId="4382F6B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183CF9"/>
    <w:multiLevelType w:val="multilevel"/>
    <w:tmpl w:val="72183CF9"/>
    <w:lvl w:ilvl="0">
      <w:start w:val="1"/>
      <w:numFmt w:val="decimal"/>
      <w:lvlText w:val="%1."/>
      <w:lvlJc w:val="left"/>
      <w:pPr>
        <w:ind w:left="48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hAnsi="Arial" w:eastAsia="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hAnsi="Arial" w:eastAsia="Arial" w:cs="Arial"/>
        <w:b w:val="0"/>
        <w:bCs w:val="0"/>
        <w:i w:val="0"/>
        <w:iCs w:val="0"/>
        <w:smallCaps w:val="0"/>
        <w:strike w:val="0"/>
        <w:color w:val="000000"/>
        <w:sz w:val="22"/>
        <w:szCs w:val="22"/>
        <w:u w:val="none"/>
        <w:shd w:val="clear" w:color="auto" w:fill="auto"/>
        <w:vertAlign w:val="baseline"/>
      </w:rPr>
    </w:lvl>
  </w:abstractNum>
  <w:num w:numId="1" w16cid:durableId="1385061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361"/>
    <w:rsid w:val="00000D3C"/>
    <w:rsid w:val="00041AE0"/>
    <w:rsid w:val="00067258"/>
    <w:rsid w:val="001F0AF7"/>
    <w:rsid w:val="00202D80"/>
    <w:rsid w:val="002429CD"/>
    <w:rsid w:val="00290AB5"/>
    <w:rsid w:val="002B195B"/>
    <w:rsid w:val="004529B0"/>
    <w:rsid w:val="005218E5"/>
    <w:rsid w:val="00535224"/>
    <w:rsid w:val="005A14C1"/>
    <w:rsid w:val="006C06A5"/>
    <w:rsid w:val="00702AA0"/>
    <w:rsid w:val="007A36EB"/>
    <w:rsid w:val="008D168E"/>
    <w:rsid w:val="0092282C"/>
    <w:rsid w:val="00997164"/>
    <w:rsid w:val="00A307FF"/>
    <w:rsid w:val="00B05C1B"/>
    <w:rsid w:val="00B70F9A"/>
    <w:rsid w:val="00BC6437"/>
    <w:rsid w:val="00C4078C"/>
    <w:rsid w:val="00D26888"/>
    <w:rsid w:val="00D73361"/>
    <w:rsid w:val="00EE514D"/>
    <w:rsid w:val="00FD6EB4"/>
    <w:rsid w:val="01352C8C"/>
    <w:rsid w:val="01C3CCA4"/>
    <w:rsid w:val="024E51F8"/>
    <w:rsid w:val="0275FECD"/>
    <w:rsid w:val="03C83D65"/>
    <w:rsid w:val="041F80AE"/>
    <w:rsid w:val="04297289"/>
    <w:rsid w:val="059D1C90"/>
    <w:rsid w:val="06D2F8C3"/>
    <w:rsid w:val="075301AE"/>
    <w:rsid w:val="07AC24C8"/>
    <w:rsid w:val="0869842B"/>
    <w:rsid w:val="0893AB0E"/>
    <w:rsid w:val="09133E13"/>
    <w:rsid w:val="098A9BC8"/>
    <w:rsid w:val="09C263B6"/>
    <w:rsid w:val="0A01ED8C"/>
    <w:rsid w:val="0BF29AD0"/>
    <w:rsid w:val="0C2E09F7"/>
    <w:rsid w:val="0DC7F602"/>
    <w:rsid w:val="0E631539"/>
    <w:rsid w:val="0EB771D2"/>
    <w:rsid w:val="0F625CB4"/>
    <w:rsid w:val="100CEF9C"/>
    <w:rsid w:val="1145661E"/>
    <w:rsid w:val="12BE3D59"/>
    <w:rsid w:val="134D7350"/>
    <w:rsid w:val="140875A0"/>
    <w:rsid w:val="143DCECE"/>
    <w:rsid w:val="162B024C"/>
    <w:rsid w:val="190E2F86"/>
    <w:rsid w:val="1A28B4C5"/>
    <w:rsid w:val="1DB99D73"/>
    <w:rsid w:val="1EEC011C"/>
    <w:rsid w:val="1F7DF6FE"/>
    <w:rsid w:val="2076FC0B"/>
    <w:rsid w:val="219277C3"/>
    <w:rsid w:val="21A59D28"/>
    <w:rsid w:val="21F0F2AC"/>
    <w:rsid w:val="236AD17F"/>
    <w:rsid w:val="23D2B3A3"/>
    <w:rsid w:val="23F3EBD6"/>
    <w:rsid w:val="242ED18A"/>
    <w:rsid w:val="29C86525"/>
    <w:rsid w:val="2B61F10B"/>
    <w:rsid w:val="2C617347"/>
    <w:rsid w:val="2DE54387"/>
    <w:rsid w:val="2E3AB228"/>
    <w:rsid w:val="2ED0C49E"/>
    <w:rsid w:val="2FA4E08E"/>
    <w:rsid w:val="2FB3C3E9"/>
    <w:rsid w:val="343A50F8"/>
    <w:rsid w:val="34BFF809"/>
    <w:rsid w:val="35361256"/>
    <w:rsid w:val="362F4003"/>
    <w:rsid w:val="38ED4FCD"/>
    <w:rsid w:val="39097025"/>
    <w:rsid w:val="3A2FF7C6"/>
    <w:rsid w:val="3AB92EDC"/>
    <w:rsid w:val="3B7DBB96"/>
    <w:rsid w:val="3B9F6922"/>
    <w:rsid w:val="3C13770A"/>
    <w:rsid w:val="3C1DE725"/>
    <w:rsid w:val="3D21DB14"/>
    <w:rsid w:val="3E49FFAC"/>
    <w:rsid w:val="3E8DB1C0"/>
    <w:rsid w:val="3ED816FC"/>
    <w:rsid w:val="4057947D"/>
    <w:rsid w:val="423320BC"/>
    <w:rsid w:val="4493FB3F"/>
    <w:rsid w:val="45008C78"/>
    <w:rsid w:val="46535243"/>
    <w:rsid w:val="468A6084"/>
    <w:rsid w:val="493562DA"/>
    <w:rsid w:val="4972955A"/>
    <w:rsid w:val="49AF6CFA"/>
    <w:rsid w:val="4A93CBC0"/>
    <w:rsid w:val="4BF3735A"/>
    <w:rsid w:val="4F6E6F7E"/>
    <w:rsid w:val="4FEDB957"/>
    <w:rsid w:val="50DE015D"/>
    <w:rsid w:val="5223AF91"/>
    <w:rsid w:val="52F04D66"/>
    <w:rsid w:val="54F304E5"/>
    <w:rsid w:val="550F57DD"/>
    <w:rsid w:val="5760DEE0"/>
    <w:rsid w:val="57F46C66"/>
    <w:rsid w:val="583E465D"/>
    <w:rsid w:val="58C24743"/>
    <w:rsid w:val="58C6D8F8"/>
    <w:rsid w:val="5B163B38"/>
    <w:rsid w:val="5C71B571"/>
    <w:rsid w:val="5D2ABCFA"/>
    <w:rsid w:val="5D666CC5"/>
    <w:rsid w:val="5FE5A4BD"/>
    <w:rsid w:val="60900C11"/>
    <w:rsid w:val="6294E75A"/>
    <w:rsid w:val="62A07BD5"/>
    <w:rsid w:val="62A23630"/>
    <w:rsid w:val="62A74808"/>
    <w:rsid w:val="67836242"/>
    <w:rsid w:val="69C97ED0"/>
    <w:rsid w:val="69F4193A"/>
    <w:rsid w:val="6B4F0645"/>
    <w:rsid w:val="6B83B7A2"/>
    <w:rsid w:val="6C24B6A0"/>
    <w:rsid w:val="6CA121B5"/>
    <w:rsid w:val="6E3BECBB"/>
    <w:rsid w:val="7144707A"/>
    <w:rsid w:val="7197FCDA"/>
    <w:rsid w:val="72D73ED1"/>
    <w:rsid w:val="7388A9BB"/>
    <w:rsid w:val="744F181A"/>
    <w:rsid w:val="7833B3EB"/>
    <w:rsid w:val="789C7F69"/>
    <w:rsid w:val="78B69A5A"/>
    <w:rsid w:val="78C12661"/>
    <w:rsid w:val="79807779"/>
    <w:rsid w:val="7A092402"/>
    <w:rsid w:val="7A525AB8"/>
    <w:rsid w:val="7AE527E3"/>
    <w:rsid w:val="7B2F4263"/>
    <w:rsid w:val="7DBBEA46"/>
    <w:rsid w:val="7DE362D7"/>
    <w:rsid w:val="7E18078F"/>
    <w:rsid w:val="7F1EC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1A43"/>
  <w15:docId w15:val="{E5454E7A-42E8-4734-B2F6-3A8B91F1C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uiPriority="99" w:semiHidden="1" w:unhideWhenUsed="1"/>
    <w:lsdException w:name="HTML Bottom of Form" w:uiPriority="99" w:semiHidden="1" w:unhideWhenUsed="1"/>
    <w:lsdException w:name="Normal Table" w:semiHidden="1" w:unhideWhenUsed="1" w:qFormat="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val="0"/>
    </w:pPr>
    <w:rPr>
      <w:rFonts w:ascii="Arial" w:hAnsi="Arial" w:eastAsia="Arial" w:cs="Arial"/>
      <w:sz w:val="22"/>
      <w:szCs w:val="22"/>
    </w:rPr>
  </w:style>
  <w:style w:type="paragraph" w:styleId="Heading1">
    <w:name w:val="heading 1"/>
    <w:basedOn w:val="Normal"/>
    <w:next w:val="Normal"/>
    <w:link w:val="Heading1Char"/>
    <w:qFormat/>
    <w:pPr>
      <w:spacing w:before="240" w:after="240"/>
      <w:outlineLvl w:val="0"/>
    </w:pPr>
    <w:rPr>
      <w:b/>
      <w:bCs/>
      <w:sz w:val="48"/>
      <w:szCs w:val="48"/>
    </w:rPr>
  </w:style>
  <w:style w:type="paragraph" w:styleId="Heading2">
    <w:name w:val="heading 2"/>
    <w:basedOn w:val="Normal"/>
    <w:next w:val="Normal"/>
    <w:qFormat/>
    <w:pPr>
      <w:spacing w:before="225" w:after="225"/>
      <w:outlineLvl w:val="1"/>
    </w:pPr>
    <w:rPr>
      <w:b/>
      <w:bCs/>
      <w:sz w:val="36"/>
      <w:szCs w:val="36"/>
    </w:rPr>
  </w:style>
  <w:style w:type="paragraph" w:styleId="Heading3">
    <w:name w:val="heading 3"/>
    <w:basedOn w:val="Normal"/>
    <w:next w:val="Normal"/>
    <w:qFormat/>
    <w:pPr>
      <w:spacing w:before="240" w:after="240"/>
      <w:outlineLvl w:val="2"/>
    </w:pPr>
    <w:rPr>
      <w:b/>
      <w:bCs/>
      <w:sz w:val="28"/>
      <w:szCs w:val="28"/>
    </w:rPr>
  </w:style>
  <w:style w:type="paragraph" w:styleId="Heading4">
    <w:name w:val="heading 4"/>
    <w:basedOn w:val="Normal"/>
    <w:next w:val="Normal"/>
    <w:qFormat/>
    <w:pPr>
      <w:spacing w:before="255" w:after="255"/>
      <w:outlineLvl w:val="3"/>
    </w:pPr>
    <w:rPr>
      <w:b/>
      <w:bCs/>
      <w:sz w:val="24"/>
      <w:szCs w:val="24"/>
    </w:rPr>
  </w:style>
  <w:style w:type="paragraph" w:styleId="Heading5">
    <w:name w:val="heading 5"/>
    <w:basedOn w:val="Normal"/>
    <w:next w:val="Normal"/>
    <w:qFormat/>
    <w:pPr>
      <w:spacing w:before="255" w:after="255"/>
      <w:outlineLvl w:val="4"/>
    </w:pPr>
    <w:rPr>
      <w:b/>
      <w:bCs/>
      <w:sz w:val="18"/>
      <w:szCs w:val="18"/>
    </w:rPr>
  </w:style>
  <w:style w:type="paragraph" w:styleId="Heading6">
    <w:name w:val="heading 6"/>
    <w:basedOn w:val="Normal"/>
    <w:next w:val="Normal"/>
    <w:qFormat/>
    <w:pPr>
      <w:spacing w:before="360" w:after="360"/>
      <w:outlineLvl w:val="5"/>
    </w:pPr>
    <w:rPr>
      <w:b/>
      <w:bCs/>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name w:val="Subtitle"/>
    <w:basedOn w:val="Normal"/>
    <w:next w:val="Normal"/>
    <w:qFormat/>
    <w:pPr>
      <w:keepNext/>
      <w:keepLines/>
      <w:spacing w:before="360" w:after="80"/>
    </w:pPr>
    <w:rPr>
      <w:rFonts w:ascii="Georgia" w:hAnsi="Georgia" w:eastAsia="Georgia" w:cs="Georgia"/>
      <w:i/>
      <w:iCs/>
      <w:color w:val="666666"/>
      <w:sz w:val="48"/>
      <w:szCs w:val="48"/>
    </w:rPr>
  </w:style>
  <w:style w:type="paragraph" w:styleId="Title">
    <w:name w:val="Title"/>
    <w:basedOn w:val="Normal"/>
    <w:next w:val="Normal"/>
    <w:qFormat/>
    <w:pPr>
      <w:keepNext/>
      <w:keepLines/>
      <w:spacing w:before="480" w:after="120"/>
    </w:pPr>
    <w:rPr>
      <w:b/>
      <w:bCs/>
      <w:sz w:val="72"/>
      <w:szCs w:val="72"/>
    </w:rPr>
  </w:style>
  <w:style w:type="table" w:styleId="TableNormal0" w:customStyle="1">
    <w:name w:val="TableNormal"/>
    <w:qFormat/>
    <w:tblPr>
      <w:tblCellMar>
        <w:top w:w="100" w:type="dxa"/>
        <w:left w:w="100" w:type="dxa"/>
        <w:bottom w:w="100" w:type="dxa"/>
        <w:right w:w="100" w:type="dxa"/>
      </w:tblCellMar>
    </w:tblPr>
  </w:style>
  <w:style w:type="character" w:styleId="Heading1Char" w:customStyle="1">
    <w:name w:val="Heading 1 Char"/>
    <w:link w:val="Heading1"/>
    <w:rPr>
      <w:rFonts w:hint="default" w:ascii="Arial" w:hAnsi="Arial" w:eastAsia="Arial" w:cs="Arial"/>
      <w:b/>
      <w:color w:val="000000"/>
      <w:sz w:val="32"/>
    </w:rPr>
  </w:style>
  <w:style w:type="paragraph" w:styleId="Header">
    <w:uiPriority w:val="99"/>
    <w:name w:val="header"/>
    <w:basedOn w:val="Normal"/>
    <w:unhideWhenUsed/>
    <w:rsid w:val="7197FCDA"/>
    <w:pPr>
      <w:tabs>
        <w:tab w:val="center" w:leader="none" w:pos="4680"/>
        <w:tab w:val="right" w:leader="none" w:pos="9360"/>
      </w:tabs>
      <w:spacing w:after="0" w:line="240" w:lineRule="auto"/>
    </w:pPr>
  </w:style>
  <w:style w:type="paragraph" w:styleId="Footer">
    <w:uiPriority w:val="99"/>
    <w:name w:val="footer"/>
    <w:basedOn w:val="Normal"/>
    <w:unhideWhenUsed/>
    <w:rsid w:val="7197FCD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eader" Target="header.xml" Id="Radbcd9ee45e8405e" /><Relationship Type="http://schemas.openxmlformats.org/officeDocument/2006/relationships/footer" Target="footer.xml" Id="R135f02b9f0434deb"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bf1a86f97d15c6d47c0c47e32121ef71">
  <xsd:schema xmlns:xsd="http://www.w3.org/2001/XMLSchema" xmlns:xs="http://www.w3.org/2001/XMLSchema" xmlns:p="http://schemas.microsoft.com/office/2006/metadata/properties" xmlns:ns3="dd86abe3-ec21-467e-8687-9d211c569818" targetNamespace="http://schemas.microsoft.com/office/2006/metadata/properties" ma:root="true" ma:fieldsID="f9e9830f7322ca8a670de83ae0967c51"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FD6AF388-5CFE-4F79-BD30-2718DCFD66A6}">
  <ds:schemaRefs>
    <ds:schemaRef ds:uri="http://schemas.openxmlformats.org/officeDocument/2006/bibliography"/>
  </ds:schemaRefs>
</ds:datastoreItem>
</file>

<file path=customXml/itemProps2.xml><?xml version="1.0" encoding="utf-8"?>
<ds:datastoreItem xmlns:ds="http://schemas.openxmlformats.org/officeDocument/2006/customXml" ds:itemID="{DD06F176-B2D9-41EC-AFC0-9E7976E28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DDB623-3ABF-4870-85FD-B9FC4C2EBC68}">
  <ds:schemaRefs>
    <ds:schemaRef ds:uri="http://schemas.microsoft.com/sharepoint/v3/contenttype/forms"/>
  </ds:schemaRefs>
</ds:datastoreItem>
</file>

<file path=customXml/itemProps4.xml><?xml version="1.0" encoding="utf-8"?>
<ds:datastoreItem xmlns:ds="http://schemas.openxmlformats.org/officeDocument/2006/customXml" ds:itemID="{382C7713-BF04-4D41-9B83-CF4C416E70E3}">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ROWTECH</dc:creator>
  <keywords/>
  <dc:description/>
  <lastModifiedBy>Sajna Ahmed (2431225)</lastModifiedBy>
  <revision>7</revision>
  <dcterms:created xsi:type="dcterms:W3CDTF">2026-04-06T21:20:00.0000000Z</dcterms:created>
  <dcterms:modified xsi:type="dcterms:W3CDTF">2026-04-08T23:23:52.0706832Z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eyJoZGlkIjoiNzc1OGY5NzE2NGM3ZjM0ZmEzNmYwOGRhYzAzNzUxOTEiLCJ1c2VySWQiOiIzMTc4NDk0ODI4MTMwIn0=</vt:lpwstr>
  </property>
  <property fmtid="{D5CDD505-2E9C-101B-9397-08002B2CF9AE}" pid="3" name="KSOProductBuildVer">
    <vt:lpwstr>1033-12.1.0.25242</vt:lpwstr>
  </property>
  <property fmtid="{D5CDD505-2E9C-101B-9397-08002B2CF9AE}" pid="4" name="ICV">
    <vt:lpwstr>9DCDB5B8F9EA420CA18163F1D9FE4F93_13</vt:lpwstr>
  </property>
  <property fmtid="{D5CDD505-2E9C-101B-9397-08002B2CF9AE}" pid="5" name="GrammarlyDocumentId">
    <vt:lpwstr>f23d38a3-5df1-4e24-932b-15a657737dfd</vt:lpwstr>
  </property>
  <property fmtid="{D5CDD505-2E9C-101B-9397-08002B2CF9AE}" pid="6" name="ContentTypeId">
    <vt:lpwstr>0x01010059C4DBF88080B948BDB8376217054C6E</vt:lpwstr>
  </property>
</Properties>
</file>