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FBEFA" w14:textId="77777777" w:rsidR="0031110F" w:rsidRPr="0031110F" w:rsidRDefault="0031110F" w:rsidP="0031110F">
      <w:pPr>
        <w:rPr>
          <w:rFonts w:ascii="Georgia" w:eastAsia="Georgia" w:hAnsi="Georgia" w:cs="Georgia"/>
          <w:color w:val="000000"/>
          <w:sz w:val="21"/>
          <w:szCs w:val="21"/>
          <w:u w:color="000000"/>
        </w:rPr>
      </w:pPr>
      <w:r w:rsidRPr="0031110F">
        <w:rPr>
          <w:rFonts w:ascii="Georgia" w:eastAsia="Georgia" w:hAnsi="Georgia" w:cs="Georgia"/>
          <w:noProof/>
          <w:color w:val="000000"/>
          <w:sz w:val="21"/>
          <w:szCs w:val="21"/>
          <w:u w:color="000000"/>
        </w:rPr>
        <w:drawing>
          <wp:inline distT="0" distB="0" distL="0" distR="0" wp14:anchorId="6B817CDC" wp14:editId="619FF630">
            <wp:extent cx="1905000" cy="632460"/>
            <wp:effectExtent l="0" t="0" r="0" b="0"/>
            <wp:docPr id="1330664327" name="Picture 1"/>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1"/>
                    <pic:cNvPicPr>
                      <a:picLocks noRot="1" noChangeAspect="1" noMove="1" noResize="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a:noFill/>
                    </a:ln>
                    <a:effectLst/>
                  </pic:spPr>
                </pic:pic>
              </a:graphicData>
            </a:graphic>
          </wp:inline>
        </w:drawing>
      </w:r>
    </w:p>
    <w:p w14:paraId="486E6126" w14:textId="77777777" w:rsidR="0031110F" w:rsidRPr="0031110F" w:rsidRDefault="0031110F" w:rsidP="0031110F">
      <w:pPr>
        <w:rPr>
          <w:rFonts w:ascii="Georgia" w:eastAsia="Georgia" w:hAnsi="Georgia" w:cs="Georgia"/>
          <w:color w:val="000000"/>
          <w:sz w:val="21"/>
          <w:szCs w:val="21"/>
          <w:u w:color="000000"/>
        </w:rPr>
      </w:pPr>
    </w:p>
    <w:p w14:paraId="4D91D0F6" w14:textId="77777777" w:rsidR="0031110F" w:rsidRPr="0031110F" w:rsidRDefault="0031110F" w:rsidP="0031110F">
      <w:pPr>
        <w:rPr>
          <w:rFonts w:ascii="Georgia" w:eastAsia="Georgia" w:hAnsi="Georgia" w:cs="Georgia"/>
          <w:color w:val="000000"/>
          <w:sz w:val="21"/>
          <w:szCs w:val="21"/>
          <w:u w:color="000000"/>
        </w:rPr>
      </w:pPr>
    </w:p>
    <w:p w14:paraId="6E0A4541" w14:textId="77777777" w:rsidR="0031110F" w:rsidRPr="0031110F" w:rsidRDefault="0031110F" w:rsidP="0031110F">
      <w:pPr>
        <w:jc w:val="center"/>
        <w:rPr>
          <w:rFonts w:ascii="Arial" w:eastAsia="Arial" w:hAnsi="Arial" w:cs="Arial"/>
          <w:b/>
          <w:bCs/>
          <w:color w:val="000000"/>
          <w:sz w:val="28"/>
          <w:szCs w:val="28"/>
          <w:u w:color="000000"/>
        </w:rPr>
      </w:pPr>
      <w:r w:rsidRPr="0031110F">
        <w:rPr>
          <w:rFonts w:ascii="Arial" w:eastAsia="Arial Unicode MS" w:hAnsi="Arial" w:cs="Arial Unicode MS"/>
          <w:b/>
          <w:bCs/>
          <w:color w:val="000000"/>
          <w:sz w:val="28"/>
          <w:szCs w:val="28"/>
          <w:u w:color="000000"/>
        </w:rPr>
        <w:t xml:space="preserve">Postgraduate/Distance Learning </w:t>
      </w:r>
    </w:p>
    <w:p w14:paraId="1B0FD14A" w14:textId="77777777" w:rsidR="0031110F" w:rsidRPr="0031110F" w:rsidRDefault="0031110F" w:rsidP="0031110F">
      <w:pPr>
        <w:jc w:val="center"/>
        <w:rPr>
          <w:rFonts w:ascii="Arial" w:eastAsia="Arial" w:hAnsi="Arial" w:cs="Arial"/>
          <w:b/>
          <w:bCs/>
          <w:color w:val="000000"/>
          <w:sz w:val="28"/>
          <w:szCs w:val="28"/>
          <w:u w:color="000000"/>
        </w:rPr>
      </w:pPr>
      <w:r w:rsidRPr="0031110F">
        <w:rPr>
          <w:rFonts w:ascii="Arial" w:eastAsia="Arial Unicode MS" w:hAnsi="Arial" w:cs="Arial Unicode MS"/>
          <w:b/>
          <w:bCs/>
          <w:color w:val="000000"/>
          <w:sz w:val="28"/>
          <w:szCs w:val="28"/>
          <w:u w:color="000000"/>
        </w:rPr>
        <w:t>Assignment coversheet &amp; feedback form</w:t>
      </w:r>
    </w:p>
    <w:p w14:paraId="48DCD554" w14:textId="77777777" w:rsidR="0031110F" w:rsidRPr="0031110F" w:rsidRDefault="0031110F" w:rsidP="0031110F">
      <w:pPr>
        <w:spacing w:before="160"/>
        <w:rPr>
          <w:rFonts w:ascii="Arial" w:eastAsia="Arial" w:hAnsi="Arial" w:cs="Arial"/>
          <w:color w:val="000000"/>
          <w:sz w:val="28"/>
          <w:szCs w:val="28"/>
          <w:u w:color="000000"/>
          <w:lang w:val="en-GB" w:eastAsia="en-GB"/>
        </w:rPr>
      </w:pPr>
    </w:p>
    <w:p w14:paraId="5AF0E25D" w14:textId="66FFF789" w:rsidR="0031110F" w:rsidRPr="0031110F" w:rsidRDefault="0031110F" w:rsidP="0031110F">
      <w:pPr>
        <w:keepNext/>
        <w:ind w:left="720"/>
        <w:jc w:val="center"/>
        <w:outlineLvl w:val="2"/>
        <w:rPr>
          <w:rFonts w:ascii="Tahoma Bold" w:eastAsia="Tahoma Bold" w:hAnsi="Tahoma Bold" w:cs="Tahoma Bold"/>
          <w:color w:val="000000"/>
          <w:sz w:val="20"/>
          <w:szCs w:val="20"/>
          <w:u w:color="000000"/>
          <w:lang w:val="en-GB" w:eastAsia="en-GB"/>
        </w:rPr>
      </w:pPr>
      <w:r w:rsidRPr="0031110F">
        <w:rPr>
          <w:rFonts w:ascii="Tahoma Bold" w:eastAsia="Arial Unicode MS" w:hAnsi="Tahoma Bold" w:cs="Arial Unicode MS"/>
          <w:color w:val="000000"/>
          <w:sz w:val="20"/>
          <w:szCs w:val="20"/>
          <w:u w:color="000000"/>
          <w:lang w:val="en-GB" w:eastAsia="en-GB"/>
        </w:rPr>
        <w:t>THIS SHEET MUST BE THE FIRST PAGE OF THE ASSIGNMENT YOU ARE SUBMITTING (DO NOT SEND AS A SEPARATE FILE)</w:t>
      </w:r>
    </w:p>
    <w:p w14:paraId="6628E45F" w14:textId="77777777" w:rsidR="0031110F" w:rsidRPr="0031110F" w:rsidRDefault="0031110F" w:rsidP="0031110F">
      <w:pPr>
        <w:keepNext/>
        <w:ind w:left="720"/>
        <w:jc w:val="center"/>
        <w:outlineLvl w:val="2"/>
        <w:rPr>
          <w:rFonts w:ascii="Trebuchet MS" w:eastAsia="Trebuchet MS" w:hAnsi="Trebuchet MS" w:cs="Trebuchet MS"/>
          <w:b/>
          <w:bCs/>
          <w:color w:val="000000"/>
          <w:sz w:val="20"/>
          <w:szCs w:val="20"/>
          <w:u w:color="000000"/>
          <w:lang w:eastAsia="en-GB"/>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31110F" w:rsidRPr="0031110F" w14:paraId="7F1C8867" w14:textId="77777777" w:rsidTr="000F4AD9">
        <w:trPr>
          <w:cantSplit/>
          <w:trHeight w:val="45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49CE0181" w14:textId="77777777" w:rsidR="0031110F" w:rsidRPr="0031110F" w:rsidRDefault="0031110F" w:rsidP="0031110F">
            <w:pPr>
              <w:ind w:right="34"/>
              <w:rPr>
                <w:rFonts w:eastAsia="Times New Roman" w:cs="Times New Roman"/>
                <w:szCs w:val="24"/>
              </w:rPr>
            </w:pPr>
            <w:r w:rsidRPr="0031110F">
              <w:rPr>
                <w:rFonts w:ascii="Arial" w:eastAsia="Arial Unicode MS" w:hAnsi="Arial" w:cs="Arial Unicode MS"/>
                <w:b/>
                <w:bCs/>
                <w:color w:val="000000"/>
                <w:sz w:val="22"/>
                <w:u w:color="000000"/>
              </w:rPr>
              <w:t>For completion by the student</w:t>
            </w:r>
            <w:r w:rsidRPr="0031110F">
              <w:rPr>
                <w:rFonts w:ascii="Arial" w:eastAsia="Arial Unicode MS" w:hAnsi="Arial" w:cs="Arial Unicode MS"/>
                <w:color w:val="000000"/>
                <w:sz w:val="22"/>
                <w:u w:color="000000"/>
              </w:rPr>
              <w:t>:</w:t>
            </w:r>
          </w:p>
        </w:tc>
      </w:tr>
      <w:tr w:rsidR="0031110F" w:rsidRPr="0031110F" w14:paraId="0193EE2B" w14:textId="77777777" w:rsidTr="000F4AD9">
        <w:trPr>
          <w:cantSplit/>
          <w:trHeight w:val="55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4A9CFC2" w14:textId="77777777" w:rsidR="0031110F" w:rsidRPr="0031110F" w:rsidRDefault="0031110F" w:rsidP="0031110F">
            <w:pPr>
              <w:ind w:right="34"/>
              <w:rPr>
                <w:rFonts w:eastAsia="Times New Roman" w:cs="Times New Roman"/>
                <w:szCs w:val="24"/>
              </w:rPr>
            </w:pPr>
            <w:r w:rsidRPr="0031110F">
              <w:rPr>
                <w:rFonts w:ascii="Arial" w:eastAsia="Arial Unicode MS" w:hAnsi="Arial" w:cs="Arial Unicode MS"/>
                <w:color w:val="000000"/>
                <w:sz w:val="22"/>
                <w:u w:color="000000"/>
              </w:rPr>
              <w:t>Student Name: Jill James</w:t>
            </w:r>
          </w:p>
        </w:tc>
      </w:tr>
      <w:tr w:rsidR="0031110F" w:rsidRPr="0031110F" w14:paraId="7380E813" w14:textId="77777777" w:rsidTr="000F4AD9">
        <w:trPr>
          <w:cantSplit/>
          <w:trHeight w:val="1443"/>
          <w:jc w:val="center"/>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23248CF0" w14:textId="77777777" w:rsidR="0031110F" w:rsidRPr="0031110F" w:rsidRDefault="0031110F" w:rsidP="0031110F">
            <w:pPr>
              <w:ind w:right="34"/>
              <w:rPr>
                <w:rFonts w:ascii="Arial" w:eastAsia="Arial" w:hAnsi="Arial" w:cs="Arial"/>
                <w:color w:val="000000"/>
                <w:sz w:val="22"/>
                <w:u w:color="000000"/>
              </w:rPr>
            </w:pPr>
            <w:r w:rsidRPr="0031110F">
              <w:rPr>
                <w:rFonts w:ascii="Arial" w:eastAsia="Arial Unicode MS" w:hAnsi="Arial" w:cs="Arial Unicode MS"/>
                <w:color w:val="000000"/>
                <w:sz w:val="22"/>
                <w:u w:color="000000"/>
              </w:rPr>
              <w:t>Module code:  HPCA7023</w:t>
            </w:r>
          </w:p>
          <w:p w14:paraId="4C3F9832" w14:textId="77777777" w:rsidR="0031110F" w:rsidRPr="0031110F" w:rsidRDefault="0031110F" w:rsidP="0031110F">
            <w:pPr>
              <w:ind w:right="34"/>
              <w:rPr>
                <w:rFonts w:ascii="Arial" w:eastAsia="Arial" w:hAnsi="Arial" w:cs="Arial"/>
                <w:color w:val="000000"/>
                <w:sz w:val="22"/>
                <w:u w:color="000000"/>
              </w:rPr>
            </w:pPr>
          </w:p>
          <w:p w14:paraId="3EBEA6AB" w14:textId="77777777" w:rsidR="0031110F" w:rsidRPr="0031110F" w:rsidRDefault="0031110F" w:rsidP="0031110F">
            <w:pPr>
              <w:ind w:right="34"/>
              <w:rPr>
                <w:rFonts w:ascii="Arial" w:eastAsia="Arial" w:hAnsi="Arial" w:cs="Arial"/>
                <w:color w:val="000000"/>
                <w:sz w:val="22"/>
                <w:u w:color="000000"/>
              </w:rPr>
            </w:pPr>
            <w:r w:rsidRPr="0031110F">
              <w:rPr>
                <w:rFonts w:ascii="Arial" w:eastAsia="Arial Unicode MS" w:hAnsi="Arial" w:cs="Arial Unicode MS"/>
                <w:color w:val="000000"/>
                <w:sz w:val="22"/>
                <w:u w:color="000000"/>
              </w:rPr>
              <w:t>Module title:  Ecology and Spirituality</w:t>
            </w:r>
          </w:p>
          <w:p w14:paraId="330CD0E1" w14:textId="77777777" w:rsidR="0031110F" w:rsidRPr="0031110F" w:rsidRDefault="0031110F" w:rsidP="0031110F">
            <w:pPr>
              <w:ind w:right="34"/>
              <w:rPr>
                <w:rFonts w:eastAsia="Times New Roman" w:cs="Times New Roman"/>
                <w:szCs w:val="24"/>
              </w:rPr>
            </w:pPr>
          </w:p>
        </w:tc>
        <w:tc>
          <w:tcPr>
            <w:tcW w:w="226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DB60AA7" w14:textId="77777777" w:rsidR="0031110F" w:rsidRPr="0031110F" w:rsidRDefault="0031110F" w:rsidP="0031110F">
            <w:pPr>
              <w:ind w:right="34"/>
              <w:rPr>
                <w:rFonts w:ascii="Arial" w:eastAsia="Arial Unicode MS" w:hAnsi="Arial" w:cs="Arial Unicode MS"/>
                <w:color w:val="000000"/>
                <w:sz w:val="22"/>
                <w:u w:color="000000"/>
              </w:rPr>
            </w:pPr>
            <w:r w:rsidRPr="0031110F">
              <w:rPr>
                <w:rFonts w:ascii="Arial" w:eastAsia="Arial Unicode MS" w:hAnsi="Arial" w:cs="Arial Unicode MS"/>
                <w:color w:val="000000"/>
                <w:sz w:val="22"/>
                <w:u w:color="000000"/>
              </w:rPr>
              <w:t>Student ID number:</w:t>
            </w:r>
          </w:p>
          <w:p w14:paraId="1BC36404" w14:textId="77777777" w:rsidR="0031110F" w:rsidRPr="0031110F" w:rsidRDefault="0031110F" w:rsidP="0031110F">
            <w:pPr>
              <w:ind w:right="34"/>
              <w:rPr>
                <w:rFonts w:ascii="Arial" w:eastAsia="Arial Unicode MS" w:hAnsi="Arial" w:cs="Arial Unicode MS"/>
                <w:color w:val="000000"/>
                <w:sz w:val="22"/>
                <w:u w:color="000000"/>
              </w:rPr>
            </w:pPr>
          </w:p>
          <w:p w14:paraId="31E09B89" w14:textId="77777777" w:rsidR="0031110F" w:rsidRPr="0031110F" w:rsidRDefault="0031110F" w:rsidP="0031110F">
            <w:pPr>
              <w:ind w:right="34"/>
              <w:rPr>
                <w:rFonts w:eastAsia="Times New Roman" w:cs="Times New Roman"/>
                <w:szCs w:val="24"/>
              </w:rPr>
            </w:pPr>
            <w:r w:rsidRPr="0031110F">
              <w:rPr>
                <w:rFonts w:ascii="Arial" w:eastAsia="Arial Unicode MS" w:hAnsi="Arial" w:cs="Arial Unicode MS"/>
                <w:color w:val="000000"/>
                <w:sz w:val="22"/>
                <w:u w:color="000000"/>
              </w:rPr>
              <w:t xml:space="preserve">       1601384  </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10BBA573" w14:textId="77777777" w:rsidR="0031110F" w:rsidRPr="0031110F" w:rsidRDefault="0031110F" w:rsidP="0031110F">
            <w:pPr>
              <w:ind w:right="34"/>
              <w:rPr>
                <w:rFonts w:ascii="Arial" w:eastAsia="Arial" w:hAnsi="Arial" w:cs="Arial"/>
                <w:color w:val="000000"/>
                <w:sz w:val="22"/>
                <w:u w:color="000000"/>
              </w:rPr>
            </w:pPr>
            <w:r w:rsidRPr="0031110F">
              <w:rPr>
                <w:rFonts w:ascii="Arial" w:eastAsia="Arial Unicode MS" w:hAnsi="Arial" w:cs="Arial Unicode MS"/>
                <w:color w:val="000000"/>
                <w:sz w:val="22"/>
                <w:u w:color="000000"/>
              </w:rPr>
              <w:t>Educational support needs:</w:t>
            </w:r>
          </w:p>
          <w:p w14:paraId="09C6D59E" w14:textId="77777777" w:rsidR="0031110F" w:rsidRPr="0031110F" w:rsidRDefault="0031110F" w:rsidP="0031110F">
            <w:pPr>
              <w:ind w:right="34"/>
              <w:rPr>
                <w:rFonts w:ascii="Arial" w:eastAsia="Arial Unicode MS" w:hAnsi="Arial" w:cs="Arial Unicode MS"/>
                <w:color w:val="000000"/>
                <w:sz w:val="22"/>
                <w:u w:color="000000"/>
              </w:rPr>
            </w:pPr>
            <w:r w:rsidRPr="0031110F">
              <w:rPr>
                <w:rFonts w:ascii="Arial" w:eastAsia="Arial Unicode MS" w:hAnsi="Arial" w:cs="Arial Unicode MS"/>
                <w:color w:val="000000"/>
                <w:sz w:val="22"/>
                <w:u w:color="000000"/>
              </w:rPr>
              <w:t>Yes/No</w:t>
            </w:r>
          </w:p>
          <w:p w14:paraId="2BFDC1A7" w14:textId="77777777" w:rsidR="0031110F" w:rsidRPr="0031110F" w:rsidRDefault="0031110F" w:rsidP="0031110F">
            <w:pPr>
              <w:ind w:right="34"/>
              <w:rPr>
                <w:rFonts w:ascii="Arial" w:eastAsia="Arial Unicode MS" w:hAnsi="Arial" w:cs="Arial Unicode MS"/>
                <w:color w:val="000000"/>
                <w:sz w:val="22"/>
                <w:u w:color="000000"/>
              </w:rPr>
            </w:pPr>
          </w:p>
          <w:p w14:paraId="40FAE06F" w14:textId="77777777" w:rsidR="0031110F" w:rsidRPr="0031110F" w:rsidRDefault="0031110F" w:rsidP="0031110F">
            <w:pPr>
              <w:ind w:right="34"/>
              <w:rPr>
                <w:rFonts w:eastAsia="Times New Roman" w:cs="Times New Roman"/>
                <w:szCs w:val="24"/>
              </w:rPr>
            </w:pPr>
            <w:r w:rsidRPr="0031110F">
              <w:rPr>
                <w:rFonts w:ascii="Arial" w:eastAsia="Arial Unicode MS" w:hAnsi="Arial" w:cs="Arial Unicode MS"/>
                <w:color w:val="000000"/>
                <w:sz w:val="22"/>
                <w:u w:color="000000"/>
              </w:rPr>
              <w:t xml:space="preserve">        NO</w:t>
            </w:r>
          </w:p>
        </w:tc>
      </w:tr>
      <w:tr w:rsidR="0031110F" w:rsidRPr="0031110F" w14:paraId="36B27E37" w14:textId="77777777" w:rsidTr="000F4AD9">
        <w:trPr>
          <w:cantSplit/>
          <w:trHeight w:val="979"/>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3354145E" w14:textId="77777777" w:rsidR="0031110F" w:rsidRPr="0031110F" w:rsidRDefault="0031110F" w:rsidP="0031110F">
            <w:pPr>
              <w:ind w:right="34"/>
              <w:rPr>
                <w:rFonts w:ascii="Arial" w:eastAsia="Arial" w:hAnsi="Arial" w:cs="Arial"/>
                <w:color w:val="000000"/>
                <w:sz w:val="22"/>
                <w:u w:color="000000"/>
              </w:rPr>
            </w:pPr>
            <w:r w:rsidRPr="0031110F">
              <w:rPr>
                <w:rFonts w:ascii="Arial" w:eastAsia="Arial Unicode MS" w:hAnsi="Arial" w:cs="Arial Unicode MS"/>
                <w:color w:val="000000"/>
                <w:sz w:val="22"/>
                <w:u w:color="000000"/>
              </w:rPr>
              <w:t>Module tutor:  Jack Hunter</w:t>
            </w:r>
          </w:p>
          <w:p w14:paraId="3B9E308B" w14:textId="77777777" w:rsidR="0031110F" w:rsidRPr="0031110F" w:rsidRDefault="0031110F" w:rsidP="0031110F">
            <w:pPr>
              <w:ind w:right="34"/>
              <w:rPr>
                <w:rFonts w:ascii="Arial" w:eastAsia="Arial" w:hAnsi="Arial" w:cs="Arial"/>
                <w:color w:val="000000"/>
                <w:sz w:val="22"/>
                <w:u w:color="000000"/>
              </w:rPr>
            </w:pPr>
          </w:p>
          <w:p w14:paraId="3EB90888" w14:textId="77777777" w:rsidR="0031110F" w:rsidRPr="0031110F" w:rsidRDefault="0031110F" w:rsidP="0031110F">
            <w:pPr>
              <w:ind w:right="34"/>
              <w:rPr>
                <w:rFonts w:ascii="Arial" w:eastAsia="Arial" w:hAnsi="Arial" w:cs="Arial"/>
                <w:color w:val="000000"/>
                <w:sz w:val="22"/>
                <w:u w:color="000000"/>
              </w:rPr>
            </w:pPr>
          </w:p>
          <w:p w14:paraId="5B89208C" w14:textId="11D4F969" w:rsidR="0031110F" w:rsidRPr="0031110F" w:rsidRDefault="0031110F" w:rsidP="0031110F">
            <w:pPr>
              <w:ind w:right="34"/>
              <w:rPr>
                <w:rFonts w:eastAsia="Times New Roman" w:cs="Times New Roman"/>
                <w:szCs w:val="24"/>
              </w:rPr>
            </w:pPr>
            <w:r w:rsidRPr="0031110F">
              <w:rPr>
                <w:rFonts w:ascii="Arial" w:eastAsia="Arial Unicode MS" w:hAnsi="Arial" w:cs="Arial Unicode MS"/>
                <w:color w:val="000000"/>
                <w:sz w:val="22"/>
                <w:u w:color="000000"/>
              </w:rPr>
              <w:t xml:space="preserve">Assignment due date:   </w:t>
            </w:r>
            <w:r>
              <w:rPr>
                <w:rFonts w:ascii="Arial" w:eastAsia="Arial Unicode MS" w:hAnsi="Arial" w:cs="Arial Unicode MS"/>
                <w:color w:val="000000"/>
                <w:sz w:val="22"/>
                <w:u w:color="000000"/>
              </w:rPr>
              <w:t>6</w:t>
            </w:r>
            <w:r w:rsidRPr="0031110F">
              <w:rPr>
                <w:rFonts w:ascii="Arial" w:eastAsia="Arial Unicode MS" w:hAnsi="Arial" w:cs="Arial Unicode MS"/>
                <w:color w:val="000000"/>
                <w:sz w:val="22"/>
                <w:u w:color="000000"/>
              </w:rPr>
              <w:t xml:space="preserve"> </w:t>
            </w:r>
            <w:r>
              <w:rPr>
                <w:rFonts w:ascii="Arial" w:eastAsia="Arial Unicode MS" w:hAnsi="Arial" w:cs="Arial Unicode MS"/>
                <w:color w:val="000000"/>
                <w:sz w:val="22"/>
                <w:u w:color="000000"/>
              </w:rPr>
              <w:t>January</w:t>
            </w:r>
            <w:r w:rsidRPr="0031110F">
              <w:rPr>
                <w:rFonts w:ascii="Arial" w:eastAsia="Arial Unicode MS" w:hAnsi="Arial" w:cs="Arial Unicode MS"/>
                <w:color w:val="000000"/>
                <w:sz w:val="22"/>
                <w:u w:color="000000"/>
              </w:rPr>
              <w:t xml:space="preserve"> 202</w:t>
            </w:r>
            <w:r>
              <w:rPr>
                <w:rFonts w:ascii="Arial" w:eastAsia="Arial Unicode MS" w:hAnsi="Arial" w:cs="Arial Unicode MS"/>
                <w:color w:val="000000"/>
                <w:sz w:val="22"/>
                <w:u w:color="000000"/>
              </w:rPr>
              <w:t>5</w:t>
            </w:r>
          </w:p>
        </w:tc>
      </w:tr>
      <w:tr w:rsidR="0031110F" w:rsidRPr="0031110F" w14:paraId="16A471B3" w14:textId="77777777" w:rsidTr="000F4AD9">
        <w:trPr>
          <w:cantSplit/>
          <w:trHeight w:val="81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A0D846" w14:textId="3270D9AF" w:rsidR="0031110F" w:rsidRPr="0031110F" w:rsidRDefault="0031110F" w:rsidP="0031110F">
            <w:pPr>
              <w:spacing w:before="160"/>
              <w:rPr>
                <w:rFonts w:ascii="Arial" w:eastAsia="Arial" w:hAnsi="Arial" w:cs="Arial"/>
                <w:color w:val="000000"/>
                <w:szCs w:val="24"/>
                <w:u w:color="000000"/>
                <w:lang w:val="en-GB" w:eastAsia="en-GB"/>
              </w:rPr>
            </w:pPr>
            <w:r w:rsidRPr="0031110F">
              <w:rPr>
                <w:rFonts w:ascii="Arial" w:eastAsia="Arial Unicode MS" w:hAnsi="Arial" w:cs="Arial Unicode MS"/>
                <w:color w:val="000000"/>
                <w:szCs w:val="24"/>
                <w:u w:color="000000"/>
                <w:lang w:eastAsia="en-GB"/>
              </w:rPr>
              <w:t>If your module has multiple submissions</w:t>
            </w:r>
            <w:r>
              <w:rPr>
                <w:rFonts w:ascii="Arial" w:eastAsia="Arial Unicode MS" w:hAnsi="Arial" w:cs="Arial Unicode MS"/>
                <w:color w:val="000000"/>
                <w:szCs w:val="24"/>
                <w:u w:color="000000"/>
                <w:lang w:eastAsia="en-GB"/>
              </w:rPr>
              <w:t>,</w:t>
            </w:r>
            <w:r w:rsidRPr="0031110F">
              <w:rPr>
                <w:rFonts w:ascii="Arial" w:eastAsia="Arial Unicode MS" w:hAnsi="Arial" w:cs="Arial Unicode MS"/>
                <w:color w:val="000000"/>
                <w:szCs w:val="24"/>
                <w:u w:color="000000"/>
                <w:lang w:eastAsia="en-GB"/>
              </w:rPr>
              <w:t xml:space="preserve"> please indicate which piece of work this is.</w:t>
            </w:r>
          </w:p>
          <w:p w14:paraId="4D95DC88" w14:textId="77777777" w:rsidR="0031110F" w:rsidRPr="0031110F" w:rsidRDefault="0031110F" w:rsidP="0031110F">
            <w:pPr>
              <w:spacing w:before="160"/>
              <w:rPr>
                <w:rFonts w:ascii="Arial" w:eastAsia="Arial" w:hAnsi="Arial" w:cs="Arial"/>
                <w:color w:val="000000"/>
                <w:szCs w:val="24"/>
                <w:u w:color="000000"/>
                <w:lang w:eastAsia="en-GB"/>
              </w:rPr>
            </w:pPr>
          </w:p>
          <w:p w14:paraId="093A24DA" w14:textId="77777777" w:rsidR="0031110F" w:rsidRPr="0031110F" w:rsidRDefault="0031110F" w:rsidP="0031110F">
            <w:pPr>
              <w:spacing w:before="160"/>
              <w:rPr>
                <w:rFonts w:ascii="Arial" w:eastAsia="Arial Unicode MS" w:hAnsi="Arial" w:cs="Arial Unicode MS"/>
                <w:color w:val="000000"/>
                <w:szCs w:val="24"/>
                <w:u w:color="000000"/>
                <w:lang w:eastAsia="en-GB"/>
              </w:rPr>
            </w:pPr>
            <w:r w:rsidRPr="0031110F">
              <w:rPr>
                <w:rFonts w:ascii="Arial" w:eastAsia="Arial Unicode MS" w:hAnsi="Arial" w:cs="Arial Unicode MS"/>
                <w:color w:val="000000"/>
                <w:szCs w:val="24"/>
                <w:u w:color="000000"/>
                <w:lang w:eastAsia="en-GB"/>
              </w:rPr>
              <w:t>1</w:t>
            </w:r>
            <w:r w:rsidRPr="0031110F">
              <w:rPr>
                <w:rFonts w:ascii="Arial" w:eastAsia="Arial Unicode MS" w:hAnsi="Arial" w:cs="Arial Unicode MS"/>
                <w:color w:val="000000"/>
                <w:szCs w:val="24"/>
                <w:u w:color="000000"/>
                <w:vertAlign w:val="superscript"/>
                <w:lang w:eastAsia="en-GB"/>
              </w:rPr>
              <w:t xml:space="preserve">st </w:t>
            </w:r>
            <w:r w:rsidRPr="0031110F">
              <w:rPr>
                <w:rFonts w:ascii="Arial" w:eastAsia="Arial Unicode MS" w:hAnsi="Arial" w:cs="Arial Unicode MS"/>
                <w:color w:val="000000"/>
                <w:szCs w:val="24"/>
                <w:u w:color="000000"/>
                <w:lang w:eastAsia="en-GB"/>
              </w:rPr>
              <w:t xml:space="preserve">    </w:t>
            </w:r>
            <w:r w:rsidRPr="0031110F">
              <w:rPr>
                <w:rFonts w:ascii="Arial" w:eastAsia="Arial Unicode MS" w:hAnsi="Arial" w:cs="Arial Unicode MS"/>
                <w:color w:val="000000"/>
                <w:szCs w:val="24"/>
                <w:u w:val="single"/>
                <w:lang w:eastAsia="en-GB"/>
              </w:rPr>
              <w:t>2</w:t>
            </w:r>
            <w:r w:rsidRPr="0031110F">
              <w:rPr>
                <w:rFonts w:ascii="Arial" w:eastAsia="Arial Unicode MS" w:hAnsi="Arial" w:cs="Arial Unicode MS"/>
                <w:color w:val="000000"/>
                <w:szCs w:val="24"/>
                <w:u w:val="single"/>
                <w:vertAlign w:val="superscript"/>
                <w:lang w:eastAsia="en-GB"/>
              </w:rPr>
              <w:t>nd</w:t>
            </w:r>
            <w:r w:rsidRPr="0031110F">
              <w:rPr>
                <w:rFonts w:ascii="Arial" w:eastAsia="Arial Unicode MS" w:hAnsi="Arial" w:cs="Arial Unicode MS"/>
                <w:color w:val="000000"/>
                <w:szCs w:val="24"/>
                <w:u w:val="single"/>
                <w:lang w:eastAsia="en-GB"/>
              </w:rPr>
              <w:t xml:space="preserve"> </w:t>
            </w:r>
            <w:r w:rsidRPr="0031110F">
              <w:rPr>
                <w:rFonts w:ascii="Arial" w:eastAsia="Arial Unicode MS" w:hAnsi="Arial" w:cs="Arial Unicode MS"/>
                <w:color w:val="000000"/>
                <w:szCs w:val="24"/>
                <w:u w:color="000000"/>
                <w:lang w:eastAsia="en-GB"/>
              </w:rPr>
              <w:t xml:space="preserve">      3</w:t>
            </w:r>
            <w:r w:rsidRPr="0031110F">
              <w:rPr>
                <w:rFonts w:ascii="Arial" w:eastAsia="Arial Unicode MS" w:hAnsi="Arial" w:cs="Arial Unicode MS"/>
                <w:color w:val="000000"/>
                <w:szCs w:val="24"/>
                <w:u w:color="000000"/>
                <w:vertAlign w:val="superscript"/>
                <w:lang w:eastAsia="en-GB"/>
              </w:rPr>
              <w:t>rd</w:t>
            </w:r>
            <w:r w:rsidRPr="0031110F">
              <w:rPr>
                <w:rFonts w:ascii="Arial" w:eastAsia="Arial Unicode MS" w:hAnsi="Arial" w:cs="Arial Unicode MS"/>
                <w:color w:val="000000"/>
                <w:szCs w:val="24"/>
                <w:u w:color="000000"/>
                <w:lang w:eastAsia="en-GB"/>
              </w:rPr>
              <w:t xml:space="preserve">        4</w:t>
            </w:r>
            <w:r w:rsidRPr="0031110F">
              <w:rPr>
                <w:rFonts w:ascii="Arial" w:eastAsia="Arial Unicode MS" w:hAnsi="Arial" w:cs="Arial Unicode MS"/>
                <w:color w:val="000000"/>
                <w:szCs w:val="24"/>
                <w:u w:color="000000"/>
                <w:vertAlign w:val="superscript"/>
                <w:lang w:eastAsia="en-GB"/>
              </w:rPr>
              <w:t>th</w:t>
            </w:r>
            <w:r w:rsidRPr="0031110F">
              <w:rPr>
                <w:rFonts w:ascii="Arial" w:eastAsia="Arial Unicode MS" w:hAnsi="Arial" w:cs="Arial Unicode MS"/>
                <w:color w:val="000000"/>
                <w:szCs w:val="24"/>
                <w:u w:color="000000"/>
                <w:lang w:eastAsia="en-GB"/>
              </w:rPr>
              <w:t xml:space="preserve">       5</w:t>
            </w:r>
            <w:r w:rsidRPr="0031110F">
              <w:rPr>
                <w:rFonts w:ascii="Arial" w:eastAsia="Arial Unicode MS" w:hAnsi="Arial" w:cs="Arial Unicode MS"/>
                <w:color w:val="000000"/>
                <w:szCs w:val="24"/>
                <w:u w:color="000000"/>
                <w:vertAlign w:val="superscript"/>
                <w:lang w:eastAsia="en-GB"/>
              </w:rPr>
              <w:t>th</w:t>
            </w:r>
            <w:r w:rsidRPr="0031110F">
              <w:rPr>
                <w:rFonts w:ascii="Arial" w:eastAsia="Arial Unicode MS" w:hAnsi="Arial" w:cs="Arial Unicode MS"/>
                <w:color w:val="000000"/>
                <w:szCs w:val="24"/>
                <w:u w:color="000000"/>
                <w:lang w:eastAsia="en-GB"/>
              </w:rPr>
              <w:t xml:space="preserve">       6</w:t>
            </w:r>
            <w:r w:rsidRPr="0031110F">
              <w:rPr>
                <w:rFonts w:ascii="Arial" w:eastAsia="Arial Unicode MS" w:hAnsi="Arial" w:cs="Arial Unicode MS"/>
                <w:color w:val="000000"/>
                <w:szCs w:val="24"/>
                <w:u w:color="000000"/>
                <w:vertAlign w:val="superscript"/>
                <w:lang w:eastAsia="en-GB"/>
              </w:rPr>
              <w:t>th</w:t>
            </w:r>
            <w:r w:rsidRPr="0031110F">
              <w:rPr>
                <w:rFonts w:ascii="Arial" w:eastAsia="Arial Unicode MS" w:hAnsi="Arial" w:cs="Arial Unicode MS"/>
                <w:color w:val="000000"/>
                <w:szCs w:val="24"/>
                <w:u w:color="000000"/>
                <w:lang w:eastAsia="en-GB"/>
              </w:rPr>
              <w:t xml:space="preserve"> </w:t>
            </w:r>
          </w:p>
        </w:tc>
      </w:tr>
      <w:tr w:rsidR="0031110F" w:rsidRPr="0031110F" w14:paraId="07870876" w14:textId="77777777" w:rsidTr="000F4AD9">
        <w:trPr>
          <w:cantSplit/>
          <w:trHeight w:val="1537"/>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3DAAA3D7" w14:textId="77777777" w:rsidR="0031110F" w:rsidRPr="0031110F" w:rsidRDefault="0031110F" w:rsidP="0031110F">
            <w:pPr>
              <w:ind w:right="34"/>
              <w:rPr>
                <w:rFonts w:ascii="Arial" w:eastAsia="Arial" w:hAnsi="Arial" w:cs="Arial"/>
                <w:color w:val="000000"/>
                <w:sz w:val="22"/>
                <w:u w:color="000000"/>
              </w:rPr>
            </w:pPr>
            <w:r w:rsidRPr="0031110F">
              <w:rPr>
                <w:rFonts w:ascii="Arial" w:eastAsia="Arial Unicode MS" w:hAnsi="Arial" w:cs="Arial Unicode MS"/>
                <w:color w:val="000000"/>
                <w:sz w:val="22"/>
                <w:u w:color="000000"/>
              </w:rPr>
              <w:t>I confirm that this is my original work and that I have adhered to the University policy on plagiarism.</w:t>
            </w:r>
          </w:p>
          <w:p w14:paraId="565C3157" w14:textId="77777777" w:rsidR="0031110F" w:rsidRPr="0031110F" w:rsidRDefault="0031110F" w:rsidP="0031110F">
            <w:pPr>
              <w:ind w:right="34"/>
              <w:rPr>
                <w:rFonts w:ascii="Arial" w:eastAsia="Arial" w:hAnsi="Arial" w:cs="Arial"/>
                <w:color w:val="000000"/>
                <w:sz w:val="22"/>
                <w:u w:color="000000"/>
              </w:rPr>
            </w:pPr>
            <w:r w:rsidRPr="0031110F">
              <w:rPr>
                <w:rFonts w:ascii="Arial" w:eastAsia="Arial Unicode MS" w:hAnsi="Arial" w:cs="Arial Unicode MS"/>
                <w:color w:val="000000"/>
                <w:sz w:val="22"/>
                <w:u w:color="000000"/>
              </w:rPr>
              <w:t xml:space="preserve">Signed (type your name in)     </w:t>
            </w:r>
            <w:r w:rsidRPr="0031110F">
              <w:rPr>
                <w:rFonts w:ascii="Bradley Hand ITC" w:eastAsia="Arial Unicode MS" w:hAnsi="Bradley Hand ITC" w:cs="Arial Unicode MS"/>
                <w:color w:val="000000"/>
                <w:sz w:val="28"/>
                <w:szCs w:val="28"/>
                <w:u w:color="000000"/>
              </w:rPr>
              <w:t>Jill James</w:t>
            </w:r>
          </w:p>
          <w:p w14:paraId="29DDC653" w14:textId="77777777" w:rsidR="0031110F" w:rsidRPr="0031110F" w:rsidRDefault="0031110F" w:rsidP="0031110F">
            <w:pPr>
              <w:ind w:right="34"/>
              <w:rPr>
                <w:rFonts w:ascii="Calibri" w:eastAsia="Calibri" w:hAnsi="Calibri" w:cs="Calibri"/>
                <w:b/>
                <w:bCs/>
                <w:color w:val="000000"/>
                <w:sz w:val="44"/>
                <w:szCs w:val="44"/>
                <w:u w:color="000000"/>
              </w:rPr>
            </w:pPr>
            <w:r w:rsidRPr="0031110F">
              <w:rPr>
                <w:rFonts w:ascii="Calibri" w:eastAsia="Arial Unicode MS" w:hAnsi="Calibri" w:cs="Arial Unicode MS"/>
                <w:b/>
                <w:bCs/>
                <w:color w:val="000000"/>
                <w:szCs w:val="24"/>
                <w:u w:color="000000"/>
              </w:rPr>
              <w:t xml:space="preserve">Email submission: if you are submitting this form via email, please tick this box </w:t>
            </w:r>
            <w:r w:rsidRPr="0031110F">
              <w:rPr>
                <w:rFonts w:ascii="Calibri" w:eastAsia="Arial Unicode MS" w:hAnsi="Calibri" w:cs="Arial Unicode MS"/>
                <w:b/>
                <w:bCs/>
                <w:color w:val="000000"/>
                <w:sz w:val="44"/>
                <w:szCs w:val="44"/>
                <w:u w:color="000000"/>
              </w:rPr>
              <w:t>□</w:t>
            </w:r>
          </w:p>
          <w:p w14:paraId="3C0E3153" w14:textId="77777777" w:rsidR="0031110F" w:rsidRPr="0031110F" w:rsidRDefault="0031110F" w:rsidP="0031110F">
            <w:pPr>
              <w:ind w:right="34"/>
              <w:rPr>
                <w:rFonts w:eastAsia="Times New Roman" w:cs="Times New Roman"/>
                <w:szCs w:val="24"/>
              </w:rPr>
            </w:pPr>
            <w:r w:rsidRPr="0031110F">
              <w:rPr>
                <w:rFonts w:ascii="Calibri" w:eastAsia="Arial Unicode MS" w:hAnsi="Calibri" w:cs="Arial Unicode MS"/>
                <w:b/>
                <w:bCs/>
                <w:color w:val="000000"/>
                <w:szCs w:val="24"/>
                <w:u w:color="000000"/>
              </w:rPr>
              <w:t>(as a substitute for your signature) to confirm that you agree to the above declaration.</w:t>
            </w:r>
          </w:p>
        </w:tc>
      </w:tr>
      <w:tr w:rsidR="0031110F" w:rsidRPr="0031110F" w14:paraId="6B63ACEB" w14:textId="77777777" w:rsidTr="000F4AD9">
        <w:trPr>
          <w:cantSplit/>
          <w:trHeight w:val="3812"/>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5C3908" w14:textId="77777777" w:rsidR="0031110F" w:rsidRPr="0031110F" w:rsidRDefault="0031110F" w:rsidP="0031110F">
            <w:pPr>
              <w:spacing w:before="160"/>
              <w:rPr>
                <w:rFonts w:ascii="Arial" w:eastAsia="Arial" w:hAnsi="Arial" w:cs="Arial"/>
                <w:b/>
                <w:bCs/>
                <w:color w:val="000000"/>
                <w:szCs w:val="24"/>
                <w:u w:color="000000"/>
                <w:lang w:eastAsia="en-GB"/>
              </w:rPr>
            </w:pPr>
          </w:p>
          <w:p w14:paraId="0704E185" w14:textId="77777777" w:rsidR="0031110F" w:rsidRPr="0031110F" w:rsidRDefault="0031110F" w:rsidP="0031110F">
            <w:pPr>
              <w:spacing w:before="160"/>
              <w:rPr>
                <w:rFonts w:ascii="Arial" w:eastAsia="Arial" w:hAnsi="Arial" w:cs="Arial"/>
                <w:b/>
                <w:bCs/>
                <w:color w:val="000000"/>
                <w:szCs w:val="24"/>
                <w:u w:color="000000"/>
                <w:lang w:val="en-GB" w:eastAsia="en-GB"/>
              </w:rPr>
            </w:pPr>
            <w:r w:rsidRPr="0031110F">
              <w:rPr>
                <w:rFonts w:ascii="Arial" w:eastAsia="Arial Unicode MS" w:hAnsi="Arial" w:cs="Arial Unicode MS"/>
                <w:b/>
                <w:bCs/>
                <w:color w:val="000000"/>
                <w:szCs w:val="24"/>
                <w:u w:color="000000"/>
                <w:lang w:eastAsia="en-GB"/>
              </w:rPr>
              <w:t>Assignment Mark</w:t>
            </w:r>
          </w:p>
          <w:p w14:paraId="614C5739" w14:textId="77777777" w:rsidR="0031110F" w:rsidRPr="0031110F" w:rsidRDefault="0031110F" w:rsidP="0031110F">
            <w:pPr>
              <w:spacing w:before="160"/>
              <w:rPr>
                <w:rFonts w:ascii="Arial" w:eastAsia="Arial" w:hAnsi="Arial" w:cs="Arial"/>
                <w:color w:val="000000"/>
                <w:sz w:val="20"/>
                <w:szCs w:val="20"/>
                <w:u w:color="000000"/>
                <w:lang w:eastAsia="en-GB"/>
              </w:rPr>
            </w:pPr>
          </w:p>
          <w:p w14:paraId="48BB107B" w14:textId="77777777" w:rsidR="0031110F" w:rsidRPr="0031110F" w:rsidRDefault="0031110F" w:rsidP="0031110F">
            <w:pPr>
              <w:spacing w:before="160"/>
              <w:rPr>
                <w:rFonts w:ascii="Arial" w:eastAsia="Arial" w:hAnsi="Arial" w:cs="Arial"/>
                <w:b/>
                <w:bCs/>
                <w:color w:val="000000"/>
                <w:sz w:val="20"/>
                <w:szCs w:val="20"/>
                <w:u w:color="000000"/>
                <w:lang w:val="en-GB" w:eastAsia="en-GB"/>
              </w:rPr>
            </w:pPr>
            <w:r w:rsidRPr="0031110F">
              <w:rPr>
                <w:rFonts w:ascii="Arial" w:eastAsia="Arial Unicode MS" w:hAnsi="Arial" w:cs="Arial Unicode MS"/>
                <w:b/>
                <w:bCs/>
                <w:color w:val="000000"/>
                <w:sz w:val="20"/>
                <w:szCs w:val="20"/>
                <w:u w:color="000000"/>
                <w:lang w:eastAsia="en-GB"/>
              </w:rPr>
              <w:t>Final Mark</w:t>
            </w:r>
          </w:p>
          <w:p w14:paraId="4B74124E" w14:textId="77777777" w:rsidR="0031110F" w:rsidRPr="0031110F" w:rsidRDefault="0031110F" w:rsidP="0031110F">
            <w:pPr>
              <w:spacing w:before="160"/>
              <w:rPr>
                <w:rFonts w:ascii="Arial" w:eastAsia="Arial" w:hAnsi="Arial" w:cs="Arial"/>
                <w:color w:val="000000"/>
                <w:sz w:val="20"/>
                <w:szCs w:val="20"/>
                <w:u w:color="000000"/>
                <w:lang w:eastAsia="en-GB"/>
              </w:rPr>
            </w:pPr>
            <w:r w:rsidRPr="0031110F">
              <w:rPr>
                <w:rFonts w:ascii="Arial" w:eastAsia="Arial" w:hAnsi="Arial" w:cs="Arial"/>
                <w:b/>
                <w:bCs/>
                <w:color w:val="000000"/>
                <w:sz w:val="20"/>
                <w:szCs w:val="20"/>
                <w:u w:color="000000"/>
                <w:lang w:val="en-GB" w:eastAsia="en-GB"/>
              </w:rPr>
              <w:tab/>
            </w:r>
            <w:r w:rsidRPr="0031110F">
              <w:rPr>
                <w:rFonts w:ascii="Arial" w:eastAsia="Arial Unicode MS" w:hAnsi="Arial" w:cs="Arial Unicode MS"/>
                <w:color w:val="000000"/>
                <w:sz w:val="20"/>
                <w:szCs w:val="20"/>
                <w:u w:color="000000"/>
                <w:lang w:eastAsia="en-GB"/>
              </w:rPr>
              <w:t>WILL BE GIVEN ON TURNITIN</w:t>
            </w:r>
          </w:p>
          <w:p w14:paraId="3EEF0916" w14:textId="77777777" w:rsidR="0031110F" w:rsidRPr="0031110F" w:rsidRDefault="0031110F" w:rsidP="0031110F">
            <w:pPr>
              <w:ind w:left="142" w:right="34"/>
              <w:rPr>
                <w:rFonts w:ascii="Arial" w:eastAsia="Arial" w:hAnsi="Arial" w:cs="Arial"/>
                <w:b/>
                <w:bCs/>
                <w:color w:val="000000"/>
                <w:sz w:val="22"/>
                <w:u w:color="000000"/>
              </w:rPr>
            </w:pPr>
          </w:p>
          <w:p w14:paraId="733C6728" w14:textId="77777777" w:rsidR="0031110F" w:rsidRPr="0031110F" w:rsidRDefault="0031110F" w:rsidP="0031110F">
            <w:pPr>
              <w:ind w:left="142" w:right="34"/>
              <w:rPr>
                <w:rFonts w:ascii="Arial" w:eastAsia="Arial" w:hAnsi="Arial" w:cs="Arial"/>
                <w:color w:val="000000"/>
                <w:sz w:val="22"/>
                <w:u w:color="000000"/>
              </w:rPr>
            </w:pPr>
            <w:r w:rsidRPr="0031110F">
              <w:rPr>
                <w:rFonts w:ascii="Arial" w:eastAsia="Arial Unicode MS" w:hAnsi="Arial" w:cs="Arial Unicode MS"/>
                <w:b/>
                <w:bCs/>
                <w:color w:val="000000"/>
                <w:sz w:val="22"/>
                <w:u w:color="000000"/>
              </w:rPr>
              <w:t>NB.</w:t>
            </w:r>
            <w:r w:rsidRPr="0031110F">
              <w:rPr>
                <w:rFonts w:ascii="Arial" w:eastAsia="Arial Unicode MS" w:hAnsi="Arial" w:cs="Arial Unicode MS"/>
                <w:color w:val="000000"/>
                <w:sz w:val="22"/>
                <w:u w:color="000000"/>
              </w:rPr>
              <w:t xml:space="preserve">  All marks are provisional until confirmed by the Final Examination Board.</w:t>
            </w:r>
          </w:p>
          <w:p w14:paraId="6F4E6563" w14:textId="77777777" w:rsidR="0031110F" w:rsidRPr="0031110F" w:rsidRDefault="0031110F" w:rsidP="0031110F">
            <w:pPr>
              <w:rPr>
                <w:rFonts w:ascii="Arial" w:eastAsia="Arial" w:hAnsi="Arial" w:cs="Arial"/>
                <w:b/>
                <w:bCs/>
                <w:color w:val="000000"/>
                <w:sz w:val="22"/>
                <w:u w:color="000000"/>
              </w:rPr>
            </w:pPr>
          </w:p>
          <w:p w14:paraId="2D946A8C" w14:textId="77777777" w:rsidR="0031110F" w:rsidRPr="0031110F" w:rsidRDefault="0031110F" w:rsidP="0031110F">
            <w:pPr>
              <w:rPr>
                <w:rFonts w:ascii="Arial" w:eastAsia="Arial" w:hAnsi="Arial" w:cs="Arial"/>
                <w:b/>
                <w:bCs/>
                <w:color w:val="000000"/>
                <w:sz w:val="22"/>
                <w:u w:color="000000"/>
              </w:rPr>
            </w:pPr>
            <w:r w:rsidRPr="0031110F">
              <w:rPr>
                <w:rFonts w:ascii="Arial" w:eastAsia="Arial Unicode MS" w:hAnsi="Arial" w:cs="Arial Unicode MS"/>
                <w:b/>
                <w:bCs/>
                <w:color w:val="000000"/>
                <w:sz w:val="22"/>
                <w:u w:color="000000"/>
              </w:rPr>
              <w:t>PLEASE NOTE: ALL COMMENTS WILL BE POSTED ON TURNITIN</w:t>
            </w:r>
          </w:p>
          <w:p w14:paraId="31C83FC6" w14:textId="77777777" w:rsidR="0031110F" w:rsidRPr="0031110F" w:rsidRDefault="0031110F" w:rsidP="0031110F">
            <w:pPr>
              <w:rPr>
                <w:rFonts w:ascii="Arial" w:eastAsia="Arial" w:hAnsi="Arial" w:cs="Arial"/>
                <w:b/>
                <w:bCs/>
                <w:color w:val="000000"/>
                <w:sz w:val="22"/>
                <w:u w:color="000000"/>
              </w:rPr>
            </w:pPr>
          </w:p>
          <w:p w14:paraId="6A434A45" w14:textId="77777777" w:rsidR="0031110F" w:rsidRPr="0031110F" w:rsidRDefault="0031110F" w:rsidP="0031110F">
            <w:pPr>
              <w:rPr>
                <w:rFonts w:ascii="Arial" w:eastAsia="Arial" w:hAnsi="Arial" w:cs="Arial"/>
                <w:b/>
                <w:bCs/>
                <w:color w:val="000000"/>
                <w:sz w:val="22"/>
                <w:u w:color="000000"/>
              </w:rPr>
            </w:pPr>
          </w:p>
          <w:p w14:paraId="328533E0" w14:textId="77777777" w:rsidR="0031110F" w:rsidRPr="0031110F" w:rsidRDefault="0031110F" w:rsidP="0031110F">
            <w:pPr>
              <w:rPr>
                <w:rFonts w:ascii="Arial" w:eastAsia="Arial" w:hAnsi="Arial" w:cs="Arial"/>
                <w:b/>
                <w:bCs/>
                <w:color w:val="000000"/>
                <w:sz w:val="22"/>
                <w:u w:color="000000"/>
              </w:rPr>
            </w:pPr>
            <w:r w:rsidRPr="0031110F">
              <w:rPr>
                <w:rFonts w:ascii="Arial" w:eastAsia="Arial Unicode MS" w:hAnsi="Arial" w:cs="Arial Unicode MS"/>
                <w:b/>
                <w:bCs/>
                <w:color w:val="000000"/>
                <w:sz w:val="22"/>
                <w:u w:color="000000"/>
              </w:rPr>
              <w:t>For completion by Marker 1 :</w:t>
            </w:r>
          </w:p>
          <w:p w14:paraId="3B23E70D" w14:textId="77777777" w:rsidR="0031110F" w:rsidRPr="0031110F" w:rsidRDefault="0031110F" w:rsidP="0031110F">
            <w:pPr>
              <w:spacing w:before="100" w:after="100"/>
              <w:rPr>
                <w:rFonts w:eastAsia="Times New Roman" w:cs="Times New Roman"/>
                <w:szCs w:val="24"/>
              </w:rPr>
            </w:pPr>
            <w:r w:rsidRPr="0031110F">
              <w:rPr>
                <w:rFonts w:ascii="Arial" w:eastAsia="Arial Unicode MS" w:hAnsi="Arial" w:cs="Arial Unicode MS"/>
                <w:color w:val="000000"/>
                <w:sz w:val="22"/>
                <w:u w:color="000000"/>
              </w:rPr>
              <w:t>Comments:</w:t>
            </w:r>
          </w:p>
        </w:tc>
      </w:tr>
      <w:tr w:rsidR="0031110F" w:rsidRPr="0031110F" w14:paraId="0DE3D4A0" w14:textId="77777777" w:rsidTr="000F4AD9">
        <w:trPr>
          <w:cantSplit/>
          <w:trHeight w:val="332"/>
          <w:jc w:val="center"/>
        </w:trPr>
        <w:tc>
          <w:tcPr>
            <w:tcW w:w="676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69EDB359" w14:textId="77777777" w:rsidR="0031110F" w:rsidRPr="0031110F" w:rsidRDefault="0031110F" w:rsidP="0031110F">
            <w:pPr>
              <w:spacing w:before="100" w:after="100"/>
              <w:ind w:left="142" w:right="34"/>
              <w:rPr>
                <w:rFonts w:eastAsia="Times New Roman" w:cs="Times New Roman"/>
                <w:szCs w:val="24"/>
              </w:rPr>
            </w:pPr>
            <w:r w:rsidRPr="0031110F">
              <w:rPr>
                <w:rFonts w:ascii="Arial" w:eastAsia="Arial Unicode MS" w:hAnsi="Arial" w:cs="Arial Unicode MS"/>
                <w:color w:val="000000"/>
                <w:sz w:val="22"/>
                <w:u w:color="000000"/>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5F064076" w14:textId="77777777" w:rsidR="0031110F" w:rsidRPr="0031110F" w:rsidRDefault="0031110F" w:rsidP="0031110F">
            <w:pPr>
              <w:spacing w:before="100" w:after="100"/>
              <w:ind w:left="142" w:right="34"/>
              <w:rPr>
                <w:rFonts w:eastAsia="Times New Roman" w:cs="Times New Roman"/>
                <w:szCs w:val="24"/>
              </w:rPr>
            </w:pPr>
            <w:r w:rsidRPr="0031110F">
              <w:rPr>
                <w:rFonts w:ascii="Arial" w:eastAsia="Arial Unicode MS" w:hAnsi="Arial" w:cs="Arial Unicode MS"/>
                <w:color w:val="000000"/>
                <w:sz w:val="22"/>
                <w:u w:color="000000"/>
              </w:rPr>
              <w:t>Date:</w:t>
            </w:r>
          </w:p>
        </w:tc>
      </w:tr>
      <w:tr w:rsidR="0031110F" w:rsidRPr="0031110F" w14:paraId="3ECBE607" w14:textId="77777777" w:rsidTr="000F4AD9">
        <w:trPr>
          <w:cantSplit/>
          <w:trHeight w:val="168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60A4DC" w14:textId="77777777" w:rsidR="0031110F" w:rsidRPr="0031110F" w:rsidRDefault="0031110F" w:rsidP="0031110F">
            <w:pPr>
              <w:rPr>
                <w:rFonts w:ascii="Arial" w:eastAsia="Arial" w:hAnsi="Arial" w:cs="Arial"/>
                <w:i/>
                <w:iCs/>
                <w:color w:val="000000"/>
                <w:sz w:val="22"/>
                <w:u w:color="000000"/>
              </w:rPr>
            </w:pPr>
          </w:p>
          <w:p w14:paraId="2EA1889B" w14:textId="77777777" w:rsidR="0031110F" w:rsidRPr="0031110F" w:rsidRDefault="0031110F" w:rsidP="0031110F">
            <w:pPr>
              <w:rPr>
                <w:rFonts w:ascii="Arial" w:eastAsia="Arial" w:hAnsi="Arial" w:cs="Arial"/>
                <w:b/>
                <w:bCs/>
                <w:color w:val="000000"/>
                <w:sz w:val="22"/>
                <w:u w:color="000000"/>
              </w:rPr>
            </w:pPr>
            <w:r w:rsidRPr="0031110F">
              <w:rPr>
                <w:rFonts w:ascii="Arial" w:eastAsia="Arial Unicode MS" w:hAnsi="Arial" w:cs="Arial Unicode MS"/>
                <w:b/>
                <w:bCs/>
                <w:color w:val="000000"/>
                <w:sz w:val="22"/>
                <w:u w:color="000000"/>
              </w:rPr>
              <w:t>For completion by Marker 2/Moderator:</w:t>
            </w:r>
          </w:p>
          <w:p w14:paraId="06025F61" w14:textId="77777777" w:rsidR="0031110F" w:rsidRPr="0031110F" w:rsidRDefault="0031110F" w:rsidP="0031110F">
            <w:pPr>
              <w:rPr>
                <w:rFonts w:ascii="Arial" w:eastAsia="Arial" w:hAnsi="Arial" w:cs="Arial"/>
                <w:b/>
                <w:bCs/>
                <w:color w:val="000000"/>
                <w:sz w:val="22"/>
                <w:u w:color="000000"/>
              </w:rPr>
            </w:pPr>
          </w:p>
          <w:p w14:paraId="2411C124" w14:textId="77777777" w:rsidR="0031110F" w:rsidRPr="0031110F" w:rsidRDefault="0031110F" w:rsidP="0031110F">
            <w:pPr>
              <w:rPr>
                <w:rFonts w:ascii="Arial" w:eastAsia="Arial" w:hAnsi="Arial" w:cs="Arial"/>
                <w:color w:val="000000"/>
                <w:sz w:val="22"/>
                <w:u w:color="000000"/>
              </w:rPr>
            </w:pPr>
            <w:r w:rsidRPr="0031110F">
              <w:rPr>
                <w:rFonts w:ascii="Arial" w:eastAsia="Arial Unicode MS" w:hAnsi="Arial" w:cs="Arial Unicode MS"/>
                <w:color w:val="000000"/>
                <w:sz w:val="22"/>
                <w:u w:color="000000"/>
              </w:rPr>
              <w:t>Comments:</w:t>
            </w:r>
          </w:p>
          <w:p w14:paraId="582B3EB2" w14:textId="77777777" w:rsidR="0031110F" w:rsidRPr="0031110F" w:rsidRDefault="0031110F" w:rsidP="0031110F">
            <w:pPr>
              <w:rPr>
                <w:rFonts w:ascii="Arial" w:eastAsia="Arial" w:hAnsi="Arial" w:cs="Arial"/>
                <w:color w:val="000000"/>
                <w:sz w:val="22"/>
                <w:u w:color="000000"/>
              </w:rPr>
            </w:pPr>
          </w:p>
          <w:p w14:paraId="0E110A7C" w14:textId="77777777" w:rsidR="0031110F" w:rsidRPr="0031110F" w:rsidRDefault="0031110F" w:rsidP="0031110F">
            <w:pPr>
              <w:rPr>
                <w:rFonts w:eastAsia="Times New Roman" w:cs="Times New Roman"/>
                <w:szCs w:val="24"/>
              </w:rPr>
            </w:pPr>
          </w:p>
        </w:tc>
      </w:tr>
      <w:tr w:rsidR="0031110F" w:rsidRPr="0031110F" w14:paraId="2DF0B40E" w14:textId="77777777" w:rsidTr="000F4AD9">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701D" w14:textId="77777777" w:rsidR="0031110F" w:rsidRPr="0031110F" w:rsidRDefault="0031110F" w:rsidP="0031110F">
            <w:pPr>
              <w:rPr>
                <w:rFonts w:eastAsia="Times New Roman" w:cs="Times New Roman"/>
                <w:szCs w:val="24"/>
              </w:rPr>
            </w:pPr>
            <w:r w:rsidRPr="0031110F">
              <w:rPr>
                <w:rFonts w:ascii="Arial" w:eastAsia="Arial Unicode MS" w:hAnsi="Arial" w:cs="Arial Unicode MS"/>
                <w:color w:val="000000"/>
                <w:sz w:val="22"/>
                <w:u w:color="000000"/>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8DCCA4" w14:textId="77777777" w:rsidR="0031110F" w:rsidRPr="0031110F" w:rsidRDefault="0031110F" w:rsidP="0031110F">
            <w:pPr>
              <w:rPr>
                <w:rFonts w:eastAsia="Times New Roman" w:cs="Times New Roman"/>
                <w:szCs w:val="24"/>
              </w:rPr>
            </w:pPr>
            <w:r w:rsidRPr="0031110F">
              <w:rPr>
                <w:rFonts w:ascii="Arial" w:eastAsia="Arial Unicode MS" w:hAnsi="Arial" w:cs="Arial Unicode MS"/>
                <w:color w:val="000000"/>
                <w:sz w:val="22"/>
                <w:u w:color="000000"/>
              </w:rPr>
              <w:t>Date:</w:t>
            </w:r>
          </w:p>
        </w:tc>
      </w:tr>
      <w:tr w:rsidR="0031110F" w:rsidRPr="0031110F" w14:paraId="27F13BAF" w14:textId="77777777" w:rsidTr="000F4AD9">
        <w:trPr>
          <w:cantSplit/>
          <w:trHeight w:val="264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3835F6" w14:textId="77777777" w:rsidR="0031110F" w:rsidRPr="0031110F" w:rsidRDefault="0031110F" w:rsidP="0031110F">
            <w:pPr>
              <w:spacing w:before="160"/>
              <w:rPr>
                <w:rFonts w:ascii="Arial" w:eastAsia="Arial" w:hAnsi="Arial" w:cs="Arial"/>
                <w:b/>
                <w:bCs/>
                <w:color w:val="000000"/>
                <w:szCs w:val="24"/>
                <w:u w:color="000000"/>
                <w:lang w:val="en-GB" w:eastAsia="en-GB"/>
              </w:rPr>
            </w:pPr>
            <w:r w:rsidRPr="0031110F">
              <w:rPr>
                <w:rFonts w:ascii="Arial" w:eastAsia="Arial Unicode MS" w:hAnsi="Arial" w:cs="Arial Unicode MS"/>
                <w:b/>
                <w:bCs/>
                <w:color w:val="000000"/>
                <w:szCs w:val="24"/>
                <w:u w:color="000000"/>
                <w:lang w:eastAsia="en-GB"/>
              </w:rPr>
              <w:t>AGREED INTERNAL MARK (where necessary):</w:t>
            </w:r>
          </w:p>
          <w:p w14:paraId="357ACCAD" w14:textId="77777777" w:rsidR="0031110F" w:rsidRPr="0031110F" w:rsidRDefault="0031110F" w:rsidP="0031110F">
            <w:pPr>
              <w:spacing w:before="160"/>
              <w:rPr>
                <w:rFonts w:ascii="Arial" w:eastAsia="Arial" w:hAnsi="Arial" w:cs="Arial"/>
                <w:b/>
                <w:bCs/>
                <w:color w:val="000000"/>
                <w:szCs w:val="24"/>
                <w:u w:color="000000"/>
                <w:lang w:eastAsia="en-GB"/>
              </w:rPr>
            </w:pPr>
          </w:p>
          <w:p w14:paraId="430AC610" w14:textId="77777777" w:rsidR="0031110F" w:rsidRPr="0031110F" w:rsidRDefault="0031110F" w:rsidP="0031110F">
            <w:pPr>
              <w:spacing w:before="160"/>
              <w:rPr>
                <w:rFonts w:ascii="Arial" w:eastAsia="Arial" w:hAnsi="Arial" w:cs="Arial"/>
                <w:b/>
                <w:bCs/>
                <w:color w:val="000000"/>
                <w:szCs w:val="24"/>
                <w:u w:color="000000"/>
                <w:lang w:val="en-GB" w:eastAsia="en-GB"/>
              </w:rPr>
            </w:pPr>
            <w:r w:rsidRPr="0031110F">
              <w:rPr>
                <w:rFonts w:ascii="Arial" w:eastAsia="Arial Unicode MS" w:hAnsi="Arial" w:cs="Arial Unicode MS"/>
                <w:b/>
                <w:bCs/>
                <w:color w:val="000000"/>
                <w:szCs w:val="24"/>
                <w:u w:color="000000"/>
                <w:lang w:eastAsia="en-GB"/>
              </w:rPr>
              <w:t>Comment on process of arriving at agreed mark:</w:t>
            </w:r>
          </w:p>
          <w:p w14:paraId="0F5D3D04" w14:textId="77777777" w:rsidR="0031110F" w:rsidRPr="0031110F" w:rsidRDefault="0031110F" w:rsidP="0031110F">
            <w:pPr>
              <w:spacing w:before="160"/>
              <w:rPr>
                <w:rFonts w:ascii="Arial" w:eastAsia="Arial" w:hAnsi="Arial" w:cs="Arial"/>
                <w:b/>
                <w:bCs/>
                <w:color w:val="000000"/>
                <w:szCs w:val="24"/>
                <w:u w:color="000000"/>
                <w:lang w:eastAsia="en-GB"/>
              </w:rPr>
            </w:pPr>
          </w:p>
          <w:p w14:paraId="06FA76D5" w14:textId="77777777" w:rsidR="0031110F" w:rsidRPr="0031110F" w:rsidRDefault="0031110F" w:rsidP="0031110F">
            <w:pPr>
              <w:spacing w:before="160"/>
              <w:rPr>
                <w:rFonts w:ascii="Arial" w:eastAsia="Arial" w:hAnsi="Arial" w:cs="Arial"/>
                <w:b/>
                <w:bCs/>
                <w:color w:val="000000"/>
                <w:szCs w:val="24"/>
                <w:u w:color="000000"/>
                <w:lang w:eastAsia="en-GB"/>
              </w:rPr>
            </w:pPr>
          </w:p>
          <w:p w14:paraId="51AD7B95" w14:textId="77777777" w:rsidR="0031110F" w:rsidRPr="0031110F" w:rsidRDefault="0031110F" w:rsidP="0031110F">
            <w:pPr>
              <w:spacing w:before="160"/>
              <w:rPr>
                <w:rFonts w:ascii="Arial" w:eastAsia="Arial" w:hAnsi="Arial" w:cs="Arial"/>
                <w:b/>
                <w:bCs/>
                <w:color w:val="000000"/>
                <w:szCs w:val="24"/>
                <w:u w:color="000000"/>
                <w:lang w:eastAsia="en-GB"/>
              </w:rPr>
            </w:pPr>
          </w:p>
          <w:p w14:paraId="076AD16F" w14:textId="77777777" w:rsidR="0031110F" w:rsidRPr="0031110F" w:rsidRDefault="0031110F" w:rsidP="0031110F">
            <w:pPr>
              <w:spacing w:before="160"/>
              <w:rPr>
                <w:rFonts w:ascii="Helvetica Neue" w:eastAsia="Arial Unicode MS" w:hAnsi="Helvetica Neue" w:cs="Arial Unicode MS"/>
                <w:color w:val="000000"/>
                <w:szCs w:val="24"/>
                <w:lang w:val="en-GB" w:eastAsia="en-GB"/>
              </w:rPr>
            </w:pPr>
          </w:p>
        </w:tc>
      </w:tr>
      <w:tr w:rsidR="0031110F" w:rsidRPr="0031110F" w14:paraId="2FBAFE5F" w14:textId="77777777" w:rsidTr="000F4AD9">
        <w:trPr>
          <w:cantSplit/>
          <w:trHeight w:val="192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8B706E" w14:textId="77777777" w:rsidR="0031110F" w:rsidRPr="0031110F" w:rsidRDefault="0031110F" w:rsidP="0031110F">
            <w:pPr>
              <w:spacing w:before="160"/>
              <w:rPr>
                <w:rFonts w:ascii="Arial" w:eastAsia="Arial" w:hAnsi="Arial" w:cs="Arial"/>
                <w:b/>
                <w:bCs/>
                <w:color w:val="000000"/>
                <w:szCs w:val="24"/>
                <w:u w:color="000000"/>
                <w:lang w:val="en-GB" w:eastAsia="en-GB"/>
              </w:rPr>
            </w:pPr>
            <w:r w:rsidRPr="0031110F">
              <w:rPr>
                <w:rFonts w:ascii="Arial" w:eastAsia="Arial Unicode MS" w:hAnsi="Arial" w:cs="Arial Unicode MS"/>
                <w:b/>
                <w:bCs/>
                <w:color w:val="000000"/>
                <w:szCs w:val="24"/>
                <w:u w:color="000000"/>
                <w:lang w:eastAsia="en-GB"/>
              </w:rPr>
              <w:t>External Examiner’s comments (if relevant)</w:t>
            </w:r>
          </w:p>
          <w:p w14:paraId="3C650D38" w14:textId="77777777" w:rsidR="0031110F" w:rsidRPr="0031110F" w:rsidRDefault="0031110F" w:rsidP="0031110F">
            <w:pPr>
              <w:rPr>
                <w:rFonts w:ascii="Arial" w:eastAsia="Arial" w:hAnsi="Arial" w:cs="Arial"/>
                <w:color w:val="000000"/>
                <w:sz w:val="22"/>
                <w:u w:color="000000"/>
              </w:rPr>
            </w:pPr>
          </w:p>
          <w:p w14:paraId="0BB8EE7F" w14:textId="77777777" w:rsidR="0031110F" w:rsidRPr="0031110F" w:rsidRDefault="0031110F" w:rsidP="0031110F">
            <w:pPr>
              <w:rPr>
                <w:rFonts w:ascii="Arial" w:eastAsia="Arial" w:hAnsi="Arial" w:cs="Arial"/>
                <w:color w:val="000000"/>
                <w:sz w:val="22"/>
                <w:u w:color="000000"/>
              </w:rPr>
            </w:pPr>
          </w:p>
          <w:p w14:paraId="50A226BF" w14:textId="77777777" w:rsidR="0031110F" w:rsidRPr="0031110F" w:rsidRDefault="0031110F" w:rsidP="0031110F">
            <w:pPr>
              <w:rPr>
                <w:rFonts w:ascii="Arial" w:eastAsia="Arial" w:hAnsi="Arial" w:cs="Arial"/>
                <w:color w:val="000000"/>
                <w:sz w:val="22"/>
                <w:u w:color="000000"/>
              </w:rPr>
            </w:pPr>
          </w:p>
          <w:p w14:paraId="77B55875" w14:textId="77777777" w:rsidR="0031110F" w:rsidRPr="0031110F" w:rsidRDefault="0031110F" w:rsidP="0031110F">
            <w:pPr>
              <w:rPr>
                <w:rFonts w:ascii="Arial" w:eastAsia="Arial" w:hAnsi="Arial" w:cs="Arial"/>
                <w:color w:val="000000"/>
                <w:sz w:val="22"/>
                <w:u w:color="000000"/>
              </w:rPr>
            </w:pPr>
          </w:p>
          <w:p w14:paraId="030F7000" w14:textId="77777777" w:rsidR="0031110F" w:rsidRPr="0031110F" w:rsidRDefault="0031110F" w:rsidP="0031110F">
            <w:pPr>
              <w:rPr>
                <w:rFonts w:ascii="Arial" w:eastAsia="Arial" w:hAnsi="Arial" w:cs="Arial"/>
                <w:color w:val="000000"/>
                <w:sz w:val="22"/>
                <w:u w:color="000000"/>
              </w:rPr>
            </w:pPr>
          </w:p>
          <w:p w14:paraId="02486E45" w14:textId="77777777" w:rsidR="0031110F" w:rsidRPr="0031110F" w:rsidRDefault="0031110F" w:rsidP="0031110F">
            <w:pPr>
              <w:rPr>
                <w:rFonts w:eastAsia="Times New Roman" w:cs="Times New Roman"/>
                <w:szCs w:val="24"/>
              </w:rPr>
            </w:pPr>
          </w:p>
        </w:tc>
      </w:tr>
      <w:tr w:rsidR="0031110F" w:rsidRPr="0031110F" w14:paraId="2BB8CC47" w14:textId="77777777" w:rsidTr="000F4AD9">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D60EB" w14:textId="77777777" w:rsidR="0031110F" w:rsidRPr="0031110F" w:rsidRDefault="0031110F" w:rsidP="0031110F">
            <w:pPr>
              <w:spacing w:before="160"/>
              <w:rPr>
                <w:rFonts w:ascii="Helvetica Neue" w:eastAsia="Arial Unicode MS" w:hAnsi="Helvetica Neue" w:cs="Arial Unicode MS"/>
                <w:color w:val="000000"/>
                <w:szCs w:val="24"/>
                <w:lang w:val="en-GB" w:eastAsia="en-GB"/>
              </w:rPr>
            </w:pPr>
            <w:r w:rsidRPr="0031110F">
              <w:rPr>
                <w:rFonts w:ascii="Arial" w:eastAsia="Arial Unicode MS" w:hAnsi="Arial" w:cs="Arial Unicode MS"/>
                <w:color w:val="000000"/>
                <w:szCs w:val="24"/>
                <w:u w:color="000000"/>
                <w:lang w:eastAsia="en-GB"/>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3BE47A" w14:textId="77777777" w:rsidR="0031110F" w:rsidRPr="0031110F" w:rsidRDefault="0031110F" w:rsidP="0031110F">
            <w:pPr>
              <w:spacing w:before="160"/>
              <w:rPr>
                <w:rFonts w:ascii="Helvetica Neue" w:eastAsia="Arial Unicode MS" w:hAnsi="Helvetica Neue" w:cs="Arial Unicode MS"/>
                <w:color w:val="000000"/>
                <w:szCs w:val="24"/>
                <w:lang w:val="en-GB" w:eastAsia="en-GB"/>
              </w:rPr>
            </w:pPr>
            <w:r w:rsidRPr="0031110F">
              <w:rPr>
                <w:rFonts w:ascii="Arial" w:eastAsia="Arial Unicode MS" w:hAnsi="Arial" w:cs="Arial Unicode MS"/>
                <w:color w:val="000000"/>
                <w:szCs w:val="24"/>
                <w:u w:color="000000"/>
                <w:lang w:eastAsia="en-GB"/>
              </w:rPr>
              <w:t>Date:</w:t>
            </w:r>
          </w:p>
        </w:tc>
      </w:tr>
    </w:tbl>
    <w:p w14:paraId="005B60E8" w14:textId="77777777" w:rsidR="00F94AC3" w:rsidRPr="00DC3ECB" w:rsidRDefault="00F94AC3" w:rsidP="00F94AC3">
      <w:pPr>
        <w:rPr>
          <w:u w:val="single"/>
        </w:rPr>
      </w:pPr>
      <w:r w:rsidRPr="00DC3ECB">
        <w:rPr>
          <w:u w:val="single"/>
        </w:rPr>
        <w:lastRenderedPageBreak/>
        <w:t>Question:  Is there a role for traditional ecological knowledge (TEK) in contemporary ecological perspectives?</w:t>
      </w:r>
    </w:p>
    <w:p w14:paraId="10F174A7" w14:textId="77777777" w:rsidR="001C2EE1" w:rsidRDefault="001C2EE1" w:rsidP="00F94AC3"/>
    <w:p w14:paraId="2EBA762F" w14:textId="722670BB" w:rsidR="001C2EE1" w:rsidRPr="00171CB7" w:rsidRDefault="001C2EE1" w:rsidP="00F94AC3">
      <w:pPr>
        <w:rPr>
          <w:u w:val="single"/>
        </w:rPr>
      </w:pPr>
      <w:r w:rsidRPr="00171CB7">
        <w:rPr>
          <w:u w:val="single"/>
        </w:rPr>
        <w:t>I</w:t>
      </w:r>
      <w:r w:rsidR="00171CB7" w:rsidRPr="00171CB7">
        <w:rPr>
          <w:u w:val="single"/>
        </w:rPr>
        <w:t>ntroduction</w:t>
      </w:r>
    </w:p>
    <w:p w14:paraId="5AAFACF0" w14:textId="321B6025" w:rsidR="003048E5" w:rsidRDefault="00F94AC3">
      <w:r>
        <w:t xml:space="preserve">This essay </w:t>
      </w:r>
      <w:r w:rsidR="001C2EE1">
        <w:t xml:space="preserve">seeks to </w:t>
      </w:r>
      <w:r>
        <w:t>examine</w:t>
      </w:r>
      <w:r w:rsidR="001C2EE1">
        <w:t xml:space="preserve"> </w:t>
      </w:r>
      <w:r>
        <w:t xml:space="preserve">whether there is a role for traditional ecological knowledge (TEK) within the contemporary ecological perspective.  </w:t>
      </w:r>
      <w:r w:rsidR="001C2EE1">
        <w:t>T</w:t>
      </w:r>
      <w:r>
        <w:t>o do so</w:t>
      </w:r>
      <w:r w:rsidR="00854160">
        <w:t>,</w:t>
      </w:r>
      <w:r>
        <w:t xml:space="preserve"> it will first explore </w:t>
      </w:r>
      <w:r w:rsidR="009806DF">
        <w:t>definitions</w:t>
      </w:r>
      <w:r>
        <w:t xml:space="preserve"> of TEK and then </w:t>
      </w:r>
      <w:r w:rsidR="00877646">
        <w:t>compare</w:t>
      </w:r>
      <w:r>
        <w:t xml:space="preserve"> these with current ecological practice.  Having </w:t>
      </w:r>
      <w:r w:rsidR="00854160">
        <w:t xml:space="preserve">examined </w:t>
      </w:r>
      <w:r w:rsidR="009806DF">
        <w:t>its</w:t>
      </w:r>
      <w:r>
        <w:t xml:space="preserve"> scope, this essay will then explore </w:t>
      </w:r>
      <w:r w:rsidR="00806213">
        <w:t xml:space="preserve">whether TEK already has a role in current ecological perspectives and, if not, it will suggest the potential advantages and disadvantages of doing so if, indeed that is possible. </w:t>
      </w:r>
      <w:r w:rsidR="009806DF">
        <w:t>It will then consider t</w:t>
      </w:r>
      <w:r w:rsidR="00806213">
        <w:t>he challenges in determining and including TEK i</w:t>
      </w:r>
      <w:r w:rsidR="001C2EE1">
        <w:t xml:space="preserve">n </w:t>
      </w:r>
      <w:r w:rsidR="009806DF">
        <w:t xml:space="preserve">geographical </w:t>
      </w:r>
      <w:r w:rsidR="001C2EE1">
        <w:t>areas where modern practices and culture may have already obliterated indigenous knowledge taking western Europe as an example, together with offering some thoughts on how these challenges might be mitigated.</w:t>
      </w:r>
    </w:p>
    <w:p w14:paraId="3D646F5D" w14:textId="77777777" w:rsidR="001C2EE1" w:rsidRDefault="001C2EE1"/>
    <w:p w14:paraId="1D5B3DB7" w14:textId="022DC9B7" w:rsidR="003221B0" w:rsidRPr="00171CB7" w:rsidRDefault="00171CB7">
      <w:pPr>
        <w:rPr>
          <w:u w:val="single"/>
        </w:rPr>
      </w:pPr>
      <w:r w:rsidRPr="00171CB7">
        <w:rPr>
          <w:u w:val="single"/>
        </w:rPr>
        <w:t>Traditional Ecological Knowledge</w:t>
      </w:r>
    </w:p>
    <w:p w14:paraId="0175B874" w14:textId="7D97A1B5" w:rsidR="00A07E91" w:rsidRDefault="003221B0">
      <w:r>
        <w:t xml:space="preserve">Whilst the term traditional ecological knowledge has only appeared relatively recently, the knowledge systems it refers to have been in existence </w:t>
      </w:r>
      <w:r w:rsidR="009806DF">
        <w:t>since tribal humans began to observe their environment</w:t>
      </w:r>
      <w:r>
        <w:t>.  Th</w:t>
      </w:r>
      <w:r w:rsidR="00854160">
        <w:t xml:space="preserve">e </w:t>
      </w:r>
      <w:r>
        <w:t>term refers to the accumulated wisdom which results from living within a specific biosystem</w:t>
      </w:r>
      <w:r w:rsidR="009806DF">
        <w:t xml:space="preserve"> over multiple generations</w:t>
      </w:r>
      <w:r>
        <w:t xml:space="preserve">.  </w:t>
      </w:r>
      <w:r w:rsidR="00854160">
        <w:t>The resulting</w:t>
      </w:r>
      <w:r>
        <w:t xml:space="preserve"> traditional ecological knowledge is generally held within indigenous populations and passed down through successive generations, changing and adapting as required to </w:t>
      </w:r>
      <w:r w:rsidR="00854160">
        <w:t>adapt to</w:t>
      </w:r>
      <w:r>
        <w:t xml:space="preserve"> the </w:t>
      </w:r>
      <w:r w:rsidR="009806DF">
        <w:t xml:space="preserve">dynamic </w:t>
      </w:r>
      <w:r>
        <w:t>environment.  It is a p</w:t>
      </w:r>
      <w:r w:rsidR="0025465F">
        <w:t>henomenological</w:t>
      </w:r>
      <w:r>
        <w:t xml:space="preserve"> form of knowledge aimed at enabling each generation</w:t>
      </w:r>
      <w:r w:rsidR="0025465F">
        <w:t xml:space="preserve"> with practical</w:t>
      </w:r>
      <w:r>
        <w:t xml:space="preserve"> </w:t>
      </w:r>
      <w:r w:rsidR="0025465F">
        <w:t xml:space="preserve">skills </w:t>
      </w:r>
      <w:r>
        <w:t xml:space="preserve">to </w:t>
      </w:r>
      <w:r w:rsidR="00B40808">
        <w:t xml:space="preserve">connect with, and thrive within, the environment in which they live. </w:t>
      </w:r>
      <w:r w:rsidR="0025465F">
        <w:t xml:space="preserve">At its heart lies an animistic and pan-psychic world-view.   </w:t>
      </w:r>
      <w:r w:rsidR="00B40808">
        <w:t>In recent years anthropologists and social scientists have attempted to create an encompassing definition of the term.</w:t>
      </w:r>
    </w:p>
    <w:p w14:paraId="412A5FD5" w14:textId="77777777" w:rsidR="00D54B30" w:rsidRDefault="00D54B30"/>
    <w:p w14:paraId="292539E9" w14:textId="42DABF28" w:rsidR="00D83CFD" w:rsidRPr="00D54B30" w:rsidRDefault="00F564B0">
      <w:r>
        <w:t>As Shilling points out it took many decades for scholars studying sustainability to consider the “</w:t>
      </w:r>
      <w:r w:rsidRPr="00F564B0">
        <w:rPr>
          <w:i/>
          <w:iCs/>
        </w:rPr>
        <w:t>spiritual and ecological underpinnings that helped define Native peoples’ relationships to nature</w:t>
      </w:r>
      <w:r>
        <w:t>”</w:t>
      </w:r>
      <w:r>
        <w:rPr>
          <w:rStyle w:val="FootnoteReference"/>
        </w:rPr>
        <w:footnoteReference w:id="1"/>
      </w:r>
      <w:r>
        <w:t xml:space="preserve">.  </w:t>
      </w:r>
      <w:r w:rsidR="00D83CFD" w:rsidRPr="00D54B30">
        <w:t>Shilling considers</w:t>
      </w:r>
      <w:r>
        <w:t xml:space="preserve"> that these “underpinnings”</w:t>
      </w:r>
      <w:r w:rsidR="00D83CFD" w:rsidRPr="00D54B30">
        <w:t xml:space="preserve"> include</w:t>
      </w:r>
      <w:r>
        <w:t>d</w:t>
      </w:r>
      <w:r w:rsidR="00D83CFD" w:rsidRPr="00D54B30">
        <w:t xml:space="preserve"> five key aspects:</w:t>
      </w:r>
    </w:p>
    <w:p w14:paraId="6309B88B" w14:textId="628F5BDA" w:rsidR="00D83CFD" w:rsidRPr="00D54B30" w:rsidRDefault="00D83CFD" w:rsidP="00D83CFD">
      <w:pPr>
        <w:pStyle w:val="ListParagraph"/>
        <w:numPr>
          <w:ilvl w:val="0"/>
          <w:numId w:val="9"/>
        </w:numPr>
      </w:pPr>
      <w:r w:rsidRPr="00D54B30">
        <w:t>Re</w:t>
      </w:r>
      <w:r w:rsidR="00D54B30" w:rsidRPr="00D54B30">
        <w:t>s</w:t>
      </w:r>
      <w:r w:rsidRPr="00D54B30">
        <w:t>pectful and reciprocal relationship between all land inhabitants both human and non-human</w:t>
      </w:r>
    </w:p>
    <w:p w14:paraId="0EC6D8EE" w14:textId="0EFB6A6B" w:rsidR="00D83CFD" w:rsidRPr="00D54B30" w:rsidRDefault="00D83CFD" w:rsidP="00D83CFD">
      <w:pPr>
        <w:pStyle w:val="ListParagraph"/>
        <w:numPr>
          <w:ilvl w:val="0"/>
          <w:numId w:val="9"/>
        </w:numPr>
      </w:pPr>
      <w:r w:rsidRPr="00D54B30">
        <w:t>Human rituals and daily activities show reverence towards nature</w:t>
      </w:r>
    </w:p>
    <w:p w14:paraId="394DA3AF" w14:textId="77777777" w:rsidR="00D83CFD" w:rsidRPr="00D54B30" w:rsidRDefault="00D83CFD" w:rsidP="00D83CFD">
      <w:pPr>
        <w:pStyle w:val="ListParagraph"/>
        <w:numPr>
          <w:ilvl w:val="0"/>
          <w:numId w:val="9"/>
        </w:numPr>
      </w:pPr>
      <w:r w:rsidRPr="00D54B30">
        <w:t>Economic profits are not a primary motive in humanity’s relationship with the land</w:t>
      </w:r>
    </w:p>
    <w:p w14:paraId="4047F129" w14:textId="3387A980" w:rsidR="00A07E91" w:rsidRPr="00D54B30" w:rsidRDefault="00D83CFD" w:rsidP="00D83CFD">
      <w:pPr>
        <w:pStyle w:val="ListParagraph"/>
        <w:numPr>
          <w:ilvl w:val="0"/>
          <w:numId w:val="9"/>
        </w:numPr>
      </w:pPr>
      <w:r w:rsidRPr="00D54B30">
        <w:t>The land cannot be “owned”</w:t>
      </w:r>
    </w:p>
    <w:p w14:paraId="6835F6CE" w14:textId="5C308695" w:rsidR="00D83CFD" w:rsidRPr="00D54B30" w:rsidRDefault="00D83CFD" w:rsidP="00D83CFD">
      <w:pPr>
        <w:pStyle w:val="ListParagraph"/>
        <w:numPr>
          <w:ilvl w:val="0"/>
          <w:numId w:val="9"/>
        </w:numPr>
      </w:pPr>
      <w:r w:rsidRPr="00D54B30">
        <w:t>Each generation must leave a healthy environment for future generations</w:t>
      </w:r>
    </w:p>
    <w:p w14:paraId="66C65A9E" w14:textId="77777777" w:rsidR="00D54B30" w:rsidRPr="00D83CFD" w:rsidRDefault="00D54B30" w:rsidP="00D54B30">
      <w:pPr>
        <w:pStyle w:val="ListParagraph"/>
        <w:rPr>
          <w:color w:val="FF0000"/>
        </w:rPr>
      </w:pPr>
    </w:p>
    <w:p w14:paraId="19DBC153" w14:textId="5CE4347A" w:rsidR="00BB358B" w:rsidRDefault="00BB358B">
      <w:r>
        <w:t xml:space="preserve"> Berkes, Colding and Folke developed the following definition:</w:t>
      </w:r>
    </w:p>
    <w:p w14:paraId="3D00DE4D" w14:textId="36F1FE40" w:rsidR="00BB358B" w:rsidRPr="009C215B" w:rsidRDefault="00BB358B">
      <w:pPr>
        <w:rPr>
          <w:i/>
          <w:iCs/>
        </w:rPr>
      </w:pPr>
      <w:r w:rsidRPr="009C215B">
        <w:rPr>
          <w:i/>
          <w:iCs/>
        </w:rPr>
        <w:t>a cumulative body of knowledge, practice, and belief, evolving by adaptive processes and handed down through generations by cultural transmission, about the relationship of living beings (including humans) with one another and with their environment.</w:t>
      </w:r>
      <w:r w:rsidRPr="009C215B">
        <w:rPr>
          <w:rStyle w:val="FootnoteReference"/>
          <w:i/>
          <w:iCs/>
        </w:rPr>
        <w:footnoteReference w:id="2"/>
      </w:r>
    </w:p>
    <w:p w14:paraId="5826B0A6" w14:textId="77777777" w:rsidR="00714F96" w:rsidRDefault="00714F96"/>
    <w:p w14:paraId="5B4C288E" w14:textId="74280840" w:rsidR="00714F96" w:rsidRDefault="00F564B0">
      <w:r>
        <w:lastRenderedPageBreak/>
        <w:t>I</w:t>
      </w:r>
      <w:r w:rsidR="009C215B">
        <w:t xml:space="preserve">n 2007 </w:t>
      </w:r>
      <w:r w:rsidR="00714F96">
        <w:t>Houde</w:t>
      </w:r>
      <w:r w:rsidR="00714F96">
        <w:rPr>
          <w:rStyle w:val="FootnoteReference"/>
        </w:rPr>
        <w:footnoteReference w:id="3"/>
      </w:r>
      <w:r w:rsidR="00714F96">
        <w:t xml:space="preserve"> de</w:t>
      </w:r>
      <w:r w:rsidR="009C215B">
        <w:t>veloped a framework</w:t>
      </w:r>
      <w:r w:rsidR="00714F96">
        <w:t xml:space="preserve"> </w:t>
      </w:r>
      <w:r w:rsidR="009C215B">
        <w:t xml:space="preserve">concluding that </w:t>
      </w:r>
      <w:r w:rsidR="00714F96">
        <w:t>TEK has six identifiable ‘faces’, or components:</w:t>
      </w:r>
    </w:p>
    <w:p w14:paraId="034EC6EB" w14:textId="77777777" w:rsidR="00F74B02" w:rsidRDefault="00F74B02"/>
    <w:p w14:paraId="1BD13D54" w14:textId="4AA64F2C" w:rsidR="00714F96" w:rsidRDefault="00714F96" w:rsidP="00714F96">
      <w:pPr>
        <w:pStyle w:val="ListParagraph"/>
        <w:numPr>
          <w:ilvl w:val="0"/>
          <w:numId w:val="1"/>
        </w:numPr>
      </w:pPr>
      <w:bookmarkStart w:id="2" w:name="_Hlk186638207"/>
      <w:r>
        <w:t>Factual observation, classificatio</w:t>
      </w:r>
      <w:r w:rsidR="009C215B">
        <w:t>n</w:t>
      </w:r>
      <w:r w:rsidR="00E777EC">
        <w:t>,</w:t>
      </w:r>
      <w:r>
        <w:t xml:space="preserve"> and system dynamics – an extensive body of information and classifications about the components of the environment, the inter-relationships that they exhibit, and their spatial dynamics.</w:t>
      </w:r>
    </w:p>
    <w:p w14:paraId="37465781" w14:textId="28CEAC9E" w:rsidR="00714F96" w:rsidRDefault="00714F96" w:rsidP="00714F96">
      <w:pPr>
        <w:pStyle w:val="ListParagraph"/>
        <w:numPr>
          <w:ilvl w:val="0"/>
          <w:numId w:val="1"/>
        </w:numPr>
      </w:pPr>
      <w:r>
        <w:t>Management systems – the inherent systems in sustainable m</w:t>
      </w:r>
      <w:r w:rsidR="009C215B">
        <w:t>anagement of</w:t>
      </w:r>
      <w:r>
        <w:t xml:space="preserve"> local resources</w:t>
      </w:r>
    </w:p>
    <w:p w14:paraId="36982F00" w14:textId="4AE8846E" w:rsidR="001C2EE1" w:rsidRDefault="00142142" w:rsidP="00142142">
      <w:pPr>
        <w:pStyle w:val="ListParagraph"/>
        <w:numPr>
          <w:ilvl w:val="0"/>
          <w:numId w:val="1"/>
        </w:numPr>
      </w:pPr>
      <w:r>
        <w:t>Factual knowledge regarding the pas</w:t>
      </w:r>
      <w:r w:rsidR="009C215B">
        <w:t>t</w:t>
      </w:r>
      <w:r>
        <w:t xml:space="preserve"> and current uses of the environment</w:t>
      </w:r>
    </w:p>
    <w:p w14:paraId="5757F0DD" w14:textId="6A8400F7" w:rsidR="00142142" w:rsidRDefault="00142142" w:rsidP="00142142">
      <w:pPr>
        <w:pStyle w:val="ListParagraph"/>
        <w:numPr>
          <w:ilvl w:val="0"/>
          <w:numId w:val="1"/>
        </w:numPr>
      </w:pPr>
      <w:r>
        <w:t>Ethics and values</w:t>
      </w:r>
    </w:p>
    <w:p w14:paraId="7C6F30A4" w14:textId="2B19F610" w:rsidR="00142142" w:rsidRDefault="00142142" w:rsidP="00142142">
      <w:pPr>
        <w:pStyle w:val="ListParagraph"/>
        <w:numPr>
          <w:ilvl w:val="0"/>
          <w:numId w:val="1"/>
        </w:numPr>
      </w:pPr>
      <w:r>
        <w:t>A vector for cultural identity</w:t>
      </w:r>
    </w:p>
    <w:p w14:paraId="3C665FBB" w14:textId="58C4A703" w:rsidR="00142142" w:rsidRDefault="00142142" w:rsidP="00142142">
      <w:pPr>
        <w:pStyle w:val="ListParagraph"/>
        <w:numPr>
          <w:ilvl w:val="0"/>
          <w:numId w:val="1"/>
        </w:numPr>
      </w:pPr>
      <w:r>
        <w:t xml:space="preserve">A cosmology – it has been argued that this is the foundation of every other face and integral to them. Crucially this refers to the underpinning worldview that explains </w:t>
      </w:r>
      <w:r w:rsidR="00854043">
        <w:t>how things work</w:t>
      </w:r>
      <w:r w:rsidR="00F74B02">
        <w:t xml:space="preserve">, </w:t>
      </w:r>
      <w:r w:rsidR="00854043">
        <w:t>determin</w:t>
      </w:r>
      <w:r w:rsidR="00F74B02">
        <w:t>ing</w:t>
      </w:r>
      <w:r w:rsidR="00854043">
        <w:t xml:space="preserve"> the </w:t>
      </w:r>
      <w:r w:rsidR="001F7C2B">
        <w:t xml:space="preserve">respectful </w:t>
      </w:r>
      <w:r w:rsidR="00854043">
        <w:t>relationships between humans and non-humans and defin</w:t>
      </w:r>
      <w:r w:rsidR="00F74B02">
        <w:t>ing</w:t>
      </w:r>
      <w:r w:rsidR="00854043">
        <w:t xml:space="preserve"> the place of humanity in </w:t>
      </w:r>
      <w:r w:rsidR="00E777EC">
        <w:t>an animate cosmos</w:t>
      </w:r>
      <w:r w:rsidR="00854043">
        <w:t>.</w:t>
      </w:r>
    </w:p>
    <w:bookmarkEnd w:id="2"/>
    <w:p w14:paraId="53149E98" w14:textId="77777777" w:rsidR="00854043" w:rsidRDefault="00854043" w:rsidP="00854043">
      <w:pPr>
        <w:pStyle w:val="ListParagraph"/>
      </w:pPr>
    </w:p>
    <w:p w14:paraId="75117188" w14:textId="3CF4CB8E" w:rsidR="00142142" w:rsidRDefault="00142142" w:rsidP="00142142">
      <w:r>
        <w:t>Th</w:t>
      </w:r>
      <w:r w:rsidR="00F564B0">
        <w:t>us</w:t>
      </w:r>
      <w:r w:rsidR="00DC3ECB">
        <w:t>,</w:t>
      </w:r>
      <w:r w:rsidR="00F564B0">
        <w:t xml:space="preserve"> we see that there are multiple definitions of TEK and this</w:t>
      </w:r>
      <w:r>
        <w:t xml:space="preserve"> essay will use </w:t>
      </w:r>
      <w:r w:rsidR="00F564B0">
        <w:t xml:space="preserve">these </w:t>
      </w:r>
      <w:r w:rsidR="009C215B">
        <w:t>framework</w:t>
      </w:r>
      <w:r w:rsidR="00F564B0">
        <w:t>s</w:t>
      </w:r>
      <w:r>
        <w:t xml:space="preserve"> to compare traditional ecological knowledge with current ecological perspectives.</w:t>
      </w:r>
    </w:p>
    <w:p w14:paraId="1DD3C196" w14:textId="77777777" w:rsidR="001C2EE1" w:rsidRDefault="001C2EE1"/>
    <w:p w14:paraId="3AF1DF5C" w14:textId="676173D3" w:rsidR="00856E1A" w:rsidRPr="00171CB7" w:rsidRDefault="00A61A24">
      <w:pPr>
        <w:rPr>
          <w:u w:val="single"/>
        </w:rPr>
      </w:pPr>
      <w:r w:rsidRPr="00171CB7">
        <w:rPr>
          <w:u w:val="single"/>
        </w:rPr>
        <w:t>C</w:t>
      </w:r>
      <w:r w:rsidR="00171CB7" w:rsidRPr="00171CB7">
        <w:rPr>
          <w:u w:val="single"/>
        </w:rPr>
        <w:t>urrent Ecological Perspectives</w:t>
      </w:r>
    </w:p>
    <w:p w14:paraId="44806530" w14:textId="550021FB" w:rsidR="00EA464F" w:rsidRDefault="00856E1A">
      <w:r>
        <w:t xml:space="preserve">It has been proposed that current ecological perspectives are entirely generated from developments in science and technology.  Indeed, Lynn White Junior claimed that it was the marriage of these two disciplines that </w:t>
      </w:r>
      <w:r w:rsidR="008D2FC0">
        <w:t>was responsible for</w:t>
      </w:r>
      <w:r>
        <w:t xml:space="preserve"> the current ecological crisis.</w:t>
      </w:r>
      <w:r w:rsidR="0025465F">
        <w:rPr>
          <w:rStyle w:val="FootnoteReference"/>
        </w:rPr>
        <w:footnoteReference w:id="4"/>
      </w:r>
      <w:r w:rsidR="0025465F">
        <w:t xml:space="preserve">  Others have suggested that whilst science and technology have given humanity </w:t>
      </w:r>
      <w:r w:rsidR="008D2FC0">
        <w:t>a greater practical</w:t>
      </w:r>
      <w:r w:rsidR="0025465F">
        <w:t xml:space="preserve"> ability to degrade the </w:t>
      </w:r>
      <w:r w:rsidR="002D2436">
        <w:t>environment, the root cause of th</w:t>
      </w:r>
      <w:r w:rsidR="008D2FC0">
        <w:t>e destruction</w:t>
      </w:r>
      <w:r w:rsidR="002D2436">
        <w:t xml:space="preserve"> is attributable more to changes in his worldview, </w:t>
      </w:r>
      <w:r w:rsidR="00877646">
        <w:t>particularly</w:t>
      </w:r>
      <w:r w:rsidR="002D2436">
        <w:t xml:space="preserve"> his place within the cosmos.  </w:t>
      </w:r>
    </w:p>
    <w:p w14:paraId="5892CAC6" w14:textId="77777777" w:rsidR="00EA464F" w:rsidRDefault="00EA464F"/>
    <w:p w14:paraId="678A3DD9" w14:textId="1BFB81E3" w:rsidR="00DC3ECB" w:rsidRDefault="002D2436" w:rsidP="00D95F9D">
      <w:r>
        <w:t>Early beginnings in the current worldview can be seen emerging in ancient times in Greece, Persia</w:t>
      </w:r>
      <w:r w:rsidR="00FB44F1">
        <w:t xml:space="preserve">, </w:t>
      </w:r>
      <w:r w:rsidR="00877646">
        <w:t>Rome,</w:t>
      </w:r>
      <w:r>
        <w:t xml:space="preserve"> and China. </w:t>
      </w:r>
      <w:r w:rsidR="00FB44F1">
        <w:t>Pre-Christian t</w:t>
      </w:r>
      <w:r w:rsidR="00220C6B">
        <w:t>hought</w:t>
      </w:r>
      <w:r w:rsidR="00FB44F1">
        <w:t xml:space="preserve"> in the West was largely polytheistic, ascribing values not only to a multitude of deities but also to a plethora of mythological non-human entities.</w:t>
      </w:r>
      <w:r w:rsidR="00A00DC9">
        <w:t xml:space="preserve"> </w:t>
      </w:r>
      <w:r w:rsidR="008D2FC0">
        <w:t>It could be argued that these early classical worldviews displayed some similarities with contemporary TEK. For example, t</w:t>
      </w:r>
      <w:r w:rsidR="00A00DC9">
        <w:t>he early</w:t>
      </w:r>
      <w:r w:rsidR="00FB44F1">
        <w:t xml:space="preserve"> </w:t>
      </w:r>
      <w:r w:rsidR="00A00DC9">
        <w:t xml:space="preserve">Greek philosopher, Plato, when considering the matter of soul endowment determined that these were not restricted to humans, but animals and plants were similarly ensouled (although plants were possessors of a lesser </w:t>
      </w:r>
      <w:r w:rsidR="00B23C52">
        <w:t>form</w:t>
      </w:r>
      <w:r w:rsidR="00A00DC9">
        <w:t xml:space="preserve"> of soul that was devoid of judgement, reasoning, and intelligence).</w:t>
      </w:r>
      <w:r w:rsidR="00A00DC9">
        <w:rPr>
          <w:rStyle w:val="FootnoteReference"/>
        </w:rPr>
        <w:footnoteReference w:id="5"/>
      </w:r>
      <w:r w:rsidR="009B5913">
        <w:t xml:space="preserve">  </w:t>
      </w:r>
      <w:r w:rsidR="00CB3D84">
        <w:t>Similarly, w</w:t>
      </w:r>
      <w:r w:rsidR="00D00A31">
        <w:t>e see in Marcus Aurelius’ “</w:t>
      </w:r>
      <w:r w:rsidR="00D00A31" w:rsidRPr="00EC443F">
        <w:rPr>
          <w:i/>
          <w:iCs/>
        </w:rPr>
        <w:t>Meditations</w:t>
      </w:r>
      <w:r w:rsidR="00877646">
        <w:t>,”</w:t>
      </w:r>
      <w:r w:rsidR="00CB3D84">
        <w:t xml:space="preserve"> written in the second century AD,</w:t>
      </w:r>
      <w:r w:rsidR="00D00A31">
        <w:t xml:space="preserve"> his belief in a living ensouled universe</w:t>
      </w:r>
    </w:p>
    <w:p w14:paraId="01DE147E" w14:textId="77777777" w:rsidR="00DC3ECB" w:rsidRDefault="00DC3ECB" w:rsidP="00D95F9D"/>
    <w:p w14:paraId="360DCD49" w14:textId="0F5C6B3A" w:rsidR="00D00A31" w:rsidRDefault="00D00A31" w:rsidP="00D95F9D">
      <w:r>
        <w:t>‘</w:t>
      </w:r>
      <w:r w:rsidRPr="00CB3D84">
        <w:rPr>
          <w:i/>
          <w:iCs/>
        </w:rPr>
        <w:t>Think always of the universe as one living creature, comprising one substance and one soul: how all is absorbed into this one consciousness.</w:t>
      </w:r>
      <w:r>
        <w:t>’</w:t>
      </w:r>
      <w:r>
        <w:rPr>
          <w:rStyle w:val="FootnoteReference"/>
        </w:rPr>
        <w:footnoteReference w:id="6"/>
      </w:r>
    </w:p>
    <w:p w14:paraId="0C009467" w14:textId="77777777" w:rsidR="009B5913" w:rsidRDefault="009B5913"/>
    <w:p w14:paraId="3610B0D0" w14:textId="6AFC66FE" w:rsidR="00422E4E" w:rsidRDefault="002B27DE">
      <w:r>
        <w:t>T</w:t>
      </w:r>
      <w:r w:rsidR="009B5913">
        <w:t xml:space="preserve">o understand whether TEK </w:t>
      </w:r>
      <w:r w:rsidR="00DC3ECB">
        <w:t xml:space="preserve">is consistent </w:t>
      </w:r>
      <w:r w:rsidR="009B5913">
        <w:t>with the current scientific paradigm</w:t>
      </w:r>
      <w:r w:rsidR="00DC3ECB">
        <w:t xml:space="preserve"> </w:t>
      </w:r>
      <w:r w:rsidR="009B5913">
        <w:t xml:space="preserve">it is essential to </w:t>
      </w:r>
      <w:r w:rsidR="00DC3ECB">
        <w:t>consider when and why</w:t>
      </w:r>
      <w:r w:rsidR="009B5913">
        <w:t xml:space="preserve"> it diverged from </w:t>
      </w:r>
      <w:r w:rsidR="00DC3ECB">
        <w:t>ancient</w:t>
      </w:r>
      <w:r w:rsidR="000B68BF">
        <w:t xml:space="preserve"> </w:t>
      </w:r>
      <w:r w:rsidR="009B5913">
        <w:t xml:space="preserve">European indigenous thought.  Several </w:t>
      </w:r>
      <w:r w:rsidR="009B5913">
        <w:lastRenderedPageBreak/>
        <w:t>historians have attempted to mark the date</w:t>
      </w:r>
      <w:r w:rsidR="00220C6B">
        <w:t>,</w:t>
      </w:r>
      <w:r w:rsidR="009B5913">
        <w:t xml:space="preserve"> including Lynn White Jnr who believed that it </w:t>
      </w:r>
      <w:r w:rsidR="00220C6B">
        <w:t xml:space="preserve">occurred in </w:t>
      </w:r>
      <w:r w:rsidR="009B5913">
        <w:t>the early medieval period</w:t>
      </w:r>
      <w:r w:rsidR="00DC3ECB">
        <w:rPr>
          <w:rStyle w:val="FootnoteReference"/>
        </w:rPr>
        <w:footnoteReference w:id="7"/>
      </w:r>
      <w:r w:rsidR="007C5713">
        <w:t>.</w:t>
      </w:r>
      <w:r w:rsidR="009B5913">
        <w:t xml:space="preserve"> It </w:t>
      </w:r>
      <w:r w:rsidR="007C5713">
        <w:t>has been</w:t>
      </w:r>
      <w:r w:rsidR="009B5913">
        <w:t xml:space="preserve"> argued however that the divergence was far earlier than </w:t>
      </w:r>
      <w:r w:rsidR="007C5713">
        <w:t xml:space="preserve">this </w:t>
      </w:r>
      <w:r w:rsidR="009B5913">
        <w:t>suggest</w:t>
      </w:r>
      <w:r w:rsidR="007C5713">
        <w:t>s</w:t>
      </w:r>
      <w:r w:rsidR="003B1A0B">
        <w:t xml:space="preserve">. </w:t>
      </w:r>
      <w:r w:rsidR="007C5713">
        <w:t>Sheldrake</w:t>
      </w:r>
      <w:r w:rsidR="000B68BF">
        <w:t>, for example,</w:t>
      </w:r>
      <w:r w:rsidR="007C5713">
        <w:t xml:space="preserve"> charts </w:t>
      </w:r>
      <w:r w:rsidR="00422E4E">
        <w:t>the beginning of the</w:t>
      </w:r>
      <w:r w:rsidR="007C5713">
        <w:t xml:space="preserve"> destruction of western indigenous belief systems back to the development of Judaism and the adoption of a belief in one unique God</w:t>
      </w:r>
      <w:r w:rsidR="00832425">
        <w:t>.</w:t>
      </w:r>
      <w:r w:rsidR="00422E4E">
        <w:t xml:space="preserve"> Sheldrake notes that:</w:t>
      </w:r>
    </w:p>
    <w:p w14:paraId="0C2A7988" w14:textId="4EC390B7" w:rsidR="00105310" w:rsidRDefault="00422E4E">
      <w:r>
        <w:t>‘</w:t>
      </w:r>
      <w:r w:rsidRPr="00422E4E">
        <w:rPr>
          <w:i/>
          <w:iCs/>
        </w:rPr>
        <w:t xml:space="preserve">The pre-Christian religions of Europe, like the pre-Jewish religions of Palestine, were polytheistic; they involved a variety of seasonal ceremonies and rituals, and they recognized many sacred places, including trees, wells, groves, rocks, standing stones, </w:t>
      </w:r>
      <w:r w:rsidR="00877646" w:rsidRPr="00422E4E">
        <w:rPr>
          <w:i/>
          <w:iCs/>
        </w:rPr>
        <w:t>mountains,</w:t>
      </w:r>
      <w:r w:rsidRPr="00422E4E">
        <w:rPr>
          <w:i/>
          <w:iCs/>
        </w:rPr>
        <w:t xml:space="preserve"> and rivers’</w:t>
      </w:r>
      <w:r>
        <w:rPr>
          <w:rStyle w:val="FootnoteReference"/>
          <w:i/>
          <w:iCs/>
        </w:rPr>
        <w:footnoteReference w:id="8"/>
      </w:r>
      <w:r w:rsidR="000B68BF">
        <w:t xml:space="preserve">.  </w:t>
      </w:r>
      <w:r w:rsidR="00832425">
        <w:t>Sheldrake notes</w:t>
      </w:r>
      <w:r>
        <w:t xml:space="preserve"> that developments in Judaism, particularly in the reign</w:t>
      </w:r>
      <w:r w:rsidR="00832425">
        <w:t xml:space="preserve"> of King Josiah</w:t>
      </w:r>
      <w:r>
        <w:t xml:space="preserve"> </w:t>
      </w:r>
      <w:r w:rsidR="00832425">
        <w:t>in the seventh century BCE</w:t>
      </w:r>
      <w:r>
        <w:t xml:space="preserve">, </w:t>
      </w:r>
      <w:r w:rsidR="00220C6B">
        <w:t>were responsible for</w:t>
      </w:r>
      <w:r>
        <w:t xml:space="preserve"> the</w:t>
      </w:r>
      <w:r w:rsidR="00832425">
        <w:t xml:space="preserve"> desecrat</w:t>
      </w:r>
      <w:r>
        <w:t>ion of</w:t>
      </w:r>
      <w:r w:rsidR="00832425">
        <w:t xml:space="preserve"> hill shrines, </w:t>
      </w:r>
      <w:r>
        <w:t>murder of</w:t>
      </w:r>
      <w:r w:rsidR="00832425">
        <w:t xml:space="preserve"> their priests and destr</w:t>
      </w:r>
      <w:r w:rsidR="00245F1D">
        <w:t>uction of</w:t>
      </w:r>
      <w:r w:rsidR="00832425">
        <w:t xml:space="preserve"> the sacred groves</w:t>
      </w:r>
      <w:r w:rsidR="00832425">
        <w:rPr>
          <w:rStyle w:val="FootnoteReference"/>
        </w:rPr>
        <w:footnoteReference w:id="9"/>
      </w:r>
      <w:r w:rsidR="00832425">
        <w:t>.</w:t>
      </w:r>
      <w:r w:rsidR="003B1A0B">
        <w:t xml:space="preserve"> </w:t>
      </w:r>
    </w:p>
    <w:p w14:paraId="10010775" w14:textId="77777777" w:rsidR="00105310" w:rsidRDefault="00105310"/>
    <w:p w14:paraId="4E9CBCF6" w14:textId="458C9294" w:rsidR="005D1590" w:rsidRDefault="003B1A0B">
      <w:r>
        <w:t>In her book, “</w:t>
      </w:r>
      <w:r w:rsidRPr="003B1A0B">
        <w:rPr>
          <w:i/>
          <w:iCs/>
        </w:rPr>
        <w:t>The Darkening Age</w:t>
      </w:r>
      <w:r w:rsidR="00877646">
        <w:t>,”</w:t>
      </w:r>
      <w:r>
        <w:t xml:space="preserve"> Catherine Nixey explores the impact of the spread of Christianity through the Roman Empire </w:t>
      </w:r>
      <w:r w:rsidR="00C00391">
        <w:t>prior to</w:t>
      </w:r>
      <w:r>
        <w:t xml:space="preserve"> the sixth century</w:t>
      </w:r>
      <w:r w:rsidR="00C00391">
        <w:t xml:space="preserve"> </w:t>
      </w:r>
      <w:r w:rsidR="00D128CD">
        <w:rPr>
          <w:rStyle w:val="FootnoteReference"/>
        </w:rPr>
        <w:footnoteReference w:id="10"/>
      </w:r>
      <w:r>
        <w:t>.  Most notably, Nixen details the systematic destruction</w:t>
      </w:r>
      <w:r w:rsidR="00D128CD">
        <w:t xml:space="preserve"> and burning</w:t>
      </w:r>
      <w:r>
        <w:t xml:space="preserve"> of </w:t>
      </w:r>
      <w:r w:rsidR="00D128CD">
        <w:t>temples and the great libraries of classical thought which were stored within them including the Great Library of Alexandria</w:t>
      </w:r>
      <w:r w:rsidR="00877646">
        <w:t>. These</w:t>
      </w:r>
      <w:r w:rsidR="008D2FC0">
        <w:t xml:space="preserve"> depositories of classical learning were burnt</w:t>
      </w:r>
      <w:r w:rsidR="00D128CD">
        <w:t xml:space="preserve"> </w:t>
      </w:r>
      <w:r w:rsidR="002B27DE">
        <w:t>with the aim of</w:t>
      </w:r>
      <w:r w:rsidR="00D128CD">
        <w:t xml:space="preserve"> </w:t>
      </w:r>
      <w:r w:rsidR="002758D8">
        <w:t>obliterat</w:t>
      </w:r>
      <w:r w:rsidR="002B27DE">
        <w:t>ing</w:t>
      </w:r>
      <w:r w:rsidR="00D128CD">
        <w:t xml:space="preserve"> any </w:t>
      </w:r>
      <w:r w:rsidR="00E777EC">
        <w:t>‘</w:t>
      </w:r>
      <w:r w:rsidR="00D128CD">
        <w:t>pagan</w:t>
      </w:r>
      <w:r w:rsidR="00E777EC">
        <w:t>’</w:t>
      </w:r>
      <w:r w:rsidR="00D128CD">
        <w:t xml:space="preserve"> influences. </w:t>
      </w:r>
      <w:r w:rsidR="002758D8">
        <w:t xml:space="preserve">The destruction was a challenge to traditional Roman culture which had, up to that point, been </w:t>
      </w:r>
      <w:r w:rsidR="00CB3D84">
        <w:t xml:space="preserve">relatively </w:t>
      </w:r>
      <w:r w:rsidR="002758D8">
        <w:t>tolerant</w:t>
      </w:r>
      <w:r w:rsidR="008E2F68">
        <w:t xml:space="preserve"> and inclusive</w:t>
      </w:r>
      <w:r w:rsidR="002758D8">
        <w:t xml:space="preserve"> of different belief systems</w:t>
      </w:r>
      <w:r w:rsidR="008E2F68">
        <w:t xml:space="preserve"> including those of the indigenous populations</w:t>
      </w:r>
      <w:r w:rsidR="007B6109">
        <w:t xml:space="preserve">, </w:t>
      </w:r>
      <w:r w:rsidR="00E777EC">
        <w:t xml:space="preserve">which permitted </w:t>
      </w:r>
      <w:r w:rsidR="00AB3524">
        <w:t>such world views to survive</w:t>
      </w:r>
      <w:r w:rsidR="008E2F68">
        <w:t xml:space="preserve">. </w:t>
      </w:r>
      <w:r w:rsidR="00932401">
        <w:t>Crucially, the destruction of pre-Christian knowledge was accompanied by repeated attacks on the proponents of alternative belief systems</w:t>
      </w:r>
      <w:r w:rsidR="007B6109">
        <w:t xml:space="preserve"> with </w:t>
      </w:r>
      <w:r w:rsidR="00932401">
        <w:t>the trial, imprisonment, torture, and burning of non-Christians</w:t>
      </w:r>
      <w:r w:rsidR="00932401">
        <w:rPr>
          <w:rStyle w:val="FootnoteReference"/>
        </w:rPr>
        <w:footnoteReference w:id="11"/>
      </w:r>
      <w:r w:rsidR="00F5567C">
        <w:t>.  Pagan philosophies were discredited as the work of demons and other evil forces.</w:t>
      </w:r>
      <w:r w:rsidR="001E265C">
        <w:t xml:space="preserve"> </w:t>
      </w:r>
      <w:r w:rsidR="00245F1D">
        <w:t>Nixey argues that t</w:t>
      </w:r>
      <w:r w:rsidR="001E265C">
        <w:t xml:space="preserve">he work of obliterating pre-Christian thought came to a climax in 529 with the issue of </w:t>
      </w:r>
      <w:r w:rsidR="006508CE">
        <w:t xml:space="preserve">the Justinian </w:t>
      </w:r>
      <w:r w:rsidR="001E265C">
        <w:t>laws. Law I.II.I0.2, when translated includes the phrase ‘</w:t>
      </w:r>
      <w:r w:rsidR="001E265C" w:rsidRPr="00245F1D">
        <w:rPr>
          <w:i/>
          <w:iCs/>
        </w:rPr>
        <w:t>Moreover</w:t>
      </w:r>
      <w:r w:rsidR="001F4D72" w:rsidRPr="00245F1D">
        <w:rPr>
          <w:i/>
          <w:iCs/>
        </w:rPr>
        <w:t>, we forbid the teaching of any doctrine by those who labour under the insanity of paganism</w:t>
      </w:r>
      <w:r w:rsidR="001F4D72">
        <w:t>’</w:t>
      </w:r>
      <w:r w:rsidR="001F4D72">
        <w:rPr>
          <w:rStyle w:val="FootnoteReference"/>
        </w:rPr>
        <w:footnoteReference w:id="12"/>
      </w:r>
      <w:r w:rsidR="001F4D72">
        <w:t xml:space="preserve">. </w:t>
      </w:r>
      <w:r w:rsidR="00E12503">
        <w:t>Thereby</w:t>
      </w:r>
      <w:r w:rsidR="001F4D72">
        <w:t xml:space="preserve"> the atomistic</w:t>
      </w:r>
      <w:r w:rsidR="000B68BF">
        <w:t xml:space="preserve"> ancient western indigenous</w:t>
      </w:r>
      <w:r w:rsidR="001F4D72">
        <w:t xml:space="preserve"> beliefs of a </w:t>
      </w:r>
      <w:r w:rsidR="00C1396C">
        <w:t>dynamic</w:t>
      </w:r>
      <w:r w:rsidR="001F4D72">
        <w:t xml:space="preserve"> and </w:t>
      </w:r>
      <w:r w:rsidR="00C1396C">
        <w:t>soul-embodied</w:t>
      </w:r>
      <w:r w:rsidR="001F4D72">
        <w:t xml:space="preserve"> universe </w:t>
      </w:r>
      <w:r w:rsidR="00C1396C">
        <w:t xml:space="preserve">became illegal to </w:t>
      </w:r>
      <w:r w:rsidR="006508CE">
        <w:t xml:space="preserve">promote. </w:t>
      </w:r>
      <w:r w:rsidR="00AB3524">
        <w:t xml:space="preserve">Nixen proposes that this effectively replaced free philosophy with </w:t>
      </w:r>
      <w:r w:rsidR="003751C1">
        <w:t xml:space="preserve">theology and thus undefended the thoughts of Aristotle, Cicero, Seneca, Archimedes and Pliny start to disappear. By some estimates only ten percent remained after the purge </w:t>
      </w:r>
      <w:r w:rsidR="003751C1">
        <w:rPr>
          <w:rStyle w:val="FootnoteReference"/>
        </w:rPr>
        <w:footnoteReference w:id="13"/>
      </w:r>
      <w:r w:rsidR="003751C1">
        <w:t xml:space="preserve">. </w:t>
      </w:r>
      <w:r w:rsidR="00C1396C">
        <w:t>In their place the Christian creation myths and other doctrines that gave humanity dominance over the natural world and denied the existence of an animate, soul-endowed universe</w:t>
      </w:r>
      <w:r w:rsidR="00C93DB2">
        <w:t xml:space="preserve"> became the only acceptable belief </w:t>
      </w:r>
      <w:r w:rsidR="003751C1">
        <w:t>system</w:t>
      </w:r>
      <w:r w:rsidR="00C93DB2">
        <w:t xml:space="preserve"> in the Christian world.</w:t>
      </w:r>
      <w:r w:rsidR="00D92F6B">
        <w:t xml:space="preserve"> </w:t>
      </w:r>
    </w:p>
    <w:p w14:paraId="43B36692" w14:textId="409FD435" w:rsidR="00D92F6B" w:rsidRDefault="00D92F6B">
      <w:r>
        <w:t xml:space="preserve"> </w:t>
      </w:r>
    </w:p>
    <w:p w14:paraId="474882CD" w14:textId="46E81D86" w:rsidR="00245F1D" w:rsidRDefault="00245F1D">
      <w:r>
        <w:t xml:space="preserve">However, Sheldrake argues that in Europe many of the pre-Christian belief systems were not completely </w:t>
      </w:r>
      <w:r w:rsidR="009B114F">
        <w:t>eradicated,</w:t>
      </w:r>
      <w:r>
        <w:t xml:space="preserve"> </w:t>
      </w:r>
      <w:r w:rsidR="000B68BF">
        <w:t>and</w:t>
      </w:r>
      <w:r>
        <w:t xml:space="preserve"> some elemen</w:t>
      </w:r>
      <w:r w:rsidR="009B114F">
        <w:t>t</w:t>
      </w:r>
      <w:r>
        <w:t>s were simply subsumed within the growing Christian Church.  He points to the incorporation of sacred springs as holy wells and the assimilation of goddess worship into the Mother Mary cult as evidence of this</w:t>
      </w:r>
      <w:r w:rsidR="0035007B">
        <w:rPr>
          <w:rStyle w:val="FootnoteReference"/>
        </w:rPr>
        <w:footnoteReference w:id="14"/>
      </w:r>
      <w:r w:rsidR="0035007B">
        <w:t>.</w:t>
      </w:r>
      <w:r w:rsidR="00E6598B">
        <w:t xml:space="preserve">  Sheldrake proposes that </w:t>
      </w:r>
      <w:r w:rsidR="00D65158">
        <w:t>complete</w:t>
      </w:r>
      <w:r w:rsidR="00E6598B">
        <w:t xml:space="preserve"> eradication did not </w:t>
      </w:r>
      <w:r w:rsidR="00D65158">
        <w:t>occur</w:t>
      </w:r>
      <w:r w:rsidR="00E6598B">
        <w:t xml:space="preserve"> until the Reformation when Protestantism </w:t>
      </w:r>
      <w:r w:rsidR="00E6598B">
        <w:lastRenderedPageBreak/>
        <w:t>sought to remove the idea that spiritual power was present in the natural world</w:t>
      </w:r>
      <w:r w:rsidR="00E6598B">
        <w:rPr>
          <w:rStyle w:val="FootnoteReference"/>
        </w:rPr>
        <w:footnoteReference w:id="15"/>
      </w:r>
      <w:r w:rsidR="00E6598B">
        <w:t>. The result of this he points out was that “</w:t>
      </w:r>
      <w:r w:rsidR="00E6598B" w:rsidRPr="000B68BF">
        <w:rPr>
          <w:i/>
          <w:iCs/>
        </w:rPr>
        <w:t>All traces of magic, holiness and spiritual power were removed from the realm of nature; the spiritual realm would be confined to human beings</w:t>
      </w:r>
      <w:r w:rsidR="00E6598B">
        <w:t>”</w:t>
      </w:r>
      <w:r w:rsidR="00E6598B">
        <w:rPr>
          <w:rStyle w:val="FootnoteReference"/>
        </w:rPr>
        <w:footnoteReference w:id="16"/>
      </w:r>
      <w:r w:rsidR="007550F9">
        <w:t xml:space="preserve">  Thus the ensouled animate cosmos, a foundational understanding for indigenous knowledge, and </w:t>
      </w:r>
      <w:r w:rsidR="00E71176">
        <w:t>H</w:t>
      </w:r>
      <w:r w:rsidR="007550F9">
        <w:t>oude’s crucial sixth face, was removed from the western tradition. It was, as Sheldrake points out, preparation of the ground leading to the introduction of the mechanistic</w:t>
      </w:r>
      <w:r w:rsidR="00E71176">
        <w:t xml:space="preserve"> scientific</w:t>
      </w:r>
      <w:r w:rsidR="007550F9">
        <w:t xml:space="preserve"> theories that were a feature of the </w:t>
      </w:r>
      <w:r w:rsidR="006F7357">
        <w:t>seventeenth</w:t>
      </w:r>
      <w:r w:rsidR="007550F9">
        <w:t xml:space="preserve"> century</w:t>
      </w:r>
      <w:r w:rsidR="007550F9">
        <w:rPr>
          <w:rStyle w:val="FootnoteReference"/>
        </w:rPr>
        <w:footnoteReference w:id="17"/>
      </w:r>
      <w:r w:rsidR="007550F9">
        <w:t>.</w:t>
      </w:r>
    </w:p>
    <w:p w14:paraId="21078848" w14:textId="77777777" w:rsidR="002C6CEC" w:rsidRDefault="002C6CEC"/>
    <w:p w14:paraId="69B1F9CD" w14:textId="793497B9" w:rsidR="002C6CEC" w:rsidRDefault="002C6CEC">
      <w:r>
        <w:t xml:space="preserve">The lawyer, Francis Bacon, </w:t>
      </w:r>
      <w:r w:rsidR="007B6109">
        <w:t>sought</w:t>
      </w:r>
      <w:r>
        <w:t xml:space="preserve"> to </w:t>
      </w:r>
      <w:r w:rsidR="007B6109">
        <w:t>validate</w:t>
      </w:r>
      <w:r w:rsidR="00185A15">
        <w:t xml:space="preserve"> humanity’s </w:t>
      </w:r>
      <w:r>
        <w:t xml:space="preserve">dominion over the universe. By differentiating between ‘natural knowledge’ and ‘moral knowledge’ Bacon made </w:t>
      </w:r>
      <w:r w:rsidR="007B6109">
        <w:t>the</w:t>
      </w:r>
      <w:r>
        <w:t xml:space="preserve"> distinction between values and facts</w:t>
      </w:r>
      <w:r w:rsidR="007B6109">
        <w:t xml:space="preserve"> which</w:t>
      </w:r>
      <w:r>
        <w:t xml:space="preserve"> is fundamental to modern scientific thinking</w:t>
      </w:r>
      <w:r w:rsidR="00215AFD">
        <w:t xml:space="preserve">. As Sheldrake points out Bacon’s writings on the conquest of nature contain sexual imagery that were adopted by many of the later Fellows of the Royal Society. This, he argues, reinforced the concept that </w:t>
      </w:r>
      <w:r w:rsidR="000C349A">
        <w:t>the ‘feminine’ inferior earth goddess figure could be dominated and subdued by ‘masculine’ superior scientific knowledge</w:t>
      </w:r>
      <w:r w:rsidR="000C349A">
        <w:rPr>
          <w:rStyle w:val="FootnoteReference"/>
        </w:rPr>
        <w:footnoteReference w:id="18"/>
      </w:r>
      <w:r w:rsidR="000C349A">
        <w:t>.  As he points out ‘</w:t>
      </w:r>
      <w:r w:rsidR="000C349A" w:rsidRPr="00C43A97">
        <w:rPr>
          <w:i/>
          <w:iCs/>
        </w:rPr>
        <w:t>by the end of the seventeenth century, in the eyes of science, nature had ceased to be feminine at all; she simply became inanimate matter in motion’</w:t>
      </w:r>
      <w:r w:rsidR="000C349A">
        <w:rPr>
          <w:rStyle w:val="FootnoteReference"/>
        </w:rPr>
        <w:footnoteReference w:id="19"/>
      </w:r>
      <w:r w:rsidR="000C349A">
        <w:t xml:space="preserve">. </w:t>
      </w:r>
      <w:r w:rsidR="00E67257">
        <w:t xml:space="preserve"> Bacon’s work was</w:t>
      </w:r>
      <w:r w:rsidR="007B6109">
        <w:t xml:space="preserve"> further</w:t>
      </w:r>
      <w:r w:rsidR="00E67257">
        <w:t xml:space="preserve"> elaborated by Descartes, who a</w:t>
      </w:r>
      <w:r w:rsidR="00C43A97">
        <w:t>dded</w:t>
      </w:r>
      <w:r w:rsidR="00E67257">
        <w:t xml:space="preserve"> a new mechanical way of thinking. </w:t>
      </w:r>
      <w:r w:rsidR="007B6109">
        <w:t>For Descartes</w:t>
      </w:r>
      <w:r w:rsidR="00C43A97">
        <w:t xml:space="preserve"> p</w:t>
      </w:r>
      <w:r w:rsidR="00E67257">
        <w:t>lants, animals</w:t>
      </w:r>
      <w:r w:rsidR="00E71176">
        <w:t>,</w:t>
      </w:r>
      <w:r w:rsidR="00E67257">
        <w:t xml:space="preserve"> and humans functioned as machines with the exception of a rational soul located in a small part of the human brain. Animals, he considered, lacked souls and therefore humanity was free to exploit them. It is a concept that </w:t>
      </w:r>
      <w:r w:rsidR="00AA330C">
        <w:t xml:space="preserve">continues to </w:t>
      </w:r>
      <w:r w:rsidR="00E67257">
        <w:t>pervade western modern scientific thinking</w:t>
      </w:r>
      <w:r w:rsidR="00AA330C">
        <w:t xml:space="preserve">. </w:t>
      </w:r>
      <w:r w:rsidR="00E67257">
        <w:t xml:space="preserve"> </w:t>
      </w:r>
      <w:r w:rsidR="000C349A">
        <w:t xml:space="preserve">Thus were the ethics and values of </w:t>
      </w:r>
      <w:r w:rsidR="00E71176">
        <w:t>H</w:t>
      </w:r>
      <w:r w:rsidR="000C349A">
        <w:t>oude’s 4</w:t>
      </w:r>
      <w:r w:rsidR="000C349A" w:rsidRPr="000C349A">
        <w:rPr>
          <w:vertAlign w:val="superscript"/>
        </w:rPr>
        <w:t>th</w:t>
      </w:r>
      <w:r w:rsidR="000C349A">
        <w:t xml:space="preserve"> face </w:t>
      </w:r>
      <w:r w:rsidR="00E82403">
        <w:t xml:space="preserve">of indigenous knowledge </w:t>
      </w:r>
      <w:r w:rsidR="000C349A">
        <w:t>lost to Western scientific thinking together with</w:t>
      </w:r>
      <w:r w:rsidR="00AA330C">
        <w:t xml:space="preserve"> humanity’s</w:t>
      </w:r>
      <w:r w:rsidR="000C349A">
        <w:t xml:space="preserve"> respectful relationship with an animate </w:t>
      </w:r>
      <w:r w:rsidR="00593324">
        <w:t>cosmos</w:t>
      </w:r>
      <w:r w:rsidR="000C349A">
        <w:t xml:space="preserve"> and all her inhabitants.</w:t>
      </w:r>
    </w:p>
    <w:p w14:paraId="52A83060" w14:textId="77777777" w:rsidR="00D92F6B" w:rsidRDefault="00D92F6B"/>
    <w:p w14:paraId="4527BD3A" w14:textId="2A05802B" w:rsidR="009D4F0C" w:rsidRPr="003524DC" w:rsidRDefault="00D92F6B" w:rsidP="003524DC">
      <w:pPr>
        <w:rPr>
          <w:color w:val="FF0000"/>
        </w:rPr>
      </w:pPr>
      <w:r>
        <w:t xml:space="preserve">It is from this inheritance that modern scientific ecological knowledge was birthed, and </w:t>
      </w:r>
      <w:r w:rsidR="000B68BF">
        <w:t>it is apparent that most of western ancient indigenous thinking is not represented in modern scientific thought</w:t>
      </w:r>
      <w:r>
        <w:t>.  If traditional ecological knowledge is to be incorporated into the current Western system, will it face the dismissal, ridicule or even violent suppression that characterized the treatment of alternative belief systems in the pas</w:t>
      </w:r>
      <w:r w:rsidR="009D4F0C">
        <w:t>t? W</w:t>
      </w:r>
      <w:r>
        <w:t xml:space="preserve">e still see active </w:t>
      </w:r>
      <w:r w:rsidR="003524DC">
        <w:t xml:space="preserve">ridicule and </w:t>
      </w:r>
      <w:r>
        <w:t xml:space="preserve">suppression of scientists whose theories do not fit </w:t>
      </w:r>
      <w:r w:rsidR="003524DC">
        <w:t>the current scientific paradigms. James Lovelock’s Gaia theory, which was believed by some scientists to propose the existence of an animate earth, resulted in him being derided both personally and professionally</w:t>
      </w:r>
      <w:r w:rsidR="003524DC">
        <w:rPr>
          <w:rStyle w:val="FootnoteReference"/>
        </w:rPr>
        <w:footnoteReference w:id="20"/>
      </w:r>
      <w:r w:rsidR="003524DC">
        <w:t xml:space="preserve"> </w:t>
      </w:r>
    </w:p>
    <w:p w14:paraId="2093248D" w14:textId="77777777" w:rsidR="009D4F0C" w:rsidRDefault="009D4F0C" w:rsidP="009D4F0C">
      <w:pPr>
        <w:ind w:left="720"/>
      </w:pPr>
    </w:p>
    <w:p w14:paraId="7CE84521" w14:textId="77777777" w:rsidR="009D4F0C" w:rsidRDefault="009D4F0C"/>
    <w:p w14:paraId="2EB8BCC9" w14:textId="0FC0F6B4" w:rsidR="00D757F5" w:rsidRPr="00171CB7" w:rsidRDefault="00171CB7" w:rsidP="00AD659D">
      <w:pPr>
        <w:rPr>
          <w:u w:val="single"/>
        </w:rPr>
      </w:pPr>
      <w:r w:rsidRPr="00171CB7">
        <w:rPr>
          <w:u w:val="single"/>
        </w:rPr>
        <w:t>Potential benefits of incorporating TEK</w:t>
      </w:r>
    </w:p>
    <w:p w14:paraId="30A53B44" w14:textId="52BB88DD" w:rsidR="00D757F5" w:rsidRDefault="00D757F5" w:rsidP="00AD659D">
      <w:r>
        <w:t xml:space="preserve">On a purely </w:t>
      </w:r>
      <w:r w:rsidR="0048377A">
        <w:t>data-driven</w:t>
      </w:r>
      <w:r>
        <w:t xml:space="preserve"> basis the benefits of including TEK in our current scientific knowledge base seem to be profound</w:t>
      </w:r>
      <w:r w:rsidR="0070487D">
        <w:t>.  TEK represents the accumulation of hundreds of years detailed observation of specific biosystems.  The resulting knowledge describes in detail the ecological systems and patterns in relationships between the fauna and flora in the relevant area. Furthermore</w:t>
      </w:r>
      <w:r w:rsidR="0048377A">
        <w:t>,</w:t>
      </w:r>
      <w:r w:rsidR="0070487D">
        <w:t xml:space="preserve"> as local conditions have changed over time, TEK can also provide data on </w:t>
      </w:r>
      <w:r w:rsidR="0070487D">
        <w:lastRenderedPageBreak/>
        <w:t>the resulting effects on the biosystem.</w:t>
      </w:r>
      <w:r w:rsidR="0048377A">
        <w:t xml:space="preserve"> Thus, the information provided by TEK could be of considerable benefit in generating both support and challenge to the current Western scientific understanding of the ecological crisis.</w:t>
      </w:r>
    </w:p>
    <w:p w14:paraId="5A22C60B" w14:textId="77777777" w:rsidR="0048377A" w:rsidRDefault="0048377A" w:rsidP="00AD659D"/>
    <w:p w14:paraId="4347AB16" w14:textId="072A99B5" w:rsidR="0048377A" w:rsidRPr="00AB0029" w:rsidRDefault="0048377A" w:rsidP="00AD659D">
      <w:r>
        <w:t>The potential benefits of incorporating TEK are far from limited to the provision of data, useful though that would be.  It is the integration of the TEK worldview that potentially offers the most profound advantages.  TEK systems are characterized by their understanding of hum</w:t>
      </w:r>
      <w:r w:rsidR="00FF3ED4">
        <w:t>a</w:t>
      </w:r>
      <w:r>
        <w:t>nit</w:t>
      </w:r>
      <w:r w:rsidR="00FF3ED4">
        <w:t xml:space="preserve">y’s role as an integral part of an animate universe </w:t>
      </w:r>
      <w:r w:rsidR="006C6F1A">
        <w:t>in which</w:t>
      </w:r>
      <w:r w:rsidR="00FF3ED4">
        <w:t xml:space="preserve"> each component exists in dynamic living connection with every other element.  In these worldviews each constituent element has intrinsic value and the right to exist independent of any benefit to humanity that it may represent. There is an understanding within TEK knowledge systems</w:t>
      </w:r>
      <w:r w:rsidR="005F6D86">
        <w:t xml:space="preserve"> that the extinction of any one part of a biosystem will have a profound effect on the healthy functioning of that system </w:t>
      </w:r>
      <w:r w:rsidR="006C6F1A">
        <w:t>in its entirety</w:t>
      </w:r>
      <w:r w:rsidR="005F6D86">
        <w:t>.  This understanding that</w:t>
      </w:r>
      <w:r w:rsidR="00C3186B">
        <w:t xml:space="preserve"> resilience is</w:t>
      </w:r>
      <w:r w:rsidR="005F6D86">
        <w:t xml:space="preserve"> increase</w:t>
      </w:r>
      <w:r w:rsidR="00C3186B">
        <w:t>d by diversity</w:t>
      </w:r>
      <w:r w:rsidR="005F6D86">
        <w:t xml:space="preserve"> is fundamental to TEK but has only recently been </w:t>
      </w:r>
      <w:r w:rsidR="00E41B14">
        <w:t>accepted into modern scientific thought following the work of Robert Paine on keystone species</w:t>
      </w:r>
      <w:r w:rsidR="00E41B14">
        <w:rPr>
          <w:rStyle w:val="FootnoteReference"/>
        </w:rPr>
        <w:footnoteReference w:id="21"/>
      </w:r>
      <w:r w:rsidR="00E41B14">
        <w:t xml:space="preserve">.  </w:t>
      </w:r>
      <w:r w:rsidR="005F6D86" w:rsidRPr="00AB0029">
        <w:t xml:space="preserve">Furthermore, in TEK systems humanity has an obligation to pass on a </w:t>
      </w:r>
      <w:r w:rsidR="00AB0029">
        <w:t>healthy living environment to future generations.</w:t>
      </w:r>
    </w:p>
    <w:p w14:paraId="5F5C0148" w14:textId="77777777" w:rsidR="005F6D86" w:rsidRDefault="005F6D86" w:rsidP="00AD659D">
      <w:pPr>
        <w:rPr>
          <w:color w:val="FF0000"/>
        </w:rPr>
      </w:pPr>
    </w:p>
    <w:p w14:paraId="00E39D94" w14:textId="26711205" w:rsidR="005F6D86" w:rsidRDefault="005F6D86" w:rsidP="00AD659D">
      <w:r w:rsidRPr="005F6D86">
        <w:t>If these</w:t>
      </w:r>
      <w:r>
        <w:t xml:space="preserve"> belief systems were incorporated into current scientific knowledge, the impacts would be profound.  A system where </w:t>
      </w:r>
      <w:r w:rsidR="00AB0029">
        <w:t>each</w:t>
      </w:r>
      <w:r>
        <w:t xml:space="preserve"> component </w:t>
      </w:r>
      <w:r w:rsidR="00877646">
        <w:t>is</w:t>
      </w:r>
      <w:r>
        <w:t xml:space="preserve"> animate and of intrinsic value, would </w:t>
      </w:r>
      <w:r w:rsidR="00862859">
        <w:t xml:space="preserve">effectively assign “personhood” not only to fauna and flora also to </w:t>
      </w:r>
      <w:r w:rsidR="008B1540">
        <w:t xml:space="preserve">rocks, rivers, </w:t>
      </w:r>
      <w:r w:rsidR="00877646">
        <w:t>winds,</w:t>
      </w:r>
      <w:r w:rsidR="008B1540">
        <w:t xml:space="preserve"> and all other constituent elements.  If these principles were successfully enshrined in the legal system</w:t>
      </w:r>
      <w:r w:rsidR="00B2698A">
        <w:t>, with appropriate penalties for non-compliance,</w:t>
      </w:r>
      <w:r w:rsidR="008B1540">
        <w:t xml:space="preserve"> this would effectively</w:t>
      </w:r>
      <w:r w:rsidR="00862859">
        <w:t xml:space="preserve"> </w:t>
      </w:r>
      <w:r>
        <w:t xml:space="preserve">preclude current </w:t>
      </w:r>
      <w:r w:rsidR="008B1540">
        <w:t xml:space="preserve">the </w:t>
      </w:r>
      <w:r>
        <w:t xml:space="preserve">profit-driven </w:t>
      </w:r>
      <w:r w:rsidR="00AB0029">
        <w:t>and destructive patterns of exploitation that are the direct foundations of t</w:t>
      </w:r>
      <w:r w:rsidR="008B1540">
        <w:t>oday’s</w:t>
      </w:r>
      <w:r w:rsidR="00AB0029">
        <w:t xml:space="preserve"> ecological crisis.</w:t>
      </w:r>
      <w:r w:rsidR="00B2698A">
        <w:t xml:space="preserve"> </w:t>
      </w:r>
      <w:r w:rsidR="00C3186B">
        <w:t xml:space="preserve">As the current situation is not compatible with long-term sustainability of the planet or her inhabitants an alternative pathway into the future is an imperative.  The restoration of TEK principles </w:t>
      </w:r>
      <w:r w:rsidR="00CB2412">
        <w:t xml:space="preserve">into generally accepted scientific knowledge may represent the most accessible vehicle of change that is available.  </w:t>
      </w:r>
      <w:r w:rsidR="00B2698A">
        <w:t xml:space="preserve">The over-riding profit motive which currently drives corporate action </w:t>
      </w:r>
      <w:r w:rsidR="00D17CB5">
        <w:t>c</w:t>
      </w:r>
      <w:r w:rsidR="00B2698A">
        <w:t>ould be replaced by a new pattern of key performance indicators</w:t>
      </w:r>
      <w:r w:rsidR="00D17CB5">
        <w:t xml:space="preserve"> which also included long term environmental sustainability, respectful relationship with all human and non-human entities and appropriate rewards for environmental restoration.</w:t>
      </w:r>
    </w:p>
    <w:p w14:paraId="055ECC5F" w14:textId="77777777" w:rsidR="00D17CB5" w:rsidRDefault="00D17CB5" w:rsidP="00AD659D"/>
    <w:p w14:paraId="2F3865EE" w14:textId="15DAB88F" w:rsidR="00AD659D" w:rsidRDefault="00B2698A" w:rsidP="00D17CB5">
      <w:r>
        <w:t xml:space="preserve">Similarly, if the TEK worldview were to be successfully embedded into Western culture in the longer term this would </w:t>
      </w:r>
      <w:r w:rsidR="00D17CB5">
        <w:t>contribute</w:t>
      </w:r>
      <w:r>
        <w:t xml:space="preserve"> to </w:t>
      </w:r>
      <w:r w:rsidR="00D17CB5">
        <w:t xml:space="preserve">profound social, </w:t>
      </w:r>
      <w:r w:rsidR="00877646">
        <w:t>political,</w:t>
      </w:r>
      <w:r w:rsidR="00D17CB5">
        <w:t xml:space="preserve"> and educational change. The recognition of “personhood” for non-human life forms </w:t>
      </w:r>
      <w:r w:rsidR="000530D7">
        <w:t>encourages</w:t>
      </w:r>
      <w:r w:rsidR="00D17CB5">
        <w:t xml:space="preserve"> respectful relationship and closer connection with the natural world. An appreciation of diversity in all its forms both human and non-human </w:t>
      </w:r>
      <w:r w:rsidR="00264DE3">
        <w:t>c</w:t>
      </w:r>
      <w:r w:rsidR="00D17CB5">
        <w:t xml:space="preserve">ould </w:t>
      </w:r>
      <w:r w:rsidR="00264DE3">
        <w:t>restore</w:t>
      </w:r>
      <w:r w:rsidR="00D17CB5">
        <w:t xml:space="preserve"> ecological resilience and could ultimately lead to a more inclusive</w:t>
      </w:r>
      <w:r w:rsidR="00264DE3">
        <w:t xml:space="preserve">, </w:t>
      </w:r>
      <w:r w:rsidR="00877646">
        <w:t>healthy,</w:t>
      </w:r>
      <w:r w:rsidR="00264DE3">
        <w:t xml:space="preserve"> and connected</w:t>
      </w:r>
      <w:r w:rsidR="00D17CB5">
        <w:t xml:space="preserve"> society.</w:t>
      </w:r>
    </w:p>
    <w:p w14:paraId="21AB26B1" w14:textId="77777777" w:rsidR="00AD659D" w:rsidRDefault="00AD659D" w:rsidP="00AD659D">
      <w:pPr>
        <w:pStyle w:val="ListParagraph"/>
      </w:pPr>
    </w:p>
    <w:p w14:paraId="206B5347" w14:textId="77777777" w:rsidR="007006F7" w:rsidRDefault="007006F7" w:rsidP="007006F7">
      <w:pPr>
        <w:rPr>
          <w:color w:val="FF0000"/>
        </w:rPr>
      </w:pPr>
    </w:p>
    <w:p w14:paraId="7AAD04C2" w14:textId="55570D79" w:rsidR="00C2788C" w:rsidRPr="00171CB7" w:rsidRDefault="00171CB7" w:rsidP="007006F7">
      <w:pPr>
        <w:rPr>
          <w:u w:val="single"/>
        </w:rPr>
      </w:pPr>
      <w:r w:rsidRPr="00171CB7">
        <w:rPr>
          <w:u w:val="single"/>
        </w:rPr>
        <w:t>Potential disadvantages of incorporating TEK</w:t>
      </w:r>
    </w:p>
    <w:p w14:paraId="43578267" w14:textId="7431E2CA" w:rsidR="00C2788C" w:rsidRDefault="00C2788C" w:rsidP="007006F7">
      <w:r>
        <w:t xml:space="preserve">Inevitably such profound change would </w:t>
      </w:r>
      <w:r w:rsidR="00C3186B">
        <w:t>also create</w:t>
      </w:r>
      <w:r>
        <w:t xml:space="preserve"> associated disadvantages and challenges.  </w:t>
      </w:r>
      <w:r w:rsidRPr="002E1944">
        <w:t>From the perspective of scientific data Western contemporary scientists are most familiar with empirical methods that generate hard numerical data</w:t>
      </w:r>
      <w:r>
        <w:t xml:space="preserve">.  </w:t>
      </w:r>
      <w:r w:rsidR="00877646">
        <w:t>TEK</w:t>
      </w:r>
      <w:r>
        <w:t xml:space="preserve"> knowledge systems have been passed down in songs, stories</w:t>
      </w:r>
      <w:r w:rsidR="006C6F1A">
        <w:t>,</w:t>
      </w:r>
      <w:r>
        <w:t xml:space="preserve"> and other </w:t>
      </w:r>
      <w:r w:rsidR="00C3186B">
        <w:t>o</w:t>
      </w:r>
      <w:r>
        <w:t>ral traditions over centuries. As such the observations cannot be repeated, cannot be checked for accuracy</w:t>
      </w:r>
      <w:r w:rsidR="00806369">
        <w:t xml:space="preserve">, and may elude scientific </w:t>
      </w:r>
      <w:r w:rsidR="00806369">
        <w:lastRenderedPageBreak/>
        <w:t>notation</w:t>
      </w:r>
      <w:r>
        <w:t>.  Thus, whe</w:t>
      </w:r>
      <w:r w:rsidR="002E1944">
        <w:t>re</w:t>
      </w:r>
      <w:r>
        <w:t xml:space="preserve"> TEK knowledge contradicts accepted scientific paradigms</w:t>
      </w:r>
      <w:r w:rsidR="00806369">
        <w:t>, it will inevitably face resistance, particularly from vested interests</w:t>
      </w:r>
      <w:r w:rsidR="00C3186B">
        <w:t xml:space="preserve"> which</w:t>
      </w:r>
      <w:r w:rsidR="00806369">
        <w:t xml:space="preserve"> aim</w:t>
      </w:r>
      <w:r w:rsidR="00C3186B">
        <w:t xml:space="preserve"> to</w:t>
      </w:r>
      <w:r w:rsidR="00806369">
        <w:t xml:space="preserve"> maintain the status quo.</w:t>
      </w:r>
    </w:p>
    <w:p w14:paraId="1D97AA89" w14:textId="77777777" w:rsidR="00806369" w:rsidRDefault="00806369" w:rsidP="007006F7"/>
    <w:p w14:paraId="7474D286" w14:textId="38FB1500" w:rsidR="00806369" w:rsidRDefault="00806369" w:rsidP="007006F7">
      <w:r>
        <w:t>Resistance may also be forthcoming f</w:t>
      </w:r>
      <w:r w:rsidR="006C6F1A">
        <w:t>rom</w:t>
      </w:r>
      <w:r>
        <w:t xml:space="preserve"> the indigenous sources of TEK themselves.  </w:t>
      </w:r>
      <w:r w:rsidR="006C6F1A">
        <w:t xml:space="preserve">For indigenous populations, </w:t>
      </w:r>
      <w:r>
        <w:t>TEK forms an intrinsic part of their cultural identity. As such there may be resistance to sharing this information, particularly with external populations who may be regarded as the source of the environmental degradation</w:t>
      </w:r>
      <w:r w:rsidR="003405CF">
        <w:t>. Indigenous populations have already expressed concern about the incorporation of TEK knowledge without the simultaneous adoption of the animate, ensouled universe worldview.</w:t>
      </w:r>
      <w:r w:rsidR="006C6F1A">
        <w:t xml:space="preserve"> </w:t>
      </w:r>
      <w:r w:rsidR="006C6F1A" w:rsidRPr="006C6F1A">
        <w:rPr>
          <w:color w:val="FF0000"/>
        </w:rPr>
        <w:t>(INSERT REFERENCE)</w:t>
      </w:r>
    </w:p>
    <w:p w14:paraId="05F428B2" w14:textId="77777777" w:rsidR="003405CF" w:rsidRDefault="003405CF" w:rsidP="007006F7"/>
    <w:p w14:paraId="15DBAA43" w14:textId="3E3D2B46" w:rsidR="003405CF" w:rsidRPr="007006F7" w:rsidRDefault="003405CF" w:rsidP="007006F7">
      <w:r>
        <w:t>Even if the above concerns can be overcome there are also practical difficulties with any such adoption.  TEK systems are</w:t>
      </w:r>
      <w:r w:rsidR="0043489E">
        <w:t>,</w:t>
      </w:r>
      <w:r>
        <w:t xml:space="preserve"> by definition</w:t>
      </w:r>
      <w:r w:rsidR="0043489E">
        <w:t>,</w:t>
      </w:r>
      <w:r>
        <w:t xml:space="preserve"> very local in their nature.  They are </w:t>
      </w:r>
      <w:r w:rsidR="0043489E">
        <w:t xml:space="preserve">only of relevance in the specific biosystems in which they were created, and may be of very limited value elsewhere.  Many areas, particularly in the developed Western world have few or no </w:t>
      </w:r>
      <w:r w:rsidR="00C3186B">
        <w:t xml:space="preserve">remaining </w:t>
      </w:r>
      <w:r w:rsidR="0043489E">
        <w:t xml:space="preserve">indigenous peoples from whom TEK relevant to their </w:t>
      </w:r>
      <w:r w:rsidR="007D24D8">
        <w:t xml:space="preserve">geographical </w:t>
      </w:r>
      <w:r w:rsidR="00C3186B">
        <w:t>region</w:t>
      </w:r>
      <w:r w:rsidR="0043489E">
        <w:t xml:space="preserve"> could be obtained.  Similarly, in the developed Western world, as discussed above, indigenous spiritual worldviews have been subjected to systematic </w:t>
      </w:r>
      <w:r w:rsidR="00C3186B">
        <w:t>eradication</w:t>
      </w:r>
      <w:r w:rsidR="0043489E">
        <w:t xml:space="preserve"> by monotheistic religious knowledge systems.  Whilst the</w:t>
      </w:r>
      <w:r w:rsidR="00C3186B">
        <w:t>re has</w:t>
      </w:r>
      <w:r w:rsidR="0043489E">
        <w:t xml:space="preserve"> been some resurgence in recent years</w:t>
      </w:r>
      <w:r w:rsidR="006723C8">
        <w:t xml:space="preserve">, much of the original spiritual systems on which they are based has been lost and </w:t>
      </w:r>
      <w:r w:rsidR="00356508">
        <w:t xml:space="preserve">today’s </w:t>
      </w:r>
      <w:r w:rsidR="006723C8">
        <w:t>practitioners employ modern interpretations which may not</w:t>
      </w:r>
      <w:r w:rsidR="007D24D8">
        <w:t xml:space="preserve"> contain the historic information needed</w:t>
      </w:r>
      <w:r w:rsidR="006723C8">
        <w:t xml:space="preserve"> for these purposes.</w:t>
      </w:r>
      <w:r w:rsidR="006052A4">
        <w:t xml:space="preserve">  Where historic information is available, it </w:t>
      </w:r>
      <w:r w:rsidR="006C6F1A">
        <w:t>may</w:t>
      </w:r>
      <w:r w:rsidR="006052A4">
        <w:t xml:space="preserve"> not</w:t>
      </w:r>
      <w:r w:rsidR="006C6F1A">
        <w:t xml:space="preserve"> have</w:t>
      </w:r>
      <w:r w:rsidR="006052A4">
        <w:t xml:space="preserve"> been </w:t>
      </w:r>
      <w:r w:rsidR="006C6F1A">
        <w:t xml:space="preserve">subject to </w:t>
      </w:r>
      <w:r w:rsidR="006052A4">
        <w:t>adapt</w:t>
      </w:r>
      <w:r w:rsidR="006C6F1A">
        <w:t>ation</w:t>
      </w:r>
      <w:r w:rsidR="006052A4">
        <w:t xml:space="preserve"> to</w:t>
      </w:r>
      <w:r w:rsidR="006C6F1A">
        <w:t xml:space="preserve"> meet</w:t>
      </w:r>
      <w:r w:rsidR="006052A4">
        <w:t xml:space="preserve"> the current circumstances and may </w:t>
      </w:r>
      <w:r w:rsidR="006C6F1A">
        <w:t>thus be</w:t>
      </w:r>
      <w:r w:rsidR="006052A4">
        <w:t xml:space="preserve"> of limited usefulness </w:t>
      </w:r>
      <w:r w:rsidR="006C6F1A">
        <w:t xml:space="preserve">in the </w:t>
      </w:r>
      <w:r w:rsidR="00C3186B">
        <w:t>p</w:t>
      </w:r>
      <w:r w:rsidR="006C6F1A">
        <w:t>resent day</w:t>
      </w:r>
      <w:r w:rsidR="006052A4">
        <w:t>.</w:t>
      </w:r>
      <w:r w:rsidR="00356508">
        <w:t xml:space="preserve"> Furthermore, many of the original species of plants and animals in these areas have already become extinct and replicating the historic landscapes, even if this were considered desirable, might not be possible.</w:t>
      </w:r>
    </w:p>
    <w:p w14:paraId="78557363" w14:textId="77777777" w:rsidR="00AD659D" w:rsidRDefault="00AD659D" w:rsidP="006C6F1A"/>
    <w:p w14:paraId="68A16633" w14:textId="153070D0" w:rsidR="00CB2412" w:rsidRPr="00171CB7" w:rsidRDefault="00171CB7" w:rsidP="00AD659D">
      <w:pPr>
        <w:rPr>
          <w:u w:val="single"/>
        </w:rPr>
      </w:pPr>
      <w:r w:rsidRPr="00171CB7">
        <w:rPr>
          <w:u w:val="single"/>
        </w:rPr>
        <w:t>Potential mitigation measures</w:t>
      </w:r>
    </w:p>
    <w:p w14:paraId="5FF21493" w14:textId="2B80FAA4" w:rsidR="00A13EF0" w:rsidRDefault="00CB2412" w:rsidP="00AD659D">
      <w:pPr>
        <w:rPr>
          <w:color w:val="FF0000"/>
        </w:rPr>
      </w:pPr>
      <w:r>
        <w:t>It is evident Botelho’s paper that the implementation of TEK into current practice will only be successful when in an environment of collaboration of all stakeholders</w:t>
      </w:r>
      <w:r w:rsidR="00A13EF0">
        <w:rPr>
          <w:rStyle w:val="FootnoteReference"/>
        </w:rPr>
        <w:footnoteReference w:id="22"/>
      </w:r>
      <w:r>
        <w:t xml:space="preserve">. </w:t>
      </w:r>
    </w:p>
    <w:p w14:paraId="3158FF4D" w14:textId="77777777" w:rsidR="00E72585" w:rsidRDefault="00E72585" w:rsidP="00AD659D">
      <w:pPr>
        <w:rPr>
          <w:color w:val="FF0000"/>
        </w:rPr>
      </w:pPr>
    </w:p>
    <w:p w14:paraId="3BEA6D07" w14:textId="10A66B70" w:rsidR="00CB2412" w:rsidRDefault="00CB2412" w:rsidP="00AD659D">
      <w:r w:rsidRPr="00CB2412">
        <w:t>This</w:t>
      </w:r>
      <w:r>
        <w:t xml:space="preserve"> would require the generation of a mutually respectful relationship between the practitioners of modern western science and the representatives of indigenous populations.  This will require a change of culture to enable </w:t>
      </w:r>
      <w:r w:rsidR="00E72585">
        <w:t>both parties to be of equal significance in relevant decision making, and to benefit equally from any changes.  We have seen recently in New Zealand’s attempts to move in this direction the differences of opinion that this generates</w:t>
      </w:r>
      <w:r w:rsidR="0079217F">
        <w:rPr>
          <w:rStyle w:val="FootnoteReference"/>
        </w:rPr>
        <w:footnoteReference w:id="23"/>
      </w:r>
      <w:r w:rsidR="0079217F">
        <w:t>.</w:t>
      </w:r>
      <w:r w:rsidR="00E72585">
        <w:rPr>
          <w:color w:val="FF0000"/>
        </w:rPr>
        <w:t xml:space="preserve">  </w:t>
      </w:r>
      <w:r w:rsidR="00E72585" w:rsidRPr="00E72585">
        <w:t xml:space="preserve">It will be essential that </w:t>
      </w:r>
      <w:r w:rsidR="00E72585">
        <w:t>practitioners from both sides of these arguments are reassured that this will not lead to a diminution of their current cultures and understandings.  Acknowledgement of the sources of knowledge would be necessary, as would a clear recognition of the core principles involved.</w:t>
      </w:r>
    </w:p>
    <w:p w14:paraId="5F6AC95F" w14:textId="77777777" w:rsidR="00860E56" w:rsidRDefault="00860E56" w:rsidP="00AD659D"/>
    <w:p w14:paraId="461640B3" w14:textId="57029043" w:rsidR="00F67E3E" w:rsidRDefault="00860E56" w:rsidP="00F67E3E">
      <w:r>
        <w:t>Other stakeholders, such as institutionalized religious bodies, political parties and educational institutions could help to provide the impetus by acknowledging past failings and stressing the need for a new approach. An encouraging</w:t>
      </w:r>
      <w:r w:rsidR="0093767D">
        <w:t xml:space="preserve"> first step in this direction can be seen in </w:t>
      </w:r>
      <w:r w:rsidR="00A53B2B">
        <w:t xml:space="preserve">the </w:t>
      </w:r>
      <w:r w:rsidR="00F67E3E">
        <w:t xml:space="preserve">2015 </w:t>
      </w:r>
      <w:r w:rsidR="00A53B2B">
        <w:t xml:space="preserve">publication of an encyclical letter Laudato Si’ by Pope Francis on caring for the </w:t>
      </w:r>
      <w:r w:rsidR="00A53B2B">
        <w:lastRenderedPageBreak/>
        <w:t>environment</w:t>
      </w:r>
      <w:r w:rsidR="00F67E3E">
        <w:t>.</w:t>
      </w:r>
      <w:r w:rsidR="00A53B2B">
        <w:t xml:space="preserve"> </w:t>
      </w:r>
      <w:bookmarkStart w:id="13" w:name="_Hlk186469270"/>
      <w:r w:rsidR="00F67E3E">
        <w:t xml:space="preserve">The “Laudato Si” </w:t>
      </w:r>
      <w:bookmarkEnd w:id="13"/>
      <w:r w:rsidR="00F67E3E">
        <w:t>indicates that the current Catholic Church may have acknowledged at least some of its detrimental role in the environmental crisis:</w:t>
      </w:r>
    </w:p>
    <w:p w14:paraId="5EBCED2A" w14:textId="77777777" w:rsidR="00F67E3E" w:rsidRDefault="00F67E3E" w:rsidP="00F67E3E">
      <w:r>
        <w:t>“Although it is true that we Christians have at times incorrectly interpreted the Scriptures, nowadays we must forcefully reject the notion that our being created in God’s image and given dominion over the earth justifies absolute domination over other creatures.  The biblical texts are to be read in their contexts…. This implies a relationship of mutual responsibility between human beings and nature.”</w:t>
      </w:r>
      <w:r>
        <w:rPr>
          <w:rStyle w:val="FootnoteReference"/>
        </w:rPr>
        <w:footnoteReference w:id="24"/>
      </w:r>
    </w:p>
    <w:p w14:paraId="357FCEAE" w14:textId="2986C165" w:rsidR="00860E56" w:rsidRDefault="00F67E3E" w:rsidP="00AD659D">
      <w:r>
        <w:t xml:space="preserve">The “Laudato Si” not only </w:t>
      </w:r>
      <w:r w:rsidR="00A53B2B">
        <w:t>acknowledges the</w:t>
      </w:r>
      <w:r>
        <w:t>se</w:t>
      </w:r>
      <w:r w:rsidR="00A37061">
        <w:t xml:space="preserve"> dominative and</w:t>
      </w:r>
      <w:r w:rsidR="00A53B2B">
        <w:t xml:space="preserve"> exploitati</w:t>
      </w:r>
      <w:r w:rsidR="00A37061">
        <w:t>ve attitudes</w:t>
      </w:r>
      <w:r w:rsidR="00A53B2B">
        <w:t xml:space="preserve"> ha</w:t>
      </w:r>
      <w:r w:rsidR="00A37061">
        <w:t>ve</w:t>
      </w:r>
      <w:r w:rsidR="00A53B2B">
        <w:t xml:space="preserve"> led to the environmental crisis</w:t>
      </w:r>
      <w:r w:rsidR="00A53B2B">
        <w:rPr>
          <w:rStyle w:val="FootnoteReference"/>
        </w:rPr>
        <w:footnoteReference w:id="25"/>
      </w:r>
      <w:r w:rsidR="00A37061">
        <w:t xml:space="preserve"> but also recognizes the need </w:t>
      </w:r>
      <w:r w:rsidR="00877646">
        <w:t xml:space="preserve">to </w:t>
      </w:r>
      <w:r w:rsidR="002A0AC6">
        <w:t>‘</w:t>
      </w:r>
      <w:r w:rsidR="00A37061" w:rsidRPr="002A0AC6">
        <w:rPr>
          <w:i/>
          <w:iCs/>
        </w:rPr>
        <w:t>take into account the nature of each being and of its mutual connection in an ordered system</w:t>
      </w:r>
      <w:r w:rsidR="002A0AC6">
        <w:t>’</w:t>
      </w:r>
      <w:r w:rsidR="00A37061">
        <w:t xml:space="preserve"> </w:t>
      </w:r>
      <w:r w:rsidR="00A37061">
        <w:rPr>
          <w:rStyle w:val="FootnoteReference"/>
        </w:rPr>
        <w:footnoteReference w:id="26"/>
      </w:r>
      <w:r w:rsidR="00A37061">
        <w:t>. Given the influence of the Catholic Church on a large percentage of the world’s population, this may represent a useful first step</w:t>
      </w:r>
      <w:r w:rsidR="003B6790">
        <w:t>, although the adoption of an animistic worldview is likely to create doctrinal challenges for Western institutionalized religious systems.</w:t>
      </w:r>
    </w:p>
    <w:p w14:paraId="431E4C30" w14:textId="77777777" w:rsidR="00E72585" w:rsidRDefault="00E72585" w:rsidP="00AD659D"/>
    <w:p w14:paraId="2E51D2B3" w14:textId="3C24DA61" w:rsidR="00E72585" w:rsidRDefault="003B6790" w:rsidP="00AD659D">
      <w:pPr>
        <w:rPr>
          <w:color w:val="FF0000"/>
        </w:rPr>
      </w:pPr>
      <w:r>
        <w:t>A further challenge is the practical methodology of combining the data from two disparate systems. Rathwell, Armitage and Berkes suggest the utilization of bridging knowledge systems, which they define as ‘</w:t>
      </w:r>
      <w:r w:rsidRPr="002A0AC6">
        <w:rPr>
          <w:i/>
          <w:iCs/>
        </w:rPr>
        <w:t>maintaining the integrity of each knowledge system while creating settings for two-way exchange of understanding for mutual learning</w:t>
      </w:r>
      <w:r>
        <w:t>’</w:t>
      </w:r>
      <w:r>
        <w:rPr>
          <w:rStyle w:val="FootnoteReference"/>
        </w:rPr>
        <w:footnoteReference w:id="27"/>
      </w:r>
      <w:r>
        <w:t xml:space="preserve">. </w:t>
      </w:r>
      <w:r w:rsidR="002A0AC6">
        <w:t>To aid the transition,</w:t>
      </w:r>
      <w:r w:rsidR="00E72585">
        <w:t xml:space="preserve"> it </w:t>
      </w:r>
      <w:r w:rsidR="00610456">
        <w:t>might</w:t>
      </w:r>
      <w:r w:rsidR="00E72585">
        <w:t xml:space="preserve"> be beneficial to focus on the values and spirituality behind TEK rather tha</w:t>
      </w:r>
      <w:r w:rsidR="00610456">
        <w:t>n</w:t>
      </w:r>
      <w:r w:rsidR="00E72585">
        <w:t xml:space="preserve"> simply focusing</w:t>
      </w:r>
      <w:r w:rsidR="00610456">
        <w:t xml:space="preserve"> on the resulting data. By applying these values to modern scientific methods more ecologically beneficial practices could be started.  </w:t>
      </w:r>
      <w:r w:rsidR="002A0AC6">
        <w:t>T</w:t>
      </w:r>
      <w:r w:rsidR="00610456">
        <w:t xml:space="preserve">he incorporation of an animistic </w:t>
      </w:r>
      <w:r w:rsidR="002A0AC6">
        <w:t>W</w:t>
      </w:r>
      <w:r w:rsidR="00610456">
        <w:t>estern worldview could under</w:t>
      </w:r>
      <w:r w:rsidR="002A0AC6">
        <w:t>-</w:t>
      </w:r>
      <w:r w:rsidR="00610456">
        <w:t xml:space="preserve">pin </w:t>
      </w:r>
      <w:r w:rsidR="002A0AC6">
        <w:t xml:space="preserve">a move towards </w:t>
      </w:r>
      <w:r w:rsidR="00610456">
        <w:t xml:space="preserve">more respectful and sustainable relationships. </w:t>
      </w:r>
      <w:r w:rsidR="00877646">
        <w:t>To</w:t>
      </w:r>
      <w:r w:rsidR="00A52619">
        <w:t xml:space="preserve"> achieve scientific inclusion of animistic principles c</w:t>
      </w:r>
      <w:r w:rsidR="00610456">
        <w:t>urrent research in this field, such as that of Monica</w:t>
      </w:r>
      <w:r w:rsidR="00225857">
        <w:t xml:space="preserve"> Gagliano</w:t>
      </w:r>
      <w:r w:rsidR="00225857">
        <w:rPr>
          <w:rStyle w:val="FootnoteReference"/>
        </w:rPr>
        <w:footnoteReference w:id="28"/>
      </w:r>
      <w:r w:rsidR="00610456">
        <w:t xml:space="preserve"> should be</w:t>
      </w:r>
      <w:r w:rsidR="00A52619">
        <w:t xml:space="preserve"> recognized and</w:t>
      </w:r>
      <w:r w:rsidR="00610456">
        <w:t xml:space="preserve"> funde</w:t>
      </w:r>
      <w:r w:rsidR="00A52619">
        <w:t>d by environmental grant-making bodies</w:t>
      </w:r>
      <w:r w:rsidR="005B6858">
        <w:t>.</w:t>
      </w:r>
      <w:r w:rsidR="00B32685">
        <w:rPr>
          <w:color w:val="FF0000"/>
        </w:rPr>
        <w:t xml:space="preserve">  </w:t>
      </w:r>
      <w:r w:rsidR="00B32685" w:rsidRPr="00B32685">
        <w:t xml:space="preserve">Distribution of this information should be considered as </w:t>
      </w:r>
      <w:r w:rsidR="005B6858">
        <w:t xml:space="preserve">an essential </w:t>
      </w:r>
      <w:r w:rsidR="00B32685" w:rsidRPr="00B32685">
        <w:t>part of this initiative.</w:t>
      </w:r>
      <w:r w:rsidR="00B32685">
        <w:t xml:space="preserve"> If distribution is not effective the subject </w:t>
      </w:r>
      <w:r w:rsidR="005B6858">
        <w:t>may</w:t>
      </w:r>
      <w:r w:rsidR="00B32685">
        <w:t xml:space="preserve"> continue to be considered as a niche interest, as arguably it is today. The inclusion relevant courses in higher education, as we see at University of Wales Trinity St. David works towards a trickle-down process which teaches the teachers</w:t>
      </w:r>
      <w:r w:rsidR="00173C00">
        <w:t xml:space="preserve"> of tomorrow.  When teachers are appropriately equipped to teach this </w:t>
      </w:r>
      <w:r w:rsidR="00877646">
        <w:t>topic,</w:t>
      </w:r>
      <w:r w:rsidR="00173C00">
        <w:t xml:space="preserve"> it could be included in the national curriculum, possibly along with practical skills such as permaculture or as an enhancement to the existing Forest Schools Program.</w:t>
      </w:r>
      <w:r w:rsidR="00C77F05">
        <w:t xml:space="preserve"> The work of McKinley and Stewart has shown that inclusion of TEK in the science curriculum has multiple benefits including the equalization of learning outcomes for students from non-western backgrounds, a meaningful contribution to the knowledge base of Western modern science, addressing environmental concerns over sustainability and the inclusion of nature, </w:t>
      </w:r>
      <w:r w:rsidR="00902A0D">
        <w:t>philosophy,</w:t>
      </w:r>
      <w:r w:rsidR="00C77F05">
        <w:t xml:space="preserve"> and the limits of science in students’ learning</w:t>
      </w:r>
      <w:r w:rsidR="00C77F05">
        <w:rPr>
          <w:rStyle w:val="FootnoteReference"/>
        </w:rPr>
        <w:footnoteReference w:id="29"/>
      </w:r>
      <w:r w:rsidR="00C77F05">
        <w:t>.</w:t>
      </w:r>
    </w:p>
    <w:p w14:paraId="7DE0A865" w14:textId="77777777" w:rsidR="00B32685" w:rsidRDefault="00B32685" w:rsidP="00AD659D">
      <w:pPr>
        <w:rPr>
          <w:color w:val="FF0000"/>
        </w:rPr>
      </w:pPr>
    </w:p>
    <w:p w14:paraId="444D9EA7" w14:textId="1AE27CC3" w:rsidR="001E40B2" w:rsidRDefault="00B32685" w:rsidP="00AD659D">
      <w:r w:rsidRPr="00B32685">
        <w:lastRenderedPageBreak/>
        <w:t>A raft of practical measures could be implemented</w:t>
      </w:r>
      <w:r>
        <w:t xml:space="preserve"> that would facilitate the progress of implementing the inclusion of TEK in the current scientific framework</w:t>
      </w:r>
      <w:r w:rsidR="00173C00">
        <w:t xml:space="preserve">, but would require additional funding.  An urgent priority would be the establishment of seed banks to </w:t>
      </w:r>
      <w:r w:rsidR="00F31A15">
        <w:t xml:space="preserve">assist in the </w:t>
      </w:r>
      <w:r w:rsidR="00173C00">
        <w:t>preserv</w:t>
      </w:r>
      <w:r w:rsidR="00F31A15">
        <w:t>ation of</w:t>
      </w:r>
      <w:r w:rsidR="00173C00">
        <w:t xml:space="preserve"> species under threat of extinction.</w:t>
      </w:r>
      <w:r w:rsidR="00F31A15">
        <w:t xml:space="preserve"> Current research suggests that there are limitations in the utility of seed banks in restoring biosystems that have already been lost, as this has only been successful with heathland and early successional plant communities</w:t>
      </w:r>
      <w:r w:rsidR="00F31A15">
        <w:rPr>
          <w:rStyle w:val="FootnoteReference"/>
        </w:rPr>
        <w:footnoteReference w:id="30"/>
      </w:r>
      <w:r w:rsidR="00F31A15">
        <w:t xml:space="preserve">. </w:t>
      </w:r>
      <w:r w:rsidR="00173C00">
        <w:t xml:space="preserve"> In areas such as western Europe where TEK has been eradicated examinations of folklore, local practices and rituals and early texts could provide critical clues to the indigenous past relationships with the natural world.  This could be achieved by the foundation of university-led educational programs and research projects.</w:t>
      </w:r>
      <w:r w:rsidR="001E40B2">
        <w:t xml:space="preserve"> </w:t>
      </w:r>
    </w:p>
    <w:p w14:paraId="65D6D0A0" w14:textId="77777777" w:rsidR="001E40B2" w:rsidRDefault="001E40B2" w:rsidP="00AD659D"/>
    <w:p w14:paraId="2CCDCEB2" w14:textId="64FA2216" w:rsidR="00B32685" w:rsidRPr="00B32685" w:rsidRDefault="001E40B2" w:rsidP="00AD659D">
      <w:r>
        <w:t xml:space="preserve">Learning about western TEK however would only be one stage of the project, and it would require </w:t>
      </w:r>
      <w:r w:rsidR="00877646">
        <w:t>coordinated</w:t>
      </w:r>
      <w:r>
        <w:t xml:space="preserve"> action to make a meaningful contribution.</w:t>
      </w:r>
      <w:r w:rsidR="00173C00">
        <w:t xml:space="preserve"> </w:t>
      </w:r>
      <w:r w:rsidR="009A31C7">
        <w:t>Whilst appropriate government interventions could be of benefit, and provide funding, the short-term nature of political thinking makes it unsuitable for the resolution of long-term problems</w:t>
      </w:r>
      <w:r w:rsidR="00661ABF">
        <w:t xml:space="preserve">. Perhaps more sustainable solutions could be achieved as networks of local stakeholders. As we see from </w:t>
      </w:r>
      <w:r w:rsidR="00661ABF" w:rsidRPr="00382066">
        <w:t>Botelho’s paper it was only by experimentation, collaboration, review, and adjustment that</w:t>
      </w:r>
      <w:r w:rsidR="00661ABF">
        <w:t xml:space="preserve"> meaningful advancements were made</w:t>
      </w:r>
      <w:r w:rsidR="00FD60D5">
        <w:rPr>
          <w:rStyle w:val="FootnoteReference"/>
        </w:rPr>
        <w:footnoteReference w:id="31"/>
      </w:r>
      <w:r w:rsidR="00661ABF">
        <w:t>.</w:t>
      </w:r>
    </w:p>
    <w:p w14:paraId="668448D0" w14:textId="77777777" w:rsidR="00AD659D" w:rsidRDefault="00AD659D" w:rsidP="00AD659D">
      <w:pPr>
        <w:pStyle w:val="ListParagraph"/>
      </w:pPr>
    </w:p>
    <w:p w14:paraId="56026EAB" w14:textId="77777777" w:rsidR="00AD659D" w:rsidRDefault="00AD659D" w:rsidP="00AD659D"/>
    <w:p w14:paraId="2095A021" w14:textId="74A159F3" w:rsidR="00856E1A" w:rsidRPr="00382066" w:rsidRDefault="00AD659D" w:rsidP="00AD659D">
      <w:pPr>
        <w:rPr>
          <w:u w:val="single"/>
        </w:rPr>
      </w:pPr>
      <w:r w:rsidRPr="00382066">
        <w:rPr>
          <w:u w:val="single"/>
        </w:rPr>
        <w:t>C</w:t>
      </w:r>
      <w:r w:rsidR="00171CB7" w:rsidRPr="00382066">
        <w:rPr>
          <w:u w:val="single"/>
        </w:rPr>
        <w:t>onclusion</w:t>
      </w:r>
    </w:p>
    <w:p w14:paraId="66BD4B43" w14:textId="056A2E76" w:rsidR="00171CB7" w:rsidRDefault="00171CB7" w:rsidP="00AD659D">
      <w:r>
        <w:t>This essay has examined whether there is a role for TEK in current ecological perspectives. A review of the definitions of TEK show that it includes</w:t>
      </w:r>
      <w:r w:rsidR="00382066">
        <w:t xml:space="preserve"> some elements that could be reasonable considered to be also included in current ecological perspectives.  These include observation, classification, determination of management systems, and factual knowledge about the environmental resource use. Whilst these are implemented in different ways by the indigenous populations from those utilized by current scientists, there is also some recognition that this data could be usefully incorporated into the current scientific paradigm.</w:t>
      </w:r>
    </w:p>
    <w:p w14:paraId="6724F6EC" w14:textId="77777777" w:rsidR="00382066" w:rsidRDefault="00382066" w:rsidP="00AD659D"/>
    <w:p w14:paraId="78A11E74" w14:textId="118F330F" w:rsidR="00382066" w:rsidRDefault="00382066" w:rsidP="00AD659D">
      <w:r>
        <w:t>However, there are also some elements of TEK which are not included in current scientific thought.  These relate to an underpinning</w:t>
      </w:r>
      <w:r w:rsidR="00D0675C">
        <w:t xml:space="preserve"> </w:t>
      </w:r>
      <w:r>
        <w:t xml:space="preserve">worldview </w:t>
      </w:r>
      <w:r w:rsidR="00D0675C">
        <w:t>in which TEK is a foundational component of mutually respectful relationships between an animate cosmos</w:t>
      </w:r>
      <w:r>
        <w:t xml:space="preserve"> </w:t>
      </w:r>
      <w:r w:rsidR="00D0675C">
        <w:t>and her inhabitants both human and non-human. Thus, TEK is an intrinsic part of the value system of indigenous populations and an inherent element of cultural identity.</w:t>
      </w:r>
    </w:p>
    <w:p w14:paraId="77174725" w14:textId="77777777" w:rsidR="00AF0B7A" w:rsidRDefault="00AF0B7A" w:rsidP="00AD659D"/>
    <w:p w14:paraId="59C2FA72" w14:textId="312DCA78" w:rsidR="00AF0B7A" w:rsidRDefault="00AF0B7A" w:rsidP="00AD659D">
      <w:r>
        <w:t xml:space="preserve">This essay has reviewed whether these facets of TEK are also included or are at least compatible with current scientific paradigms. </w:t>
      </w:r>
      <w:r w:rsidR="005D1590">
        <w:t>Having explored the</w:t>
      </w:r>
      <w:r>
        <w:t xml:space="preserve"> evidence</w:t>
      </w:r>
      <w:r w:rsidR="005D1590">
        <w:t>, it appears</w:t>
      </w:r>
      <w:r>
        <w:t xml:space="preserve"> that </w:t>
      </w:r>
      <w:r w:rsidR="005D1590">
        <w:t>in the ancient western world several philosophers’ belief systems included the existence of an animate cosmos, which was thought to be in relationship with her ensouled human and non-human inhabitants.  However, it is apparent that these philosophies were not considered compatible with emerging monotheistic belief systems and as these gained traction efforts were made to eradicate animistic beliefs.</w:t>
      </w:r>
      <w:r w:rsidR="00627FF6">
        <w:t xml:space="preserve"> Subsequent movements in religious thoughts continued this process, particularly during the Reformation when Francis Bacon effectively presided over the separation of “values” from “facts</w:t>
      </w:r>
      <w:r w:rsidR="00877646">
        <w:t>.”</w:t>
      </w:r>
      <w:r w:rsidR="00627FF6">
        <w:t xml:space="preserve">  The later adoption of Descartes’ </w:t>
      </w:r>
      <w:r w:rsidR="00627FF6">
        <w:lastRenderedPageBreak/>
        <w:t>mechanistic models and Darwin’s hypotheses on evolution succeeded in removing the “sacred” from humanity’s relationship with the natural world.  Thus, the current scientific paradigms do not include these essential elements of TEK.</w:t>
      </w:r>
    </w:p>
    <w:p w14:paraId="668FE9E4" w14:textId="77777777" w:rsidR="00627FF6" w:rsidRDefault="00627FF6" w:rsidP="00AD659D"/>
    <w:p w14:paraId="1E827CAC" w14:textId="77777777" w:rsidR="009D5244" w:rsidRDefault="00627FF6" w:rsidP="00AD659D">
      <w:r>
        <w:t xml:space="preserve">This essay went on to consider any possible advantages in the inclusion of TEK in current scientific paradigms.  There are obvious benefits in the inclusion of data which might otherwise not be available to western scientists.  TEK includes </w:t>
      </w:r>
      <w:r w:rsidR="00230BCA">
        <w:t xml:space="preserve">local </w:t>
      </w:r>
      <w:r>
        <w:t xml:space="preserve">information about </w:t>
      </w:r>
      <w:r w:rsidR="00230BCA">
        <w:t>the environmental systems and in</w:t>
      </w:r>
      <w:r w:rsidR="009D5244">
        <w:t>ter</w:t>
      </w:r>
      <w:r w:rsidR="00230BCA">
        <w:t>-relationships over hundreds of years for specific biosystems.  This in</w:t>
      </w:r>
      <w:r w:rsidR="007B559A">
        <w:t>-</w:t>
      </w:r>
      <w:r w:rsidR="00230BCA">
        <w:t>depth knowledge is rarely available to the scientific community</w:t>
      </w:r>
      <w:r w:rsidR="009D5244">
        <w:t>, but is unlikely however, to halt the current environmental degradation that is underway.</w:t>
      </w:r>
    </w:p>
    <w:p w14:paraId="7BAE0535" w14:textId="77777777" w:rsidR="009D5244" w:rsidRDefault="009D5244" w:rsidP="00AD659D"/>
    <w:p w14:paraId="13B04CF8" w14:textId="1CD02969" w:rsidR="00627FF6" w:rsidRDefault="009D5244" w:rsidP="00AD659D">
      <w:pPr>
        <w:rPr>
          <w:color w:val="FF0000"/>
        </w:rPr>
      </w:pPr>
      <w:r>
        <w:t xml:space="preserve">If current scientific thinking fully incorporated the beliefs and values that underlie indigenous knowledge, however, </w:t>
      </w:r>
      <w:r w:rsidR="00EF1B93">
        <w:t xml:space="preserve">this might naturally lead to profound change in western society.  The granting of personhood to our non-human fellow inhabitants of an animate cosmos might, by definition, make the current corporate exploitative practices illegal and </w:t>
      </w:r>
      <w:r w:rsidR="002E1944">
        <w:t xml:space="preserve">socially </w:t>
      </w:r>
      <w:r w:rsidR="00EF1B93">
        <w:t xml:space="preserve">unacceptable. A restored relationship between humanity and the natural world would foster social change, inclusion, </w:t>
      </w:r>
      <w:r w:rsidR="00877646">
        <w:t>community,</w:t>
      </w:r>
      <w:r w:rsidR="00EF1B93">
        <w:t xml:space="preserve"> and connectedness.  </w:t>
      </w:r>
      <w:r w:rsidR="00E2142D">
        <w:t>Scholarship suggests i</w:t>
      </w:r>
      <w:r w:rsidR="00EF1B93">
        <w:t xml:space="preserve">t </w:t>
      </w:r>
      <w:r w:rsidR="002E1944">
        <w:t xml:space="preserve">could </w:t>
      </w:r>
      <w:r w:rsidR="00EF1B93">
        <w:t xml:space="preserve">also be beneficial to human </w:t>
      </w:r>
      <w:r w:rsidR="001B7992">
        <w:t xml:space="preserve">physical, spiritual and mental </w:t>
      </w:r>
      <w:r w:rsidR="00EF1B93">
        <w:t>health</w:t>
      </w:r>
      <w:r w:rsidR="00E03807">
        <w:rPr>
          <w:rStyle w:val="FootnoteReference"/>
        </w:rPr>
        <w:footnoteReference w:id="32"/>
      </w:r>
      <w:r w:rsidR="002E1944">
        <w:t>.</w:t>
      </w:r>
      <w:r w:rsidR="00EF1B93">
        <w:t xml:space="preserve"> </w:t>
      </w:r>
    </w:p>
    <w:p w14:paraId="68F7BC4B" w14:textId="77777777" w:rsidR="002E1944" w:rsidRDefault="002E1944" w:rsidP="00AD659D">
      <w:pPr>
        <w:rPr>
          <w:color w:val="FF0000"/>
        </w:rPr>
      </w:pPr>
    </w:p>
    <w:p w14:paraId="1AF09003" w14:textId="158360EF" w:rsidR="002E1944" w:rsidRDefault="002E1944" w:rsidP="00AD659D">
      <w:r w:rsidRPr="002E1944">
        <w:t>If TEK is be incorporated in current scientific thinking</w:t>
      </w:r>
      <w:r>
        <w:t xml:space="preserve"> there are several challenges to be considered.  </w:t>
      </w:r>
      <w:r w:rsidR="003D6A4E">
        <w:t>Primary amongst these is ensuring</w:t>
      </w:r>
      <w:r>
        <w:t xml:space="preserve"> that indigenous populations are equal</w:t>
      </w:r>
      <w:r w:rsidR="00E2142D">
        <w:t xml:space="preserve"> and</w:t>
      </w:r>
      <w:r>
        <w:t xml:space="preserve"> reciprocal partners in the process</w:t>
      </w:r>
      <w:r w:rsidR="00111B9A">
        <w:t>.</w:t>
      </w:r>
      <w:r w:rsidR="00FD4578">
        <w:t xml:space="preserve"> Carter suggests that the incorporation of TEK can inadvertently endorse forms of colonialism and imperialism</w:t>
      </w:r>
      <w:r w:rsidR="00FD4578">
        <w:rPr>
          <w:rStyle w:val="FootnoteReference"/>
        </w:rPr>
        <w:footnoteReference w:id="33"/>
      </w:r>
      <w:r w:rsidR="00FD4578">
        <w:t>.</w:t>
      </w:r>
      <w:r w:rsidR="00111B9A">
        <w:t xml:space="preserve"> As we see from Botelho’s work, respectful collaboration is </w:t>
      </w:r>
      <w:r w:rsidR="00E2142D">
        <w:t>required</w:t>
      </w:r>
      <w:r w:rsidR="00A31993">
        <w:t xml:space="preserve"> to effect change.  The challenge from vested interests may be</w:t>
      </w:r>
      <w:r w:rsidR="003D6A4E">
        <w:t xml:space="preserve"> particularly</w:t>
      </w:r>
      <w:r w:rsidR="00A31993">
        <w:t xml:space="preserve"> difficult to overcome, a</w:t>
      </w:r>
      <w:r w:rsidR="006D3340">
        <w:t>a expected financial profitability is currently the main determinant of their actions</w:t>
      </w:r>
      <w:r w:rsidR="00A31993">
        <w:t>.  Changes to</w:t>
      </w:r>
      <w:r w:rsidR="00E2142D">
        <w:t xml:space="preserve"> corporate structure, particularly</w:t>
      </w:r>
      <w:r w:rsidR="00A31993">
        <w:t xml:space="preserve"> the legal obligations of corporate executives to </w:t>
      </w:r>
      <w:r w:rsidR="00877646">
        <w:t>maximize</w:t>
      </w:r>
      <w:r w:rsidR="00A31993">
        <w:t xml:space="preserve"> profits may be required, </w:t>
      </w:r>
      <w:r w:rsidR="006D3340">
        <w:t>as would the</w:t>
      </w:r>
      <w:r w:rsidR="00A31993">
        <w:t xml:space="preserve"> substituti</w:t>
      </w:r>
      <w:r w:rsidR="006D3340">
        <w:t>on of</w:t>
      </w:r>
      <w:r w:rsidR="00A31993">
        <w:t xml:space="preserve"> other key performance indicators which are more </w:t>
      </w:r>
      <w:r w:rsidR="00E2142D">
        <w:t>aligned</w:t>
      </w:r>
      <w:r w:rsidR="00A31993">
        <w:t xml:space="preserve"> with environmental objectives.</w:t>
      </w:r>
      <w:r w:rsidR="006D3340">
        <w:t xml:space="preserve"> There is likely to be resistance to this change, and practical implications </w:t>
      </w:r>
      <w:r w:rsidR="00077E87">
        <w:t>for institutions such as</w:t>
      </w:r>
      <w:r w:rsidR="006D3340">
        <w:t xml:space="preserve"> pension fund providers who rely on the returns of equities to meet their payment obligations.</w:t>
      </w:r>
      <w:r w:rsidR="00A31993">
        <w:t xml:space="preserve"> </w:t>
      </w:r>
      <w:r w:rsidR="006D3340">
        <w:t>Consequently</w:t>
      </w:r>
      <w:r w:rsidR="00A31993">
        <w:t xml:space="preserve">, there may be a need </w:t>
      </w:r>
      <w:r w:rsidR="009A6899">
        <w:t xml:space="preserve">for </w:t>
      </w:r>
      <w:r w:rsidR="00E2142D">
        <w:t xml:space="preserve">the global implementation of further </w:t>
      </w:r>
      <w:r w:rsidR="009A6899">
        <w:t xml:space="preserve">environmental regulations, </w:t>
      </w:r>
      <w:r w:rsidR="00A31993">
        <w:t xml:space="preserve">enforced through </w:t>
      </w:r>
      <w:r w:rsidR="009A6899">
        <w:t xml:space="preserve">financial penalties for </w:t>
      </w:r>
      <w:r w:rsidR="00A31993">
        <w:t>non-compliance</w:t>
      </w:r>
      <w:r w:rsidR="006D3340">
        <w:t>, together with financial support for stakeholders during the transitional period</w:t>
      </w:r>
      <w:r w:rsidR="009A6899">
        <w:t xml:space="preserve">. </w:t>
      </w:r>
      <w:r w:rsidR="00E2142D">
        <w:t>Only global agreement and</w:t>
      </w:r>
      <w:r w:rsidR="009A6899">
        <w:t xml:space="preserve"> implement</w:t>
      </w:r>
      <w:r w:rsidR="00E2142D">
        <w:t>ation</w:t>
      </w:r>
      <w:r w:rsidR="009A6899">
        <w:t xml:space="preserve"> </w:t>
      </w:r>
      <w:r w:rsidR="00E2142D">
        <w:t>would</w:t>
      </w:r>
      <w:r w:rsidR="009A6899">
        <w:t xml:space="preserve"> prevent companies moving </w:t>
      </w:r>
      <w:r w:rsidR="00E2142D">
        <w:t>around the world to</w:t>
      </w:r>
      <w:r w:rsidR="009A6899">
        <w:t xml:space="preserve"> more permissive regimes.</w:t>
      </w:r>
    </w:p>
    <w:p w14:paraId="5B38E6D8" w14:textId="77777777" w:rsidR="009A6899" w:rsidRDefault="009A6899" w:rsidP="00AD659D"/>
    <w:p w14:paraId="40AEEB86" w14:textId="45C368A4" w:rsidR="00AE7883" w:rsidRPr="002E1944" w:rsidRDefault="009A6899" w:rsidP="00AD659D">
      <w:r>
        <w:t>In areas where indigenous knowledge appears to have been eradicated there are additional challenges. Programs to recover and safeguard any extracts of remaining TEK from still extant folklore, stories, songs, and early texts could be established</w:t>
      </w:r>
      <w:r w:rsidR="00F31A15">
        <w:t>, and e</w:t>
      </w:r>
      <w:r>
        <w:t>ducation curricula could be adapted to ensure that</w:t>
      </w:r>
      <w:r w:rsidR="00AE7883">
        <w:t xml:space="preserve"> this knowledge is passed on to future generations</w:t>
      </w:r>
      <w:r w:rsidR="00F31A15">
        <w:t>. This could be supplemented</w:t>
      </w:r>
      <w:r w:rsidR="00AE7883">
        <w:t xml:space="preserve"> with practical skills in environment restoration</w:t>
      </w:r>
      <w:r w:rsidR="00F31A15">
        <w:t xml:space="preserve"> such as gardening and permaculture</w:t>
      </w:r>
      <w:r w:rsidR="00AE7883">
        <w:t>. Local initiatives could form networks to collaborate on environmental restoration and re-wilding where possible and appropriate.</w:t>
      </w:r>
      <w:r w:rsidR="00077E87">
        <w:t xml:space="preserve">  </w:t>
      </w:r>
      <w:r w:rsidR="00AE7883">
        <w:t xml:space="preserve">As Botelho has shown, improvements will require that all stakeholders including religious institutions, educational establishments, local and national governments, and local people all have the will to </w:t>
      </w:r>
      <w:r w:rsidR="00AE7883">
        <w:lastRenderedPageBreak/>
        <w:t>collaborate to effect change.</w:t>
      </w:r>
      <w:r w:rsidR="00077E87">
        <w:t xml:space="preserve"> The inclusion of TEK into Western scientific thinking has the potential to </w:t>
      </w:r>
      <w:r w:rsidR="00085C74">
        <w:t xml:space="preserve">generate </w:t>
      </w:r>
      <w:r w:rsidR="00902A0D">
        <w:t>vital benefits</w:t>
      </w:r>
      <w:r w:rsidR="00077E87">
        <w:t xml:space="preserve"> but would require significant change in</w:t>
      </w:r>
      <w:r w:rsidR="00085C74">
        <w:t xml:space="preserve"> established</w:t>
      </w:r>
      <w:r w:rsidR="00077E87">
        <w:t xml:space="preserve"> Western institutions. It is unlikely that this will be achieved universally or at the pace that is required. </w:t>
      </w:r>
      <w:r w:rsidR="00AE7883">
        <w:t xml:space="preserve"> </w:t>
      </w:r>
      <w:r w:rsidR="00E2142D">
        <w:t>S</w:t>
      </w:r>
      <w:r w:rsidR="00AE7883">
        <w:t>ome small seedlings of change</w:t>
      </w:r>
      <w:r w:rsidR="00E2142D">
        <w:t xml:space="preserve"> are apparent</w:t>
      </w:r>
      <w:r w:rsidR="00AE7883">
        <w:t>, but the</w:t>
      </w:r>
      <w:r w:rsidR="00854160">
        <w:t xml:space="preserve"> challenge is significant</w:t>
      </w:r>
      <w:r w:rsidR="00AE7883">
        <w:t>.</w:t>
      </w:r>
    </w:p>
    <w:p w14:paraId="01155AD5" w14:textId="77777777" w:rsidR="00627FF6" w:rsidRPr="002E1944" w:rsidRDefault="00627FF6" w:rsidP="00AD659D"/>
    <w:p w14:paraId="5D856DCC" w14:textId="77777777" w:rsidR="00627FF6" w:rsidRDefault="00627FF6" w:rsidP="00AD659D"/>
    <w:p w14:paraId="6DF27A6A" w14:textId="77777777" w:rsidR="00382066" w:rsidRDefault="00382066" w:rsidP="00AD659D"/>
    <w:p w14:paraId="26719C0F" w14:textId="77777777" w:rsidR="00DC3ECB" w:rsidRDefault="00DC3ECB" w:rsidP="00AD659D"/>
    <w:p w14:paraId="12BA0CAE" w14:textId="77777777" w:rsidR="0031110F" w:rsidRDefault="0031110F" w:rsidP="00AD659D"/>
    <w:p w14:paraId="3E2019A2" w14:textId="77777777" w:rsidR="0031110F" w:rsidRDefault="0031110F" w:rsidP="00AD659D"/>
    <w:p w14:paraId="1B5FF53A" w14:textId="77777777" w:rsidR="0031110F" w:rsidRDefault="0031110F" w:rsidP="00AD659D"/>
    <w:p w14:paraId="3F3F85CF" w14:textId="77777777" w:rsidR="0031110F" w:rsidRDefault="0031110F" w:rsidP="00AD659D"/>
    <w:p w14:paraId="455F8A5C" w14:textId="77777777" w:rsidR="0031110F" w:rsidRDefault="0031110F" w:rsidP="00AD659D"/>
    <w:p w14:paraId="5C07249A" w14:textId="77777777" w:rsidR="0031110F" w:rsidRDefault="0031110F" w:rsidP="00AD659D"/>
    <w:p w14:paraId="3452571E" w14:textId="77777777" w:rsidR="0031110F" w:rsidRDefault="0031110F" w:rsidP="00AD659D"/>
    <w:p w14:paraId="496D8218" w14:textId="77777777" w:rsidR="0031110F" w:rsidRDefault="0031110F" w:rsidP="00AD659D"/>
    <w:p w14:paraId="5E61829A" w14:textId="77777777" w:rsidR="0031110F" w:rsidRDefault="0031110F" w:rsidP="00AD659D"/>
    <w:p w14:paraId="66786771" w14:textId="77777777" w:rsidR="0031110F" w:rsidRDefault="0031110F" w:rsidP="00AD659D"/>
    <w:p w14:paraId="15A89C72" w14:textId="77777777" w:rsidR="0031110F" w:rsidRDefault="0031110F" w:rsidP="00AD659D"/>
    <w:p w14:paraId="4463FC4A" w14:textId="77777777" w:rsidR="0031110F" w:rsidRDefault="0031110F" w:rsidP="00AD659D"/>
    <w:p w14:paraId="0783684C" w14:textId="77777777" w:rsidR="0031110F" w:rsidRDefault="0031110F" w:rsidP="00AD659D"/>
    <w:p w14:paraId="06941329" w14:textId="77777777" w:rsidR="0031110F" w:rsidRDefault="0031110F" w:rsidP="00AD659D"/>
    <w:p w14:paraId="684FFA08" w14:textId="77777777" w:rsidR="0031110F" w:rsidRDefault="0031110F" w:rsidP="00AD659D"/>
    <w:p w14:paraId="243A804B" w14:textId="77777777" w:rsidR="0031110F" w:rsidRDefault="0031110F" w:rsidP="00AD659D"/>
    <w:p w14:paraId="0E234311" w14:textId="77777777" w:rsidR="005B6858" w:rsidRDefault="005B6858" w:rsidP="00AD659D"/>
    <w:p w14:paraId="76915D76" w14:textId="3301F4CD" w:rsidR="00AD659D" w:rsidRPr="000570FA" w:rsidRDefault="00AD659D" w:rsidP="00DC3ECB">
      <w:pPr>
        <w:jc w:val="center"/>
        <w:rPr>
          <w:sz w:val="20"/>
          <w:szCs w:val="20"/>
        </w:rPr>
      </w:pPr>
      <w:r w:rsidRPr="000570FA">
        <w:rPr>
          <w:sz w:val="20"/>
          <w:szCs w:val="20"/>
        </w:rPr>
        <w:t>BIBLIOGRAPHY</w:t>
      </w:r>
    </w:p>
    <w:p w14:paraId="20D2C48C" w14:textId="77777777" w:rsidR="0063619F" w:rsidRPr="000570FA" w:rsidRDefault="0063619F" w:rsidP="00AD659D">
      <w:pPr>
        <w:rPr>
          <w:sz w:val="20"/>
          <w:szCs w:val="20"/>
        </w:rPr>
      </w:pPr>
    </w:p>
    <w:p w14:paraId="58E645D1" w14:textId="3206DFB4" w:rsidR="0063619F" w:rsidRPr="000570FA" w:rsidRDefault="0063619F" w:rsidP="00AD659D">
      <w:pPr>
        <w:rPr>
          <w:sz w:val="20"/>
          <w:szCs w:val="20"/>
          <w:u w:val="single"/>
        </w:rPr>
      </w:pPr>
      <w:r w:rsidRPr="000570FA">
        <w:rPr>
          <w:sz w:val="20"/>
          <w:szCs w:val="20"/>
          <w:u w:val="single"/>
        </w:rPr>
        <w:t>PRIMARY SOURCES:</w:t>
      </w:r>
    </w:p>
    <w:p w14:paraId="7A713D78" w14:textId="3199D9B8" w:rsidR="0063619F" w:rsidRPr="000570FA" w:rsidRDefault="0063619F" w:rsidP="0063619F">
      <w:pPr>
        <w:pStyle w:val="FootnoteText"/>
        <w:rPr>
          <w:lang w:val="en-GB"/>
        </w:rPr>
      </w:pPr>
      <w:r w:rsidRPr="000570FA">
        <w:rPr>
          <w:lang w:val="en-GB"/>
        </w:rPr>
        <w:t>Marcus Aurelius, ‘Meditations’ translated with notes by</w:t>
      </w:r>
      <w:r w:rsidR="001E40B2" w:rsidRPr="000570FA">
        <w:rPr>
          <w:lang w:val="en-GB"/>
        </w:rPr>
        <w:t xml:space="preserve"> </w:t>
      </w:r>
      <w:r w:rsidRPr="000570FA">
        <w:rPr>
          <w:lang w:val="en-GB"/>
        </w:rPr>
        <w:t>M.</w:t>
      </w:r>
      <w:r w:rsidR="001E40B2" w:rsidRPr="000570FA">
        <w:rPr>
          <w:lang w:val="en-GB"/>
        </w:rPr>
        <w:t xml:space="preserve"> </w:t>
      </w:r>
      <w:r w:rsidRPr="000570FA">
        <w:rPr>
          <w:lang w:val="en-GB"/>
        </w:rPr>
        <w:t>Hammond (Penguin 2006), p.31</w:t>
      </w:r>
    </w:p>
    <w:p w14:paraId="135C8347" w14:textId="77777777" w:rsidR="0063619F" w:rsidRPr="000570FA" w:rsidRDefault="0063619F" w:rsidP="00AD659D">
      <w:pPr>
        <w:rPr>
          <w:sz w:val="20"/>
          <w:szCs w:val="20"/>
        </w:rPr>
      </w:pPr>
    </w:p>
    <w:p w14:paraId="7ED32FF1" w14:textId="4CC0D94D" w:rsidR="00916966" w:rsidRPr="000570FA" w:rsidRDefault="0063619F" w:rsidP="00AD659D">
      <w:pPr>
        <w:rPr>
          <w:sz w:val="20"/>
          <w:szCs w:val="20"/>
        </w:rPr>
      </w:pPr>
      <w:r w:rsidRPr="000570FA">
        <w:rPr>
          <w:sz w:val="20"/>
          <w:szCs w:val="20"/>
          <w:u w:val="single"/>
        </w:rPr>
        <w:t>SECONDARY SOURCES</w:t>
      </w:r>
      <w:r w:rsidRPr="000570FA">
        <w:rPr>
          <w:sz w:val="20"/>
          <w:szCs w:val="20"/>
        </w:rPr>
        <w:t>:</w:t>
      </w:r>
    </w:p>
    <w:p w14:paraId="4C742E9B" w14:textId="77777777" w:rsidR="00916966" w:rsidRPr="000570FA" w:rsidRDefault="00916966" w:rsidP="00916966">
      <w:pPr>
        <w:rPr>
          <w:rFonts w:eastAsia="Times New Roman" w:cs="Times New Roman"/>
          <w:sz w:val="20"/>
          <w:szCs w:val="20"/>
          <w:lang w:val="en-GB" w:eastAsia="en-GB"/>
        </w:rPr>
      </w:pPr>
      <w:r w:rsidRPr="000570FA">
        <w:rPr>
          <w:rFonts w:eastAsia="Times New Roman" w:cs="Times New Roman"/>
          <w:sz w:val="20"/>
          <w:szCs w:val="20"/>
          <w:lang w:val="en-GB" w:eastAsia="en-GB"/>
        </w:rPr>
        <w:t xml:space="preserve">Bain, Read. “Man, the Myth-Maker.” </w:t>
      </w:r>
      <w:r w:rsidRPr="000570FA">
        <w:rPr>
          <w:rFonts w:eastAsia="Times New Roman" w:cs="Times New Roman"/>
          <w:i/>
          <w:iCs/>
          <w:sz w:val="20"/>
          <w:szCs w:val="20"/>
          <w:lang w:val="en-GB" w:eastAsia="en-GB"/>
        </w:rPr>
        <w:t>The Scientific Monthly</w:t>
      </w:r>
      <w:r w:rsidRPr="000570FA">
        <w:rPr>
          <w:rFonts w:eastAsia="Times New Roman" w:cs="Times New Roman"/>
          <w:sz w:val="20"/>
          <w:szCs w:val="20"/>
          <w:lang w:val="en-GB" w:eastAsia="en-GB"/>
        </w:rPr>
        <w:t xml:space="preserve">, vol. 65, no. 1, 1947, pp. 61–69. </w:t>
      </w:r>
      <w:r w:rsidRPr="000570FA">
        <w:rPr>
          <w:rFonts w:eastAsia="Times New Roman" w:cs="Times New Roman"/>
          <w:i/>
          <w:iCs/>
          <w:sz w:val="20"/>
          <w:szCs w:val="20"/>
          <w:lang w:val="en-GB" w:eastAsia="en-GB"/>
        </w:rPr>
        <w:t>JSTOR</w:t>
      </w:r>
      <w:r w:rsidRPr="000570FA">
        <w:rPr>
          <w:rFonts w:eastAsia="Times New Roman" w:cs="Times New Roman"/>
          <w:sz w:val="20"/>
          <w:szCs w:val="20"/>
          <w:lang w:val="en-GB" w:eastAsia="en-GB"/>
        </w:rPr>
        <w:t>, http://www.jstor.org/stable/19146. Accessed 13 Dec. 2024.</w:t>
      </w:r>
    </w:p>
    <w:p w14:paraId="7720BC74" w14:textId="77777777" w:rsidR="00AD659D" w:rsidRPr="000570FA" w:rsidRDefault="00AD659D" w:rsidP="00AD659D">
      <w:pPr>
        <w:rPr>
          <w:sz w:val="20"/>
          <w:szCs w:val="20"/>
        </w:rPr>
      </w:pPr>
    </w:p>
    <w:p w14:paraId="3540BC4F" w14:textId="251A7FEB" w:rsidR="00AD659D" w:rsidRPr="000570FA" w:rsidRDefault="00AD659D" w:rsidP="00AD659D">
      <w:pPr>
        <w:rPr>
          <w:rFonts w:eastAsia="Times New Roman" w:cs="Times New Roman"/>
          <w:sz w:val="20"/>
          <w:szCs w:val="20"/>
          <w:lang w:val="en-GB" w:eastAsia="en-GB"/>
        </w:rPr>
      </w:pPr>
      <w:r w:rsidRPr="000570FA">
        <w:rPr>
          <w:rFonts w:eastAsia="Times New Roman" w:cs="Times New Roman"/>
          <w:sz w:val="20"/>
          <w:szCs w:val="20"/>
          <w:lang w:val="en-GB" w:eastAsia="en-GB"/>
        </w:rPr>
        <w:t xml:space="preserve">Berkes, Fikret, et al. “Rediscovery of Traditional Ecological Knowledge as Adaptive Management.” </w:t>
      </w:r>
      <w:r w:rsidRPr="000570FA">
        <w:rPr>
          <w:rFonts w:eastAsia="Times New Roman" w:cs="Times New Roman"/>
          <w:i/>
          <w:iCs/>
          <w:sz w:val="20"/>
          <w:szCs w:val="20"/>
          <w:lang w:val="en-GB" w:eastAsia="en-GB"/>
        </w:rPr>
        <w:t>Ecological Applications</w:t>
      </w:r>
      <w:r w:rsidRPr="000570FA">
        <w:rPr>
          <w:rFonts w:eastAsia="Times New Roman" w:cs="Times New Roman"/>
          <w:sz w:val="20"/>
          <w:szCs w:val="20"/>
          <w:lang w:val="en-GB" w:eastAsia="en-GB"/>
        </w:rPr>
        <w:t xml:space="preserve">, vol. 10(5), 2000, pp. 1251–62. </w:t>
      </w:r>
      <w:r w:rsidRPr="000570FA">
        <w:rPr>
          <w:rFonts w:eastAsia="Times New Roman" w:cs="Times New Roman"/>
          <w:i/>
          <w:iCs/>
          <w:sz w:val="20"/>
          <w:szCs w:val="20"/>
          <w:lang w:val="en-GB" w:eastAsia="en-GB"/>
        </w:rPr>
        <w:t>JSTOR</w:t>
      </w:r>
      <w:r w:rsidRPr="000570FA">
        <w:rPr>
          <w:rFonts w:eastAsia="Times New Roman" w:cs="Times New Roman"/>
          <w:sz w:val="20"/>
          <w:szCs w:val="20"/>
          <w:lang w:val="en-GB" w:eastAsia="en-GB"/>
        </w:rPr>
        <w:t xml:space="preserve">, </w:t>
      </w:r>
      <w:hyperlink r:id="rId9" w:history="1">
        <w:r w:rsidRPr="000570FA">
          <w:rPr>
            <w:rStyle w:val="Hyperlink"/>
            <w:rFonts w:eastAsia="Times New Roman" w:cs="Times New Roman"/>
            <w:sz w:val="20"/>
            <w:szCs w:val="20"/>
            <w:lang w:val="en-GB" w:eastAsia="en-GB"/>
          </w:rPr>
          <w:t>https://doi.org/10.2307/2641280. Accessed 11 Dec. 2024</w:t>
        </w:r>
      </w:hyperlink>
      <w:r w:rsidRPr="000570FA">
        <w:rPr>
          <w:rFonts w:eastAsia="Times New Roman" w:cs="Times New Roman"/>
          <w:sz w:val="20"/>
          <w:szCs w:val="20"/>
          <w:lang w:val="en-GB" w:eastAsia="en-GB"/>
        </w:rPr>
        <w:t>.</w:t>
      </w:r>
    </w:p>
    <w:p w14:paraId="01DB6E3E" w14:textId="77777777" w:rsidR="00AD659D" w:rsidRPr="000570FA" w:rsidRDefault="00AD659D" w:rsidP="00AD659D">
      <w:pPr>
        <w:rPr>
          <w:rFonts w:eastAsia="Times New Roman" w:cs="Times New Roman"/>
          <w:sz w:val="20"/>
          <w:szCs w:val="20"/>
          <w:lang w:val="en-GB" w:eastAsia="en-GB"/>
        </w:rPr>
      </w:pPr>
    </w:p>
    <w:p w14:paraId="0F84F81F" w14:textId="26A1ED7C" w:rsidR="00AD659D" w:rsidRPr="000570FA" w:rsidRDefault="00AD659D" w:rsidP="00AD659D">
      <w:pPr>
        <w:pStyle w:val="FootnoteText"/>
        <w:rPr>
          <w:rFonts w:cs="Times New Roman"/>
          <w:color w:val="000000"/>
          <w:spacing w:val="-5"/>
          <w:shd w:val="clear" w:color="auto" w:fill="FFFFFF"/>
        </w:rPr>
      </w:pPr>
      <w:r w:rsidRPr="000570FA">
        <w:rPr>
          <w:rFonts w:cs="Times New Roman"/>
          <w:color w:val="000000"/>
          <w:spacing w:val="-5"/>
          <w:shd w:val="clear" w:color="auto" w:fill="FFFFFF"/>
        </w:rPr>
        <w:t>Bossuyt, Beatrijs, and Olivier Honnay. “Can the Seed Bank Be Used for Ecological Restoration? An Overview of Seed Bank Characteristics in European Communities.” </w:t>
      </w:r>
      <w:r w:rsidRPr="000570FA">
        <w:rPr>
          <w:rFonts w:cs="Times New Roman"/>
          <w:i/>
          <w:iCs/>
          <w:color w:val="000000"/>
          <w:spacing w:val="-5"/>
          <w:shd w:val="clear" w:color="auto" w:fill="FFFFFF"/>
        </w:rPr>
        <w:t>Journal of Vegetation Science</w:t>
      </w:r>
      <w:r w:rsidRPr="000570FA">
        <w:rPr>
          <w:rFonts w:cs="Times New Roman"/>
          <w:color w:val="000000"/>
          <w:spacing w:val="-5"/>
          <w:shd w:val="clear" w:color="auto" w:fill="FFFFFF"/>
        </w:rPr>
        <w:t>, vol. 19, no. 6, 2008, pp. 875–84. </w:t>
      </w:r>
      <w:bookmarkStart w:id="15" w:name="_Hlk184991758"/>
      <w:r w:rsidRPr="000570FA">
        <w:rPr>
          <w:rFonts w:cs="Times New Roman"/>
          <w:i/>
          <w:iCs/>
          <w:color w:val="000000"/>
          <w:spacing w:val="-5"/>
          <w:shd w:val="clear" w:color="auto" w:fill="FFFFFF"/>
        </w:rPr>
        <w:t>JSTOR</w:t>
      </w:r>
      <w:bookmarkEnd w:id="15"/>
      <w:r w:rsidRPr="000570FA">
        <w:rPr>
          <w:rFonts w:cs="Times New Roman"/>
          <w:color w:val="000000"/>
          <w:spacing w:val="-5"/>
          <w:shd w:val="clear" w:color="auto" w:fill="FFFFFF"/>
        </w:rPr>
        <w:t>, http://www.jstor.org/stable/25549236. Accessed 13 Dec. 2024.</w:t>
      </w:r>
    </w:p>
    <w:p w14:paraId="21A04D7C" w14:textId="77777777" w:rsidR="00063DD1" w:rsidRDefault="00063DD1" w:rsidP="00063DD1">
      <w:pPr>
        <w:rPr>
          <w:rFonts w:asciiTheme="minorHAnsi" w:hAnsiTheme="minorHAnsi"/>
          <w:kern w:val="2"/>
          <w:sz w:val="20"/>
          <w:szCs w:val="20"/>
          <w:lang w:val="en-GB"/>
          <w14:ligatures w14:val="standardContextual"/>
        </w:rPr>
      </w:pPr>
    </w:p>
    <w:p w14:paraId="3C98D38B" w14:textId="7A41FDF4" w:rsidR="00063DD1" w:rsidRPr="00063DD1" w:rsidRDefault="00063DD1" w:rsidP="00063DD1">
      <w:pPr>
        <w:rPr>
          <w:rFonts w:cs="Times New Roman"/>
          <w:kern w:val="2"/>
          <w:sz w:val="20"/>
          <w:szCs w:val="20"/>
          <w:lang w:val="en-GB"/>
          <w14:ligatures w14:val="standardContextual"/>
        </w:rPr>
      </w:pPr>
      <w:bookmarkStart w:id="16" w:name="_Hlk186805991"/>
      <w:r w:rsidRPr="00063DD1">
        <w:rPr>
          <w:rFonts w:cs="Times New Roman"/>
          <w:kern w:val="2"/>
          <w:sz w:val="20"/>
          <w:szCs w:val="20"/>
          <w:lang w:val="en-GB"/>
          <w14:ligatures w14:val="standardContextual"/>
        </w:rPr>
        <w:t>Botelho,</w:t>
      </w:r>
      <w:r w:rsidRPr="00FD60D5">
        <w:rPr>
          <w:rFonts w:cs="Times New Roman"/>
          <w:kern w:val="2"/>
          <w:sz w:val="20"/>
          <w:szCs w:val="20"/>
          <w:lang w:val="en-GB"/>
          <w14:ligatures w14:val="standardContextual"/>
        </w:rPr>
        <w:t xml:space="preserve"> M.I.V.,</w:t>
      </w:r>
      <w:r w:rsidRPr="00063DD1">
        <w:rPr>
          <w:rFonts w:cs="Times New Roman"/>
          <w:kern w:val="2"/>
          <w:sz w:val="20"/>
          <w:szCs w:val="20"/>
          <w:lang w:val="en-GB"/>
          <w14:ligatures w14:val="standardContextual"/>
        </w:rPr>
        <w:t xml:space="preserve"> Cardoso</w:t>
      </w:r>
      <w:r w:rsidRPr="00FD60D5">
        <w:rPr>
          <w:rFonts w:cs="Times New Roman"/>
          <w:kern w:val="2"/>
          <w:sz w:val="20"/>
          <w:szCs w:val="20"/>
          <w:lang w:val="en-GB"/>
          <w14:ligatures w14:val="standardContextual"/>
        </w:rPr>
        <w:t>, I.M., and</w:t>
      </w:r>
      <w:r w:rsidRPr="00063DD1">
        <w:rPr>
          <w:rFonts w:cs="Times New Roman"/>
          <w:kern w:val="2"/>
          <w:sz w:val="20"/>
          <w:szCs w:val="20"/>
          <w:lang w:val="en-GB"/>
          <w14:ligatures w14:val="standardContextual"/>
        </w:rPr>
        <w:t xml:space="preserve"> Otsuki,</w:t>
      </w:r>
      <w:r w:rsidRPr="00FD60D5">
        <w:rPr>
          <w:rFonts w:cs="Times New Roman"/>
          <w:kern w:val="2"/>
          <w:sz w:val="20"/>
          <w:szCs w:val="20"/>
          <w:lang w:val="en-GB"/>
          <w14:ligatures w14:val="standardContextual"/>
        </w:rPr>
        <w:t xml:space="preserve"> K.,</w:t>
      </w:r>
      <w:r w:rsidRPr="00063DD1">
        <w:rPr>
          <w:rFonts w:cs="Times New Roman"/>
          <w:kern w:val="2"/>
          <w:sz w:val="20"/>
          <w:szCs w:val="20"/>
          <w:lang w:val="en-GB"/>
          <w14:ligatures w14:val="standardContextual"/>
        </w:rPr>
        <w:t xml:space="preserve"> ‘“I made a pact with God, with nature, and with myself”: exploring deep agroecology,’ </w:t>
      </w:r>
      <w:r w:rsidRPr="00063DD1">
        <w:rPr>
          <w:rFonts w:cs="Times New Roman"/>
          <w:i/>
          <w:iCs/>
          <w:kern w:val="2"/>
          <w:sz w:val="20"/>
          <w:szCs w:val="20"/>
          <w:lang w:val="en-GB"/>
          <w14:ligatures w14:val="standardContextual"/>
        </w:rPr>
        <w:t>Agroecology and Sustainable Food Systems</w:t>
      </w:r>
      <w:r w:rsidRPr="00063DD1">
        <w:rPr>
          <w:rFonts w:cs="Times New Roman"/>
          <w:kern w:val="2"/>
          <w:sz w:val="20"/>
          <w:szCs w:val="20"/>
          <w:lang w:val="en-GB"/>
          <w14:ligatures w14:val="standardContextual"/>
        </w:rPr>
        <w:t xml:space="preserve">, (2016) 40.2, </w:t>
      </w:r>
    </w:p>
    <w:bookmarkEnd w:id="16"/>
    <w:p w14:paraId="2CF441A7" w14:textId="77777777" w:rsidR="00706FAF" w:rsidRPr="00FD60D5" w:rsidRDefault="00706FAF" w:rsidP="00AD659D">
      <w:pPr>
        <w:pStyle w:val="FootnoteText"/>
        <w:rPr>
          <w:rFonts w:cs="Times New Roman"/>
          <w:color w:val="000000"/>
          <w:spacing w:val="-5"/>
          <w:shd w:val="clear" w:color="auto" w:fill="FFFFFF"/>
        </w:rPr>
      </w:pPr>
    </w:p>
    <w:p w14:paraId="35A1B901" w14:textId="4BCD677A" w:rsidR="00706FAF" w:rsidRDefault="00706FAF" w:rsidP="00AD659D">
      <w:pPr>
        <w:pStyle w:val="FootnoteText"/>
        <w:rPr>
          <w:rFonts w:cs="Times New Roman"/>
          <w:color w:val="000000"/>
          <w:spacing w:val="-5"/>
          <w:shd w:val="clear" w:color="auto" w:fill="FFFFFF"/>
        </w:rPr>
      </w:pPr>
      <w:bookmarkStart w:id="17" w:name="_Hlk184995867"/>
      <w:r w:rsidRPr="000570FA">
        <w:rPr>
          <w:rFonts w:cs="Times New Roman"/>
          <w:color w:val="000000"/>
          <w:spacing w:val="-5"/>
          <w:shd w:val="clear" w:color="auto" w:fill="FFFFFF"/>
        </w:rPr>
        <w:t xml:space="preserve">Carpenter, A.D., “Embodied Intelligent (?) Souls: Plants in Plato’s </w:t>
      </w:r>
      <w:r w:rsidRPr="000570FA">
        <w:rPr>
          <w:rFonts w:cs="Times New Roman"/>
          <w:i/>
          <w:iCs/>
          <w:color w:val="000000"/>
          <w:spacing w:val="-5"/>
          <w:shd w:val="clear" w:color="auto" w:fill="FFFFFF"/>
        </w:rPr>
        <w:t>Timaeus</w:t>
      </w:r>
      <w:r w:rsidR="00877646" w:rsidRPr="000570FA">
        <w:rPr>
          <w:rFonts w:cs="Times New Roman"/>
          <w:color w:val="000000"/>
          <w:spacing w:val="-5"/>
          <w:shd w:val="clear" w:color="auto" w:fill="FFFFFF"/>
        </w:rPr>
        <w:t>,” Phronesis</w:t>
      </w:r>
      <w:r w:rsidRPr="000570FA">
        <w:rPr>
          <w:rFonts w:cs="Times New Roman"/>
          <w:color w:val="000000"/>
          <w:spacing w:val="-5"/>
          <w:shd w:val="clear" w:color="auto" w:fill="FFFFFF"/>
        </w:rPr>
        <w:t xml:space="preserve"> 55 (2010), pp. 281-303</w:t>
      </w:r>
    </w:p>
    <w:p w14:paraId="11DF93A1" w14:textId="77777777" w:rsidR="002A0AC6" w:rsidRDefault="002A0AC6" w:rsidP="002A0AC6">
      <w:pPr>
        <w:pStyle w:val="FootnoteText"/>
        <w:rPr>
          <w:rFonts w:cs="Times New Roman"/>
          <w:color w:val="000000"/>
          <w:spacing w:val="-5"/>
          <w:shd w:val="clear" w:color="auto" w:fill="FFFFFF"/>
        </w:rPr>
      </w:pPr>
    </w:p>
    <w:p w14:paraId="6E25CF24" w14:textId="47C78E83" w:rsidR="002A0AC6" w:rsidRDefault="002A0AC6" w:rsidP="002A0AC6">
      <w:pPr>
        <w:pStyle w:val="FootnoteText"/>
        <w:rPr>
          <w:rFonts w:cs="Times New Roman"/>
          <w:color w:val="000000"/>
          <w:spacing w:val="-5"/>
          <w:shd w:val="clear" w:color="auto" w:fill="FFFFFF"/>
        </w:rPr>
      </w:pPr>
      <w:bookmarkStart w:id="18" w:name="_Hlk186815120"/>
      <w:r>
        <w:rPr>
          <w:rFonts w:cs="Times New Roman"/>
          <w:color w:val="000000"/>
          <w:spacing w:val="-5"/>
          <w:shd w:val="clear" w:color="auto" w:fill="FFFFFF"/>
        </w:rPr>
        <w:t>Carter, L., “Recovering Traditional Ecological Knowledge (TEK)</w:t>
      </w:r>
      <w:r>
        <w:rPr>
          <w:rFonts w:cs="Times New Roman"/>
          <w:color w:val="000000"/>
          <w:spacing w:val="-5"/>
          <w:shd w:val="clear" w:color="auto" w:fill="FFFFFF"/>
        </w:rPr>
        <w:t>: is it always wh</w:t>
      </w:r>
      <w:r>
        <w:rPr>
          <w:rFonts w:cs="Times New Roman"/>
          <w:color w:val="000000"/>
          <w:spacing w:val="-5"/>
          <w:shd w:val="clear" w:color="auto" w:fill="FFFFFF"/>
        </w:rPr>
        <w:t>a</w:t>
      </w:r>
      <w:r>
        <w:rPr>
          <w:rFonts w:cs="Times New Roman"/>
          <w:color w:val="000000"/>
          <w:spacing w:val="-5"/>
          <w:shd w:val="clear" w:color="auto" w:fill="FFFFFF"/>
        </w:rPr>
        <w:t xml:space="preserve">t it </w:t>
      </w:r>
      <w:r w:rsidR="00902A0D">
        <w:rPr>
          <w:rFonts w:cs="Times New Roman"/>
          <w:color w:val="000000"/>
          <w:spacing w:val="-5"/>
          <w:shd w:val="clear" w:color="auto" w:fill="FFFFFF"/>
        </w:rPr>
        <w:t>seems?”</w:t>
      </w:r>
      <w:r w:rsidR="00FD4578">
        <w:rPr>
          <w:rFonts w:cs="Times New Roman"/>
          <w:color w:val="000000"/>
          <w:spacing w:val="-5"/>
          <w:shd w:val="clear" w:color="auto" w:fill="FFFFFF"/>
        </w:rPr>
        <w:t xml:space="preserve"> Transnational Curriculum Enquiry, Vol.5 (1) 2008 accessed at:  </w:t>
      </w:r>
      <w:hyperlink r:id="rId10" w:history="1">
        <w:r w:rsidR="00FD4578" w:rsidRPr="009B174E">
          <w:rPr>
            <w:rStyle w:val="Hyperlink"/>
            <w:rFonts w:cs="Times New Roman"/>
            <w:spacing w:val="-5"/>
            <w:shd w:val="clear" w:color="auto" w:fill="FFFFFF"/>
          </w:rPr>
          <w:t>http://nitinat.library.ubc.ca/ojs/index.php/tci</w:t>
        </w:r>
      </w:hyperlink>
      <w:r w:rsidR="00FD4578">
        <w:rPr>
          <w:rFonts w:cs="Times New Roman"/>
          <w:color w:val="000000"/>
          <w:spacing w:val="-5"/>
          <w:shd w:val="clear" w:color="auto" w:fill="FFFFFF"/>
        </w:rPr>
        <w:t xml:space="preserve"> on 3/1/2025</w:t>
      </w:r>
    </w:p>
    <w:bookmarkEnd w:id="18"/>
    <w:p w14:paraId="1C70A6E3" w14:textId="77777777" w:rsidR="00175CD8" w:rsidRPr="000570FA" w:rsidRDefault="00175CD8" w:rsidP="00AD659D">
      <w:pPr>
        <w:pStyle w:val="FootnoteText"/>
        <w:rPr>
          <w:rFonts w:cs="Times New Roman"/>
          <w:color w:val="000000"/>
          <w:spacing w:val="-5"/>
          <w:shd w:val="clear" w:color="auto" w:fill="FFFFFF"/>
        </w:rPr>
      </w:pPr>
    </w:p>
    <w:bookmarkEnd w:id="17"/>
    <w:p w14:paraId="20CD4E27" w14:textId="292E48FF" w:rsidR="00175CD8" w:rsidRPr="000570FA" w:rsidRDefault="00175CD8" w:rsidP="00175CD8">
      <w:pPr>
        <w:pStyle w:val="FootnoteText"/>
        <w:rPr>
          <w:rFonts w:cs="Times New Roman"/>
          <w:color w:val="000000"/>
          <w:spacing w:val="-5"/>
          <w:shd w:val="clear" w:color="auto" w:fill="FFFFFF"/>
        </w:rPr>
      </w:pPr>
      <w:r w:rsidRPr="000570FA">
        <w:t>Cho, F. and Squier, R.K., “Reductionism: Be Afraid, Be "Very" Afraid</w:t>
      </w:r>
      <w:r w:rsidR="00877646" w:rsidRPr="000570FA">
        <w:t>,”</w:t>
      </w:r>
      <w:r w:rsidRPr="000570FA">
        <w:t xml:space="preserve"> </w:t>
      </w:r>
      <w:r w:rsidRPr="000570FA">
        <w:rPr>
          <w:i/>
          <w:iCs/>
        </w:rPr>
        <w:t>Journal of the American Academy of Religion</w:t>
      </w:r>
      <w:r w:rsidRPr="000570FA">
        <w:t>, Vol. 76, No. 2 (Jun., 2008), pp. 412- 417.</w:t>
      </w:r>
      <w:r w:rsidRPr="000570FA">
        <w:rPr>
          <w:rFonts w:cs="Times New Roman"/>
          <w:i/>
          <w:iCs/>
          <w:color w:val="000000"/>
          <w:spacing w:val="-5"/>
          <w:shd w:val="clear" w:color="auto" w:fill="FFFFFF"/>
        </w:rPr>
        <w:t xml:space="preserve"> </w:t>
      </w:r>
      <w:r w:rsidR="00877646" w:rsidRPr="000570FA">
        <w:rPr>
          <w:rFonts w:cs="Times New Roman"/>
          <w:i/>
          <w:iCs/>
          <w:color w:val="000000"/>
          <w:spacing w:val="-5"/>
          <w:shd w:val="clear" w:color="auto" w:fill="FFFFFF"/>
        </w:rPr>
        <w:t xml:space="preserve">JSTOR, </w:t>
      </w:r>
      <w:r w:rsidR="00877646" w:rsidRPr="000570FA">
        <w:t>https://www.jstor.org/stable/25484007</w:t>
      </w:r>
      <w:r w:rsidRPr="000570FA">
        <w:t xml:space="preserve"> </w:t>
      </w:r>
      <w:r w:rsidRPr="000570FA">
        <w:rPr>
          <w:rFonts w:cs="Times New Roman"/>
          <w:color w:val="000000"/>
          <w:spacing w:val="-5"/>
          <w:shd w:val="clear" w:color="auto" w:fill="FFFFFF"/>
        </w:rPr>
        <w:t>Accessed 1 2 Dec. 2024.</w:t>
      </w:r>
    </w:p>
    <w:p w14:paraId="1548E71C" w14:textId="77777777" w:rsidR="000570FA" w:rsidRPr="000570FA" w:rsidRDefault="000570FA" w:rsidP="00175CD8">
      <w:pPr>
        <w:pStyle w:val="FootnoteText"/>
        <w:rPr>
          <w:rFonts w:cs="Times New Roman"/>
          <w:color w:val="000000"/>
          <w:spacing w:val="-5"/>
          <w:shd w:val="clear" w:color="auto" w:fill="FFFFFF"/>
        </w:rPr>
      </w:pPr>
    </w:p>
    <w:p w14:paraId="1B327751" w14:textId="42497B0E" w:rsidR="005B6858" w:rsidRDefault="000570FA" w:rsidP="005B6858">
      <w:pPr>
        <w:pStyle w:val="FootnoteText"/>
        <w:rPr>
          <w:lang w:val="en-GB"/>
        </w:rPr>
      </w:pPr>
      <w:r w:rsidRPr="000570FA">
        <w:t>Dutreuil, S “James Lovelock’s Gaia hypothesis</w:t>
      </w:r>
      <w:r w:rsidR="00902A0D" w:rsidRPr="000570FA">
        <w:t>:” A</w:t>
      </w:r>
      <w:r w:rsidRPr="000570FA">
        <w:t xml:space="preserve"> New Look at Life on Earth” ... for the Life and the Earth sciences</w:t>
      </w:r>
      <w:r w:rsidRPr="000570FA">
        <w:rPr>
          <w:i/>
          <w:iCs/>
        </w:rPr>
        <w:t xml:space="preserve">” </w:t>
      </w:r>
      <w:r w:rsidRPr="000570FA">
        <w:t>in Harman</w:t>
      </w:r>
      <w:r w:rsidR="00C6443A">
        <w:t>, O.,</w:t>
      </w:r>
      <w:r w:rsidRPr="000570FA">
        <w:t xml:space="preserve"> and Dietrich</w:t>
      </w:r>
      <w:r w:rsidR="00C6443A">
        <w:t>, M.R.,</w:t>
      </w:r>
      <w:r w:rsidRPr="000570FA">
        <w:t xml:space="preserve"> (eds.) </w:t>
      </w:r>
      <w:r w:rsidRPr="000570FA">
        <w:rPr>
          <w:i/>
          <w:iCs/>
        </w:rPr>
        <w:t xml:space="preserve">“Dreamers, Visionaries, and Revolutionaries in the Life </w:t>
      </w:r>
      <w:r w:rsidRPr="000570FA">
        <w:rPr>
          <w:i/>
          <w:iCs/>
        </w:rPr>
        <w:lastRenderedPageBreak/>
        <w:t>Sciences</w:t>
      </w:r>
      <w:r w:rsidR="00902A0D" w:rsidRPr="000570FA">
        <w:rPr>
          <w:i/>
          <w:iCs/>
        </w:rPr>
        <w:t>,”</w:t>
      </w:r>
      <w:r w:rsidRPr="000570FA">
        <w:t xml:space="preserve"> pp.272-287, 2018, 9780226569901. ffhal-01863320f accessed at: </w:t>
      </w:r>
      <w:hyperlink r:id="rId11" w:history="1">
        <w:r w:rsidR="005B6858" w:rsidRPr="009B174E">
          <w:rPr>
            <w:rStyle w:val="Hyperlink"/>
          </w:rPr>
          <w:t>https://hal.science/hal-01863320/document on 2/1/2025</w:t>
        </w:r>
      </w:hyperlink>
      <w:r w:rsidR="005B6858" w:rsidRPr="005B6858">
        <w:rPr>
          <w:lang w:val="en-GB"/>
        </w:rPr>
        <w:t xml:space="preserve"> </w:t>
      </w:r>
    </w:p>
    <w:p w14:paraId="351E009A" w14:textId="77777777" w:rsidR="00F31A15" w:rsidRDefault="00F31A15" w:rsidP="005B6858">
      <w:pPr>
        <w:pStyle w:val="FootnoteText"/>
        <w:rPr>
          <w:lang w:val="en-GB"/>
        </w:rPr>
      </w:pPr>
    </w:p>
    <w:p w14:paraId="22E93840" w14:textId="4E75CE7A" w:rsidR="00F31A15" w:rsidRDefault="00F31A15" w:rsidP="005B6858">
      <w:pPr>
        <w:pStyle w:val="FootnoteText"/>
        <w:rPr>
          <w:lang w:val="en-GB"/>
        </w:rPr>
      </w:pPr>
      <w:r>
        <w:rPr>
          <w:lang w:val="en-GB"/>
        </w:rPr>
        <w:t>Folke</w:t>
      </w:r>
      <w:r w:rsidR="003B4BFE">
        <w:rPr>
          <w:lang w:val="en-GB"/>
        </w:rPr>
        <w:t>, C., “Traditional Knowledge in Social-Ecological Systems</w:t>
      </w:r>
      <w:r w:rsidR="00902A0D">
        <w:rPr>
          <w:lang w:val="en-GB"/>
        </w:rPr>
        <w:t>,”</w:t>
      </w:r>
      <w:r w:rsidR="003B4BFE">
        <w:rPr>
          <w:lang w:val="en-GB"/>
        </w:rPr>
        <w:t xml:space="preserve"> </w:t>
      </w:r>
      <w:r w:rsidR="003B4BFE" w:rsidRPr="003B4BFE">
        <w:rPr>
          <w:i/>
          <w:iCs/>
          <w:lang w:val="en-GB"/>
        </w:rPr>
        <w:t>Ecology and Society</w:t>
      </w:r>
      <w:r w:rsidR="003B4BFE">
        <w:rPr>
          <w:lang w:val="en-GB"/>
        </w:rPr>
        <w:t xml:space="preserve">, Vol.9, (3): </w:t>
      </w:r>
      <w:r w:rsidR="00902A0D">
        <w:rPr>
          <w:lang w:val="en-GB"/>
        </w:rPr>
        <w:t>7 accessed</w:t>
      </w:r>
      <w:r w:rsidR="003B4BFE">
        <w:rPr>
          <w:lang w:val="en-GB"/>
        </w:rPr>
        <w:t xml:space="preserve"> at:  http://www.ecologyandsociety.org/vol9/iss3/art7/</w:t>
      </w:r>
    </w:p>
    <w:p w14:paraId="0C44F09F" w14:textId="77777777" w:rsidR="005B6858" w:rsidRDefault="005B6858" w:rsidP="005B6858">
      <w:pPr>
        <w:pStyle w:val="FootnoteText"/>
        <w:rPr>
          <w:lang w:val="en-GB"/>
        </w:rPr>
      </w:pPr>
    </w:p>
    <w:p w14:paraId="66152357" w14:textId="0ECE9197" w:rsidR="005B6858" w:rsidRPr="00225857" w:rsidRDefault="005B6858" w:rsidP="005B6858">
      <w:pPr>
        <w:pStyle w:val="FootnoteText"/>
        <w:rPr>
          <w:lang w:val="en-GB"/>
        </w:rPr>
      </w:pPr>
      <w:r>
        <w:rPr>
          <w:lang w:val="en-GB"/>
        </w:rPr>
        <w:t xml:space="preserve">Gagliano, </w:t>
      </w:r>
      <w:r>
        <w:rPr>
          <w:lang w:val="en-GB"/>
        </w:rPr>
        <w:t xml:space="preserve">M., </w:t>
      </w:r>
      <w:r>
        <w:rPr>
          <w:lang w:val="en-GB"/>
        </w:rPr>
        <w:t>“In a green frame of mind: perspectives on the behavioural ecology and cognitive nature of plants</w:t>
      </w:r>
      <w:r w:rsidR="00902A0D">
        <w:rPr>
          <w:lang w:val="en-GB"/>
        </w:rPr>
        <w:t>,”</w:t>
      </w:r>
      <w:r>
        <w:rPr>
          <w:lang w:val="en-GB"/>
        </w:rPr>
        <w:t xml:space="preserve"> </w:t>
      </w:r>
      <w:r w:rsidRPr="005B6858">
        <w:rPr>
          <w:i/>
          <w:iCs/>
          <w:lang w:val="en-GB"/>
        </w:rPr>
        <w:t>AoB Plants</w:t>
      </w:r>
      <w:r>
        <w:rPr>
          <w:lang w:val="en-GB"/>
        </w:rPr>
        <w:t xml:space="preserve">, Vol. 7, 2015 plu075, accessed at: </w:t>
      </w:r>
      <w:hyperlink r:id="rId12" w:history="1">
        <w:r w:rsidRPr="009B174E">
          <w:rPr>
            <w:rStyle w:val="Hyperlink"/>
            <w:lang w:val="en-GB"/>
          </w:rPr>
          <w:t>https://doi.org/10.1093/aobpla/plu075</w:t>
        </w:r>
      </w:hyperlink>
      <w:r>
        <w:rPr>
          <w:lang w:val="en-GB"/>
        </w:rPr>
        <w:t xml:space="preserve"> on 3/1/2025</w:t>
      </w:r>
    </w:p>
    <w:p w14:paraId="2FA33F7D" w14:textId="77777777" w:rsidR="00706FAF" w:rsidRPr="000570FA" w:rsidRDefault="00706FAF" w:rsidP="00175CD8">
      <w:pPr>
        <w:pStyle w:val="FootnoteText"/>
        <w:rPr>
          <w:rFonts w:cs="Times New Roman"/>
          <w:color w:val="000000"/>
          <w:spacing w:val="-5"/>
          <w:shd w:val="clear" w:color="auto" w:fill="FFFFFF"/>
        </w:rPr>
      </w:pPr>
    </w:p>
    <w:p w14:paraId="111B3AEB" w14:textId="13DA6E5B" w:rsidR="00706FAF" w:rsidRPr="000570FA" w:rsidRDefault="00706FAF" w:rsidP="00175CD8">
      <w:pPr>
        <w:pStyle w:val="FootnoteText"/>
      </w:pPr>
      <w:r w:rsidRPr="000570FA">
        <w:t>Hernández-Morcillo,</w:t>
      </w:r>
      <w:r w:rsidR="000570FA">
        <w:t xml:space="preserve"> M.,</w:t>
      </w:r>
      <w:r w:rsidRPr="000570FA">
        <w:t xml:space="preserve"> Hoberg, </w:t>
      </w:r>
      <w:r w:rsidR="000570FA">
        <w:t xml:space="preserve">J., </w:t>
      </w:r>
      <w:r w:rsidR="00877646" w:rsidRPr="000570FA">
        <w:t>Otero’s</w:t>
      </w:r>
      <w:r w:rsidRPr="000570FA">
        <w:t xml:space="preserve">-Rozas, </w:t>
      </w:r>
      <w:r w:rsidR="000570FA">
        <w:t xml:space="preserve">E., </w:t>
      </w:r>
      <w:r w:rsidRPr="000570FA">
        <w:t xml:space="preserve">Plieninger, </w:t>
      </w:r>
      <w:r w:rsidR="000570FA">
        <w:t xml:space="preserve">T., </w:t>
      </w:r>
      <w:r w:rsidRPr="000570FA">
        <w:t xml:space="preserve">Gómez-Baggethun </w:t>
      </w:r>
      <w:r w:rsidR="00902A0D">
        <w:t>E.,</w:t>
      </w:r>
      <w:r w:rsidR="00902A0D" w:rsidRPr="000570FA">
        <w:t xml:space="preserve"> &amp;</w:t>
      </w:r>
      <w:r w:rsidRPr="000570FA">
        <w:t xml:space="preserve"> Reyes-García</w:t>
      </w:r>
      <w:r w:rsidR="000570FA">
        <w:t xml:space="preserve">, V., </w:t>
      </w:r>
      <w:r w:rsidRPr="000570FA">
        <w:t xml:space="preserve">(2014) Traditional Ecological Knowledge in Europe: Status Quo and Insights for the </w:t>
      </w:r>
      <w:r w:rsidR="000570FA">
        <w:t>“</w:t>
      </w:r>
      <w:r w:rsidRPr="000570FA">
        <w:rPr>
          <w:i/>
          <w:iCs/>
        </w:rPr>
        <w:t>Environmental Policy Agenda, Environment: Science and Policy for Sustainable Development</w:t>
      </w:r>
      <w:r w:rsidR="000570FA">
        <w:t>”</w:t>
      </w:r>
      <w:r w:rsidRPr="000570FA">
        <w:t>, 56:1, 3-17, DOI: 10.1080/00139157.2014.861673</w:t>
      </w:r>
    </w:p>
    <w:p w14:paraId="291B2F71" w14:textId="77777777" w:rsidR="00AD659D" w:rsidRPr="000570FA" w:rsidRDefault="00AD659D" w:rsidP="00AD659D">
      <w:pPr>
        <w:pStyle w:val="FootnoteText"/>
        <w:rPr>
          <w:lang w:val="en-GB"/>
        </w:rPr>
      </w:pPr>
    </w:p>
    <w:p w14:paraId="23814B68" w14:textId="77777777" w:rsidR="00590C80" w:rsidRDefault="00AD659D" w:rsidP="00590C80">
      <w:pPr>
        <w:pStyle w:val="FootnoteText"/>
        <w:rPr>
          <w:lang w:val="en-GB"/>
        </w:rPr>
      </w:pPr>
      <w:r w:rsidRPr="000570FA">
        <w:rPr>
          <w:rStyle w:val="proofcitation"/>
          <w:rFonts w:cs="Times New Roman"/>
          <w:color w:val="000000"/>
          <w:shd w:val="clear" w:color="auto" w:fill="FFFFFF"/>
        </w:rPr>
        <w:t>Houde, N. 2007. “The six faces of traditional ecological knowledge: challenges and opportunities for Canadian co-management arrangements.” </w:t>
      </w:r>
      <w:r w:rsidRPr="000570FA">
        <w:rPr>
          <w:rStyle w:val="proofcitation"/>
          <w:rFonts w:cs="Times New Roman"/>
          <w:i/>
          <w:iCs/>
          <w:color w:val="000000"/>
          <w:shd w:val="clear" w:color="auto" w:fill="FFFFFF"/>
        </w:rPr>
        <w:t>Ecology and Society</w:t>
      </w:r>
      <w:r w:rsidRPr="000570FA">
        <w:rPr>
          <w:rStyle w:val="proofcitation"/>
          <w:rFonts w:cs="Times New Roman"/>
          <w:color w:val="000000"/>
          <w:shd w:val="clear" w:color="auto" w:fill="FFFFFF"/>
        </w:rPr>
        <w:t> vol.</w:t>
      </w:r>
      <w:r w:rsidRPr="000570FA">
        <w:rPr>
          <w:rStyle w:val="proofcitation"/>
          <w:rFonts w:cs="Times New Roman"/>
          <w:b/>
          <w:bCs/>
          <w:color w:val="000000"/>
          <w:shd w:val="clear" w:color="auto" w:fill="FFFFFF"/>
        </w:rPr>
        <w:t>12</w:t>
      </w:r>
      <w:r w:rsidRPr="000570FA">
        <w:rPr>
          <w:rStyle w:val="proofcitation"/>
          <w:rFonts w:cs="Times New Roman"/>
          <w:color w:val="000000"/>
          <w:shd w:val="clear" w:color="auto" w:fill="FFFFFF"/>
        </w:rPr>
        <w:t xml:space="preserve">(2): 34. [online] URL: </w:t>
      </w:r>
      <w:hyperlink r:id="rId13" w:history="1">
        <w:r w:rsidRPr="000570FA">
          <w:rPr>
            <w:rStyle w:val="Hyperlink"/>
            <w:rFonts w:cs="Times New Roman"/>
            <w:shd w:val="clear" w:color="auto" w:fill="FFFFFF"/>
          </w:rPr>
          <w:t>http://www.ecologyandsociety.org/vol12/iss2/art34/</w:t>
        </w:r>
      </w:hyperlink>
      <w:r w:rsidRPr="000570FA">
        <w:rPr>
          <w:rStyle w:val="proofcitation"/>
          <w:rFonts w:cs="Times New Roman"/>
          <w:color w:val="000000"/>
          <w:shd w:val="clear" w:color="auto" w:fill="FFFFFF"/>
        </w:rPr>
        <w:t xml:space="preserve"> Accessed online on 11/12/2024</w:t>
      </w:r>
      <w:r w:rsidR="00590C80" w:rsidRPr="00590C80">
        <w:rPr>
          <w:lang w:val="en-GB"/>
        </w:rPr>
        <w:t xml:space="preserve"> </w:t>
      </w:r>
    </w:p>
    <w:p w14:paraId="214CB160" w14:textId="77777777" w:rsidR="005B6858" w:rsidRDefault="005B6858" w:rsidP="005B6858">
      <w:pPr>
        <w:pStyle w:val="FootnoteText"/>
        <w:rPr>
          <w:rFonts w:cs="Times New Roman"/>
          <w:color w:val="000000"/>
          <w:spacing w:val="-5"/>
          <w:shd w:val="clear" w:color="auto" w:fill="FFFFFF"/>
        </w:rPr>
      </w:pPr>
    </w:p>
    <w:p w14:paraId="02EFDE05" w14:textId="4E0E9A92" w:rsidR="005B6858" w:rsidRPr="000570FA" w:rsidRDefault="005B6858" w:rsidP="005B6858">
      <w:pPr>
        <w:pStyle w:val="FootnoteText"/>
        <w:rPr>
          <w:rFonts w:cs="Times New Roman"/>
          <w:color w:val="000000"/>
          <w:spacing w:val="-5"/>
          <w:shd w:val="clear" w:color="auto" w:fill="FFFFFF"/>
        </w:rPr>
      </w:pPr>
      <w:r w:rsidRPr="000570FA">
        <w:rPr>
          <w:rFonts w:cs="Times New Roman"/>
          <w:color w:val="000000"/>
          <w:spacing w:val="-5"/>
          <w:shd w:val="clear" w:color="auto" w:fill="FFFFFF"/>
        </w:rPr>
        <w:t xml:space="preserve">Kim, E.A., Ashghar, A., and Jordan, S., “A Critical Review of Traditional Ecological Knowledge (TEK) in Science Education,” </w:t>
      </w:r>
      <w:r w:rsidRPr="000570FA">
        <w:rPr>
          <w:rFonts w:cs="Times New Roman"/>
          <w:i/>
          <w:iCs/>
          <w:color w:val="000000"/>
          <w:spacing w:val="-5"/>
          <w:shd w:val="clear" w:color="auto" w:fill="FFFFFF"/>
        </w:rPr>
        <w:t>Canadian Journal of Science, Mathematics and Technology Education</w:t>
      </w:r>
      <w:r w:rsidRPr="000570FA">
        <w:rPr>
          <w:rFonts w:cs="Times New Roman"/>
          <w:color w:val="000000"/>
          <w:spacing w:val="-5"/>
          <w:shd w:val="clear" w:color="auto" w:fill="FFFFFF"/>
        </w:rPr>
        <w:t xml:space="preserve"> (2017), Vol.17, No.4, pp.258-270</w:t>
      </w:r>
    </w:p>
    <w:p w14:paraId="71105DE8" w14:textId="77777777" w:rsidR="00590C80" w:rsidRDefault="00590C80" w:rsidP="00590C80">
      <w:pPr>
        <w:pStyle w:val="FootnoteText"/>
        <w:rPr>
          <w:lang w:val="en-GB"/>
        </w:rPr>
      </w:pPr>
    </w:p>
    <w:p w14:paraId="78932849" w14:textId="7BC9B419" w:rsidR="00590C80" w:rsidRPr="0079217F" w:rsidRDefault="00590C80" w:rsidP="00590C80">
      <w:pPr>
        <w:pStyle w:val="FootnoteText"/>
        <w:rPr>
          <w:lang w:val="en-GB"/>
        </w:rPr>
      </w:pPr>
      <w:r>
        <w:rPr>
          <w:lang w:val="en-GB"/>
        </w:rPr>
        <w:t xml:space="preserve">Klawans, </w:t>
      </w:r>
      <w:r>
        <w:rPr>
          <w:lang w:val="en-GB"/>
        </w:rPr>
        <w:t xml:space="preserve">J., </w:t>
      </w:r>
      <w:r>
        <w:rPr>
          <w:lang w:val="en-GB"/>
        </w:rPr>
        <w:t xml:space="preserve">“New Zealand is up in arms over </w:t>
      </w:r>
      <w:r w:rsidR="00902A0D">
        <w:rPr>
          <w:lang w:val="en-GB"/>
        </w:rPr>
        <w:t>Māori</w:t>
      </w:r>
      <w:r>
        <w:rPr>
          <w:lang w:val="en-GB"/>
        </w:rPr>
        <w:t xml:space="preserve"> rights bill</w:t>
      </w:r>
      <w:r w:rsidR="00F145F1">
        <w:rPr>
          <w:lang w:val="en-GB"/>
        </w:rPr>
        <w:t>,”</w:t>
      </w:r>
      <w:r>
        <w:rPr>
          <w:lang w:val="en-GB"/>
        </w:rPr>
        <w:t xml:space="preserve"> </w:t>
      </w:r>
      <w:r w:rsidRPr="00590C80">
        <w:rPr>
          <w:i/>
          <w:iCs/>
          <w:lang w:val="en-GB"/>
        </w:rPr>
        <w:t>The Week</w:t>
      </w:r>
      <w:r>
        <w:rPr>
          <w:lang w:val="en-GB"/>
        </w:rPr>
        <w:t xml:space="preserve">, accessed at:  </w:t>
      </w:r>
      <w:hyperlink r:id="rId14" w:history="1">
        <w:r w:rsidRPr="009B174E">
          <w:rPr>
            <w:rStyle w:val="Hyperlink"/>
            <w:lang w:val="en-GB"/>
          </w:rPr>
          <w:t>https://theweek.com/politics/new-zealand-maori-rights</w:t>
        </w:r>
      </w:hyperlink>
      <w:r>
        <w:rPr>
          <w:lang w:val="en-GB"/>
        </w:rPr>
        <w:t xml:space="preserve"> on 3/1/2025</w:t>
      </w:r>
    </w:p>
    <w:p w14:paraId="505EDA43" w14:textId="77777777" w:rsidR="001B7992" w:rsidRDefault="001B7992" w:rsidP="00AD659D">
      <w:pPr>
        <w:pStyle w:val="FootnoteText"/>
        <w:rPr>
          <w:rStyle w:val="proofcitation"/>
          <w:rFonts w:cs="Times New Roman"/>
          <w:color w:val="000000"/>
          <w:shd w:val="clear" w:color="auto" w:fill="FFFFFF"/>
        </w:rPr>
      </w:pPr>
    </w:p>
    <w:p w14:paraId="30232983" w14:textId="7B81CCD0" w:rsidR="00EC443F" w:rsidRDefault="001B7992" w:rsidP="00EC443F">
      <w:pPr>
        <w:pStyle w:val="FootnoteText"/>
        <w:rPr>
          <w:lang w:val="en-GB"/>
        </w:rPr>
      </w:pPr>
      <w:r>
        <w:rPr>
          <w:lang w:val="en-GB"/>
        </w:rPr>
        <w:t>Louv, R., “</w:t>
      </w:r>
      <w:r w:rsidRPr="001B7992">
        <w:rPr>
          <w:i/>
          <w:iCs/>
          <w:lang w:val="en-GB"/>
        </w:rPr>
        <w:t>Last Child in the Woods, Saving our children from nature-deficit disorder</w:t>
      </w:r>
      <w:r w:rsidR="00F145F1">
        <w:rPr>
          <w:lang w:val="en-GB"/>
        </w:rPr>
        <w:t>,”</w:t>
      </w:r>
      <w:r>
        <w:rPr>
          <w:lang w:val="en-GB"/>
        </w:rPr>
        <w:t xml:space="preserve"> (North Carolina, </w:t>
      </w:r>
      <w:r w:rsidR="00F145F1">
        <w:rPr>
          <w:lang w:val="en-GB"/>
        </w:rPr>
        <w:t>Algonquin</w:t>
      </w:r>
      <w:r>
        <w:rPr>
          <w:lang w:val="en-GB"/>
        </w:rPr>
        <w:t xml:space="preserve"> Books, 2008)</w:t>
      </w:r>
      <w:r w:rsidR="00EC443F" w:rsidRPr="00EC443F">
        <w:rPr>
          <w:lang w:val="en-GB"/>
        </w:rPr>
        <w:t xml:space="preserve"> </w:t>
      </w:r>
    </w:p>
    <w:p w14:paraId="1BC7F5C8" w14:textId="77777777" w:rsidR="00EC443F" w:rsidRDefault="00EC443F" w:rsidP="00EC443F">
      <w:pPr>
        <w:pStyle w:val="FootnoteText"/>
        <w:rPr>
          <w:lang w:val="en-GB"/>
        </w:rPr>
      </w:pPr>
    </w:p>
    <w:p w14:paraId="683C8145" w14:textId="5CA3C376" w:rsidR="00EC443F" w:rsidRPr="00E41B14" w:rsidRDefault="00EC443F" w:rsidP="00EC443F">
      <w:pPr>
        <w:pStyle w:val="FootnoteText"/>
        <w:rPr>
          <w:lang w:val="en-GB"/>
        </w:rPr>
      </w:pPr>
      <w:r>
        <w:rPr>
          <w:lang w:val="en-GB"/>
        </w:rPr>
        <w:t>Lubchenco,</w:t>
      </w:r>
      <w:r>
        <w:rPr>
          <w:lang w:val="en-GB"/>
        </w:rPr>
        <w:t xml:space="preserve"> J.</w:t>
      </w:r>
      <w:r>
        <w:rPr>
          <w:lang w:val="en-GB"/>
        </w:rPr>
        <w:t xml:space="preserve"> “Robert Treat Paine (1933-2016)”, </w:t>
      </w:r>
      <w:r w:rsidRPr="00EC443F">
        <w:rPr>
          <w:i/>
          <w:iCs/>
          <w:lang w:val="en-GB"/>
        </w:rPr>
        <w:t>Nature</w:t>
      </w:r>
      <w:r>
        <w:rPr>
          <w:lang w:val="en-GB"/>
        </w:rPr>
        <w:t>,</w:t>
      </w:r>
      <w:r>
        <w:rPr>
          <w:lang w:val="en-GB"/>
        </w:rPr>
        <w:t xml:space="preserve"> </w:t>
      </w:r>
      <w:r>
        <w:rPr>
          <w:lang w:val="en-GB"/>
        </w:rPr>
        <w:t xml:space="preserve">535, 356 (2016) accessed at </w:t>
      </w:r>
      <w:hyperlink r:id="rId15" w:history="1">
        <w:r w:rsidRPr="009B174E">
          <w:rPr>
            <w:rStyle w:val="Hyperlink"/>
            <w:lang w:val="en-GB"/>
          </w:rPr>
          <w:t>https://doi.org/10.1038/535356a</w:t>
        </w:r>
      </w:hyperlink>
      <w:r>
        <w:rPr>
          <w:lang w:val="en-GB"/>
        </w:rPr>
        <w:t xml:space="preserve">  on 3/1/2025</w:t>
      </w:r>
    </w:p>
    <w:p w14:paraId="6990CDC1" w14:textId="0D44FD22" w:rsidR="001B7992" w:rsidRPr="001B7992" w:rsidRDefault="001B7992" w:rsidP="00AD659D">
      <w:pPr>
        <w:pStyle w:val="FootnoteText"/>
        <w:rPr>
          <w:rStyle w:val="proofcitation"/>
          <w:lang w:val="en-GB"/>
        </w:rPr>
      </w:pPr>
    </w:p>
    <w:p w14:paraId="2D92ACD3" w14:textId="1AFF2574" w:rsidR="00D54B30" w:rsidRPr="000570FA" w:rsidRDefault="00D54B30" w:rsidP="00AD659D">
      <w:pPr>
        <w:pStyle w:val="FootnoteText"/>
        <w:rPr>
          <w:rStyle w:val="proofcitation"/>
          <w:rFonts w:cs="Times New Roman"/>
          <w:color w:val="000000"/>
          <w:shd w:val="clear" w:color="auto" w:fill="FFFFFF"/>
        </w:rPr>
      </w:pPr>
      <w:bookmarkStart w:id="19" w:name="_Hlk186726963"/>
      <w:r w:rsidRPr="000570FA">
        <w:rPr>
          <w:rStyle w:val="proofcitation"/>
          <w:rFonts w:cs="Times New Roman"/>
          <w:color w:val="000000"/>
          <w:shd w:val="clear" w:color="auto" w:fill="FFFFFF"/>
        </w:rPr>
        <w:t>Nelson, M.K. and Shilling, D. (Eds.) “</w:t>
      </w:r>
      <w:r w:rsidRPr="001B7992">
        <w:rPr>
          <w:rStyle w:val="proofcitation"/>
          <w:rFonts w:cs="Times New Roman"/>
          <w:i/>
          <w:iCs/>
          <w:color w:val="000000"/>
          <w:shd w:val="clear" w:color="auto" w:fill="FFFFFF"/>
        </w:rPr>
        <w:t>Traditional Ecological Knowledge</w:t>
      </w:r>
      <w:r w:rsidRPr="000570FA">
        <w:rPr>
          <w:rStyle w:val="proofcitation"/>
          <w:rFonts w:cs="Times New Roman"/>
          <w:color w:val="000000"/>
          <w:shd w:val="clear" w:color="auto" w:fill="FFFFFF"/>
        </w:rPr>
        <w:t>” (Cambridge, Cambridge University Press, 2018</w:t>
      </w:r>
      <w:bookmarkEnd w:id="19"/>
      <w:r w:rsidRPr="000570FA">
        <w:rPr>
          <w:rStyle w:val="proofcitation"/>
          <w:rFonts w:cs="Times New Roman"/>
          <w:color w:val="000000"/>
          <w:shd w:val="clear" w:color="auto" w:fill="FFFFFF"/>
        </w:rPr>
        <w:t>)</w:t>
      </w:r>
    </w:p>
    <w:p w14:paraId="49701847" w14:textId="77777777" w:rsidR="00C00391" w:rsidRPr="000570FA" w:rsidRDefault="00C00391" w:rsidP="00AD659D">
      <w:pPr>
        <w:pStyle w:val="FootnoteText"/>
        <w:rPr>
          <w:rStyle w:val="proofcitation"/>
          <w:rFonts w:cs="Times New Roman"/>
          <w:color w:val="000000"/>
          <w:shd w:val="clear" w:color="auto" w:fill="FFFFFF"/>
        </w:rPr>
      </w:pPr>
    </w:p>
    <w:p w14:paraId="32324C1A" w14:textId="61B8CD96" w:rsidR="00C00391" w:rsidRPr="000570FA" w:rsidRDefault="00C00391" w:rsidP="00C00391">
      <w:pPr>
        <w:pStyle w:val="FootnoteText"/>
        <w:rPr>
          <w:lang w:val="en-GB"/>
        </w:rPr>
      </w:pPr>
      <w:r w:rsidRPr="000570FA">
        <w:rPr>
          <w:lang w:val="en-GB"/>
        </w:rPr>
        <w:t>Nixey, C. “</w:t>
      </w:r>
      <w:r w:rsidRPr="000570FA">
        <w:rPr>
          <w:i/>
          <w:iCs/>
          <w:lang w:val="en-GB"/>
        </w:rPr>
        <w:t>The Darkening Age, The Christian Destruction of the Classical World</w:t>
      </w:r>
      <w:r w:rsidR="00877646" w:rsidRPr="000570FA">
        <w:rPr>
          <w:lang w:val="en-GB"/>
        </w:rPr>
        <w:t>,”</w:t>
      </w:r>
      <w:r w:rsidRPr="000570FA">
        <w:rPr>
          <w:lang w:val="en-GB"/>
        </w:rPr>
        <w:t xml:space="preserve"> (London, Macmillan, 2018)</w:t>
      </w:r>
    </w:p>
    <w:p w14:paraId="545C1C10" w14:textId="77777777" w:rsidR="008A42E2" w:rsidRPr="000570FA" w:rsidRDefault="008A42E2" w:rsidP="00AD659D">
      <w:pPr>
        <w:pStyle w:val="FootnoteText"/>
        <w:rPr>
          <w:rStyle w:val="proofcitation"/>
          <w:rFonts w:cs="Times New Roman"/>
          <w:color w:val="000000"/>
          <w:shd w:val="clear" w:color="auto" w:fill="FFFFFF"/>
        </w:rPr>
      </w:pPr>
    </w:p>
    <w:p w14:paraId="6CFE6AF4" w14:textId="4B7510B8" w:rsidR="008A42E2" w:rsidRPr="000570FA" w:rsidRDefault="008A42E2" w:rsidP="008A42E2">
      <w:pPr>
        <w:rPr>
          <w:rFonts w:eastAsia="Times New Roman" w:cs="Times New Roman"/>
          <w:sz w:val="20"/>
          <w:szCs w:val="20"/>
          <w:lang w:val="en-GB" w:eastAsia="en-GB"/>
        </w:rPr>
      </w:pPr>
      <w:r w:rsidRPr="000570FA">
        <w:rPr>
          <w:rFonts w:eastAsia="Times New Roman" w:cs="Times New Roman"/>
          <w:sz w:val="20"/>
          <w:szCs w:val="20"/>
          <w:lang w:val="en-GB" w:eastAsia="en-GB"/>
        </w:rPr>
        <w:t>N</w:t>
      </w:r>
      <w:r w:rsidR="001B7992">
        <w:rPr>
          <w:rFonts w:eastAsia="Times New Roman" w:cs="Times New Roman"/>
          <w:sz w:val="20"/>
          <w:szCs w:val="20"/>
          <w:lang w:val="en-GB" w:eastAsia="en-GB"/>
        </w:rPr>
        <w:t>orth</w:t>
      </w:r>
      <w:r w:rsidRPr="000570FA">
        <w:rPr>
          <w:rFonts w:eastAsia="Times New Roman" w:cs="Times New Roman"/>
          <w:sz w:val="20"/>
          <w:szCs w:val="20"/>
          <w:lang w:val="en-GB" w:eastAsia="en-GB"/>
        </w:rPr>
        <w:t>, J. A. “R</w:t>
      </w:r>
      <w:r w:rsidR="001B7992">
        <w:rPr>
          <w:rFonts w:eastAsia="Times New Roman" w:cs="Times New Roman"/>
          <w:sz w:val="20"/>
          <w:szCs w:val="20"/>
          <w:lang w:val="en-GB" w:eastAsia="en-GB"/>
        </w:rPr>
        <w:t>eligious</w:t>
      </w:r>
      <w:r w:rsidRPr="000570FA">
        <w:rPr>
          <w:rFonts w:eastAsia="Times New Roman" w:cs="Times New Roman"/>
          <w:sz w:val="20"/>
          <w:szCs w:val="20"/>
          <w:lang w:val="en-GB" w:eastAsia="en-GB"/>
        </w:rPr>
        <w:t xml:space="preserve"> T</w:t>
      </w:r>
      <w:r w:rsidR="001B7992">
        <w:rPr>
          <w:rFonts w:eastAsia="Times New Roman" w:cs="Times New Roman"/>
          <w:sz w:val="20"/>
          <w:szCs w:val="20"/>
          <w:lang w:val="en-GB" w:eastAsia="en-GB"/>
        </w:rPr>
        <w:t>oleration</w:t>
      </w:r>
      <w:r w:rsidRPr="000570FA">
        <w:rPr>
          <w:rFonts w:eastAsia="Times New Roman" w:cs="Times New Roman"/>
          <w:sz w:val="20"/>
          <w:szCs w:val="20"/>
          <w:lang w:val="en-GB" w:eastAsia="en-GB"/>
        </w:rPr>
        <w:t xml:space="preserve"> </w:t>
      </w:r>
      <w:r w:rsidR="001B7992">
        <w:rPr>
          <w:rFonts w:eastAsia="Times New Roman" w:cs="Times New Roman"/>
          <w:sz w:val="20"/>
          <w:szCs w:val="20"/>
          <w:lang w:val="en-GB" w:eastAsia="en-GB"/>
        </w:rPr>
        <w:t>in</w:t>
      </w:r>
      <w:r w:rsidRPr="000570FA">
        <w:rPr>
          <w:rFonts w:eastAsia="Times New Roman" w:cs="Times New Roman"/>
          <w:sz w:val="20"/>
          <w:szCs w:val="20"/>
          <w:lang w:val="en-GB" w:eastAsia="en-GB"/>
        </w:rPr>
        <w:t xml:space="preserve"> R</w:t>
      </w:r>
      <w:r w:rsidR="001B7992">
        <w:rPr>
          <w:rFonts w:eastAsia="Times New Roman" w:cs="Times New Roman"/>
          <w:sz w:val="20"/>
          <w:szCs w:val="20"/>
          <w:lang w:val="en-GB" w:eastAsia="en-GB"/>
        </w:rPr>
        <w:t>epublican</w:t>
      </w:r>
      <w:r w:rsidRPr="000570FA">
        <w:rPr>
          <w:rFonts w:eastAsia="Times New Roman" w:cs="Times New Roman"/>
          <w:sz w:val="20"/>
          <w:szCs w:val="20"/>
          <w:lang w:val="en-GB" w:eastAsia="en-GB"/>
        </w:rPr>
        <w:t xml:space="preserve"> R</w:t>
      </w:r>
      <w:r w:rsidR="001B7992">
        <w:rPr>
          <w:rFonts w:eastAsia="Times New Roman" w:cs="Times New Roman"/>
          <w:sz w:val="20"/>
          <w:szCs w:val="20"/>
          <w:lang w:val="en-GB" w:eastAsia="en-GB"/>
        </w:rPr>
        <w:t>ome</w:t>
      </w:r>
      <w:r w:rsidRPr="000570FA">
        <w:rPr>
          <w:rFonts w:eastAsia="Times New Roman" w:cs="Times New Roman"/>
          <w:sz w:val="20"/>
          <w:szCs w:val="20"/>
          <w:lang w:val="en-GB" w:eastAsia="en-GB"/>
        </w:rPr>
        <w:t xml:space="preserve">.” </w:t>
      </w:r>
      <w:r w:rsidRPr="000570FA">
        <w:rPr>
          <w:rFonts w:eastAsia="Times New Roman" w:cs="Times New Roman"/>
          <w:i/>
          <w:iCs/>
          <w:sz w:val="20"/>
          <w:szCs w:val="20"/>
          <w:lang w:val="en-GB" w:eastAsia="en-GB"/>
        </w:rPr>
        <w:t>Proceedings of the Cambridge Philological Society</w:t>
      </w:r>
      <w:r w:rsidRPr="000570FA">
        <w:rPr>
          <w:rFonts w:eastAsia="Times New Roman" w:cs="Times New Roman"/>
          <w:sz w:val="20"/>
          <w:szCs w:val="20"/>
          <w:lang w:val="en-GB" w:eastAsia="en-GB"/>
        </w:rPr>
        <w:t xml:space="preserve">, no. 25 (205), 1979, pp. 85–103. </w:t>
      </w:r>
      <w:r w:rsidRPr="000570FA">
        <w:rPr>
          <w:rFonts w:eastAsia="Times New Roman" w:cs="Times New Roman"/>
          <w:i/>
          <w:iCs/>
          <w:sz w:val="20"/>
          <w:szCs w:val="20"/>
          <w:lang w:val="en-GB" w:eastAsia="en-GB"/>
        </w:rPr>
        <w:t>JSTOR</w:t>
      </w:r>
      <w:r w:rsidRPr="000570FA">
        <w:rPr>
          <w:rFonts w:eastAsia="Times New Roman" w:cs="Times New Roman"/>
          <w:sz w:val="20"/>
          <w:szCs w:val="20"/>
          <w:lang w:val="en-GB" w:eastAsia="en-GB"/>
        </w:rPr>
        <w:t>, http://www.jstor.org/stable/44696849. Accessed 13 Dec. 2024.</w:t>
      </w:r>
    </w:p>
    <w:p w14:paraId="573252DE" w14:textId="77777777" w:rsidR="008A42E2" w:rsidRPr="000570FA" w:rsidRDefault="008A42E2" w:rsidP="00AD659D">
      <w:pPr>
        <w:pStyle w:val="FootnoteText"/>
        <w:rPr>
          <w:rStyle w:val="proofcitation"/>
          <w:rFonts w:cs="Times New Roman"/>
          <w:color w:val="000000"/>
          <w:shd w:val="clear" w:color="auto" w:fill="FFFFFF"/>
        </w:rPr>
      </w:pPr>
    </w:p>
    <w:p w14:paraId="1F9AB824" w14:textId="77777777" w:rsidR="000570FA" w:rsidRPr="000570FA" w:rsidRDefault="000570FA" w:rsidP="000570FA">
      <w:pPr>
        <w:pStyle w:val="FootnoteText"/>
        <w:rPr>
          <w:rFonts w:cs="Times New Roman"/>
          <w:color w:val="000000"/>
          <w:spacing w:val="-5"/>
          <w:shd w:val="clear" w:color="auto" w:fill="FFFFFF"/>
        </w:rPr>
      </w:pPr>
      <w:bookmarkStart w:id="20" w:name="_Hlk186469049"/>
      <w:r w:rsidRPr="000570FA">
        <w:rPr>
          <w:rFonts w:cs="Times New Roman"/>
          <w:color w:val="000000"/>
          <w:spacing w:val="-5"/>
          <w:shd w:val="clear" w:color="auto" w:fill="FFFFFF"/>
        </w:rPr>
        <w:t>Pope Francis, “</w:t>
      </w:r>
      <w:r w:rsidRPr="000570FA">
        <w:rPr>
          <w:rFonts w:cs="Times New Roman"/>
          <w:i/>
          <w:iCs/>
          <w:color w:val="000000"/>
          <w:spacing w:val="-5"/>
          <w:shd w:val="clear" w:color="auto" w:fill="FFFFFF"/>
        </w:rPr>
        <w:t>Encyclical Letter Laudato Si’of the Holy Father Francis: On Care for Our Common Home</w:t>
      </w:r>
      <w:r w:rsidRPr="000570FA">
        <w:rPr>
          <w:rFonts w:cs="Times New Roman"/>
          <w:color w:val="000000"/>
          <w:spacing w:val="-5"/>
          <w:shd w:val="clear" w:color="auto" w:fill="FFFFFF"/>
        </w:rPr>
        <w:t xml:space="preserve">” accessed at: </w:t>
      </w:r>
      <w:hyperlink r:id="rId16" w:history="1">
        <w:r w:rsidRPr="000570FA">
          <w:rPr>
            <w:rStyle w:val="Hyperlink"/>
            <w:rFonts w:cs="Times New Roman"/>
            <w:spacing w:val="-5"/>
            <w:shd w:val="clear" w:color="auto" w:fill="FFFFFF"/>
          </w:rPr>
          <w:t>https://vatican.va/content/francesco/en/encyclicals/documents/papa-francesco_20150524_enciclica-laudato-si.html</w:t>
        </w:r>
      </w:hyperlink>
      <w:r w:rsidRPr="000570FA">
        <w:rPr>
          <w:rFonts w:cs="Times New Roman"/>
          <w:color w:val="000000"/>
          <w:spacing w:val="-5"/>
          <w:shd w:val="clear" w:color="auto" w:fill="FFFFFF"/>
        </w:rPr>
        <w:t xml:space="preserve"> on 30/12/2024</w:t>
      </w:r>
    </w:p>
    <w:bookmarkEnd w:id="20"/>
    <w:p w14:paraId="26E14A2E" w14:textId="77777777" w:rsidR="00706FAF" w:rsidRPr="000570FA" w:rsidRDefault="00706FAF" w:rsidP="00AD659D">
      <w:pPr>
        <w:pStyle w:val="FootnoteText"/>
        <w:rPr>
          <w:rStyle w:val="proofcitation"/>
          <w:rFonts w:cs="Times New Roman"/>
          <w:color w:val="000000"/>
          <w:shd w:val="clear" w:color="auto" w:fill="FFFFFF"/>
        </w:rPr>
      </w:pPr>
    </w:p>
    <w:p w14:paraId="640C080D" w14:textId="77777777" w:rsidR="00706FAF" w:rsidRPr="000570FA" w:rsidRDefault="00706FAF" w:rsidP="00706FAF">
      <w:pPr>
        <w:rPr>
          <w:rFonts w:eastAsia="Times New Roman" w:cs="Times New Roman"/>
          <w:sz w:val="20"/>
          <w:szCs w:val="20"/>
          <w:lang w:val="en-GB" w:eastAsia="en-GB"/>
        </w:rPr>
      </w:pPr>
      <w:r w:rsidRPr="000570FA">
        <w:rPr>
          <w:rFonts w:eastAsia="Times New Roman" w:cs="Times New Roman"/>
          <w:sz w:val="20"/>
          <w:szCs w:val="20"/>
          <w:lang w:val="en-GB" w:eastAsia="en-GB"/>
        </w:rPr>
        <w:t xml:space="preserve">Rathwell, Kaitlyn Joanne, et al. “Bridging Knowledge Systems to Enhance Governance of the Environmental Commons: A Typology of Settings.” </w:t>
      </w:r>
      <w:r w:rsidRPr="000570FA">
        <w:rPr>
          <w:rFonts w:eastAsia="Times New Roman" w:cs="Times New Roman"/>
          <w:i/>
          <w:iCs/>
          <w:sz w:val="20"/>
          <w:szCs w:val="20"/>
          <w:lang w:val="en-GB" w:eastAsia="en-GB"/>
        </w:rPr>
        <w:t>International Journal of the Commons</w:t>
      </w:r>
      <w:r w:rsidRPr="000570FA">
        <w:rPr>
          <w:rFonts w:eastAsia="Times New Roman" w:cs="Times New Roman"/>
          <w:sz w:val="20"/>
          <w:szCs w:val="20"/>
          <w:lang w:val="en-GB" w:eastAsia="en-GB"/>
        </w:rPr>
        <w:t xml:space="preserve">, vol. 9, no. 2, 2015, pp. 851–80. </w:t>
      </w:r>
      <w:r w:rsidRPr="000570FA">
        <w:rPr>
          <w:rFonts w:eastAsia="Times New Roman" w:cs="Times New Roman"/>
          <w:i/>
          <w:iCs/>
          <w:sz w:val="20"/>
          <w:szCs w:val="20"/>
          <w:lang w:val="en-GB" w:eastAsia="en-GB"/>
        </w:rPr>
        <w:t>JSTOR</w:t>
      </w:r>
      <w:r w:rsidRPr="000570FA">
        <w:rPr>
          <w:rFonts w:eastAsia="Times New Roman" w:cs="Times New Roman"/>
          <w:sz w:val="20"/>
          <w:szCs w:val="20"/>
          <w:lang w:val="en-GB" w:eastAsia="en-GB"/>
        </w:rPr>
        <w:t>, https://www.jstor.org/stable/26522851. Accessed 13 Dec. 2024.</w:t>
      </w:r>
    </w:p>
    <w:p w14:paraId="6A7DF2A6" w14:textId="77777777" w:rsidR="00706FAF" w:rsidRPr="000570FA" w:rsidRDefault="00706FAF" w:rsidP="00AD659D">
      <w:pPr>
        <w:pStyle w:val="FootnoteText"/>
        <w:rPr>
          <w:rStyle w:val="proofcitation"/>
          <w:rFonts w:cs="Times New Roman"/>
          <w:color w:val="000000"/>
          <w:shd w:val="clear" w:color="auto" w:fill="FFFFFF"/>
        </w:rPr>
      </w:pPr>
    </w:p>
    <w:p w14:paraId="23E0DEF4" w14:textId="58CDC4B1" w:rsidR="00AD659D" w:rsidRPr="000570FA" w:rsidRDefault="00832425" w:rsidP="00AD659D">
      <w:pPr>
        <w:pStyle w:val="FootnoteText"/>
        <w:rPr>
          <w:lang w:val="en-GB"/>
        </w:rPr>
      </w:pPr>
      <w:r w:rsidRPr="000570FA">
        <w:rPr>
          <w:lang w:val="en-GB"/>
        </w:rPr>
        <w:t>Sheldrake, R., “</w:t>
      </w:r>
      <w:r w:rsidRPr="000570FA">
        <w:rPr>
          <w:i/>
          <w:iCs/>
          <w:lang w:val="en-GB"/>
        </w:rPr>
        <w:t>The Rebirth of Nature, The Greening of Science and God</w:t>
      </w:r>
      <w:r w:rsidRPr="000570FA">
        <w:rPr>
          <w:lang w:val="en-GB"/>
        </w:rPr>
        <w:t>” (London, Rider, 1991)</w:t>
      </w:r>
    </w:p>
    <w:p w14:paraId="31B19D49" w14:textId="77777777" w:rsidR="00832425" w:rsidRPr="000570FA" w:rsidRDefault="00832425" w:rsidP="00AD659D">
      <w:pPr>
        <w:pStyle w:val="FootnoteText"/>
        <w:rPr>
          <w:rFonts w:cs="Times New Roman"/>
          <w:lang w:val="en-GB"/>
        </w:rPr>
      </w:pPr>
    </w:p>
    <w:p w14:paraId="589CF2BA" w14:textId="4FC05240" w:rsidR="00AD659D" w:rsidRPr="000570FA" w:rsidRDefault="00AD659D" w:rsidP="00AD659D">
      <w:pPr>
        <w:pStyle w:val="FootnoteText"/>
        <w:rPr>
          <w:lang w:val="en-GB"/>
        </w:rPr>
      </w:pPr>
      <w:r w:rsidRPr="000570FA">
        <w:rPr>
          <w:lang w:val="en-GB"/>
        </w:rPr>
        <w:t>White,</w:t>
      </w:r>
      <w:r w:rsidR="005B6858">
        <w:rPr>
          <w:lang w:val="en-GB"/>
        </w:rPr>
        <w:t xml:space="preserve"> L.,</w:t>
      </w:r>
      <w:r w:rsidRPr="000570FA">
        <w:rPr>
          <w:lang w:val="en-GB"/>
        </w:rPr>
        <w:t xml:space="preserve"> Jnr., ‘The Historical Roots of Our Ecologic Crisis</w:t>
      </w:r>
      <w:r w:rsidR="00877646" w:rsidRPr="000570FA">
        <w:rPr>
          <w:lang w:val="en-GB"/>
        </w:rPr>
        <w:t>,’</w:t>
      </w:r>
      <w:r w:rsidRPr="000570FA">
        <w:rPr>
          <w:lang w:val="en-GB"/>
        </w:rPr>
        <w:t xml:space="preserve"> </w:t>
      </w:r>
      <w:r w:rsidRPr="000570FA">
        <w:rPr>
          <w:i/>
          <w:iCs/>
          <w:lang w:val="en-GB"/>
        </w:rPr>
        <w:t>Science</w:t>
      </w:r>
      <w:r w:rsidRPr="000570FA">
        <w:rPr>
          <w:lang w:val="en-GB"/>
        </w:rPr>
        <w:t>, New Series, Vol. 155, No.3767 March 1967</w:t>
      </w:r>
    </w:p>
    <w:p w14:paraId="6D0D1049" w14:textId="77777777" w:rsidR="00AD659D" w:rsidRPr="000570FA" w:rsidRDefault="00AD659D" w:rsidP="00AD659D">
      <w:pPr>
        <w:rPr>
          <w:sz w:val="20"/>
          <w:szCs w:val="20"/>
        </w:rPr>
      </w:pPr>
    </w:p>
    <w:sectPr w:rsidR="00AD659D" w:rsidRPr="000570FA">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0D41E" w14:textId="77777777" w:rsidR="00A923CE" w:rsidRDefault="00A923CE" w:rsidP="00714F96">
      <w:r>
        <w:separator/>
      </w:r>
    </w:p>
  </w:endnote>
  <w:endnote w:type="continuationSeparator" w:id="0">
    <w:p w14:paraId="6EFFDE0A" w14:textId="77777777" w:rsidR="00A923CE" w:rsidRDefault="00A923CE" w:rsidP="00714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Bold">
    <w:panose1 w:val="020B080403050404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Helvetica Neue">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E4C95" w14:textId="77777777" w:rsidR="00A923CE" w:rsidRDefault="00A923CE" w:rsidP="00714F96">
      <w:r>
        <w:separator/>
      </w:r>
    </w:p>
  </w:footnote>
  <w:footnote w:type="continuationSeparator" w:id="0">
    <w:p w14:paraId="2574E7F0" w14:textId="77777777" w:rsidR="00A923CE" w:rsidRDefault="00A923CE" w:rsidP="00714F96">
      <w:r>
        <w:continuationSeparator/>
      </w:r>
    </w:p>
  </w:footnote>
  <w:footnote w:id="1">
    <w:p w14:paraId="619CDF94" w14:textId="1390932C" w:rsidR="00F564B0" w:rsidRPr="00DC3ECB" w:rsidRDefault="00F564B0">
      <w:pPr>
        <w:pStyle w:val="FootnoteText"/>
        <w:rPr>
          <w:lang w:val="en-GB"/>
        </w:rPr>
      </w:pPr>
      <w:r>
        <w:rPr>
          <w:rStyle w:val="FootnoteReference"/>
        </w:rPr>
        <w:footnoteRef/>
      </w:r>
      <w:r>
        <w:t xml:space="preserve"> </w:t>
      </w:r>
      <w:r w:rsidRPr="00DC3ECB">
        <w:t xml:space="preserve">M.K. </w:t>
      </w:r>
      <w:r w:rsidRPr="00DC3ECB">
        <w:rPr>
          <w:rStyle w:val="proofcitation"/>
          <w:rFonts w:cs="Times New Roman"/>
          <w:color w:val="000000"/>
          <w:shd w:val="clear" w:color="auto" w:fill="FFFFFF"/>
        </w:rPr>
        <w:t>Nelson, and D. Shilling, (Eds.) “</w:t>
      </w:r>
      <w:r w:rsidRPr="00DC3ECB">
        <w:rPr>
          <w:rStyle w:val="proofcitation"/>
          <w:rFonts w:cs="Times New Roman"/>
          <w:i/>
          <w:iCs/>
          <w:color w:val="000000"/>
          <w:shd w:val="clear" w:color="auto" w:fill="FFFFFF"/>
        </w:rPr>
        <w:t>Traditional Ecological Knowledge</w:t>
      </w:r>
      <w:r w:rsidRPr="00DC3ECB">
        <w:rPr>
          <w:rStyle w:val="proofcitation"/>
          <w:rFonts w:cs="Times New Roman"/>
          <w:color w:val="000000"/>
          <w:shd w:val="clear" w:color="auto" w:fill="FFFFFF"/>
        </w:rPr>
        <w:t>” (Cambridge, Cambridge University Press, 2018), p.3</w:t>
      </w:r>
    </w:p>
  </w:footnote>
  <w:footnote w:id="2">
    <w:p w14:paraId="5894811D" w14:textId="6F299162" w:rsidR="00BB358B" w:rsidRPr="00DC3ECB" w:rsidRDefault="00BB358B" w:rsidP="00BB358B">
      <w:pPr>
        <w:rPr>
          <w:rFonts w:eastAsia="Times New Roman" w:cs="Times New Roman"/>
          <w:sz w:val="20"/>
          <w:szCs w:val="20"/>
          <w:lang w:val="en-GB" w:eastAsia="en-GB"/>
        </w:rPr>
      </w:pPr>
      <w:r w:rsidRPr="00DC3ECB">
        <w:rPr>
          <w:rStyle w:val="FootnoteReference"/>
          <w:sz w:val="20"/>
          <w:szCs w:val="20"/>
        </w:rPr>
        <w:footnoteRef/>
      </w:r>
      <w:r w:rsidRPr="00DC3ECB">
        <w:rPr>
          <w:sz w:val="20"/>
          <w:szCs w:val="20"/>
        </w:rPr>
        <w:t xml:space="preserve"> </w:t>
      </w:r>
      <w:bookmarkStart w:id="0" w:name="_Hlk184991050"/>
      <w:r w:rsidRPr="00DC3ECB">
        <w:rPr>
          <w:rFonts w:eastAsia="Times New Roman" w:cs="Times New Roman"/>
          <w:sz w:val="20"/>
          <w:szCs w:val="20"/>
          <w:lang w:val="en-GB" w:eastAsia="en-GB"/>
        </w:rPr>
        <w:t xml:space="preserve">Berkes, Fikret, et al. “Rediscovery of Traditional Ecological Knowledge as Adaptive Management.” </w:t>
      </w:r>
      <w:r w:rsidRPr="00DC3ECB">
        <w:rPr>
          <w:rFonts w:eastAsia="Times New Roman" w:cs="Times New Roman"/>
          <w:i/>
          <w:iCs/>
          <w:sz w:val="20"/>
          <w:szCs w:val="20"/>
          <w:lang w:val="en-GB" w:eastAsia="en-GB"/>
        </w:rPr>
        <w:t>Ecological Applications</w:t>
      </w:r>
      <w:r w:rsidRPr="00DC3ECB">
        <w:rPr>
          <w:rFonts w:eastAsia="Times New Roman" w:cs="Times New Roman"/>
          <w:sz w:val="20"/>
          <w:szCs w:val="20"/>
          <w:lang w:val="en-GB" w:eastAsia="en-GB"/>
        </w:rPr>
        <w:t>, vol. 10</w:t>
      </w:r>
      <w:r w:rsidR="009C215B" w:rsidRPr="00DC3ECB">
        <w:rPr>
          <w:rFonts w:eastAsia="Times New Roman" w:cs="Times New Roman"/>
          <w:sz w:val="20"/>
          <w:szCs w:val="20"/>
          <w:lang w:val="en-GB" w:eastAsia="en-GB"/>
        </w:rPr>
        <w:t>(5)</w:t>
      </w:r>
      <w:r w:rsidRPr="00DC3ECB">
        <w:rPr>
          <w:rFonts w:eastAsia="Times New Roman" w:cs="Times New Roman"/>
          <w:sz w:val="20"/>
          <w:szCs w:val="20"/>
          <w:lang w:val="en-GB" w:eastAsia="en-GB"/>
        </w:rPr>
        <w:t xml:space="preserve">, 2000, pp. 1251–62. </w:t>
      </w:r>
      <w:r w:rsidRPr="00DC3ECB">
        <w:rPr>
          <w:rFonts w:eastAsia="Times New Roman" w:cs="Times New Roman"/>
          <w:i/>
          <w:iCs/>
          <w:sz w:val="20"/>
          <w:szCs w:val="20"/>
          <w:lang w:val="en-GB" w:eastAsia="en-GB"/>
        </w:rPr>
        <w:t>JSTOR</w:t>
      </w:r>
      <w:r w:rsidRPr="00DC3ECB">
        <w:rPr>
          <w:rFonts w:eastAsia="Times New Roman" w:cs="Times New Roman"/>
          <w:sz w:val="20"/>
          <w:szCs w:val="20"/>
          <w:lang w:val="en-GB" w:eastAsia="en-GB"/>
        </w:rPr>
        <w:t>, https://doi.org/10.2307/2641280. Accessed 11 Dec. 2024.</w:t>
      </w:r>
    </w:p>
    <w:p w14:paraId="5A9003EA" w14:textId="542A1897" w:rsidR="00BB358B" w:rsidRPr="00DC3ECB" w:rsidRDefault="00BB358B">
      <w:pPr>
        <w:pStyle w:val="FootnoteText"/>
        <w:rPr>
          <w:lang w:val="en-GB"/>
        </w:rPr>
      </w:pPr>
    </w:p>
    <w:bookmarkEnd w:id="0"/>
  </w:footnote>
  <w:footnote w:id="3">
    <w:p w14:paraId="24FCDFD3" w14:textId="20C524EC" w:rsidR="00714F96" w:rsidRPr="00DC3ECB" w:rsidRDefault="00714F96">
      <w:pPr>
        <w:pStyle w:val="FootnoteText"/>
        <w:rPr>
          <w:rFonts w:cs="Times New Roman"/>
          <w:lang w:val="en-GB"/>
        </w:rPr>
      </w:pPr>
      <w:r w:rsidRPr="00DC3ECB">
        <w:rPr>
          <w:rStyle w:val="FootnoteReference"/>
          <w:rFonts w:cs="Times New Roman"/>
        </w:rPr>
        <w:footnoteRef/>
      </w:r>
      <w:r w:rsidRPr="00DC3ECB">
        <w:rPr>
          <w:rFonts w:cs="Times New Roman"/>
        </w:rPr>
        <w:t xml:space="preserve"> </w:t>
      </w:r>
      <w:bookmarkStart w:id="1" w:name="_Hlk184991072"/>
      <w:r w:rsidR="00A76044">
        <w:rPr>
          <w:rFonts w:cs="Times New Roman"/>
        </w:rPr>
        <w:t xml:space="preserve">N. </w:t>
      </w:r>
      <w:r w:rsidRPr="00DC3ECB">
        <w:rPr>
          <w:rStyle w:val="proofcitation"/>
          <w:rFonts w:cs="Times New Roman"/>
          <w:color w:val="000000"/>
          <w:shd w:val="clear" w:color="auto" w:fill="FFFFFF"/>
        </w:rPr>
        <w:t xml:space="preserve">Houde, 2007. </w:t>
      </w:r>
      <w:r w:rsidR="009C215B" w:rsidRPr="00DC3ECB">
        <w:rPr>
          <w:rStyle w:val="proofcitation"/>
          <w:rFonts w:cs="Times New Roman"/>
          <w:color w:val="000000"/>
          <w:shd w:val="clear" w:color="auto" w:fill="FFFFFF"/>
        </w:rPr>
        <w:t>“</w:t>
      </w:r>
      <w:r w:rsidRPr="00DC3ECB">
        <w:rPr>
          <w:rStyle w:val="proofcitation"/>
          <w:rFonts w:cs="Times New Roman"/>
          <w:color w:val="000000"/>
          <w:shd w:val="clear" w:color="auto" w:fill="FFFFFF"/>
        </w:rPr>
        <w:t>The six faces of traditional ecological knowledge: challenges and opportunities for Canadian co-management arrangements.</w:t>
      </w:r>
      <w:r w:rsidR="009C215B" w:rsidRPr="00DC3ECB">
        <w:rPr>
          <w:rStyle w:val="proofcitation"/>
          <w:rFonts w:cs="Times New Roman"/>
          <w:color w:val="000000"/>
          <w:shd w:val="clear" w:color="auto" w:fill="FFFFFF"/>
        </w:rPr>
        <w:t>”</w:t>
      </w:r>
      <w:r w:rsidRPr="00DC3ECB">
        <w:rPr>
          <w:rStyle w:val="proofcitation"/>
          <w:rFonts w:cs="Times New Roman"/>
          <w:color w:val="000000"/>
          <w:shd w:val="clear" w:color="auto" w:fill="FFFFFF"/>
        </w:rPr>
        <w:t> </w:t>
      </w:r>
      <w:r w:rsidRPr="00DC3ECB">
        <w:rPr>
          <w:rStyle w:val="proofcitation"/>
          <w:rFonts w:cs="Times New Roman"/>
          <w:i/>
          <w:iCs/>
          <w:color w:val="000000"/>
          <w:shd w:val="clear" w:color="auto" w:fill="FFFFFF"/>
        </w:rPr>
        <w:t>Ecology and Society</w:t>
      </w:r>
      <w:r w:rsidRPr="00DC3ECB">
        <w:rPr>
          <w:rStyle w:val="proofcitation"/>
          <w:rFonts w:cs="Times New Roman"/>
          <w:color w:val="000000"/>
          <w:shd w:val="clear" w:color="auto" w:fill="FFFFFF"/>
        </w:rPr>
        <w:t> </w:t>
      </w:r>
      <w:r w:rsidR="009C215B" w:rsidRPr="00DC3ECB">
        <w:rPr>
          <w:rStyle w:val="proofcitation"/>
          <w:rFonts w:cs="Times New Roman"/>
          <w:color w:val="000000"/>
          <w:shd w:val="clear" w:color="auto" w:fill="FFFFFF"/>
        </w:rPr>
        <w:t>vol.</w:t>
      </w:r>
      <w:r w:rsidRPr="00DC3ECB">
        <w:rPr>
          <w:rStyle w:val="proofcitation"/>
          <w:rFonts w:cs="Times New Roman"/>
          <w:b/>
          <w:bCs/>
          <w:color w:val="000000"/>
          <w:shd w:val="clear" w:color="auto" w:fill="FFFFFF"/>
        </w:rPr>
        <w:t>12</w:t>
      </w:r>
      <w:r w:rsidRPr="00DC3ECB">
        <w:rPr>
          <w:rStyle w:val="proofcitation"/>
          <w:rFonts w:cs="Times New Roman"/>
          <w:color w:val="000000"/>
          <w:shd w:val="clear" w:color="auto" w:fill="FFFFFF"/>
        </w:rPr>
        <w:t xml:space="preserve">(2): 34. [online] URL: </w:t>
      </w:r>
      <w:hyperlink r:id="rId1" w:history="1">
        <w:r w:rsidRPr="00DC3ECB">
          <w:rPr>
            <w:rStyle w:val="Hyperlink"/>
            <w:rFonts w:cs="Times New Roman"/>
            <w:shd w:val="clear" w:color="auto" w:fill="FFFFFF"/>
          </w:rPr>
          <w:t>http://www.ecologyandsociety.org/vol12/iss2/art34/</w:t>
        </w:r>
      </w:hyperlink>
      <w:r w:rsidRPr="00DC3ECB">
        <w:rPr>
          <w:rStyle w:val="proofcitation"/>
          <w:rFonts w:cs="Times New Roman"/>
          <w:color w:val="000000"/>
          <w:shd w:val="clear" w:color="auto" w:fill="FFFFFF"/>
        </w:rPr>
        <w:t xml:space="preserve"> Accessed online on 11/12/2024</w:t>
      </w:r>
    </w:p>
    <w:bookmarkEnd w:id="1"/>
  </w:footnote>
  <w:footnote w:id="4">
    <w:p w14:paraId="6BE1018E" w14:textId="0A6A6CF4" w:rsidR="0025465F" w:rsidRPr="00DC3ECB" w:rsidRDefault="0025465F">
      <w:pPr>
        <w:pStyle w:val="FootnoteText"/>
        <w:rPr>
          <w:lang w:val="en-GB"/>
        </w:rPr>
      </w:pPr>
      <w:r w:rsidRPr="00DC3ECB">
        <w:rPr>
          <w:rStyle w:val="FootnoteReference"/>
        </w:rPr>
        <w:footnoteRef/>
      </w:r>
      <w:r w:rsidRPr="00DC3ECB">
        <w:t xml:space="preserve"> </w:t>
      </w:r>
      <w:r w:rsidRPr="00DC3ECB">
        <w:rPr>
          <w:lang w:val="en-GB"/>
        </w:rPr>
        <w:t>L. White, Jnr., ‘The Historical Roots of Our Ecologic Crisis</w:t>
      </w:r>
      <w:r w:rsidR="00F145F1" w:rsidRPr="00DC3ECB">
        <w:rPr>
          <w:lang w:val="en-GB"/>
        </w:rPr>
        <w:t>,’</w:t>
      </w:r>
      <w:r w:rsidRPr="00DC3ECB">
        <w:rPr>
          <w:lang w:val="en-GB"/>
        </w:rPr>
        <w:t xml:space="preserve"> </w:t>
      </w:r>
      <w:r w:rsidRPr="00DC3ECB">
        <w:rPr>
          <w:i/>
          <w:iCs/>
          <w:lang w:val="en-GB"/>
        </w:rPr>
        <w:t>Science</w:t>
      </w:r>
      <w:r w:rsidRPr="00DC3ECB">
        <w:rPr>
          <w:lang w:val="en-GB"/>
        </w:rPr>
        <w:t>, New Series, Vol. 155, No.3767 p. 1206</w:t>
      </w:r>
    </w:p>
  </w:footnote>
  <w:footnote w:id="5">
    <w:p w14:paraId="6F5B5780" w14:textId="60ED9F35" w:rsidR="00A00DC9" w:rsidRPr="00DC3ECB" w:rsidRDefault="00A00DC9">
      <w:pPr>
        <w:pStyle w:val="FootnoteText"/>
        <w:rPr>
          <w:rFonts w:cs="Times New Roman"/>
          <w:color w:val="000000"/>
          <w:spacing w:val="-5"/>
          <w:shd w:val="clear" w:color="auto" w:fill="FFFFFF"/>
        </w:rPr>
      </w:pPr>
      <w:r w:rsidRPr="00DC3ECB">
        <w:rPr>
          <w:rStyle w:val="FootnoteReference"/>
        </w:rPr>
        <w:footnoteRef/>
      </w:r>
      <w:r w:rsidRPr="00DC3ECB">
        <w:t xml:space="preserve"> </w:t>
      </w:r>
      <w:r w:rsidR="00A76044">
        <w:t xml:space="preserve">A.D. </w:t>
      </w:r>
      <w:r w:rsidRPr="00DC3ECB">
        <w:rPr>
          <w:rFonts w:cs="Times New Roman"/>
          <w:color w:val="000000"/>
          <w:spacing w:val="-5"/>
          <w:shd w:val="clear" w:color="auto" w:fill="FFFFFF"/>
        </w:rPr>
        <w:t xml:space="preserve">Carpenter, “Embodied Intelligent (?) Souls: Plants in Plato’s </w:t>
      </w:r>
      <w:r w:rsidRPr="00DC3ECB">
        <w:rPr>
          <w:rFonts w:cs="Times New Roman"/>
          <w:i/>
          <w:iCs/>
          <w:color w:val="000000"/>
          <w:spacing w:val="-5"/>
          <w:shd w:val="clear" w:color="auto" w:fill="FFFFFF"/>
        </w:rPr>
        <w:t>Timaeus</w:t>
      </w:r>
      <w:r w:rsidR="00F145F1" w:rsidRPr="00DC3ECB">
        <w:rPr>
          <w:rFonts w:cs="Times New Roman"/>
          <w:color w:val="000000"/>
          <w:spacing w:val="-5"/>
          <w:shd w:val="clear" w:color="auto" w:fill="FFFFFF"/>
        </w:rPr>
        <w:t>,” Phronesis</w:t>
      </w:r>
      <w:r w:rsidRPr="00DC3ECB">
        <w:rPr>
          <w:rFonts w:cs="Times New Roman"/>
          <w:color w:val="000000"/>
          <w:spacing w:val="-5"/>
          <w:shd w:val="clear" w:color="auto" w:fill="FFFFFF"/>
        </w:rPr>
        <w:t xml:space="preserve"> 55 (2010), p. 283</w:t>
      </w:r>
    </w:p>
  </w:footnote>
  <w:footnote w:id="6">
    <w:p w14:paraId="4462B5C5" w14:textId="3DD28522" w:rsidR="00D00A31" w:rsidRPr="00DC3ECB" w:rsidRDefault="00D00A31">
      <w:pPr>
        <w:pStyle w:val="FootnoteText"/>
        <w:rPr>
          <w:lang w:val="en-GB"/>
        </w:rPr>
      </w:pPr>
      <w:r>
        <w:rPr>
          <w:rStyle w:val="FootnoteReference"/>
        </w:rPr>
        <w:footnoteRef/>
      </w:r>
      <w:r>
        <w:t xml:space="preserve"> </w:t>
      </w:r>
      <w:bookmarkStart w:id="3" w:name="_Hlk185166831"/>
      <w:r w:rsidR="00A76044">
        <w:t xml:space="preserve">M. </w:t>
      </w:r>
      <w:r w:rsidRPr="00DC3ECB">
        <w:rPr>
          <w:lang w:val="en-GB"/>
        </w:rPr>
        <w:t>Aurelius, ‘</w:t>
      </w:r>
      <w:r w:rsidRPr="00EC443F">
        <w:rPr>
          <w:i/>
          <w:iCs/>
          <w:lang w:val="en-GB"/>
        </w:rPr>
        <w:t>Meditations Book 4 Section 4.40</w:t>
      </w:r>
      <w:r w:rsidRPr="00DC3ECB">
        <w:rPr>
          <w:lang w:val="en-GB"/>
        </w:rPr>
        <w:t>’ translated with notes by</w:t>
      </w:r>
      <w:r w:rsidR="00DC3ECB" w:rsidRPr="00DC3ECB">
        <w:rPr>
          <w:lang w:val="en-GB"/>
        </w:rPr>
        <w:t xml:space="preserve"> </w:t>
      </w:r>
      <w:r w:rsidRPr="00DC3ECB">
        <w:rPr>
          <w:lang w:val="en-GB"/>
        </w:rPr>
        <w:t>M.</w:t>
      </w:r>
      <w:r w:rsidR="00DC3ECB" w:rsidRPr="00DC3ECB">
        <w:rPr>
          <w:lang w:val="en-GB"/>
        </w:rPr>
        <w:t xml:space="preserve"> </w:t>
      </w:r>
      <w:r w:rsidRPr="00DC3ECB">
        <w:rPr>
          <w:lang w:val="en-GB"/>
        </w:rPr>
        <w:t>Hammond (Penguin 2006), p</w:t>
      </w:r>
      <w:r w:rsidR="0063619F" w:rsidRPr="00DC3ECB">
        <w:rPr>
          <w:lang w:val="en-GB"/>
        </w:rPr>
        <w:t>.</w:t>
      </w:r>
      <w:r w:rsidRPr="00DC3ECB">
        <w:rPr>
          <w:lang w:val="en-GB"/>
        </w:rPr>
        <w:t>31</w:t>
      </w:r>
    </w:p>
    <w:bookmarkEnd w:id="3"/>
  </w:footnote>
  <w:footnote w:id="7">
    <w:p w14:paraId="19FF0A0D" w14:textId="358C1429" w:rsidR="000B68BF" w:rsidRPr="00DC3ECB" w:rsidRDefault="00DC3ECB">
      <w:pPr>
        <w:pStyle w:val="FootnoteText"/>
        <w:rPr>
          <w:lang w:val="en-GB"/>
        </w:rPr>
      </w:pPr>
      <w:r>
        <w:rPr>
          <w:rStyle w:val="FootnoteReference"/>
        </w:rPr>
        <w:footnoteRef/>
      </w:r>
      <w:r>
        <w:t xml:space="preserve"> </w:t>
      </w:r>
      <w:r w:rsidRPr="00DC3ECB">
        <w:rPr>
          <w:lang w:val="en-GB"/>
        </w:rPr>
        <w:t>L. White, Jnr., ‘The Historical Roots of Our Ecologic Crisis</w:t>
      </w:r>
      <w:r w:rsidR="00F145F1" w:rsidRPr="00DC3ECB">
        <w:rPr>
          <w:lang w:val="en-GB"/>
        </w:rPr>
        <w:t>,’</w:t>
      </w:r>
      <w:r w:rsidRPr="00DC3ECB">
        <w:rPr>
          <w:lang w:val="en-GB"/>
        </w:rPr>
        <w:t xml:space="preserve"> </w:t>
      </w:r>
      <w:r w:rsidRPr="00DC3ECB">
        <w:rPr>
          <w:i/>
          <w:iCs/>
          <w:lang w:val="en-GB"/>
        </w:rPr>
        <w:t>Science</w:t>
      </w:r>
      <w:r w:rsidRPr="00DC3ECB">
        <w:rPr>
          <w:lang w:val="en-GB"/>
        </w:rPr>
        <w:t>, New Series, Vol. 155, No.3767 p. 120</w:t>
      </w:r>
      <w:r w:rsidR="000B68BF">
        <w:rPr>
          <w:lang w:val="en-GB"/>
        </w:rPr>
        <w:t>4</w:t>
      </w:r>
    </w:p>
  </w:footnote>
  <w:footnote w:id="8">
    <w:p w14:paraId="351DAB09" w14:textId="0EACD532" w:rsidR="00422E4E" w:rsidRPr="00DC3ECB" w:rsidRDefault="00422E4E">
      <w:pPr>
        <w:pStyle w:val="FootnoteText"/>
        <w:rPr>
          <w:lang w:val="en-GB"/>
        </w:rPr>
      </w:pPr>
      <w:r w:rsidRPr="00DC3ECB">
        <w:rPr>
          <w:rStyle w:val="FootnoteReference"/>
        </w:rPr>
        <w:footnoteRef/>
      </w:r>
      <w:r w:rsidRPr="00DC3ECB">
        <w:t xml:space="preserve"> </w:t>
      </w:r>
      <w:r w:rsidRPr="00DC3ECB">
        <w:rPr>
          <w:lang w:val="en-GB"/>
        </w:rPr>
        <w:t>R. Sheldrake, “</w:t>
      </w:r>
      <w:r w:rsidRPr="00DC3ECB">
        <w:rPr>
          <w:i/>
          <w:iCs/>
          <w:lang w:val="en-GB"/>
        </w:rPr>
        <w:t>The Rebirth of Nature, The Greening of Science and God</w:t>
      </w:r>
      <w:r w:rsidRPr="00DC3ECB">
        <w:rPr>
          <w:lang w:val="en-GB"/>
        </w:rPr>
        <w:t>” (London, Rider, 1991), p.1</w:t>
      </w:r>
    </w:p>
  </w:footnote>
  <w:footnote w:id="9">
    <w:p w14:paraId="10AC74F4" w14:textId="372ACC54" w:rsidR="00832425" w:rsidRPr="00DC3ECB" w:rsidRDefault="00832425">
      <w:pPr>
        <w:pStyle w:val="FootnoteText"/>
        <w:rPr>
          <w:lang w:val="en-GB"/>
        </w:rPr>
      </w:pPr>
      <w:r w:rsidRPr="00DC3ECB">
        <w:rPr>
          <w:rStyle w:val="FootnoteReference"/>
        </w:rPr>
        <w:footnoteRef/>
      </w:r>
      <w:r w:rsidRPr="00DC3ECB">
        <w:t xml:space="preserve"> </w:t>
      </w:r>
      <w:bookmarkStart w:id="4" w:name="_Hlk186374384"/>
      <w:bookmarkStart w:id="5" w:name="_Hlk186375739"/>
      <w:r w:rsidR="00EC443F">
        <w:rPr>
          <w:lang w:val="en-GB"/>
        </w:rPr>
        <w:t>ibid.</w:t>
      </w:r>
      <w:r w:rsidRPr="00DC3ECB">
        <w:rPr>
          <w:lang w:val="en-GB"/>
        </w:rPr>
        <w:t xml:space="preserve"> pp. 16-17</w:t>
      </w:r>
      <w:bookmarkEnd w:id="4"/>
    </w:p>
    <w:bookmarkEnd w:id="5"/>
  </w:footnote>
  <w:footnote w:id="10">
    <w:p w14:paraId="79AA4603" w14:textId="25F2E76B" w:rsidR="00D128CD" w:rsidRPr="00DC3ECB" w:rsidRDefault="00D128CD">
      <w:pPr>
        <w:pStyle w:val="FootnoteText"/>
        <w:rPr>
          <w:lang w:val="en-GB"/>
        </w:rPr>
      </w:pPr>
      <w:r w:rsidRPr="00DC3ECB">
        <w:rPr>
          <w:rStyle w:val="FootnoteReference"/>
        </w:rPr>
        <w:footnoteRef/>
      </w:r>
      <w:r w:rsidRPr="00DC3ECB">
        <w:t xml:space="preserve"> </w:t>
      </w:r>
      <w:bookmarkStart w:id="6" w:name="_Hlk185158492"/>
      <w:bookmarkStart w:id="7" w:name="_Hlk185158493"/>
      <w:r w:rsidRPr="00DC3ECB">
        <w:rPr>
          <w:lang w:val="en-GB"/>
        </w:rPr>
        <w:t>C.</w:t>
      </w:r>
      <w:r w:rsidR="00C00391" w:rsidRPr="00DC3ECB">
        <w:rPr>
          <w:lang w:val="en-GB"/>
        </w:rPr>
        <w:t xml:space="preserve"> </w:t>
      </w:r>
      <w:r w:rsidRPr="00DC3ECB">
        <w:rPr>
          <w:lang w:val="en-GB"/>
        </w:rPr>
        <w:t>Nixey, “</w:t>
      </w:r>
      <w:r w:rsidRPr="00DC3ECB">
        <w:rPr>
          <w:i/>
          <w:iCs/>
          <w:lang w:val="en-GB"/>
        </w:rPr>
        <w:t>The Darkening Age, The Christian Destruction of the Classical World</w:t>
      </w:r>
      <w:r w:rsidR="00F145F1" w:rsidRPr="00DC3ECB">
        <w:rPr>
          <w:lang w:val="en-GB"/>
        </w:rPr>
        <w:t>,”</w:t>
      </w:r>
      <w:r w:rsidRPr="00DC3ECB">
        <w:rPr>
          <w:lang w:val="en-GB"/>
        </w:rPr>
        <w:t xml:space="preserve"> (London, Macmillan, 2018), pp. 83-88</w:t>
      </w:r>
      <w:bookmarkEnd w:id="6"/>
      <w:bookmarkEnd w:id="7"/>
    </w:p>
  </w:footnote>
  <w:footnote w:id="11">
    <w:p w14:paraId="0B22A6B3" w14:textId="53151FEF" w:rsidR="00932401" w:rsidRPr="00DC3ECB" w:rsidRDefault="00932401">
      <w:pPr>
        <w:pStyle w:val="FootnoteText"/>
        <w:rPr>
          <w:lang w:val="en-GB"/>
        </w:rPr>
      </w:pPr>
      <w:r w:rsidRPr="00DC3ECB">
        <w:rPr>
          <w:rStyle w:val="FootnoteReference"/>
        </w:rPr>
        <w:footnoteRef/>
      </w:r>
      <w:r w:rsidRPr="00DC3ECB">
        <w:t xml:space="preserve"> </w:t>
      </w:r>
      <w:bookmarkStart w:id="8" w:name="_Hlk185163760"/>
      <w:r w:rsidR="00EC443F">
        <w:rPr>
          <w:lang w:val="en-GB"/>
        </w:rPr>
        <w:t xml:space="preserve">ibid. </w:t>
      </w:r>
      <w:r w:rsidRPr="00DC3ECB">
        <w:rPr>
          <w:lang w:val="en-GB"/>
        </w:rPr>
        <w:t xml:space="preserve">pp. </w:t>
      </w:r>
      <w:r w:rsidR="00F5567C" w:rsidRPr="00DC3ECB">
        <w:rPr>
          <w:lang w:val="en-GB"/>
        </w:rPr>
        <w:t>150-162</w:t>
      </w:r>
      <w:bookmarkEnd w:id="8"/>
    </w:p>
  </w:footnote>
  <w:footnote w:id="12">
    <w:p w14:paraId="4A09C7A0" w14:textId="105C6061" w:rsidR="001F4D72" w:rsidRPr="001F4D72" w:rsidRDefault="001F4D72">
      <w:pPr>
        <w:pStyle w:val="FootnoteText"/>
        <w:rPr>
          <w:lang w:val="en-GB"/>
        </w:rPr>
      </w:pPr>
      <w:r w:rsidRPr="00DC3ECB">
        <w:rPr>
          <w:rStyle w:val="FootnoteReference"/>
        </w:rPr>
        <w:footnoteRef/>
      </w:r>
      <w:r w:rsidRPr="00DC3ECB">
        <w:t xml:space="preserve"> Justinian Law I.</w:t>
      </w:r>
      <w:r w:rsidR="00F145F1" w:rsidRPr="00DC3ECB">
        <w:t>II. I</w:t>
      </w:r>
      <w:r w:rsidRPr="00DC3ECB">
        <w:t xml:space="preserve">0.2 cited by   </w:t>
      </w:r>
      <w:r w:rsidRPr="00DC3ECB">
        <w:rPr>
          <w:lang w:val="en-GB"/>
        </w:rPr>
        <w:t>C. Nixey, “</w:t>
      </w:r>
      <w:r w:rsidRPr="00DC3ECB">
        <w:rPr>
          <w:i/>
          <w:iCs/>
          <w:lang w:val="en-GB"/>
        </w:rPr>
        <w:t>The Darkening Age, The Christian Destruction of the Classical World</w:t>
      </w:r>
      <w:r w:rsidR="00F145F1" w:rsidRPr="00DC3ECB">
        <w:rPr>
          <w:lang w:val="en-GB"/>
        </w:rPr>
        <w:t>,”</w:t>
      </w:r>
      <w:r w:rsidRPr="00DC3ECB">
        <w:rPr>
          <w:lang w:val="en-GB"/>
        </w:rPr>
        <w:t xml:space="preserve"> (London, Macmillan, 2018), pp. 150-162</w:t>
      </w:r>
    </w:p>
  </w:footnote>
  <w:footnote w:id="13">
    <w:p w14:paraId="1B4E2929" w14:textId="2B0042C8" w:rsidR="003751C1" w:rsidRPr="00DC3ECB" w:rsidRDefault="003751C1" w:rsidP="003751C1">
      <w:pPr>
        <w:pStyle w:val="FootnoteText"/>
        <w:rPr>
          <w:lang w:val="en-GB"/>
        </w:rPr>
      </w:pPr>
      <w:r>
        <w:rPr>
          <w:rStyle w:val="FootnoteReference"/>
        </w:rPr>
        <w:footnoteRef/>
      </w:r>
      <w:r>
        <w:t xml:space="preserve"> </w:t>
      </w:r>
      <w:r w:rsidRPr="00DC3ECB">
        <w:rPr>
          <w:lang w:val="en-GB"/>
        </w:rPr>
        <w:t>C. Nixey, “</w:t>
      </w:r>
      <w:r w:rsidRPr="00DC3ECB">
        <w:rPr>
          <w:i/>
          <w:iCs/>
          <w:lang w:val="en-GB"/>
        </w:rPr>
        <w:t>The Darkening Age, The Christian Destruction of the Classical World</w:t>
      </w:r>
      <w:r w:rsidR="00F145F1" w:rsidRPr="00DC3ECB">
        <w:rPr>
          <w:lang w:val="en-GB"/>
        </w:rPr>
        <w:t>,”</w:t>
      </w:r>
      <w:r w:rsidRPr="00DC3ECB">
        <w:rPr>
          <w:lang w:val="en-GB"/>
        </w:rPr>
        <w:t xml:space="preserve"> (London, Macmillan, 2018), pp. 83-88</w:t>
      </w:r>
    </w:p>
    <w:p w14:paraId="20E2C8FC" w14:textId="504A3268" w:rsidR="003751C1" w:rsidRPr="00DC3ECB" w:rsidRDefault="003751C1">
      <w:pPr>
        <w:pStyle w:val="FootnoteText"/>
        <w:rPr>
          <w:lang w:val="en-GB"/>
        </w:rPr>
      </w:pPr>
      <w:r w:rsidRPr="00DC3ECB">
        <w:rPr>
          <w:rStyle w:val="FootnoteReference"/>
        </w:rPr>
        <w:footnoteRef/>
      </w:r>
      <w:r w:rsidRPr="00DC3ECB">
        <w:t xml:space="preserve"> </w:t>
      </w:r>
      <w:r w:rsidR="00EC443F">
        <w:rPr>
          <w:lang w:val="en-GB"/>
        </w:rPr>
        <w:t>ibid.</w:t>
      </w:r>
      <w:r w:rsidRPr="00DC3ECB">
        <w:rPr>
          <w:lang w:val="en-GB"/>
        </w:rPr>
        <w:t xml:space="preserve"> pp. 245-246</w:t>
      </w:r>
    </w:p>
  </w:footnote>
  <w:footnote w:id="14">
    <w:p w14:paraId="21404F56" w14:textId="3F1046DC" w:rsidR="0035007B" w:rsidRPr="00DC3ECB" w:rsidRDefault="0035007B">
      <w:pPr>
        <w:pStyle w:val="FootnoteText"/>
        <w:rPr>
          <w:lang w:val="en-GB"/>
        </w:rPr>
      </w:pPr>
      <w:r w:rsidRPr="00DC3ECB">
        <w:rPr>
          <w:rStyle w:val="FootnoteReference"/>
        </w:rPr>
        <w:footnoteRef/>
      </w:r>
      <w:r w:rsidRPr="00DC3ECB">
        <w:t xml:space="preserve"> </w:t>
      </w:r>
      <w:bookmarkStart w:id="9" w:name="_Hlk186376601"/>
      <w:r w:rsidRPr="00DC3ECB">
        <w:rPr>
          <w:lang w:val="en-GB"/>
        </w:rPr>
        <w:t>R. Sheldrake, “</w:t>
      </w:r>
      <w:r w:rsidRPr="00DC3ECB">
        <w:rPr>
          <w:i/>
          <w:iCs/>
          <w:lang w:val="en-GB"/>
        </w:rPr>
        <w:t>The Rebirth of Nature, The Greening of Science and God</w:t>
      </w:r>
      <w:r w:rsidRPr="00DC3ECB">
        <w:rPr>
          <w:lang w:val="en-GB"/>
        </w:rPr>
        <w:t>” (London, Rider, 1991), pp. 17-19</w:t>
      </w:r>
      <w:bookmarkEnd w:id="9"/>
    </w:p>
  </w:footnote>
  <w:footnote w:id="15">
    <w:p w14:paraId="2E5DC6C4" w14:textId="4ECC9F83" w:rsidR="00E6598B" w:rsidRPr="00DC3ECB" w:rsidRDefault="00E6598B">
      <w:pPr>
        <w:pStyle w:val="FootnoteText"/>
        <w:rPr>
          <w:lang w:val="en-GB"/>
        </w:rPr>
      </w:pPr>
      <w:r w:rsidRPr="00DC3ECB">
        <w:rPr>
          <w:rStyle w:val="FootnoteReference"/>
        </w:rPr>
        <w:footnoteRef/>
      </w:r>
      <w:r w:rsidRPr="00DC3ECB">
        <w:t xml:space="preserve"> </w:t>
      </w:r>
      <w:r w:rsidR="00EC443F">
        <w:rPr>
          <w:lang w:val="en-GB"/>
        </w:rPr>
        <w:t>ibid</w:t>
      </w:r>
      <w:r w:rsidR="0079217F">
        <w:rPr>
          <w:lang w:val="en-GB"/>
        </w:rPr>
        <w:t>.</w:t>
      </w:r>
      <w:r w:rsidR="00EC443F">
        <w:rPr>
          <w:lang w:val="en-GB"/>
        </w:rPr>
        <w:t xml:space="preserve"> </w:t>
      </w:r>
      <w:r w:rsidRPr="00DC3ECB">
        <w:rPr>
          <w:lang w:val="en-GB"/>
        </w:rPr>
        <w:t>p.20</w:t>
      </w:r>
    </w:p>
  </w:footnote>
  <w:footnote w:id="16">
    <w:p w14:paraId="1FA0172E" w14:textId="34FC4239" w:rsidR="00E6598B" w:rsidRPr="00DC3ECB" w:rsidRDefault="00E6598B">
      <w:pPr>
        <w:pStyle w:val="FootnoteText"/>
        <w:rPr>
          <w:lang w:val="en-GB"/>
        </w:rPr>
      </w:pPr>
      <w:r w:rsidRPr="00DC3ECB">
        <w:rPr>
          <w:rStyle w:val="FootnoteReference"/>
        </w:rPr>
        <w:footnoteRef/>
      </w:r>
      <w:r w:rsidRPr="00DC3ECB">
        <w:t xml:space="preserve"> </w:t>
      </w:r>
      <w:r w:rsidR="0079217F">
        <w:rPr>
          <w:lang w:val="en-GB"/>
        </w:rPr>
        <w:t>i</w:t>
      </w:r>
      <w:r w:rsidR="00EC443F">
        <w:rPr>
          <w:lang w:val="en-GB"/>
        </w:rPr>
        <w:t>bid</w:t>
      </w:r>
      <w:r w:rsidR="0079217F">
        <w:rPr>
          <w:lang w:val="en-GB"/>
        </w:rPr>
        <w:t>.</w:t>
      </w:r>
      <w:r w:rsidRPr="00DC3ECB">
        <w:rPr>
          <w:lang w:val="en-GB"/>
        </w:rPr>
        <w:t xml:space="preserve"> p.20</w:t>
      </w:r>
    </w:p>
  </w:footnote>
  <w:footnote w:id="17">
    <w:p w14:paraId="72D240BC" w14:textId="33C26FF2" w:rsidR="007550F9" w:rsidRPr="00DC3ECB" w:rsidRDefault="007550F9">
      <w:pPr>
        <w:pStyle w:val="FootnoteText"/>
        <w:rPr>
          <w:lang w:val="en-GB"/>
        </w:rPr>
      </w:pPr>
      <w:r w:rsidRPr="00DC3ECB">
        <w:rPr>
          <w:rStyle w:val="FootnoteReference"/>
        </w:rPr>
        <w:footnoteRef/>
      </w:r>
      <w:r w:rsidR="00EC443F">
        <w:t xml:space="preserve"> </w:t>
      </w:r>
      <w:r w:rsidR="0079217F">
        <w:t>i</w:t>
      </w:r>
      <w:r w:rsidR="00EC443F">
        <w:t>bid</w:t>
      </w:r>
      <w:r w:rsidR="0079217F">
        <w:t>.</w:t>
      </w:r>
      <w:r w:rsidRPr="00DC3ECB">
        <w:rPr>
          <w:lang w:val="en-GB"/>
        </w:rPr>
        <w:t xml:space="preserve"> p.20</w:t>
      </w:r>
    </w:p>
  </w:footnote>
  <w:footnote w:id="18">
    <w:p w14:paraId="776C84E2" w14:textId="45FFB864" w:rsidR="000C349A" w:rsidRPr="00DC3ECB" w:rsidRDefault="000C349A">
      <w:pPr>
        <w:pStyle w:val="FootnoteText"/>
        <w:rPr>
          <w:lang w:val="en-GB"/>
        </w:rPr>
      </w:pPr>
      <w:r w:rsidRPr="00DC3ECB">
        <w:rPr>
          <w:rStyle w:val="FootnoteReference"/>
        </w:rPr>
        <w:footnoteRef/>
      </w:r>
      <w:r w:rsidRPr="00DC3ECB">
        <w:t xml:space="preserve"> </w:t>
      </w:r>
      <w:bookmarkStart w:id="10" w:name="_Hlk186379101"/>
      <w:r w:rsidR="0079217F">
        <w:rPr>
          <w:lang w:val="en-GB"/>
        </w:rPr>
        <w:t>i</w:t>
      </w:r>
      <w:r w:rsidR="00EC443F">
        <w:rPr>
          <w:lang w:val="en-GB"/>
        </w:rPr>
        <w:t>bid</w:t>
      </w:r>
      <w:r w:rsidR="0079217F">
        <w:rPr>
          <w:lang w:val="en-GB"/>
        </w:rPr>
        <w:t>.</w:t>
      </w:r>
      <w:r w:rsidRPr="00DC3ECB">
        <w:rPr>
          <w:lang w:val="en-GB"/>
        </w:rPr>
        <w:t xml:space="preserve"> p.32</w:t>
      </w:r>
      <w:bookmarkEnd w:id="10"/>
    </w:p>
  </w:footnote>
  <w:footnote w:id="19">
    <w:p w14:paraId="54EADA4A" w14:textId="1D6886BF" w:rsidR="000C349A" w:rsidRPr="00DC3ECB" w:rsidRDefault="000C349A">
      <w:pPr>
        <w:pStyle w:val="FootnoteText"/>
        <w:rPr>
          <w:lang w:val="en-GB"/>
        </w:rPr>
      </w:pPr>
      <w:r w:rsidRPr="00DC3ECB">
        <w:rPr>
          <w:rStyle w:val="FootnoteReference"/>
        </w:rPr>
        <w:footnoteRef/>
      </w:r>
      <w:r w:rsidRPr="00DC3ECB">
        <w:t xml:space="preserve"> </w:t>
      </w:r>
      <w:r w:rsidR="0079217F">
        <w:rPr>
          <w:lang w:val="en-GB"/>
        </w:rPr>
        <w:t>ibid.</w:t>
      </w:r>
      <w:r w:rsidRPr="00DC3ECB">
        <w:rPr>
          <w:lang w:val="en-GB"/>
        </w:rPr>
        <w:t xml:space="preserve"> p.32</w:t>
      </w:r>
    </w:p>
  </w:footnote>
  <w:footnote w:id="20">
    <w:p w14:paraId="3012BA87" w14:textId="12B64EEC" w:rsidR="003524DC" w:rsidRPr="003524DC" w:rsidRDefault="003524DC">
      <w:pPr>
        <w:pStyle w:val="FootnoteText"/>
        <w:rPr>
          <w:lang w:val="en-GB"/>
        </w:rPr>
      </w:pPr>
      <w:r>
        <w:rPr>
          <w:rStyle w:val="FootnoteReference"/>
        </w:rPr>
        <w:footnoteRef/>
      </w:r>
      <w:r>
        <w:t xml:space="preserve"> </w:t>
      </w:r>
      <w:bookmarkStart w:id="11" w:name="_Hlk186730051"/>
      <w:r>
        <w:t>S. Dutreuil,  “</w:t>
      </w:r>
      <w:r w:rsidRPr="003524DC">
        <w:t>James Lovelock’s Gaia hypothesis</w:t>
      </w:r>
      <w:r w:rsidR="00F145F1" w:rsidRPr="003524DC">
        <w:t>:” A</w:t>
      </w:r>
      <w:r w:rsidRPr="003524DC">
        <w:t xml:space="preserve"> New Look at Life on Earth” ... for the Life and the Earth sciences</w:t>
      </w:r>
      <w:r>
        <w:rPr>
          <w:i/>
          <w:iCs/>
        </w:rPr>
        <w:t xml:space="preserve">” </w:t>
      </w:r>
      <w:r w:rsidR="00F145F1" w:rsidRPr="003524DC">
        <w:t xml:space="preserve">in </w:t>
      </w:r>
      <w:proofErr w:type="spellStart"/>
      <w:r w:rsidR="00F145F1" w:rsidRPr="003524DC">
        <w:rPr>
          <w:i/>
          <w:iCs/>
        </w:rPr>
        <w:t>O</w:t>
      </w:r>
      <w:r w:rsidRPr="003524DC">
        <w:t>,Harman</w:t>
      </w:r>
      <w:proofErr w:type="spellEnd"/>
      <w:r w:rsidRPr="003524DC">
        <w:t xml:space="preserve"> and M.R. Dietric</w:t>
      </w:r>
      <w:r>
        <w:t xml:space="preserve">h (eds.) </w:t>
      </w:r>
      <w:r>
        <w:rPr>
          <w:i/>
          <w:iCs/>
        </w:rPr>
        <w:t>“</w:t>
      </w:r>
      <w:r w:rsidRPr="003524DC">
        <w:rPr>
          <w:i/>
          <w:iCs/>
        </w:rPr>
        <w:t>Dreamers, Visionaries, and Revolutionaries in the Life Sciences</w:t>
      </w:r>
      <w:r>
        <w:rPr>
          <w:i/>
          <w:iCs/>
        </w:rPr>
        <w:t>”</w:t>
      </w:r>
      <w:r>
        <w:t>, pp.272-287, 2018, 9780226569901. ffhal-01863320f</w:t>
      </w:r>
      <w:r w:rsidR="000570FA">
        <w:t xml:space="preserve"> accessed at:</w:t>
      </w:r>
      <w:r w:rsidR="000570FA" w:rsidRPr="000570FA">
        <w:t xml:space="preserve"> </w:t>
      </w:r>
      <w:hyperlink r:id="rId2" w:history="1">
        <w:r w:rsidR="000570FA" w:rsidRPr="00E531A3">
          <w:rPr>
            <w:rStyle w:val="Hyperlink"/>
          </w:rPr>
          <w:t>https://hal.science/hal-01863320/document</w:t>
        </w:r>
      </w:hyperlink>
      <w:r w:rsidR="000570FA">
        <w:t xml:space="preserve"> on 2/1/2025</w:t>
      </w:r>
    </w:p>
    <w:bookmarkEnd w:id="11"/>
  </w:footnote>
  <w:footnote w:id="21">
    <w:p w14:paraId="08575966" w14:textId="03106C2D" w:rsidR="00E41B14" w:rsidRPr="00E41B14" w:rsidRDefault="00E41B14">
      <w:pPr>
        <w:pStyle w:val="FootnoteText"/>
        <w:rPr>
          <w:lang w:val="en-GB"/>
        </w:rPr>
      </w:pPr>
      <w:r>
        <w:rPr>
          <w:rStyle w:val="FootnoteReference"/>
        </w:rPr>
        <w:footnoteRef/>
      </w:r>
      <w:r>
        <w:t xml:space="preserve"> </w:t>
      </w:r>
      <w:bookmarkStart w:id="12" w:name="_Hlk186807055"/>
      <w:r w:rsidR="00EC443F">
        <w:rPr>
          <w:lang w:val="en-GB"/>
        </w:rPr>
        <w:t xml:space="preserve">J. Lubchenco, “Robert Treat Paine (1933-2016)”, </w:t>
      </w:r>
      <w:r w:rsidR="00EC443F" w:rsidRPr="00EC443F">
        <w:rPr>
          <w:i/>
          <w:iCs/>
          <w:lang w:val="en-GB"/>
        </w:rPr>
        <w:t>Nature</w:t>
      </w:r>
      <w:r w:rsidR="00EC443F">
        <w:rPr>
          <w:lang w:val="en-GB"/>
        </w:rPr>
        <w:t xml:space="preserve">,535, 356 (2016) accessed at </w:t>
      </w:r>
      <w:hyperlink r:id="rId3" w:history="1">
        <w:r w:rsidR="00EC443F" w:rsidRPr="009B174E">
          <w:rPr>
            <w:rStyle w:val="Hyperlink"/>
            <w:lang w:val="en-GB"/>
          </w:rPr>
          <w:t>https://doi.org/10.1038/535356a</w:t>
        </w:r>
      </w:hyperlink>
      <w:r w:rsidR="00EC443F">
        <w:rPr>
          <w:lang w:val="en-GB"/>
        </w:rPr>
        <w:t xml:space="preserve">  on 3/1/2025</w:t>
      </w:r>
    </w:p>
    <w:bookmarkEnd w:id="12"/>
  </w:footnote>
  <w:footnote w:id="22">
    <w:p w14:paraId="2A1A7C9E" w14:textId="5D267D02" w:rsidR="00A13EF0" w:rsidRPr="00F145F1" w:rsidRDefault="00A13EF0" w:rsidP="00F145F1">
      <w:pPr>
        <w:rPr>
          <w:rFonts w:cs="Times New Roman"/>
          <w:kern w:val="2"/>
          <w:sz w:val="20"/>
          <w:szCs w:val="20"/>
          <w:lang w:val="en-GB"/>
          <w14:ligatures w14:val="standardContextual"/>
        </w:rPr>
      </w:pPr>
      <w:r w:rsidRPr="00F145F1">
        <w:rPr>
          <w:rStyle w:val="FootnoteReference"/>
          <w:sz w:val="20"/>
          <w:szCs w:val="20"/>
        </w:rPr>
        <w:footnoteRef/>
      </w:r>
      <w:r>
        <w:t xml:space="preserve"> </w:t>
      </w:r>
      <w:r w:rsidRPr="00FD60D5">
        <w:rPr>
          <w:rFonts w:cs="Times New Roman"/>
          <w:sz w:val="20"/>
          <w:szCs w:val="20"/>
        </w:rPr>
        <w:t xml:space="preserve">M.I.V. </w:t>
      </w:r>
      <w:r w:rsidRPr="00063DD1">
        <w:rPr>
          <w:rFonts w:cs="Times New Roman"/>
          <w:kern w:val="2"/>
          <w:sz w:val="20"/>
          <w:szCs w:val="20"/>
          <w:lang w:val="en-GB"/>
          <w14:ligatures w14:val="standardContextual"/>
        </w:rPr>
        <w:t xml:space="preserve">Botelho, </w:t>
      </w:r>
      <w:r w:rsidRPr="00FD60D5">
        <w:rPr>
          <w:rFonts w:cs="Times New Roman"/>
          <w:kern w:val="2"/>
          <w:sz w:val="20"/>
          <w:szCs w:val="20"/>
          <w:lang w:val="en-GB"/>
          <w14:ligatures w14:val="standardContextual"/>
        </w:rPr>
        <w:t xml:space="preserve">I.M. </w:t>
      </w:r>
      <w:r w:rsidRPr="00063DD1">
        <w:rPr>
          <w:rFonts w:cs="Times New Roman"/>
          <w:kern w:val="2"/>
          <w:sz w:val="20"/>
          <w:szCs w:val="20"/>
          <w:lang w:val="en-GB"/>
          <w14:ligatures w14:val="standardContextual"/>
        </w:rPr>
        <w:t>Cardoso</w:t>
      </w:r>
      <w:r w:rsidRPr="00FD60D5">
        <w:rPr>
          <w:rFonts w:cs="Times New Roman"/>
          <w:kern w:val="2"/>
          <w:sz w:val="20"/>
          <w:szCs w:val="20"/>
          <w:lang w:val="en-GB"/>
          <w14:ligatures w14:val="standardContextual"/>
        </w:rPr>
        <w:t>, and</w:t>
      </w:r>
      <w:r w:rsidRPr="00063DD1">
        <w:rPr>
          <w:rFonts w:cs="Times New Roman"/>
          <w:kern w:val="2"/>
          <w:sz w:val="20"/>
          <w:szCs w:val="20"/>
          <w:lang w:val="en-GB"/>
          <w14:ligatures w14:val="standardContextual"/>
        </w:rPr>
        <w:t xml:space="preserve"> </w:t>
      </w:r>
      <w:r w:rsidRPr="00FD60D5">
        <w:rPr>
          <w:rFonts w:cs="Times New Roman"/>
          <w:kern w:val="2"/>
          <w:sz w:val="20"/>
          <w:szCs w:val="20"/>
          <w:lang w:val="en-GB"/>
          <w14:ligatures w14:val="standardContextual"/>
        </w:rPr>
        <w:t xml:space="preserve">K. </w:t>
      </w:r>
      <w:r w:rsidRPr="00063DD1">
        <w:rPr>
          <w:rFonts w:cs="Times New Roman"/>
          <w:kern w:val="2"/>
          <w:sz w:val="20"/>
          <w:szCs w:val="20"/>
          <w:lang w:val="en-GB"/>
          <w14:ligatures w14:val="standardContextual"/>
        </w:rPr>
        <w:t xml:space="preserve">Otsuki, ‘“I made a pact with God, with nature, and with myself”: exploring deep agroecology,’ </w:t>
      </w:r>
      <w:r w:rsidRPr="00063DD1">
        <w:rPr>
          <w:rFonts w:cs="Times New Roman"/>
          <w:i/>
          <w:iCs/>
          <w:kern w:val="2"/>
          <w:sz w:val="20"/>
          <w:szCs w:val="20"/>
          <w:lang w:val="en-GB"/>
          <w14:ligatures w14:val="standardContextual"/>
        </w:rPr>
        <w:t>Agroecology and Sustainable Food Systems</w:t>
      </w:r>
      <w:r w:rsidRPr="00063DD1">
        <w:rPr>
          <w:rFonts w:cs="Times New Roman"/>
          <w:kern w:val="2"/>
          <w:sz w:val="20"/>
          <w:szCs w:val="20"/>
          <w:lang w:val="en-GB"/>
          <w14:ligatures w14:val="standardContextual"/>
        </w:rPr>
        <w:t xml:space="preserve">, (2016) 40.2, </w:t>
      </w:r>
      <w:r w:rsidRPr="00FD60D5">
        <w:rPr>
          <w:rFonts w:cs="Times New Roman"/>
          <w:kern w:val="2"/>
          <w:sz w:val="20"/>
          <w:szCs w:val="20"/>
          <w:lang w:val="en-GB"/>
          <w14:ligatures w14:val="standardContextual"/>
        </w:rPr>
        <w:t>pp.121-122</w:t>
      </w:r>
    </w:p>
  </w:footnote>
  <w:footnote w:id="23">
    <w:p w14:paraId="5B745611" w14:textId="783A79E2" w:rsidR="0079217F" w:rsidRPr="0079217F" w:rsidRDefault="0079217F">
      <w:pPr>
        <w:pStyle w:val="FootnoteText"/>
        <w:rPr>
          <w:lang w:val="en-GB"/>
        </w:rPr>
      </w:pPr>
      <w:r>
        <w:rPr>
          <w:rStyle w:val="FootnoteReference"/>
        </w:rPr>
        <w:footnoteRef/>
      </w:r>
      <w:r>
        <w:t xml:space="preserve"> </w:t>
      </w:r>
      <w:r>
        <w:rPr>
          <w:lang w:val="en-GB"/>
        </w:rPr>
        <w:t xml:space="preserve">J. Klawans, “New Zealand is up in arms over </w:t>
      </w:r>
      <w:r w:rsidR="00F145F1">
        <w:rPr>
          <w:lang w:val="en-GB"/>
        </w:rPr>
        <w:t>Māori</w:t>
      </w:r>
      <w:r>
        <w:rPr>
          <w:lang w:val="en-GB"/>
        </w:rPr>
        <w:t xml:space="preserve"> rights bill</w:t>
      </w:r>
      <w:r w:rsidR="00F145F1">
        <w:rPr>
          <w:lang w:val="en-GB"/>
        </w:rPr>
        <w:t>,”</w:t>
      </w:r>
      <w:r>
        <w:rPr>
          <w:lang w:val="en-GB"/>
        </w:rPr>
        <w:t xml:space="preserve"> </w:t>
      </w:r>
      <w:r w:rsidRPr="00590C80">
        <w:rPr>
          <w:i/>
          <w:iCs/>
          <w:lang w:val="en-GB"/>
        </w:rPr>
        <w:t>The Week</w:t>
      </w:r>
      <w:r>
        <w:rPr>
          <w:lang w:val="en-GB"/>
        </w:rPr>
        <w:t xml:space="preserve">, accessed at:  </w:t>
      </w:r>
      <w:hyperlink r:id="rId4" w:history="1">
        <w:r w:rsidR="00590C80" w:rsidRPr="009B174E">
          <w:rPr>
            <w:rStyle w:val="Hyperlink"/>
            <w:lang w:val="en-GB"/>
          </w:rPr>
          <w:t>https://theweek.com/politics/new-zealand-maori-rights</w:t>
        </w:r>
      </w:hyperlink>
      <w:r w:rsidR="00590C80">
        <w:rPr>
          <w:lang w:val="en-GB"/>
        </w:rPr>
        <w:t xml:space="preserve"> on 3/1/2025</w:t>
      </w:r>
    </w:p>
  </w:footnote>
  <w:footnote w:id="24">
    <w:p w14:paraId="69C3F119" w14:textId="4CBDBBC3" w:rsidR="00DC3ECB" w:rsidRPr="00DC3ECB" w:rsidRDefault="00F67E3E" w:rsidP="00F67E3E">
      <w:pPr>
        <w:pStyle w:val="FootnoteText"/>
        <w:rPr>
          <w:lang w:val="en-GB"/>
        </w:rPr>
      </w:pPr>
      <w:r>
        <w:rPr>
          <w:rStyle w:val="FootnoteReference"/>
        </w:rPr>
        <w:footnoteRef/>
      </w:r>
      <w:r>
        <w:t xml:space="preserve"> </w:t>
      </w:r>
      <w:r w:rsidRPr="00DC3ECB">
        <w:t>“</w:t>
      </w:r>
      <w:r w:rsidRPr="00DC3ECB">
        <w:rPr>
          <w:lang w:val="en-GB"/>
        </w:rPr>
        <w:t>Encyclical Letter Laudato Si of the Holy Father Francis on care for our common home” accessed at: Vatican.va/content/Francesco/en/encyclicals/documents/papa-francesco_20150524_enciclica-laudato-si.html (accessed 15.12.2024)</w:t>
      </w:r>
    </w:p>
  </w:footnote>
  <w:footnote w:id="25">
    <w:p w14:paraId="641270D5" w14:textId="25D8FBD6" w:rsidR="00A53B2B" w:rsidRPr="0079217F" w:rsidRDefault="00A53B2B">
      <w:pPr>
        <w:pStyle w:val="FootnoteText"/>
        <w:rPr>
          <w:rFonts w:cs="Times New Roman"/>
          <w:color w:val="000000"/>
          <w:spacing w:val="-5"/>
          <w:shd w:val="clear" w:color="auto" w:fill="FFFFFF"/>
        </w:rPr>
      </w:pPr>
      <w:r w:rsidRPr="00DC3ECB">
        <w:rPr>
          <w:rStyle w:val="FootnoteReference"/>
        </w:rPr>
        <w:footnoteRef/>
      </w:r>
      <w:r w:rsidRPr="00DC3ECB">
        <w:t xml:space="preserve"> </w:t>
      </w:r>
      <w:r w:rsidR="001843EE" w:rsidRPr="00DC3ECB">
        <w:rPr>
          <w:rFonts w:cs="Times New Roman"/>
          <w:color w:val="000000"/>
          <w:spacing w:val="-5"/>
          <w:shd w:val="clear" w:color="auto" w:fill="FFFFFF"/>
        </w:rPr>
        <w:t>Pope Francis, “</w:t>
      </w:r>
      <w:r w:rsidR="001843EE" w:rsidRPr="00DC3ECB">
        <w:rPr>
          <w:rFonts w:cs="Times New Roman"/>
          <w:i/>
          <w:iCs/>
          <w:color w:val="000000"/>
          <w:spacing w:val="-5"/>
          <w:shd w:val="clear" w:color="auto" w:fill="FFFFFF"/>
        </w:rPr>
        <w:t>Encyclical Letter Laudato Si’of the Holy Father Francis: On Care for Our Common Home</w:t>
      </w:r>
      <w:r w:rsidR="001843EE" w:rsidRPr="00DC3ECB">
        <w:rPr>
          <w:rFonts w:cs="Times New Roman"/>
          <w:color w:val="000000"/>
          <w:spacing w:val="-5"/>
          <w:shd w:val="clear" w:color="auto" w:fill="FFFFFF"/>
        </w:rPr>
        <w:t xml:space="preserve">” s.2-3, accessed at: </w:t>
      </w:r>
      <w:hyperlink r:id="rId5" w:history="1">
        <w:r w:rsidR="001843EE" w:rsidRPr="00DC3ECB">
          <w:rPr>
            <w:rStyle w:val="Hyperlink"/>
            <w:rFonts w:cs="Times New Roman"/>
            <w:spacing w:val="-5"/>
            <w:shd w:val="clear" w:color="auto" w:fill="FFFFFF"/>
          </w:rPr>
          <w:t>https://vatican.va/content/francesco/en/encyclicals/documents/papa-francesco_20150524_enciclica-laudato-si.html</w:t>
        </w:r>
      </w:hyperlink>
      <w:r w:rsidR="001843EE" w:rsidRPr="00DC3ECB">
        <w:rPr>
          <w:rFonts w:cs="Times New Roman"/>
          <w:color w:val="000000"/>
          <w:spacing w:val="-5"/>
          <w:shd w:val="clear" w:color="auto" w:fill="FFFFFF"/>
        </w:rPr>
        <w:t xml:space="preserve"> on 30/12/2024</w:t>
      </w:r>
    </w:p>
  </w:footnote>
  <w:footnote w:id="26">
    <w:p w14:paraId="11E3DD0E" w14:textId="4D34D0C3" w:rsidR="00A37061" w:rsidRPr="005B6858" w:rsidRDefault="00A37061">
      <w:pPr>
        <w:pStyle w:val="FootnoteText"/>
        <w:rPr>
          <w:rFonts w:cs="Times New Roman"/>
          <w:color w:val="000000"/>
          <w:spacing w:val="-5"/>
          <w:shd w:val="clear" w:color="auto" w:fill="FFFFFF"/>
        </w:rPr>
      </w:pPr>
      <w:r w:rsidRPr="00DC3ECB">
        <w:rPr>
          <w:rStyle w:val="FootnoteReference"/>
        </w:rPr>
        <w:footnoteRef/>
      </w:r>
      <w:r w:rsidRPr="00DC3ECB">
        <w:t xml:space="preserve"> </w:t>
      </w:r>
      <w:r w:rsidR="0079217F">
        <w:rPr>
          <w:rFonts w:cs="Times New Roman"/>
          <w:color w:val="000000"/>
          <w:spacing w:val="-5"/>
          <w:shd w:val="clear" w:color="auto" w:fill="FFFFFF"/>
        </w:rPr>
        <w:t>Ibid.</w:t>
      </w:r>
      <w:r w:rsidR="001843EE" w:rsidRPr="00DC3ECB">
        <w:rPr>
          <w:rFonts w:cs="Times New Roman"/>
          <w:color w:val="000000"/>
          <w:spacing w:val="-5"/>
          <w:shd w:val="clear" w:color="auto" w:fill="FFFFFF"/>
        </w:rPr>
        <w:t xml:space="preserve"> s. 5 </w:t>
      </w:r>
    </w:p>
  </w:footnote>
  <w:footnote w:id="27">
    <w:p w14:paraId="36A09BAB" w14:textId="67194801" w:rsidR="003B6790" w:rsidRPr="003B6790" w:rsidRDefault="003B6790" w:rsidP="003B6790">
      <w:pPr>
        <w:rPr>
          <w:rFonts w:eastAsia="Times New Roman" w:cs="Times New Roman"/>
          <w:sz w:val="20"/>
          <w:szCs w:val="20"/>
          <w:lang w:val="en-GB" w:eastAsia="en-GB"/>
        </w:rPr>
      </w:pPr>
      <w:r>
        <w:rPr>
          <w:rStyle w:val="FootnoteReference"/>
        </w:rPr>
        <w:footnoteRef/>
      </w:r>
      <w:r>
        <w:t xml:space="preserve"> K.J. </w:t>
      </w:r>
      <w:r w:rsidRPr="000570FA">
        <w:rPr>
          <w:rFonts w:eastAsia="Times New Roman" w:cs="Times New Roman"/>
          <w:sz w:val="20"/>
          <w:szCs w:val="20"/>
          <w:lang w:val="en-GB" w:eastAsia="en-GB"/>
        </w:rPr>
        <w:t xml:space="preserve">Rathwell, et al. “Bridging Knowledge Systems to Enhance Governance of the Environmental Commons: A Typology of Settings.” </w:t>
      </w:r>
      <w:r w:rsidRPr="000570FA">
        <w:rPr>
          <w:rFonts w:eastAsia="Times New Roman" w:cs="Times New Roman"/>
          <w:i/>
          <w:iCs/>
          <w:sz w:val="20"/>
          <w:szCs w:val="20"/>
          <w:lang w:val="en-GB" w:eastAsia="en-GB"/>
        </w:rPr>
        <w:t>International Journal of the Commons</w:t>
      </w:r>
      <w:r w:rsidRPr="000570FA">
        <w:rPr>
          <w:rFonts w:eastAsia="Times New Roman" w:cs="Times New Roman"/>
          <w:sz w:val="20"/>
          <w:szCs w:val="20"/>
          <w:lang w:val="en-GB" w:eastAsia="en-GB"/>
        </w:rPr>
        <w:t>, vol. 9, no. 2, 2015, p. 8</w:t>
      </w:r>
      <w:r>
        <w:rPr>
          <w:rFonts w:eastAsia="Times New Roman" w:cs="Times New Roman"/>
          <w:sz w:val="20"/>
          <w:szCs w:val="20"/>
          <w:lang w:val="en-GB" w:eastAsia="en-GB"/>
        </w:rPr>
        <w:t>53</w:t>
      </w:r>
      <w:r w:rsidRPr="000570FA">
        <w:rPr>
          <w:rFonts w:eastAsia="Times New Roman" w:cs="Times New Roman"/>
          <w:sz w:val="20"/>
          <w:szCs w:val="20"/>
          <w:lang w:val="en-GB" w:eastAsia="en-GB"/>
        </w:rPr>
        <w:t xml:space="preserve">. </w:t>
      </w:r>
      <w:r w:rsidRPr="000570FA">
        <w:rPr>
          <w:rFonts w:eastAsia="Times New Roman" w:cs="Times New Roman"/>
          <w:i/>
          <w:iCs/>
          <w:sz w:val="20"/>
          <w:szCs w:val="20"/>
          <w:lang w:val="en-GB" w:eastAsia="en-GB"/>
        </w:rPr>
        <w:t>JSTOR</w:t>
      </w:r>
      <w:r w:rsidRPr="000570FA">
        <w:rPr>
          <w:rFonts w:eastAsia="Times New Roman" w:cs="Times New Roman"/>
          <w:sz w:val="20"/>
          <w:szCs w:val="20"/>
          <w:lang w:val="en-GB" w:eastAsia="en-GB"/>
        </w:rPr>
        <w:t>, https://www.jstor.org/stable/26522851. Accessed 13</w:t>
      </w:r>
      <w:r>
        <w:rPr>
          <w:rFonts w:eastAsia="Times New Roman" w:cs="Times New Roman"/>
          <w:sz w:val="20"/>
          <w:szCs w:val="20"/>
          <w:lang w:val="en-GB" w:eastAsia="en-GB"/>
        </w:rPr>
        <w:t>/12/</w:t>
      </w:r>
      <w:r w:rsidRPr="000570FA">
        <w:rPr>
          <w:rFonts w:eastAsia="Times New Roman" w:cs="Times New Roman"/>
          <w:sz w:val="20"/>
          <w:szCs w:val="20"/>
          <w:lang w:val="en-GB" w:eastAsia="en-GB"/>
        </w:rPr>
        <w:t>24.</w:t>
      </w:r>
    </w:p>
  </w:footnote>
  <w:footnote w:id="28">
    <w:p w14:paraId="6B334B3D" w14:textId="57942161" w:rsidR="00225857" w:rsidRPr="00225857" w:rsidRDefault="00225857">
      <w:pPr>
        <w:pStyle w:val="FootnoteText"/>
        <w:rPr>
          <w:lang w:val="en-GB"/>
        </w:rPr>
      </w:pPr>
      <w:r>
        <w:rPr>
          <w:rStyle w:val="FootnoteReference"/>
        </w:rPr>
        <w:footnoteRef/>
      </w:r>
      <w:r>
        <w:t xml:space="preserve"> </w:t>
      </w:r>
      <w:r>
        <w:rPr>
          <w:lang w:val="en-GB"/>
        </w:rPr>
        <w:t>M.Gagliano, “In a green frame of mind: perspectives on the behavioural ecology and cognitive nature of plants</w:t>
      </w:r>
      <w:r w:rsidR="00F145F1">
        <w:rPr>
          <w:lang w:val="en-GB"/>
        </w:rPr>
        <w:t>,”</w:t>
      </w:r>
      <w:r>
        <w:rPr>
          <w:lang w:val="en-GB"/>
        </w:rPr>
        <w:t xml:space="preserve"> </w:t>
      </w:r>
      <w:r w:rsidRPr="005B6858">
        <w:rPr>
          <w:i/>
          <w:iCs/>
          <w:lang w:val="en-GB"/>
        </w:rPr>
        <w:t>AoB Plants</w:t>
      </w:r>
      <w:r>
        <w:rPr>
          <w:lang w:val="en-GB"/>
        </w:rPr>
        <w:t>, Vol. 7, 2015 plu075</w:t>
      </w:r>
      <w:r w:rsidR="005B6858">
        <w:rPr>
          <w:lang w:val="en-GB"/>
        </w:rPr>
        <w:t>,</w:t>
      </w:r>
      <w:r>
        <w:rPr>
          <w:lang w:val="en-GB"/>
        </w:rPr>
        <w:t xml:space="preserve"> accessed at: </w:t>
      </w:r>
      <w:hyperlink r:id="rId6" w:history="1">
        <w:r w:rsidR="005B6858" w:rsidRPr="009B174E">
          <w:rPr>
            <w:rStyle w:val="Hyperlink"/>
            <w:lang w:val="en-GB"/>
          </w:rPr>
          <w:t>https://doi.org/10.1093/aobpla/plu075</w:t>
        </w:r>
      </w:hyperlink>
      <w:r w:rsidR="005B6858">
        <w:rPr>
          <w:lang w:val="en-GB"/>
        </w:rPr>
        <w:t xml:space="preserve"> on 3/1/2025</w:t>
      </w:r>
    </w:p>
  </w:footnote>
  <w:footnote w:id="29">
    <w:p w14:paraId="609AA685" w14:textId="2FD0179C" w:rsidR="00C77F05" w:rsidRPr="00F145F1" w:rsidRDefault="00C77F05">
      <w:pPr>
        <w:pStyle w:val="FootnoteText"/>
        <w:rPr>
          <w:rFonts w:cs="Times New Roman"/>
          <w:color w:val="000000"/>
          <w:spacing w:val="-5"/>
          <w:shd w:val="clear" w:color="auto" w:fill="FFFFFF"/>
        </w:rPr>
      </w:pPr>
      <w:r>
        <w:rPr>
          <w:rStyle w:val="FootnoteReference"/>
        </w:rPr>
        <w:footnoteRef/>
      </w:r>
      <w:r>
        <w:t xml:space="preserve"> </w:t>
      </w:r>
      <w:r w:rsidRPr="000570FA">
        <w:rPr>
          <w:rFonts w:cs="Times New Roman"/>
          <w:color w:val="000000"/>
          <w:spacing w:val="-5"/>
          <w:shd w:val="clear" w:color="auto" w:fill="FFFFFF"/>
        </w:rPr>
        <w:t xml:space="preserve">Kim, E.A., Ashghar, A., and Jordan, S., “A Critical Review of Traditional Ecological Knowledge (TEK) in Science Education,” </w:t>
      </w:r>
      <w:r w:rsidRPr="000570FA">
        <w:rPr>
          <w:rFonts w:cs="Times New Roman"/>
          <w:i/>
          <w:iCs/>
          <w:color w:val="000000"/>
          <w:spacing w:val="-5"/>
          <w:shd w:val="clear" w:color="auto" w:fill="FFFFFF"/>
        </w:rPr>
        <w:t>Canadian Journal of Science, Mathematics and Technology Education</w:t>
      </w:r>
      <w:r w:rsidRPr="000570FA">
        <w:rPr>
          <w:rFonts w:cs="Times New Roman"/>
          <w:color w:val="000000"/>
          <w:spacing w:val="-5"/>
          <w:shd w:val="clear" w:color="auto" w:fill="FFFFFF"/>
        </w:rPr>
        <w:t xml:space="preserve"> (2017), Vol.17, No.4, pp.258-2</w:t>
      </w:r>
      <w:r>
        <w:rPr>
          <w:rFonts w:cs="Times New Roman"/>
          <w:color w:val="000000"/>
          <w:spacing w:val="-5"/>
          <w:shd w:val="clear" w:color="auto" w:fill="FFFFFF"/>
        </w:rPr>
        <w:t>59</w:t>
      </w:r>
    </w:p>
  </w:footnote>
  <w:footnote w:id="30">
    <w:p w14:paraId="7DD901FA" w14:textId="772F55C4" w:rsidR="00F31A15" w:rsidRPr="00F31A15" w:rsidRDefault="00F31A15">
      <w:pPr>
        <w:pStyle w:val="FootnoteText"/>
        <w:rPr>
          <w:rFonts w:cs="Times New Roman"/>
          <w:color w:val="000000"/>
          <w:spacing w:val="-5"/>
          <w:shd w:val="clear" w:color="auto" w:fill="FFFFFF"/>
        </w:rPr>
      </w:pPr>
      <w:r>
        <w:rPr>
          <w:rStyle w:val="FootnoteReference"/>
        </w:rPr>
        <w:footnoteRef/>
      </w:r>
      <w:r>
        <w:t xml:space="preserve"> </w:t>
      </w:r>
      <w:r w:rsidRPr="000570FA">
        <w:rPr>
          <w:rFonts w:cs="Times New Roman"/>
          <w:color w:val="000000"/>
          <w:spacing w:val="-5"/>
          <w:shd w:val="clear" w:color="auto" w:fill="FFFFFF"/>
        </w:rPr>
        <w:t>Bossuyt, Beatrijs, and Olivier Honnay. “Can the Seed Bank Be Used for Ecological Restoration? An Overview of Seed Bank Characteristics in European Communities.” </w:t>
      </w:r>
      <w:r w:rsidRPr="000570FA">
        <w:rPr>
          <w:rFonts w:cs="Times New Roman"/>
          <w:i/>
          <w:iCs/>
          <w:color w:val="000000"/>
          <w:spacing w:val="-5"/>
          <w:shd w:val="clear" w:color="auto" w:fill="FFFFFF"/>
        </w:rPr>
        <w:t>Journal of Vegetation Science</w:t>
      </w:r>
      <w:r w:rsidRPr="000570FA">
        <w:rPr>
          <w:rFonts w:cs="Times New Roman"/>
          <w:color w:val="000000"/>
          <w:spacing w:val="-5"/>
          <w:shd w:val="clear" w:color="auto" w:fill="FFFFFF"/>
        </w:rPr>
        <w:t>, vol. 19, no. 6,</w:t>
      </w:r>
      <w:r>
        <w:rPr>
          <w:rFonts w:cs="Times New Roman"/>
          <w:color w:val="000000"/>
          <w:spacing w:val="-5"/>
          <w:shd w:val="clear" w:color="auto" w:fill="FFFFFF"/>
        </w:rPr>
        <w:t xml:space="preserve"> </w:t>
      </w:r>
      <w:r w:rsidRPr="000570FA">
        <w:rPr>
          <w:rFonts w:cs="Times New Roman"/>
          <w:color w:val="000000"/>
          <w:spacing w:val="-5"/>
          <w:shd w:val="clear" w:color="auto" w:fill="FFFFFF"/>
        </w:rPr>
        <w:t>2008,</w:t>
      </w:r>
      <w:r>
        <w:rPr>
          <w:rFonts w:cs="Times New Roman"/>
          <w:color w:val="000000"/>
          <w:spacing w:val="-5"/>
          <w:shd w:val="clear" w:color="auto" w:fill="FFFFFF"/>
        </w:rPr>
        <w:t xml:space="preserve"> </w:t>
      </w:r>
      <w:r w:rsidRPr="000570FA">
        <w:rPr>
          <w:rFonts w:cs="Times New Roman"/>
          <w:color w:val="000000"/>
          <w:spacing w:val="-5"/>
          <w:shd w:val="clear" w:color="auto" w:fill="FFFFFF"/>
        </w:rPr>
        <w:t>p.87</w:t>
      </w:r>
      <w:r>
        <w:rPr>
          <w:rFonts w:cs="Times New Roman"/>
          <w:color w:val="000000"/>
          <w:spacing w:val="-5"/>
          <w:shd w:val="clear" w:color="auto" w:fill="FFFFFF"/>
        </w:rPr>
        <w:t>5</w:t>
      </w:r>
      <w:r w:rsidRPr="000570FA">
        <w:rPr>
          <w:rFonts w:cs="Times New Roman"/>
          <w:color w:val="000000"/>
          <w:spacing w:val="-5"/>
          <w:shd w:val="clear" w:color="auto" w:fill="FFFFFF"/>
        </w:rPr>
        <w:t>. </w:t>
      </w:r>
      <w:r>
        <w:rPr>
          <w:rFonts w:cs="Times New Roman"/>
          <w:color w:val="000000"/>
          <w:spacing w:val="-5"/>
          <w:shd w:val="clear" w:color="auto" w:fill="FFFFFF"/>
        </w:rPr>
        <w:t xml:space="preserve">   </w:t>
      </w:r>
      <w:r w:rsidRPr="000570FA">
        <w:rPr>
          <w:rFonts w:cs="Times New Roman"/>
          <w:i/>
          <w:iCs/>
          <w:color w:val="000000"/>
          <w:spacing w:val="-5"/>
          <w:shd w:val="clear" w:color="auto" w:fill="FFFFFF"/>
        </w:rPr>
        <w:t>JSTOR</w:t>
      </w:r>
      <w:r w:rsidRPr="000570FA">
        <w:rPr>
          <w:rFonts w:cs="Times New Roman"/>
          <w:color w:val="000000"/>
          <w:spacing w:val="-5"/>
          <w:shd w:val="clear" w:color="auto" w:fill="FFFFFF"/>
        </w:rPr>
        <w:t>, http://www.jstor.org/stable/25549236. Accessed 13 Dec. 2024.</w:t>
      </w:r>
    </w:p>
  </w:footnote>
  <w:footnote w:id="31">
    <w:p w14:paraId="518BCA28" w14:textId="2AF1C197" w:rsidR="00FD60D5" w:rsidRPr="00063DD1" w:rsidRDefault="00FD60D5" w:rsidP="00FD60D5">
      <w:pPr>
        <w:rPr>
          <w:rFonts w:cs="Times New Roman"/>
          <w:kern w:val="2"/>
          <w:sz w:val="20"/>
          <w:szCs w:val="20"/>
          <w:lang w:val="en-GB"/>
          <w14:ligatures w14:val="standardContextual"/>
        </w:rPr>
      </w:pPr>
      <w:r>
        <w:rPr>
          <w:rStyle w:val="FootnoteReference"/>
        </w:rPr>
        <w:footnoteRef/>
      </w:r>
      <w:r>
        <w:t xml:space="preserve"> </w:t>
      </w:r>
      <w:r w:rsidRPr="00FD60D5">
        <w:rPr>
          <w:rFonts w:cs="Times New Roman"/>
          <w:sz w:val="20"/>
          <w:szCs w:val="20"/>
        </w:rPr>
        <w:t xml:space="preserve">M.I.V. </w:t>
      </w:r>
      <w:r w:rsidRPr="00063DD1">
        <w:rPr>
          <w:rFonts w:cs="Times New Roman"/>
          <w:kern w:val="2"/>
          <w:sz w:val="20"/>
          <w:szCs w:val="20"/>
          <w:lang w:val="en-GB"/>
          <w14:ligatures w14:val="standardContextual"/>
        </w:rPr>
        <w:t xml:space="preserve">Botelho, </w:t>
      </w:r>
      <w:r w:rsidRPr="00FD60D5">
        <w:rPr>
          <w:rFonts w:cs="Times New Roman"/>
          <w:kern w:val="2"/>
          <w:sz w:val="20"/>
          <w:szCs w:val="20"/>
          <w:lang w:val="en-GB"/>
          <w14:ligatures w14:val="standardContextual"/>
        </w:rPr>
        <w:t xml:space="preserve">I.M. </w:t>
      </w:r>
      <w:r w:rsidRPr="00063DD1">
        <w:rPr>
          <w:rFonts w:cs="Times New Roman"/>
          <w:kern w:val="2"/>
          <w:sz w:val="20"/>
          <w:szCs w:val="20"/>
          <w:lang w:val="en-GB"/>
          <w14:ligatures w14:val="standardContextual"/>
        </w:rPr>
        <w:t>Cardoso</w:t>
      </w:r>
      <w:r w:rsidRPr="00FD60D5">
        <w:rPr>
          <w:rFonts w:cs="Times New Roman"/>
          <w:kern w:val="2"/>
          <w:sz w:val="20"/>
          <w:szCs w:val="20"/>
          <w:lang w:val="en-GB"/>
          <w14:ligatures w14:val="standardContextual"/>
        </w:rPr>
        <w:t>, and</w:t>
      </w:r>
      <w:r w:rsidRPr="00063DD1">
        <w:rPr>
          <w:rFonts w:cs="Times New Roman"/>
          <w:kern w:val="2"/>
          <w:sz w:val="20"/>
          <w:szCs w:val="20"/>
          <w:lang w:val="en-GB"/>
          <w14:ligatures w14:val="standardContextual"/>
        </w:rPr>
        <w:t xml:space="preserve"> </w:t>
      </w:r>
      <w:r w:rsidRPr="00FD60D5">
        <w:rPr>
          <w:rFonts w:cs="Times New Roman"/>
          <w:kern w:val="2"/>
          <w:sz w:val="20"/>
          <w:szCs w:val="20"/>
          <w:lang w:val="en-GB"/>
          <w14:ligatures w14:val="standardContextual"/>
        </w:rPr>
        <w:t xml:space="preserve">K. </w:t>
      </w:r>
      <w:r w:rsidRPr="00063DD1">
        <w:rPr>
          <w:rFonts w:cs="Times New Roman"/>
          <w:kern w:val="2"/>
          <w:sz w:val="20"/>
          <w:szCs w:val="20"/>
          <w:lang w:val="en-GB"/>
          <w14:ligatures w14:val="standardContextual"/>
        </w:rPr>
        <w:t xml:space="preserve">Otsuki, ‘“I made a pact with God, with nature, and with myself”: exploring deep agroecology,’ </w:t>
      </w:r>
      <w:r w:rsidRPr="00063DD1">
        <w:rPr>
          <w:rFonts w:cs="Times New Roman"/>
          <w:i/>
          <w:iCs/>
          <w:kern w:val="2"/>
          <w:sz w:val="20"/>
          <w:szCs w:val="20"/>
          <w:lang w:val="en-GB"/>
          <w14:ligatures w14:val="standardContextual"/>
        </w:rPr>
        <w:t>Agroecology and Sustainable Food Systems</w:t>
      </w:r>
      <w:r w:rsidRPr="00063DD1">
        <w:rPr>
          <w:rFonts w:cs="Times New Roman"/>
          <w:kern w:val="2"/>
          <w:sz w:val="20"/>
          <w:szCs w:val="20"/>
          <w:lang w:val="en-GB"/>
          <w14:ligatures w14:val="standardContextual"/>
        </w:rPr>
        <w:t xml:space="preserve">, (2016) 40.2, </w:t>
      </w:r>
      <w:r w:rsidRPr="00FD60D5">
        <w:rPr>
          <w:rFonts w:cs="Times New Roman"/>
          <w:kern w:val="2"/>
          <w:sz w:val="20"/>
          <w:szCs w:val="20"/>
          <w:lang w:val="en-GB"/>
          <w14:ligatures w14:val="standardContextual"/>
        </w:rPr>
        <w:t>pp.121-122</w:t>
      </w:r>
    </w:p>
    <w:p w14:paraId="6D632E33" w14:textId="7AD73FC3" w:rsidR="00FD60D5" w:rsidRPr="00FD60D5" w:rsidRDefault="00FD60D5">
      <w:pPr>
        <w:pStyle w:val="FootnoteText"/>
        <w:rPr>
          <w:rFonts w:cs="Times New Roman"/>
          <w:lang w:val="en-GB"/>
        </w:rPr>
      </w:pPr>
    </w:p>
  </w:footnote>
  <w:footnote w:id="32">
    <w:p w14:paraId="658F4FE5" w14:textId="442099F9" w:rsidR="00E03807" w:rsidRPr="00E03807" w:rsidRDefault="00E03807">
      <w:pPr>
        <w:pStyle w:val="FootnoteText"/>
        <w:rPr>
          <w:lang w:val="en-GB"/>
        </w:rPr>
      </w:pPr>
      <w:r>
        <w:rPr>
          <w:rStyle w:val="FootnoteReference"/>
        </w:rPr>
        <w:footnoteRef/>
      </w:r>
      <w:r>
        <w:t xml:space="preserve"> </w:t>
      </w:r>
      <w:bookmarkStart w:id="14" w:name="_Hlk186730853"/>
      <w:r w:rsidR="00F145F1">
        <w:rPr>
          <w:lang w:val="en-GB"/>
        </w:rPr>
        <w:t>R. Louv</w:t>
      </w:r>
      <w:r>
        <w:rPr>
          <w:lang w:val="en-GB"/>
        </w:rPr>
        <w:t>, “Last Child in the Woods</w:t>
      </w:r>
      <w:r w:rsidR="001B7992">
        <w:rPr>
          <w:lang w:val="en-GB"/>
        </w:rPr>
        <w:t>, Saving our children from nature-deficit disorder</w:t>
      </w:r>
      <w:r w:rsidR="00F145F1">
        <w:rPr>
          <w:lang w:val="en-GB"/>
        </w:rPr>
        <w:t>,”</w:t>
      </w:r>
      <w:r w:rsidR="001B7992">
        <w:rPr>
          <w:lang w:val="en-GB"/>
        </w:rPr>
        <w:t xml:space="preserve"> (North Carolina, </w:t>
      </w:r>
      <w:r w:rsidR="00F145F1">
        <w:rPr>
          <w:lang w:val="en-GB"/>
        </w:rPr>
        <w:t>Algonquin</w:t>
      </w:r>
      <w:r w:rsidR="001B7992">
        <w:rPr>
          <w:lang w:val="en-GB"/>
        </w:rPr>
        <w:t xml:space="preserve"> Books, 2008) p.3</w:t>
      </w:r>
      <w:bookmarkEnd w:id="14"/>
    </w:p>
  </w:footnote>
  <w:footnote w:id="33">
    <w:p w14:paraId="09A52C5B" w14:textId="229B0308" w:rsidR="00FD4578" w:rsidRDefault="00FD4578" w:rsidP="00FD4578">
      <w:pPr>
        <w:pStyle w:val="FootnoteText"/>
        <w:rPr>
          <w:rFonts w:cs="Times New Roman"/>
          <w:color w:val="000000"/>
          <w:spacing w:val="-5"/>
          <w:shd w:val="clear" w:color="auto" w:fill="FFFFFF"/>
        </w:rPr>
      </w:pPr>
      <w:r>
        <w:rPr>
          <w:rStyle w:val="FootnoteReference"/>
        </w:rPr>
        <w:footnoteRef/>
      </w:r>
      <w:r>
        <w:t xml:space="preserve"> </w:t>
      </w:r>
      <w:r w:rsidR="00F145F1">
        <w:t xml:space="preserve">L. </w:t>
      </w:r>
      <w:r>
        <w:rPr>
          <w:rFonts w:cs="Times New Roman"/>
          <w:color w:val="000000"/>
          <w:spacing w:val="-5"/>
          <w:shd w:val="clear" w:color="auto" w:fill="FFFFFF"/>
        </w:rPr>
        <w:t xml:space="preserve">Carter, “Recovering Traditional Ecological Knowledge (TEK): is it always what it </w:t>
      </w:r>
      <w:r w:rsidR="00F145F1">
        <w:rPr>
          <w:rFonts w:cs="Times New Roman"/>
          <w:color w:val="000000"/>
          <w:spacing w:val="-5"/>
          <w:shd w:val="clear" w:color="auto" w:fill="FFFFFF"/>
        </w:rPr>
        <w:t>seems?”</w:t>
      </w:r>
      <w:r>
        <w:rPr>
          <w:rFonts w:cs="Times New Roman"/>
          <w:color w:val="000000"/>
          <w:spacing w:val="-5"/>
          <w:shd w:val="clear" w:color="auto" w:fill="FFFFFF"/>
        </w:rPr>
        <w:t xml:space="preserve"> Transnational Curriculum Enquiry, Vol.5 (1) 2008</w:t>
      </w:r>
      <w:r>
        <w:rPr>
          <w:rFonts w:cs="Times New Roman"/>
          <w:color w:val="000000"/>
          <w:spacing w:val="-5"/>
          <w:shd w:val="clear" w:color="auto" w:fill="FFFFFF"/>
        </w:rPr>
        <w:t xml:space="preserve"> p.21</w:t>
      </w:r>
      <w:r>
        <w:rPr>
          <w:rFonts w:cs="Times New Roman"/>
          <w:color w:val="000000"/>
          <w:spacing w:val="-5"/>
          <w:shd w:val="clear" w:color="auto" w:fill="FFFFFF"/>
        </w:rPr>
        <w:t xml:space="preserve"> accessed at:  </w:t>
      </w:r>
      <w:hyperlink r:id="rId7" w:history="1">
        <w:r w:rsidRPr="009B174E">
          <w:rPr>
            <w:rStyle w:val="Hyperlink"/>
            <w:rFonts w:cs="Times New Roman"/>
            <w:spacing w:val="-5"/>
            <w:shd w:val="clear" w:color="auto" w:fill="FFFFFF"/>
          </w:rPr>
          <w:t>http://nitinat.library.ubc.ca/ojs/index.php/tci</w:t>
        </w:r>
      </w:hyperlink>
      <w:r>
        <w:rPr>
          <w:rFonts w:cs="Times New Roman"/>
          <w:color w:val="000000"/>
          <w:spacing w:val="-5"/>
          <w:shd w:val="clear" w:color="auto" w:fill="FFFFFF"/>
        </w:rPr>
        <w:t xml:space="preserve"> on 3/1/2025</w:t>
      </w:r>
    </w:p>
    <w:p w14:paraId="327A16F9" w14:textId="20A36186" w:rsidR="00FD4578" w:rsidRPr="00FD4578" w:rsidRDefault="00FD4578">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318336367"/>
      <w:docPartObj>
        <w:docPartGallery w:val="Page Numbers (Top of Page)"/>
        <w:docPartUnique/>
      </w:docPartObj>
    </w:sdtPr>
    <w:sdtContent>
      <w:p w14:paraId="5E33957D" w14:textId="77777777" w:rsidR="0031110F" w:rsidRPr="0031110F" w:rsidRDefault="0031110F">
        <w:pPr>
          <w:pStyle w:val="Header"/>
          <w:jc w:val="right"/>
          <w:rPr>
            <w:sz w:val="16"/>
            <w:szCs w:val="16"/>
          </w:rPr>
        </w:pPr>
        <w:r w:rsidRPr="0031110F">
          <w:rPr>
            <w:sz w:val="16"/>
            <w:szCs w:val="16"/>
          </w:rPr>
          <w:t xml:space="preserve">Page </w:t>
        </w:r>
        <w:r w:rsidRPr="0031110F">
          <w:rPr>
            <w:b/>
            <w:bCs/>
            <w:sz w:val="16"/>
            <w:szCs w:val="16"/>
          </w:rPr>
          <w:fldChar w:fldCharType="begin"/>
        </w:r>
        <w:r w:rsidRPr="0031110F">
          <w:rPr>
            <w:b/>
            <w:bCs/>
            <w:sz w:val="16"/>
            <w:szCs w:val="16"/>
          </w:rPr>
          <w:instrText xml:space="preserve"> PAGE </w:instrText>
        </w:r>
        <w:r w:rsidRPr="0031110F">
          <w:rPr>
            <w:b/>
            <w:bCs/>
            <w:sz w:val="16"/>
            <w:szCs w:val="16"/>
          </w:rPr>
          <w:fldChar w:fldCharType="separate"/>
        </w:r>
        <w:r w:rsidRPr="0031110F">
          <w:rPr>
            <w:b/>
            <w:bCs/>
            <w:noProof/>
            <w:sz w:val="16"/>
            <w:szCs w:val="16"/>
          </w:rPr>
          <w:t>2</w:t>
        </w:r>
        <w:r w:rsidRPr="0031110F">
          <w:rPr>
            <w:b/>
            <w:bCs/>
            <w:sz w:val="16"/>
            <w:szCs w:val="16"/>
          </w:rPr>
          <w:fldChar w:fldCharType="end"/>
        </w:r>
        <w:r w:rsidRPr="0031110F">
          <w:rPr>
            <w:sz w:val="16"/>
            <w:szCs w:val="16"/>
          </w:rPr>
          <w:t xml:space="preserve"> of </w:t>
        </w:r>
        <w:r w:rsidRPr="0031110F">
          <w:rPr>
            <w:b/>
            <w:bCs/>
            <w:sz w:val="16"/>
            <w:szCs w:val="16"/>
          </w:rPr>
          <w:fldChar w:fldCharType="begin"/>
        </w:r>
        <w:r w:rsidRPr="0031110F">
          <w:rPr>
            <w:b/>
            <w:bCs/>
            <w:sz w:val="16"/>
            <w:szCs w:val="16"/>
          </w:rPr>
          <w:instrText xml:space="preserve"> NUMPAGES  </w:instrText>
        </w:r>
        <w:r w:rsidRPr="0031110F">
          <w:rPr>
            <w:b/>
            <w:bCs/>
            <w:sz w:val="16"/>
            <w:szCs w:val="16"/>
          </w:rPr>
          <w:fldChar w:fldCharType="separate"/>
        </w:r>
        <w:r w:rsidRPr="0031110F">
          <w:rPr>
            <w:b/>
            <w:bCs/>
            <w:noProof/>
            <w:sz w:val="16"/>
            <w:szCs w:val="16"/>
          </w:rPr>
          <w:t>2</w:t>
        </w:r>
        <w:r w:rsidRPr="0031110F">
          <w:rPr>
            <w:b/>
            <w:bCs/>
            <w:sz w:val="16"/>
            <w:szCs w:val="16"/>
          </w:rPr>
          <w:fldChar w:fldCharType="end"/>
        </w:r>
      </w:p>
    </w:sdtContent>
  </w:sdt>
  <w:p w14:paraId="1B6AB50B" w14:textId="77777777" w:rsidR="0031110F" w:rsidRDefault="003111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74788"/>
    <w:multiLevelType w:val="hybridMultilevel"/>
    <w:tmpl w:val="B8701E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D10DD2"/>
    <w:multiLevelType w:val="hybridMultilevel"/>
    <w:tmpl w:val="EC2C0900"/>
    <w:lvl w:ilvl="0" w:tplc="2D7C5F74">
      <w:numFmt w:val="bullet"/>
      <w:lvlText w:val="-"/>
      <w:lvlJc w:val="left"/>
      <w:pPr>
        <w:ind w:left="180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A4D261B"/>
    <w:multiLevelType w:val="hybridMultilevel"/>
    <w:tmpl w:val="CA2A6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3F43A2"/>
    <w:multiLevelType w:val="hybridMultilevel"/>
    <w:tmpl w:val="A6662B22"/>
    <w:lvl w:ilvl="0" w:tplc="2D7C5F74">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5E0404"/>
    <w:multiLevelType w:val="hybridMultilevel"/>
    <w:tmpl w:val="856036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65A67A0"/>
    <w:multiLevelType w:val="hybridMultilevel"/>
    <w:tmpl w:val="4FDC30AC"/>
    <w:lvl w:ilvl="0" w:tplc="2D7C5F74">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F085C84"/>
    <w:multiLevelType w:val="hybridMultilevel"/>
    <w:tmpl w:val="023C095A"/>
    <w:lvl w:ilvl="0" w:tplc="2D7C5F74">
      <w:numFmt w:val="bullet"/>
      <w:lvlText w:val="-"/>
      <w:lvlJc w:val="left"/>
      <w:pPr>
        <w:ind w:left="180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F393873"/>
    <w:multiLevelType w:val="hybridMultilevel"/>
    <w:tmpl w:val="248EA5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7E6466"/>
    <w:multiLevelType w:val="hybridMultilevel"/>
    <w:tmpl w:val="3F8AE536"/>
    <w:lvl w:ilvl="0" w:tplc="2D7C5F74">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60317888">
    <w:abstractNumId w:val="7"/>
  </w:num>
  <w:num w:numId="2" w16cid:durableId="2059888109">
    <w:abstractNumId w:val="0"/>
  </w:num>
  <w:num w:numId="3" w16cid:durableId="2043169770">
    <w:abstractNumId w:val="8"/>
  </w:num>
  <w:num w:numId="4" w16cid:durableId="510222895">
    <w:abstractNumId w:val="6"/>
  </w:num>
  <w:num w:numId="5" w16cid:durableId="1877038568">
    <w:abstractNumId w:val="5"/>
  </w:num>
  <w:num w:numId="6" w16cid:durableId="278875182">
    <w:abstractNumId w:val="3"/>
  </w:num>
  <w:num w:numId="7" w16cid:durableId="1618680724">
    <w:abstractNumId w:val="1"/>
  </w:num>
  <w:num w:numId="8" w16cid:durableId="1322928323">
    <w:abstractNumId w:val="4"/>
  </w:num>
  <w:num w:numId="9" w16cid:durableId="11206060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AC3"/>
    <w:rsid w:val="0005034B"/>
    <w:rsid w:val="000530D7"/>
    <w:rsid w:val="000570FA"/>
    <w:rsid w:val="00063DD1"/>
    <w:rsid w:val="00065CB7"/>
    <w:rsid w:val="00077E87"/>
    <w:rsid w:val="00085C74"/>
    <w:rsid w:val="000B68BF"/>
    <w:rsid w:val="000C349A"/>
    <w:rsid w:val="00105310"/>
    <w:rsid w:val="00111B9A"/>
    <w:rsid w:val="00142142"/>
    <w:rsid w:val="00152BEA"/>
    <w:rsid w:val="00171CB7"/>
    <w:rsid w:val="00173C00"/>
    <w:rsid w:val="00175CD8"/>
    <w:rsid w:val="001843EE"/>
    <w:rsid w:val="00185A15"/>
    <w:rsid w:val="001B7992"/>
    <w:rsid w:val="001C2EE1"/>
    <w:rsid w:val="001E265C"/>
    <w:rsid w:val="001E27CE"/>
    <w:rsid w:val="001E40B2"/>
    <w:rsid w:val="001F4D72"/>
    <w:rsid w:val="001F7C2B"/>
    <w:rsid w:val="00215AFD"/>
    <w:rsid w:val="00220C6B"/>
    <w:rsid w:val="00225857"/>
    <w:rsid w:val="00230BCA"/>
    <w:rsid w:val="00245F1D"/>
    <w:rsid w:val="0025465F"/>
    <w:rsid w:val="00264DE3"/>
    <w:rsid w:val="002758D8"/>
    <w:rsid w:val="002A0AC6"/>
    <w:rsid w:val="002A493C"/>
    <w:rsid w:val="002B27DE"/>
    <w:rsid w:val="002C6CEC"/>
    <w:rsid w:val="002D2436"/>
    <w:rsid w:val="002E1944"/>
    <w:rsid w:val="002E362A"/>
    <w:rsid w:val="002F2C6D"/>
    <w:rsid w:val="003048E5"/>
    <w:rsid w:val="0031110F"/>
    <w:rsid w:val="003221B0"/>
    <w:rsid w:val="003405CF"/>
    <w:rsid w:val="0035007B"/>
    <w:rsid w:val="003524DC"/>
    <w:rsid w:val="00356508"/>
    <w:rsid w:val="003751C1"/>
    <w:rsid w:val="00375FC1"/>
    <w:rsid w:val="00382066"/>
    <w:rsid w:val="003B1A0B"/>
    <w:rsid w:val="003B4BFE"/>
    <w:rsid w:val="003B6790"/>
    <w:rsid w:val="003D6A4E"/>
    <w:rsid w:val="003E420F"/>
    <w:rsid w:val="00422E4E"/>
    <w:rsid w:val="00432F9D"/>
    <w:rsid w:val="0043489E"/>
    <w:rsid w:val="0048377A"/>
    <w:rsid w:val="004961C7"/>
    <w:rsid w:val="00590C80"/>
    <w:rsid w:val="00593324"/>
    <w:rsid w:val="005B6858"/>
    <w:rsid w:val="005D1590"/>
    <w:rsid w:val="005F6D86"/>
    <w:rsid w:val="006052A4"/>
    <w:rsid w:val="00610456"/>
    <w:rsid w:val="00622E61"/>
    <w:rsid w:val="00627FF6"/>
    <w:rsid w:val="00631DEE"/>
    <w:rsid w:val="0063619F"/>
    <w:rsid w:val="006508CE"/>
    <w:rsid w:val="00661ABF"/>
    <w:rsid w:val="006723C8"/>
    <w:rsid w:val="006B01E5"/>
    <w:rsid w:val="006C4570"/>
    <w:rsid w:val="006C6F1A"/>
    <w:rsid w:val="006D3340"/>
    <w:rsid w:val="006D4A99"/>
    <w:rsid w:val="006F7357"/>
    <w:rsid w:val="007006F7"/>
    <w:rsid w:val="0070487D"/>
    <w:rsid w:val="00706FAF"/>
    <w:rsid w:val="00714F96"/>
    <w:rsid w:val="007550F9"/>
    <w:rsid w:val="0079217F"/>
    <w:rsid w:val="007B559A"/>
    <w:rsid w:val="007B6109"/>
    <w:rsid w:val="007C5713"/>
    <w:rsid w:val="007D24D8"/>
    <w:rsid w:val="00806213"/>
    <w:rsid w:val="00806369"/>
    <w:rsid w:val="00832425"/>
    <w:rsid w:val="00854043"/>
    <w:rsid w:val="00854160"/>
    <w:rsid w:val="00856E1A"/>
    <w:rsid w:val="00860E56"/>
    <w:rsid w:val="00862859"/>
    <w:rsid w:val="00877646"/>
    <w:rsid w:val="008A42E2"/>
    <w:rsid w:val="008B1540"/>
    <w:rsid w:val="008D2FC0"/>
    <w:rsid w:val="008E2F68"/>
    <w:rsid w:val="00902A0D"/>
    <w:rsid w:val="00916966"/>
    <w:rsid w:val="00932401"/>
    <w:rsid w:val="0093767D"/>
    <w:rsid w:val="009806DF"/>
    <w:rsid w:val="009A2541"/>
    <w:rsid w:val="009A31C7"/>
    <w:rsid w:val="009A6899"/>
    <w:rsid w:val="009B114F"/>
    <w:rsid w:val="009B12C2"/>
    <w:rsid w:val="009B5913"/>
    <w:rsid w:val="009C215B"/>
    <w:rsid w:val="009D4F0C"/>
    <w:rsid w:val="009D5244"/>
    <w:rsid w:val="009E0B6E"/>
    <w:rsid w:val="00A00DC9"/>
    <w:rsid w:val="00A07B2A"/>
    <w:rsid w:val="00A07E91"/>
    <w:rsid w:val="00A13EF0"/>
    <w:rsid w:val="00A31993"/>
    <w:rsid w:val="00A37061"/>
    <w:rsid w:val="00A52371"/>
    <w:rsid w:val="00A52619"/>
    <w:rsid w:val="00A53B2B"/>
    <w:rsid w:val="00A61A24"/>
    <w:rsid w:val="00A76044"/>
    <w:rsid w:val="00A923CE"/>
    <w:rsid w:val="00AA330C"/>
    <w:rsid w:val="00AB0029"/>
    <w:rsid w:val="00AB3524"/>
    <w:rsid w:val="00AC7DE9"/>
    <w:rsid w:val="00AD659D"/>
    <w:rsid w:val="00AE0999"/>
    <w:rsid w:val="00AE0A0F"/>
    <w:rsid w:val="00AE7883"/>
    <w:rsid w:val="00AF0B7A"/>
    <w:rsid w:val="00B13600"/>
    <w:rsid w:val="00B23C52"/>
    <w:rsid w:val="00B2698A"/>
    <w:rsid w:val="00B32685"/>
    <w:rsid w:val="00B37D58"/>
    <w:rsid w:val="00B40808"/>
    <w:rsid w:val="00B43F1E"/>
    <w:rsid w:val="00B51F5D"/>
    <w:rsid w:val="00B52D77"/>
    <w:rsid w:val="00B770EF"/>
    <w:rsid w:val="00BB358B"/>
    <w:rsid w:val="00BE070D"/>
    <w:rsid w:val="00C00391"/>
    <w:rsid w:val="00C11ABC"/>
    <w:rsid w:val="00C1396C"/>
    <w:rsid w:val="00C2788C"/>
    <w:rsid w:val="00C3186B"/>
    <w:rsid w:val="00C43A97"/>
    <w:rsid w:val="00C60EE9"/>
    <w:rsid w:val="00C6443A"/>
    <w:rsid w:val="00C77F05"/>
    <w:rsid w:val="00C93DB2"/>
    <w:rsid w:val="00CB2412"/>
    <w:rsid w:val="00CB3D84"/>
    <w:rsid w:val="00CF6AF3"/>
    <w:rsid w:val="00D00A31"/>
    <w:rsid w:val="00D0675C"/>
    <w:rsid w:val="00D128CD"/>
    <w:rsid w:val="00D17CB5"/>
    <w:rsid w:val="00D47D14"/>
    <w:rsid w:val="00D54B30"/>
    <w:rsid w:val="00D65158"/>
    <w:rsid w:val="00D757F5"/>
    <w:rsid w:val="00D83CFD"/>
    <w:rsid w:val="00D92F6B"/>
    <w:rsid w:val="00D95F9D"/>
    <w:rsid w:val="00DC3510"/>
    <w:rsid w:val="00DC3ECB"/>
    <w:rsid w:val="00E03807"/>
    <w:rsid w:val="00E12503"/>
    <w:rsid w:val="00E2142D"/>
    <w:rsid w:val="00E41B14"/>
    <w:rsid w:val="00E566CD"/>
    <w:rsid w:val="00E6598B"/>
    <w:rsid w:val="00E67257"/>
    <w:rsid w:val="00E71176"/>
    <w:rsid w:val="00E72585"/>
    <w:rsid w:val="00E7551F"/>
    <w:rsid w:val="00E777EC"/>
    <w:rsid w:val="00E82403"/>
    <w:rsid w:val="00EA464F"/>
    <w:rsid w:val="00EC443F"/>
    <w:rsid w:val="00EF1B93"/>
    <w:rsid w:val="00F145F1"/>
    <w:rsid w:val="00F31A15"/>
    <w:rsid w:val="00F5567C"/>
    <w:rsid w:val="00F564B0"/>
    <w:rsid w:val="00F67E3E"/>
    <w:rsid w:val="00F74B02"/>
    <w:rsid w:val="00F94AC3"/>
    <w:rsid w:val="00FB398D"/>
    <w:rsid w:val="00FB44F1"/>
    <w:rsid w:val="00FD4578"/>
    <w:rsid w:val="00FD60D5"/>
    <w:rsid w:val="00FF3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EED1CA"/>
  <w15:chartTrackingRefBased/>
  <w15:docId w15:val="{1DDAB4DB-FFDF-455C-B98A-7419F9908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EF0"/>
    <w:pPr>
      <w:spacing w:after="0" w:line="240" w:lineRule="auto"/>
    </w:pPr>
    <w:rPr>
      <w:rFonts w:ascii="Times New Roman" w:hAnsi="Times New Roman"/>
      <w:kern w:val="0"/>
      <w:sz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4F96"/>
    <w:pPr>
      <w:ind w:left="720"/>
      <w:contextualSpacing/>
    </w:pPr>
  </w:style>
  <w:style w:type="paragraph" w:styleId="FootnoteText">
    <w:name w:val="footnote text"/>
    <w:basedOn w:val="Normal"/>
    <w:link w:val="FootnoteTextChar"/>
    <w:uiPriority w:val="99"/>
    <w:semiHidden/>
    <w:unhideWhenUsed/>
    <w:rsid w:val="00714F96"/>
    <w:rPr>
      <w:sz w:val="20"/>
      <w:szCs w:val="20"/>
    </w:rPr>
  </w:style>
  <w:style w:type="character" w:customStyle="1" w:styleId="FootnoteTextChar">
    <w:name w:val="Footnote Text Char"/>
    <w:basedOn w:val="DefaultParagraphFont"/>
    <w:link w:val="FootnoteText"/>
    <w:uiPriority w:val="99"/>
    <w:semiHidden/>
    <w:rsid w:val="00714F96"/>
    <w:rPr>
      <w:rFonts w:ascii="Times New Roman" w:hAnsi="Times New Roman"/>
      <w:kern w:val="0"/>
      <w:sz w:val="20"/>
      <w:szCs w:val="20"/>
      <w:lang w:val="en-US"/>
      <w14:ligatures w14:val="none"/>
    </w:rPr>
  </w:style>
  <w:style w:type="character" w:styleId="FootnoteReference">
    <w:name w:val="footnote reference"/>
    <w:basedOn w:val="DefaultParagraphFont"/>
    <w:uiPriority w:val="99"/>
    <w:semiHidden/>
    <w:unhideWhenUsed/>
    <w:rsid w:val="00714F96"/>
    <w:rPr>
      <w:vertAlign w:val="superscript"/>
    </w:rPr>
  </w:style>
  <w:style w:type="character" w:customStyle="1" w:styleId="proofcitation">
    <w:name w:val="proof_citation"/>
    <w:basedOn w:val="DefaultParagraphFont"/>
    <w:rsid w:val="00714F96"/>
  </w:style>
  <w:style w:type="character" w:styleId="Hyperlink">
    <w:name w:val="Hyperlink"/>
    <w:basedOn w:val="DefaultParagraphFont"/>
    <w:uiPriority w:val="99"/>
    <w:unhideWhenUsed/>
    <w:rsid w:val="00714F96"/>
    <w:rPr>
      <w:color w:val="0563C1" w:themeColor="hyperlink"/>
      <w:u w:val="single"/>
    </w:rPr>
  </w:style>
  <w:style w:type="character" w:styleId="UnresolvedMention">
    <w:name w:val="Unresolved Mention"/>
    <w:basedOn w:val="DefaultParagraphFont"/>
    <w:uiPriority w:val="99"/>
    <w:semiHidden/>
    <w:unhideWhenUsed/>
    <w:rsid w:val="00714F96"/>
    <w:rPr>
      <w:color w:val="605E5C"/>
      <w:shd w:val="clear" w:color="auto" w:fill="E1DFDD"/>
    </w:rPr>
  </w:style>
  <w:style w:type="character" w:styleId="CommentReference">
    <w:name w:val="annotation reference"/>
    <w:basedOn w:val="DefaultParagraphFont"/>
    <w:uiPriority w:val="99"/>
    <w:semiHidden/>
    <w:unhideWhenUsed/>
    <w:rsid w:val="00FD4578"/>
    <w:rPr>
      <w:sz w:val="16"/>
      <w:szCs w:val="16"/>
    </w:rPr>
  </w:style>
  <w:style w:type="paragraph" w:styleId="CommentText">
    <w:name w:val="annotation text"/>
    <w:basedOn w:val="Normal"/>
    <w:link w:val="CommentTextChar"/>
    <w:uiPriority w:val="99"/>
    <w:semiHidden/>
    <w:unhideWhenUsed/>
    <w:rsid w:val="00FD4578"/>
    <w:rPr>
      <w:sz w:val="20"/>
      <w:szCs w:val="20"/>
    </w:rPr>
  </w:style>
  <w:style w:type="character" w:customStyle="1" w:styleId="CommentTextChar">
    <w:name w:val="Comment Text Char"/>
    <w:basedOn w:val="DefaultParagraphFont"/>
    <w:link w:val="CommentText"/>
    <w:uiPriority w:val="99"/>
    <w:semiHidden/>
    <w:rsid w:val="00FD4578"/>
    <w:rPr>
      <w:rFonts w:ascii="Times New Roman" w:hAnsi="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FD4578"/>
    <w:rPr>
      <w:b/>
      <w:bCs/>
    </w:rPr>
  </w:style>
  <w:style w:type="character" w:customStyle="1" w:styleId="CommentSubjectChar">
    <w:name w:val="Comment Subject Char"/>
    <w:basedOn w:val="CommentTextChar"/>
    <w:link w:val="CommentSubject"/>
    <w:uiPriority w:val="99"/>
    <w:semiHidden/>
    <w:rsid w:val="00FD4578"/>
    <w:rPr>
      <w:rFonts w:ascii="Times New Roman" w:hAnsi="Times New Roman"/>
      <w:b/>
      <w:bCs/>
      <w:kern w:val="0"/>
      <w:sz w:val="20"/>
      <w:szCs w:val="20"/>
      <w:lang w:val="en-US"/>
      <w14:ligatures w14:val="none"/>
    </w:rPr>
  </w:style>
  <w:style w:type="paragraph" w:styleId="Header">
    <w:name w:val="header"/>
    <w:basedOn w:val="Normal"/>
    <w:link w:val="HeaderChar"/>
    <w:uiPriority w:val="99"/>
    <w:unhideWhenUsed/>
    <w:rsid w:val="0031110F"/>
    <w:pPr>
      <w:tabs>
        <w:tab w:val="center" w:pos="4513"/>
        <w:tab w:val="right" w:pos="9026"/>
      </w:tabs>
    </w:pPr>
  </w:style>
  <w:style w:type="character" w:customStyle="1" w:styleId="HeaderChar">
    <w:name w:val="Header Char"/>
    <w:basedOn w:val="DefaultParagraphFont"/>
    <w:link w:val="Header"/>
    <w:uiPriority w:val="99"/>
    <w:rsid w:val="0031110F"/>
    <w:rPr>
      <w:rFonts w:ascii="Times New Roman" w:hAnsi="Times New Roman"/>
      <w:kern w:val="0"/>
      <w:sz w:val="24"/>
      <w:lang w:val="en-US"/>
      <w14:ligatures w14:val="none"/>
    </w:rPr>
  </w:style>
  <w:style w:type="paragraph" w:styleId="Footer">
    <w:name w:val="footer"/>
    <w:basedOn w:val="Normal"/>
    <w:link w:val="FooterChar"/>
    <w:uiPriority w:val="99"/>
    <w:unhideWhenUsed/>
    <w:rsid w:val="0031110F"/>
    <w:pPr>
      <w:tabs>
        <w:tab w:val="center" w:pos="4513"/>
        <w:tab w:val="right" w:pos="9026"/>
      </w:tabs>
    </w:pPr>
  </w:style>
  <w:style w:type="character" w:customStyle="1" w:styleId="FooterChar">
    <w:name w:val="Footer Char"/>
    <w:basedOn w:val="DefaultParagraphFont"/>
    <w:link w:val="Footer"/>
    <w:uiPriority w:val="99"/>
    <w:rsid w:val="0031110F"/>
    <w:rPr>
      <w:rFonts w:ascii="Times New Roman" w:hAnsi="Times New Roman"/>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620995">
      <w:bodyDiv w:val="1"/>
      <w:marLeft w:val="0"/>
      <w:marRight w:val="0"/>
      <w:marTop w:val="0"/>
      <w:marBottom w:val="0"/>
      <w:divBdr>
        <w:top w:val="none" w:sz="0" w:space="0" w:color="auto"/>
        <w:left w:val="none" w:sz="0" w:space="0" w:color="auto"/>
        <w:bottom w:val="none" w:sz="0" w:space="0" w:color="auto"/>
        <w:right w:val="none" w:sz="0" w:space="0" w:color="auto"/>
      </w:divBdr>
      <w:divsChild>
        <w:div w:id="1188563495">
          <w:marLeft w:val="0"/>
          <w:marRight w:val="0"/>
          <w:marTop w:val="0"/>
          <w:marBottom w:val="0"/>
          <w:divBdr>
            <w:top w:val="none" w:sz="0" w:space="0" w:color="auto"/>
            <w:left w:val="none" w:sz="0" w:space="0" w:color="auto"/>
            <w:bottom w:val="none" w:sz="0" w:space="0" w:color="auto"/>
            <w:right w:val="none" w:sz="0" w:space="0" w:color="auto"/>
          </w:divBdr>
          <w:divsChild>
            <w:div w:id="157320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244528">
      <w:bodyDiv w:val="1"/>
      <w:marLeft w:val="0"/>
      <w:marRight w:val="0"/>
      <w:marTop w:val="0"/>
      <w:marBottom w:val="0"/>
      <w:divBdr>
        <w:top w:val="none" w:sz="0" w:space="0" w:color="auto"/>
        <w:left w:val="none" w:sz="0" w:space="0" w:color="auto"/>
        <w:bottom w:val="none" w:sz="0" w:space="0" w:color="auto"/>
        <w:right w:val="none" w:sz="0" w:space="0" w:color="auto"/>
      </w:divBdr>
      <w:divsChild>
        <w:div w:id="505707757">
          <w:marLeft w:val="0"/>
          <w:marRight w:val="0"/>
          <w:marTop w:val="0"/>
          <w:marBottom w:val="0"/>
          <w:divBdr>
            <w:top w:val="none" w:sz="0" w:space="0" w:color="auto"/>
            <w:left w:val="none" w:sz="0" w:space="0" w:color="auto"/>
            <w:bottom w:val="none" w:sz="0" w:space="0" w:color="auto"/>
            <w:right w:val="none" w:sz="0" w:space="0" w:color="auto"/>
          </w:divBdr>
          <w:divsChild>
            <w:div w:id="207789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064016">
      <w:bodyDiv w:val="1"/>
      <w:marLeft w:val="0"/>
      <w:marRight w:val="0"/>
      <w:marTop w:val="0"/>
      <w:marBottom w:val="0"/>
      <w:divBdr>
        <w:top w:val="none" w:sz="0" w:space="0" w:color="auto"/>
        <w:left w:val="none" w:sz="0" w:space="0" w:color="auto"/>
        <w:bottom w:val="none" w:sz="0" w:space="0" w:color="auto"/>
        <w:right w:val="none" w:sz="0" w:space="0" w:color="auto"/>
      </w:divBdr>
      <w:divsChild>
        <w:div w:id="833422628">
          <w:marLeft w:val="0"/>
          <w:marRight w:val="0"/>
          <w:marTop w:val="0"/>
          <w:marBottom w:val="0"/>
          <w:divBdr>
            <w:top w:val="none" w:sz="0" w:space="0" w:color="auto"/>
            <w:left w:val="none" w:sz="0" w:space="0" w:color="auto"/>
            <w:bottom w:val="none" w:sz="0" w:space="0" w:color="auto"/>
            <w:right w:val="none" w:sz="0" w:space="0" w:color="auto"/>
          </w:divBdr>
          <w:divsChild>
            <w:div w:id="1069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777361">
      <w:bodyDiv w:val="1"/>
      <w:marLeft w:val="0"/>
      <w:marRight w:val="0"/>
      <w:marTop w:val="0"/>
      <w:marBottom w:val="0"/>
      <w:divBdr>
        <w:top w:val="none" w:sz="0" w:space="0" w:color="auto"/>
        <w:left w:val="none" w:sz="0" w:space="0" w:color="auto"/>
        <w:bottom w:val="none" w:sz="0" w:space="0" w:color="auto"/>
        <w:right w:val="none" w:sz="0" w:space="0" w:color="auto"/>
      </w:divBdr>
      <w:divsChild>
        <w:div w:id="1416904734">
          <w:marLeft w:val="0"/>
          <w:marRight w:val="0"/>
          <w:marTop w:val="0"/>
          <w:marBottom w:val="0"/>
          <w:divBdr>
            <w:top w:val="none" w:sz="0" w:space="0" w:color="auto"/>
            <w:left w:val="none" w:sz="0" w:space="0" w:color="auto"/>
            <w:bottom w:val="none" w:sz="0" w:space="0" w:color="auto"/>
            <w:right w:val="none" w:sz="0" w:space="0" w:color="auto"/>
          </w:divBdr>
          <w:divsChild>
            <w:div w:id="198646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cologyandsociety.org/vol12/iss2/art3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93/aobpla/plu075"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vatican.va/content/francesco/en/encyclicals/documents/papa-francesco_20150524_enciclica-laudato-si.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l.science/hal-01863320/document%20on%202/1/2025" TargetMode="External"/><Relationship Id="rId5" Type="http://schemas.openxmlformats.org/officeDocument/2006/relationships/webSettings" Target="webSettings.xml"/><Relationship Id="rId15" Type="http://schemas.openxmlformats.org/officeDocument/2006/relationships/hyperlink" Target="https://doi.org/10.1038/535356a" TargetMode="External"/><Relationship Id="rId10" Type="http://schemas.openxmlformats.org/officeDocument/2006/relationships/hyperlink" Target="http://nitinat.library.ubc.ca/ojs/index.php/tc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2307/2641280.%20Accessed%2011%20Dec.%202024" TargetMode="External"/><Relationship Id="rId14" Type="http://schemas.openxmlformats.org/officeDocument/2006/relationships/hyperlink" Target="https://theweek.com/politics/new-zealand-maori-right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38/535356a" TargetMode="External"/><Relationship Id="rId7" Type="http://schemas.openxmlformats.org/officeDocument/2006/relationships/hyperlink" Target="http://nitinat.library.ubc.ca/ojs/index.php/tci" TargetMode="External"/><Relationship Id="rId2" Type="http://schemas.openxmlformats.org/officeDocument/2006/relationships/hyperlink" Target="https://hal.science/hal-01863320/document" TargetMode="External"/><Relationship Id="rId1" Type="http://schemas.openxmlformats.org/officeDocument/2006/relationships/hyperlink" Target="http://www.ecologyandsociety.org/vol12/iss2/art34/" TargetMode="External"/><Relationship Id="rId6" Type="http://schemas.openxmlformats.org/officeDocument/2006/relationships/hyperlink" Target="https://doi.org/10.1093/aobpla/plu075" TargetMode="External"/><Relationship Id="rId5" Type="http://schemas.openxmlformats.org/officeDocument/2006/relationships/hyperlink" Target="https://vatican.va/content/francesco/en/encyclicals/documents/papa-francesco_20150524_enciclica-laudato-si.html" TargetMode="External"/><Relationship Id="rId4" Type="http://schemas.openxmlformats.org/officeDocument/2006/relationships/hyperlink" Target="https://theweek.com/politics/new-zealand-maori-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36186-8328-4BCE-87B8-8BF7D797A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5360</Words>
  <Characters>30552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James</dc:creator>
  <cp:keywords/>
  <dc:description/>
  <cp:lastModifiedBy>Jill James</cp:lastModifiedBy>
  <cp:revision>3</cp:revision>
  <dcterms:created xsi:type="dcterms:W3CDTF">2025-01-03T17:09:00Z</dcterms:created>
  <dcterms:modified xsi:type="dcterms:W3CDTF">2025-01-03T17:16:00Z</dcterms:modified>
</cp:coreProperties>
</file>