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F68AC"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70EF6A1E"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2BC706B9"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0D59AA92"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43F161D4"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1E42E419"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07356402"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264A5ACC"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0D8A152F"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055B7416"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20811276" w14:textId="37D7B86D" w:rsidR="00557B22" w:rsidRPr="00360BE5" w:rsidRDefault="001067A0" w:rsidP="00360BE5">
      <w:pPr>
        <w:spacing w:line="360" w:lineRule="auto"/>
        <w:jc w:val="center"/>
        <w:rPr>
          <w:rFonts w:ascii="Times New Roman" w:eastAsia="Times New Roman" w:hAnsi="Times New Roman" w:cs="Times New Roman"/>
          <w:b/>
          <w:sz w:val="32"/>
          <w:szCs w:val="32"/>
        </w:rPr>
      </w:pPr>
      <w:r w:rsidRPr="001067A0">
        <w:rPr>
          <w:rFonts w:ascii="Times New Roman" w:eastAsia="Times New Roman" w:hAnsi="Times New Roman" w:cs="Times New Roman"/>
          <w:b/>
          <w:sz w:val="32"/>
          <w:szCs w:val="32"/>
        </w:rPr>
        <w:t>Synergy or Stagnation</w:t>
      </w:r>
    </w:p>
    <w:p w14:paraId="12AE01A0" w14:textId="77777777" w:rsidR="00557B22" w:rsidRPr="00360BE5" w:rsidRDefault="00557B22" w:rsidP="00360BE5">
      <w:pPr>
        <w:spacing w:line="360" w:lineRule="auto"/>
        <w:jc w:val="center"/>
        <w:rPr>
          <w:rFonts w:ascii="Times New Roman" w:eastAsia="Times New Roman" w:hAnsi="Times New Roman" w:cs="Times New Roman"/>
          <w:b/>
          <w:sz w:val="32"/>
          <w:szCs w:val="32"/>
        </w:rPr>
      </w:pPr>
    </w:p>
    <w:p w14:paraId="388118EA" w14:textId="77777777" w:rsidR="00557B22" w:rsidRPr="00360BE5" w:rsidRDefault="00F84221" w:rsidP="00360BE5">
      <w:pPr>
        <w:spacing w:line="360" w:lineRule="auto"/>
        <w:jc w:val="center"/>
        <w:rPr>
          <w:rFonts w:ascii="Times New Roman" w:eastAsia="Times New Roman" w:hAnsi="Times New Roman" w:cs="Times New Roman"/>
          <w:b/>
          <w:sz w:val="32"/>
          <w:szCs w:val="32"/>
        </w:rPr>
      </w:pPr>
      <w:r w:rsidRPr="00360BE5">
        <w:rPr>
          <w:rFonts w:ascii="Times New Roman" w:eastAsia="Times New Roman" w:hAnsi="Times New Roman" w:cs="Times New Roman"/>
          <w:b/>
          <w:sz w:val="32"/>
          <w:szCs w:val="32"/>
        </w:rPr>
        <w:t>The Acquisition of Instagram by Facebook: Strategic Rationale, Profitability, and Long-Term Impact</w:t>
      </w:r>
    </w:p>
    <w:p w14:paraId="4BA58EEA" w14:textId="77777777" w:rsidR="00557B22" w:rsidRPr="00360BE5" w:rsidRDefault="00557B22" w:rsidP="00360BE5">
      <w:pPr>
        <w:spacing w:line="360" w:lineRule="auto"/>
        <w:jc w:val="both"/>
        <w:rPr>
          <w:rFonts w:ascii="Times New Roman" w:eastAsia="Times New Roman" w:hAnsi="Times New Roman" w:cs="Times New Roman"/>
          <w:sz w:val="24"/>
          <w:szCs w:val="24"/>
        </w:rPr>
      </w:pPr>
    </w:p>
    <w:p w14:paraId="296892E8"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hAnsi="Times New Roman" w:cs="Times New Roman"/>
        </w:rPr>
        <w:br w:type="page"/>
      </w:r>
    </w:p>
    <w:p w14:paraId="2BD89757" w14:textId="77777777" w:rsidR="00557B22" w:rsidRPr="00360BE5" w:rsidRDefault="00F84221" w:rsidP="00360BE5">
      <w:pPr>
        <w:spacing w:line="360" w:lineRule="auto"/>
        <w:jc w:val="center"/>
        <w:rPr>
          <w:rFonts w:ascii="Times New Roman" w:eastAsia="Times New Roman" w:hAnsi="Times New Roman" w:cs="Times New Roman"/>
          <w:b/>
          <w:sz w:val="24"/>
          <w:szCs w:val="24"/>
        </w:rPr>
      </w:pPr>
      <w:r w:rsidRPr="00360BE5">
        <w:rPr>
          <w:rFonts w:ascii="Times New Roman" w:eastAsia="Times New Roman" w:hAnsi="Times New Roman" w:cs="Times New Roman"/>
          <w:b/>
          <w:sz w:val="24"/>
          <w:szCs w:val="24"/>
        </w:rPr>
        <w:lastRenderedPageBreak/>
        <w:t>Abstract</w:t>
      </w:r>
    </w:p>
    <w:p w14:paraId="2F329BE7"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This dissertation </w:t>
      </w:r>
      <w:proofErr w:type="spellStart"/>
      <w:r w:rsidRPr="00360BE5">
        <w:rPr>
          <w:rFonts w:ascii="Times New Roman" w:eastAsia="Times New Roman" w:hAnsi="Times New Roman" w:cs="Times New Roman"/>
          <w:sz w:val="24"/>
          <w:szCs w:val="24"/>
        </w:rPr>
        <w:t>analyzes</w:t>
      </w:r>
      <w:proofErr w:type="spellEnd"/>
      <w:r w:rsidRPr="00360BE5">
        <w:rPr>
          <w:rFonts w:ascii="Times New Roman" w:eastAsia="Times New Roman" w:hAnsi="Times New Roman" w:cs="Times New Roman"/>
          <w:sz w:val="24"/>
          <w:szCs w:val="24"/>
        </w:rPr>
        <w:t xml:space="preserve"> Meta’s acquisition of Instagram, examining its strategic rationale, profitability, and long-term impact on Meta’s growth trajectory. Grounded in theories such as synergy, resource-based view, and market positioning, the study evaluates how Instagram enhanced Meta’s user base, ad revenue, and competitive edge. Findings show the acquisition yielded high returns, reinforced platform dominance, and reshaped social media innovation. However, it also raised antitrust and ethical concerns regarding market consolidation. The research contributes to understanding digital M&amp;A strategy and highlights future directions involving AI-driven platforms and decentralized app competition.</w:t>
      </w:r>
    </w:p>
    <w:p w14:paraId="4393C8B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b/>
          <w:i/>
          <w:sz w:val="24"/>
          <w:szCs w:val="24"/>
        </w:rPr>
        <w:t>Keywords</w:t>
      </w:r>
      <w:r w:rsidRPr="00360BE5">
        <w:rPr>
          <w:rFonts w:ascii="Times New Roman" w:eastAsia="Times New Roman" w:hAnsi="Times New Roman" w:cs="Times New Roman"/>
          <w:sz w:val="24"/>
          <w:szCs w:val="24"/>
        </w:rPr>
        <w:t>:</w:t>
      </w:r>
    </w:p>
    <w:p w14:paraId="17878ECA" w14:textId="77777777" w:rsidR="00557B22" w:rsidRPr="00360BE5" w:rsidRDefault="00F84221" w:rsidP="00360BE5">
      <w:pPr>
        <w:spacing w:line="360" w:lineRule="auto"/>
        <w:jc w:val="both"/>
        <w:rPr>
          <w:rFonts w:ascii="Times New Roman" w:eastAsia="Times New Roman" w:hAnsi="Times New Roman" w:cs="Times New Roman"/>
          <w:i/>
          <w:sz w:val="24"/>
          <w:szCs w:val="24"/>
        </w:rPr>
      </w:pPr>
      <w:r w:rsidRPr="00360BE5">
        <w:rPr>
          <w:rFonts w:ascii="Times New Roman" w:eastAsia="Times New Roman" w:hAnsi="Times New Roman" w:cs="Times New Roman"/>
          <w:i/>
          <w:sz w:val="24"/>
          <w:szCs w:val="24"/>
        </w:rPr>
        <w:t>Meta, Instagram, Mergers and Acquisitions, Digital Strategy, Synergy Theory, Antitrust, Social Media, Competitive Advantage, AI Platforms, Decentralized Apps</w:t>
      </w:r>
    </w:p>
    <w:p w14:paraId="467D965A" w14:textId="77777777" w:rsidR="00557B22" w:rsidRPr="00360BE5" w:rsidRDefault="00F84221" w:rsidP="00360BE5">
      <w:pPr>
        <w:spacing w:line="360" w:lineRule="auto"/>
        <w:rPr>
          <w:rFonts w:ascii="Times New Roman" w:hAnsi="Times New Roman" w:cs="Times New Roman"/>
        </w:rPr>
      </w:pPr>
      <w:r w:rsidRPr="00360BE5">
        <w:rPr>
          <w:rFonts w:ascii="Times New Roman" w:hAnsi="Times New Roman" w:cs="Times New Roman"/>
        </w:rPr>
        <w:br w:type="page"/>
      </w:r>
    </w:p>
    <w:p w14:paraId="5AFDD2A9" w14:textId="77777777" w:rsidR="00557B22" w:rsidRPr="00360BE5" w:rsidRDefault="00F84221" w:rsidP="00360BE5">
      <w:pPr>
        <w:spacing w:line="360" w:lineRule="auto"/>
        <w:rPr>
          <w:rFonts w:ascii="Times New Roman" w:hAnsi="Times New Roman" w:cs="Times New Roman"/>
        </w:rPr>
      </w:pPr>
      <w:r w:rsidRPr="00360BE5">
        <w:rPr>
          <w:rFonts w:ascii="Times New Roman" w:hAnsi="Times New Roman" w:cs="Times New Roman"/>
        </w:rPr>
        <w:lastRenderedPageBreak/>
        <w:br w:type="page"/>
      </w:r>
    </w:p>
    <w:p w14:paraId="568780AC" w14:textId="77777777" w:rsidR="00557B22" w:rsidRPr="00360BE5" w:rsidRDefault="00F84221" w:rsidP="00360BE5">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sidRPr="00360BE5">
        <w:rPr>
          <w:rFonts w:ascii="Times New Roman" w:eastAsia="Times New Roman" w:hAnsi="Times New Roman" w:cs="Times New Roman"/>
          <w:b/>
          <w:color w:val="000000"/>
          <w:sz w:val="24"/>
          <w:szCs w:val="24"/>
        </w:rPr>
        <w:lastRenderedPageBreak/>
        <w:t>Table of Contents</w:t>
      </w:r>
    </w:p>
    <w:sdt>
      <w:sdtPr>
        <w:rPr>
          <w:rFonts w:ascii="Times New Roman" w:hAnsi="Times New Roman" w:cs="Times New Roman"/>
        </w:rPr>
        <w:id w:val="854154796"/>
        <w:docPartObj>
          <w:docPartGallery w:val="Table of Contents"/>
          <w:docPartUnique/>
        </w:docPartObj>
      </w:sdtPr>
      <w:sdtEndPr/>
      <w:sdtContent>
        <w:p w14:paraId="27603A2D"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rsidRPr="00360BE5">
            <w:rPr>
              <w:rFonts w:ascii="Times New Roman" w:hAnsi="Times New Roman" w:cs="Times New Roman"/>
            </w:rPr>
            <w:fldChar w:fldCharType="begin"/>
          </w:r>
          <w:r w:rsidRPr="00360BE5">
            <w:rPr>
              <w:rFonts w:ascii="Times New Roman" w:hAnsi="Times New Roman" w:cs="Times New Roman"/>
            </w:rPr>
            <w:instrText xml:space="preserve"> TOC \h \u \z \t "Heading 1,1,Heading 2,2,Heading 3,3,"</w:instrText>
          </w:r>
          <w:r w:rsidRPr="00360BE5">
            <w:rPr>
              <w:rFonts w:ascii="Times New Roman" w:hAnsi="Times New Roman" w:cs="Times New Roman"/>
            </w:rPr>
            <w:fldChar w:fldCharType="separate"/>
          </w:r>
          <w:hyperlink w:anchor="_heading=h.z7kjucawci09">
            <w:r w:rsidRPr="00360BE5">
              <w:rPr>
                <w:rFonts w:ascii="Times New Roman" w:eastAsia="Times New Roman" w:hAnsi="Times New Roman" w:cs="Times New Roman"/>
                <w:color w:val="000000"/>
                <w:sz w:val="24"/>
                <w:szCs w:val="24"/>
              </w:rPr>
              <w:t>1. Introduction</w:t>
            </w:r>
            <w:r w:rsidRPr="00360BE5">
              <w:rPr>
                <w:rFonts w:ascii="Times New Roman" w:eastAsia="Times New Roman" w:hAnsi="Times New Roman" w:cs="Times New Roman"/>
                <w:color w:val="000000"/>
                <w:sz w:val="24"/>
                <w:szCs w:val="24"/>
              </w:rPr>
              <w:tab/>
              <w:t>5</w:t>
            </w:r>
          </w:hyperlink>
        </w:p>
        <w:p w14:paraId="31A49535"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pqju0r8jhw1j">
            <w:r w:rsidRPr="00360BE5">
              <w:rPr>
                <w:rFonts w:ascii="Times New Roman" w:eastAsia="Times New Roman" w:hAnsi="Times New Roman" w:cs="Times New Roman"/>
                <w:color w:val="000000"/>
                <w:sz w:val="24"/>
                <w:szCs w:val="24"/>
              </w:rPr>
              <w:t>1.1 Background on Mergers and Acquisitions in the Tech Industry</w:t>
            </w:r>
            <w:r w:rsidRPr="00360BE5">
              <w:rPr>
                <w:rFonts w:ascii="Times New Roman" w:eastAsia="Times New Roman" w:hAnsi="Times New Roman" w:cs="Times New Roman"/>
                <w:color w:val="000000"/>
                <w:sz w:val="24"/>
                <w:szCs w:val="24"/>
              </w:rPr>
              <w:tab/>
              <w:t>5</w:t>
            </w:r>
          </w:hyperlink>
        </w:p>
        <w:p w14:paraId="11FCE953"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f9dqnaz1jmml">
            <w:r w:rsidRPr="00360BE5">
              <w:rPr>
                <w:rFonts w:ascii="Times New Roman" w:eastAsia="Times New Roman" w:hAnsi="Times New Roman" w:cs="Times New Roman"/>
                <w:color w:val="000000"/>
                <w:sz w:val="24"/>
                <w:szCs w:val="24"/>
              </w:rPr>
              <w:t>1.2 Research Problem and Gap</w:t>
            </w:r>
            <w:r w:rsidRPr="00360BE5">
              <w:rPr>
                <w:rFonts w:ascii="Times New Roman" w:eastAsia="Times New Roman" w:hAnsi="Times New Roman" w:cs="Times New Roman"/>
                <w:color w:val="000000"/>
                <w:sz w:val="24"/>
                <w:szCs w:val="24"/>
              </w:rPr>
              <w:tab/>
              <w:t>5</w:t>
            </w:r>
          </w:hyperlink>
        </w:p>
        <w:p w14:paraId="2E8FCB2D"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f30f61jjug6o">
            <w:r w:rsidRPr="00360BE5">
              <w:rPr>
                <w:rFonts w:ascii="Times New Roman" w:eastAsia="Times New Roman" w:hAnsi="Times New Roman" w:cs="Times New Roman"/>
                <w:color w:val="000000"/>
                <w:sz w:val="24"/>
                <w:szCs w:val="24"/>
              </w:rPr>
              <w:t>1.3 Aims and Objectives</w:t>
            </w:r>
            <w:r w:rsidRPr="00360BE5">
              <w:rPr>
                <w:rFonts w:ascii="Times New Roman" w:eastAsia="Times New Roman" w:hAnsi="Times New Roman" w:cs="Times New Roman"/>
                <w:color w:val="000000"/>
                <w:sz w:val="24"/>
                <w:szCs w:val="24"/>
              </w:rPr>
              <w:tab/>
              <w:t>6</w:t>
            </w:r>
          </w:hyperlink>
        </w:p>
        <w:p w14:paraId="5D7255C3"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y78evdkuw670">
            <w:r w:rsidRPr="00360BE5">
              <w:rPr>
                <w:rFonts w:ascii="Times New Roman" w:eastAsia="Times New Roman" w:hAnsi="Times New Roman" w:cs="Times New Roman"/>
                <w:color w:val="000000"/>
                <w:sz w:val="24"/>
                <w:szCs w:val="24"/>
              </w:rPr>
              <w:t>1.4 Structure of the dissertation</w:t>
            </w:r>
            <w:r w:rsidRPr="00360BE5">
              <w:rPr>
                <w:rFonts w:ascii="Times New Roman" w:eastAsia="Times New Roman" w:hAnsi="Times New Roman" w:cs="Times New Roman"/>
                <w:color w:val="000000"/>
                <w:sz w:val="24"/>
                <w:szCs w:val="24"/>
              </w:rPr>
              <w:tab/>
              <w:t>6</w:t>
            </w:r>
          </w:hyperlink>
        </w:p>
        <w:p w14:paraId="06510092"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rhc77bolggc2">
            <w:r w:rsidRPr="00360BE5">
              <w:rPr>
                <w:rFonts w:ascii="Times New Roman" w:eastAsia="Times New Roman" w:hAnsi="Times New Roman" w:cs="Times New Roman"/>
                <w:color w:val="000000"/>
                <w:sz w:val="24"/>
                <w:szCs w:val="24"/>
              </w:rPr>
              <w:t>2. Literature Review</w:t>
            </w:r>
            <w:r w:rsidRPr="00360BE5">
              <w:rPr>
                <w:rFonts w:ascii="Times New Roman" w:eastAsia="Times New Roman" w:hAnsi="Times New Roman" w:cs="Times New Roman"/>
                <w:color w:val="000000"/>
                <w:sz w:val="24"/>
                <w:szCs w:val="24"/>
              </w:rPr>
              <w:tab/>
              <w:t>7</w:t>
            </w:r>
          </w:hyperlink>
        </w:p>
        <w:p w14:paraId="6C8F95A3"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vcve4nlmhkd">
            <w:r w:rsidRPr="00360BE5">
              <w:rPr>
                <w:rFonts w:ascii="Times New Roman" w:eastAsia="Times New Roman" w:hAnsi="Times New Roman" w:cs="Times New Roman"/>
                <w:color w:val="000000"/>
                <w:sz w:val="24"/>
                <w:szCs w:val="24"/>
              </w:rPr>
              <w:t>2.1 Theoretical frameworks on M&amp;A (e.g., synergy theory, resource-based view, market positioning)</w:t>
            </w:r>
            <w:r w:rsidRPr="00360BE5">
              <w:rPr>
                <w:rFonts w:ascii="Times New Roman" w:eastAsia="Times New Roman" w:hAnsi="Times New Roman" w:cs="Times New Roman"/>
                <w:color w:val="000000"/>
                <w:sz w:val="24"/>
                <w:szCs w:val="24"/>
              </w:rPr>
              <w:tab/>
              <w:t>7</w:t>
            </w:r>
          </w:hyperlink>
        </w:p>
        <w:p w14:paraId="5B6C7BAF"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ezt8qonvqpv6">
            <w:r w:rsidRPr="00360BE5">
              <w:rPr>
                <w:rFonts w:ascii="Times New Roman" w:eastAsia="Times New Roman" w:hAnsi="Times New Roman" w:cs="Times New Roman"/>
                <w:color w:val="000000"/>
                <w:sz w:val="24"/>
                <w:szCs w:val="24"/>
              </w:rPr>
              <w:t>2.2 Brand consolidation and audience expansion post-acquisition</w:t>
            </w:r>
            <w:r w:rsidRPr="00360BE5">
              <w:rPr>
                <w:rFonts w:ascii="Times New Roman" w:eastAsia="Times New Roman" w:hAnsi="Times New Roman" w:cs="Times New Roman"/>
                <w:color w:val="000000"/>
                <w:sz w:val="24"/>
                <w:szCs w:val="24"/>
              </w:rPr>
              <w:tab/>
              <w:t>10</w:t>
            </w:r>
          </w:hyperlink>
        </w:p>
        <w:p w14:paraId="6BD1D0F2"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lbihr3loxur3">
            <w:r w:rsidRPr="00360BE5">
              <w:rPr>
                <w:rFonts w:ascii="Times New Roman" w:eastAsia="Times New Roman" w:hAnsi="Times New Roman" w:cs="Times New Roman"/>
                <w:color w:val="000000"/>
                <w:sz w:val="24"/>
                <w:szCs w:val="24"/>
              </w:rPr>
              <w:t>2.3 Gaps in existing research</w:t>
            </w:r>
            <w:r w:rsidRPr="00360BE5">
              <w:rPr>
                <w:rFonts w:ascii="Times New Roman" w:eastAsia="Times New Roman" w:hAnsi="Times New Roman" w:cs="Times New Roman"/>
                <w:color w:val="000000"/>
                <w:sz w:val="24"/>
                <w:szCs w:val="24"/>
              </w:rPr>
              <w:tab/>
              <w:t>12</w:t>
            </w:r>
          </w:hyperlink>
        </w:p>
        <w:p w14:paraId="6B49D517"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oi0kjjzcvgwb">
            <w:r w:rsidRPr="00360BE5">
              <w:rPr>
                <w:rFonts w:ascii="Times New Roman" w:eastAsia="Times New Roman" w:hAnsi="Times New Roman" w:cs="Times New Roman"/>
                <w:color w:val="000000"/>
                <w:sz w:val="24"/>
                <w:szCs w:val="24"/>
              </w:rPr>
              <w:t>3. Methodology</w:t>
            </w:r>
            <w:r w:rsidRPr="00360BE5">
              <w:rPr>
                <w:rFonts w:ascii="Times New Roman" w:eastAsia="Times New Roman" w:hAnsi="Times New Roman" w:cs="Times New Roman"/>
                <w:color w:val="000000"/>
                <w:sz w:val="24"/>
                <w:szCs w:val="24"/>
              </w:rPr>
              <w:tab/>
              <w:t>12</w:t>
            </w:r>
          </w:hyperlink>
        </w:p>
        <w:p w14:paraId="0A80B2E5"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wvaw9z7goxl2">
            <w:r w:rsidRPr="00360BE5">
              <w:rPr>
                <w:rFonts w:ascii="Times New Roman" w:eastAsia="Times New Roman" w:hAnsi="Times New Roman" w:cs="Times New Roman"/>
                <w:color w:val="000000"/>
                <w:sz w:val="24"/>
                <w:szCs w:val="24"/>
              </w:rPr>
              <w:t>3.1 Research Design</w:t>
            </w:r>
            <w:r w:rsidRPr="00360BE5">
              <w:rPr>
                <w:rFonts w:ascii="Times New Roman" w:eastAsia="Times New Roman" w:hAnsi="Times New Roman" w:cs="Times New Roman"/>
                <w:color w:val="000000"/>
                <w:sz w:val="24"/>
                <w:szCs w:val="24"/>
              </w:rPr>
              <w:tab/>
              <w:t>12</w:t>
            </w:r>
          </w:hyperlink>
        </w:p>
        <w:p w14:paraId="065B9F16"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a5i7ot9n6jxf">
            <w:r w:rsidRPr="00360BE5">
              <w:rPr>
                <w:rFonts w:ascii="Times New Roman" w:eastAsia="Times New Roman" w:hAnsi="Times New Roman" w:cs="Times New Roman"/>
                <w:color w:val="000000"/>
                <w:sz w:val="24"/>
                <w:szCs w:val="24"/>
              </w:rPr>
              <w:t>3.2 Data Collection</w:t>
            </w:r>
            <w:r w:rsidRPr="00360BE5">
              <w:rPr>
                <w:rFonts w:ascii="Times New Roman" w:eastAsia="Times New Roman" w:hAnsi="Times New Roman" w:cs="Times New Roman"/>
                <w:color w:val="000000"/>
                <w:sz w:val="24"/>
                <w:szCs w:val="24"/>
              </w:rPr>
              <w:tab/>
              <w:t>12</w:t>
            </w:r>
          </w:hyperlink>
        </w:p>
        <w:p w14:paraId="03F2C2B2"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nxn9ptbpwoz">
            <w:r w:rsidRPr="00360BE5">
              <w:rPr>
                <w:rFonts w:ascii="Times New Roman" w:eastAsia="Times New Roman" w:hAnsi="Times New Roman" w:cs="Times New Roman"/>
                <w:color w:val="000000"/>
                <w:sz w:val="24"/>
                <w:szCs w:val="24"/>
              </w:rPr>
              <w:t>3.3 Data Analysis</w:t>
            </w:r>
            <w:r w:rsidRPr="00360BE5">
              <w:rPr>
                <w:rFonts w:ascii="Times New Roman" w:eastAsia="Times New Roman" w:hAnsi="Times New Roman" w:cs="Times New Roman"/>
                <w:color w:val="000000"/>
                <w:sz w:val="24"/>
                <w:szCs w:val="24"/>
              </w:rPr>
              <w:tab/>
              <w:t>13</w:t>
            </w:r>
          </w:hyperlink>
        </w:p>
        <w:p w14:paraId="1323E6E1"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gl9mvgfw7pzv">
            <w:r w:rsidRPr="00360BE5">
              <w:rPr>
                <w:rFonts w:ascii="Times New Roman" w:eastAsia="Times New Roman" w:hAnsi="Times New Roman" w:cs="Times New Roman"/>
                <w:color w:val="000000"/>
                <w:sz w:val="24"/>
                <w:szCs w:val="24"/>
              </w:rPr>
              <w:t>3.4 Limitations</w:t>
            </w:r>
            <w:r w:rsidRPr="00360BE5">
              <w:rPr>
                <w:rFonts w:ascii="Times New Roman" w:eastAsia="Times New Roman" w:hAnsi="Times New Roman" w:cs="Times New Roman"/>
                <w:color w:val="000000"/>
                <w:sz w:val="24"/>
                <w:szCs w:val="24"/>
              </w:rPr>
              <w:tab/>
              <w:t>13</w:t>
            </w:r>
          </w:hyperlink>
        </w:p>
        <w:p w14:paraId="635D12C3"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v1fbc8pm4l9u">
            <w:r w:rsidRPr="00360BE5">
              <w:rPr>
                <w:rFonts w:ascii="Times New Roman" w:eastAsia="Times New Roman" w:hAnsi="Times New Roman" w:cs="Times New Roman"/>
                <w:color w:val="000000"/>
                <w:sz w:val="24"/>
                <w:szCs w:val="24"/>
              </w:rPr>
              <w:t>3.5 Ethical Considerations</w:t>
            </w:r>
            <w:r w:rsidRPr="00360BE5">
              <w:rPr>
                <w:rFonts w:ascii="Times New Roman" w:eastAsia="Times New Roman" w:hAnsi="Times New Roman" w:cs="Times New Roman"/>
                <w:color w:val="000000"/>
                <w:sz w:val="24"/>
                <w:szCs w:val="24"/>
              </w:rPr>
              <w:tab/>
              <w:t>13</w:t>
            </w:r>
          </w:hyperlink>
        </w:p>
        <w:p w14:paraId="04A5B88E"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gkoa1lfcnedj">
            <w:r w:rsidRPr="00360BE5">
              <w:rPr>
                <w:rFonts w:ascii="Times New Roman" w:eastAsia="Times New Roman" w:hAnsi="Times New Roman" w:cs="Times New Roman"/>
                <w:color w:val="000000"/>
                <w:sz w:val="24"/>
                <w:szCs w:val="24"/>
              </w:rPr>
              <w:t>4. Results</w:t>
            </w:r>
            <w:r w:rsidRPr="00360BE5">
              <w:rPr>
                <w:rFonts w:ascii="Times New Roman" w:eastAsia="Times New Roman" w:hAnsi="Times New Roman" w:cs="Times New Roman"/>
                <w:color w:val="000000"/>
                <w:sz w:val="24"/>
                <w:szCs w:val="24"/>
              </w:rPr>
              <w:tab/>
              <w:t>14</w:t>
            </w:r>
          </w:hyperlink>
        </w:p>
        <w:p w14:paraId="64A5E0C6"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s9q1aj4hstah">
            <w:r w:rsidRPr="00360BE5">
              <w:rPr>
                <w:rFonts w:ascii="Times New Roman" w:eastAsia="Times New Roman" w:hAnsi="Times New Roman" w:cs="Times New Roman"/>
                <w:color w:val="000000"/>
                <w:sz w:val="24"/>
                <w:szCs w:val="24"/>
              </w:rPr>
              <w:t>4.1 Instagram growth after 2012</w:t>
            </w:r>
            <w:r w:rsidRPr="00360BE5">
              <w:rPr>
                <w:rFonts w:ascii="Times New Roman" w:eastAsia="Times New Roman" w:hAnsi="Times New Roman" w:cs="Times New Roman"/>
                <w:color w:val="000000"/>
                <w:sz w:val="24"/>
                <w:szCs w:val="24"/>
              </w:rPr>
              <w:tab/>
              <w:t>14</w:t>
            </w:r>
          </w:hyperlink>
        </w:p>
        <w:p w14:paraId="4AACE6D1"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8a0zwlueznym">
            <w:r w:rsidRPr="00360BE5">
              <w:rPr>
                <w:rFonts w:ascii="Times New Roman" w:eastAsia="Times New Roman" w:hAnsi="Times New Roman" w:cs="Times New Roman"/>
                <w:color w:val="000000"/>
                <w:sz w:val="24"/>
                <w:szCs w:val="24"/>
              </w:rPr>
              <w:t>4.2 Revenue Contribution to Meta: advertising strategy, monetization timeline, comparative analysis</w:t>
            </w:r>
            <w:r w:rsidRPr="00360BE5">
              <w:rPr>
                <w:rFonts w:ascii="Times New Roman" w:eastAsia="Times New Roman" w:hAnsi="Times New Roman" w:cs="Times New Roman"/>
                <w:color w:val="000000"/>
                <w:sz w:val="24"/>
                <w:szCs w:val="24"/>
              </w:rPr>
              <w:tab/>
              <w:t>15</w:t>
            </w:r>
          </w:hyperlink>
        </w:p>
        <w:p w14:paraId="661FC66D"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pksfgv34cmj">
            <w:r w:rsidRPr="00360BE5">
              <w:rPr>
                <w:rFonts w:ascii="Times New Roman" w:eastAsia="Times New Roman" w:hAnsi="Times New Roman" w:cs="Times New Roman"/>
                <w:color w:val="000000"/>
                <w:sz w:val="24"/>
                <w:szCs w:val="24"/>
              </w:rPr>
              <w:t>4.3 Competitive Advantage: how Instagram’s features (Stories, Reels) helped Facebook compete with Snapchat and TikTok</w:t>
            </w:r>
            <w:r w:rsidRPr="00360BE5">
              <w:rPr>
                <w:rFonts w:ascii="Times New Roman" w:eastAsia="Times New Roman" w:hAnsi="Times New Roman" w:cs="Times New Roman"/>
                <w:color w:val="000000"/>
                <w:sz w:val="24"/>
                <w:szCs w:val="24"/>
              </w:rPr>
              <w:tab/>
              <w:t>16</w:t>
            </w:r>
          </w:hyperlink>
        </w:p>
        <w:p w14:paraId="6C0C3004"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a7y4hit74t5m">
            <w:r w:rsidRPr="00360BE5">
              <w:rPr>
                <w:rFonts w:ascii="Times New Roman" w:eastAsia="Times New Roman" w:hAnsi="Times New Roman" w:cs="Times New Roman"/>
                <w:color w:val="000000"/>
                <w:sz w:val="24"/>
                <w:szCs w:val="24"/>
              </w:rPr>
              <w:t>4.4 Market Share and Influence: Instagram’s role in Meta’s platform ecosystem</w:t>
            </w:r>
            <w:r w:rsidRPr="00360BE5">
              <w:rPr>
                <w:rFonts w:ascii="Times New Roman" w:eastAsia="Times New Roman" w:hAnsi="Times New Roman" w:cs="Times New Roman"/>
                <w:color w:val="000000"/>
                <w:sz w:val="24"/>
                <w:szCs w:val="24"/>
              </w:rPr>
              <w:tab/>
              <w:t>17</w:t>
            </w:r>
          </w:hyperlink>
        </w:p>
        <w:p w14:paraId="2A9B034A"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59jslq1cst87">
            <w:r w:rsidRPr="00360BE5">
              <w:rPr>
                <w:rFonts w:ascii="Times New Roman" w:eastAsia="Times New Roman" w:hAnsi="Times New Roman" w:cs="Times New Roman"/>
                <w:color w:val="000000"/>
                <w:sz w:val="24"/>
                <w:szCs w:val="24"/>
              </w:rPr>
              <w:t>5. Discussion</w:t>
            </w:r>
            <w:r w:rsidRPr="00360BE5">
              <w:rPr>
                <w:rFonts w:ascii="Times New Roman" w:eastAsia="Times New Roman" w:hAnsi="Times New Roman" w:cs="Times New Roman"/>
                <w:color w:val="000000"/>
                <w:sz w:val="24"/>
                <w:szCs w:val="24"/>
              </w:rPr>
              <w:tab/>
              <w:t>18</w:t>
            </w:r>
          </w:hyperlink>
        </w:p>
        <w:p w14:paraId="17D9EED9"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53vlkmdd8j">
            <w:r w:rsidRPr="00360BE5">
              <w:rPr>
                <w:rFonts w:ascii="Times New Roman" w:eastAsia="Times New Roman" w:hAnsi="Times New Roman" w:cs="Times New Roman"/>
                <w:color w:val="000000"/>
                <w:sz w:val="24"/>
                <w:szCs w:val="24"/>
              </w:rPr>
              <w:t>5.1 Strategic Rationale: analysis of whether the acquisition achieved Facebook’s stated and unstated goals</w:t>
            </w:r>
            <w:r w:rsidRPr="00360BE5">
              <w:rPr>
                <w:rFonts w:ascii="Times New Roman" w:eastAsia="Times New Roman" w:hAnsi="Times New Roman" w:cs="Times New Roman"/>
                <w:color w:val="000000"/>
                <w:sz w:val="24"/>
                <w:szCs w:val="24"/>
              </w:rPr>
              <w:tab/>
              <w:t>18</w:t>
            </w:r>
          </w:hyperlink>
        </w:p>
        <w:p w14:paraId="1EACC0D1"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8sapg4nqgp2h">
            <w:r w:rsidRPr="00360BE5">
              <w:rPr>
                <w:rFonts w:ascii="Times New Roman" w:eastAsia="Times New Roman" w:hAnsi="Times New Roman" w:cs="Times New Roman"/>
                <w:color w:val="000000"/>
                <w:sz w:val="24"/>
                <w:szCs w:val="24"/>
              </w:rPr>
              <w:t>5.2 Profitability &amp; Synergies: cost-benefit analysis over time; hidden synergies (data, tech, talent, ad revenue)</w:t>
            </w:r>
            <w:r w:rsidRPr="00360BE5">
              <w:rPr>
                <w:rFonts w:ascii="Times New Roman" w:eastAsia="Times New Roman" w:hAnsi="Times New Roman" w:cs="Times New Roman"/>
                <w:color w:val="000000"/>
                <w:sz w:val="24"/>
                <w:szCs w:val="24"/>
              </w:rPr>
              <w:tab/>
              <w:t>18</w:t>
            </w:r>
          </w:hyperlink>
        </w:p>
        <w:p w14:paraId="646DDE6D"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j0aazm3qm0o9">
            <w:r w:rsidRPr="00360BE5">
              <w:rPr>
                <w:rFonts w:ascii="Times New Roman" w:eastAsia="Times New Roman" w:hAnsi="Times New Roman" w:cs="Times New Roman"/>
                <w:color w:val="000000"/>
                <w:sz w:val="24"/>
                <w:szCs w:val="24"/>
              </w:rPr>
              <w:t>5.3 Cultural Integration and Autonomy: Instagram’s operational independence under Meta and effects on innovation</w:t>
            </w:r>
            <w:r w:rsidRPr="00360BE5">
              <w:rPr>
                <w:rFonts w:ascii="Times New Roman" w:eastAsia="Times New Roman" w:hAnsi="Times New Roman" w:cs="Times New Roman"/>
                <w:color w:val="000000"/>
                <w:sz w:val="24"/>
                <w:szCs w:val="24"/>
              </w:rPr>
              <w:tab/>
              <w:t>20</w:t>
            </w:r>
          </w:hyperlink>
        </w:p>
        <w:p w14:paraId="65FAE6E5"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kkdotnmvkhz5">
            <w:r w:rsidRPr="00360BE5">
              <w:rPr>
                <w:rFonts w:ascii="Times New Roman" w:eastAsia="Times New Roman" w:hAnsi="Times New Roman" w:cs="Times New Roman"/>
                <w:color w:val="000000"/>
                <w:sz w:val="24"/>
                <w:szCs w:val="24"/>
              </w:rPr>
              <w:t>5.4 Regulatory and Ethical Considerations: competition, antitrust debates, and their implications</w:t>
            </w:r>
            <w:r w:rsidRPr="00360BE5">
              <w:rPr>
                <w:rFonts w:ascii="Times New Roman" w:eastAsia="Times New Roman" w:hAnsi="Times New Roman" w:cs="Times New Roman"/>
                <w:color w:val="000000"/>
                <w:sz w:val="24"/>
                <w:szCs w:val="24"/>
              </w:rPr>
              <w:tab/>
              <w:t>20</w:t>
            </w:r>
          </w:hyperlink>
        </w:p>
        <w:p w14:paraId="6578BD39"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fgnp6xfex5fv">
            <w:r w:rsidRPr="00360BE5">
              <w:rPr>
                <w:rFonts w:ascii="Times New Roman" w:eastAsia="Times New Roman" w:hAnsi="Times New Roman" w:cs="Times New Roman"/>
                <w:color w:val="000000"/>
                <w:sz w:val="24"/>
                <w:szCs w:val="24"/>
              </w:rPr>
              <w:t>5.5 Comparative Perspective: how the Instagram deal compares with other major tech acquisitions (e.g., WhatsApp, YouTube by Google)</w:t>
            </w:r>
            <w:r w:rsidRPr="00360BE5">
              <w:rPr>
                <w:rFonts w:ascii="Times New Roman" w:eastAsia="Times New Roman" w:hAnsi="Times New Roman" w:cs="Times New Roman"/>
                <w:color w:val="000000"/>
                <w:sz w:val="24"/>
                <w:szCs w:val="24"/>
              </w:rPr>
              <w:tab/>
              <w:t>21</w:t>
            </w:r>
          </w:hyperlink>
        </w:p>
        <w:p w14:paraId="64003255"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2zdloz4ki2rs">
            <w:r w:rsidRPr="00360BE5">
              <w:rPr>
                <w:rFonts w:ascii="Times New Roman" w:eastAsia="Times New Roman" w:hAnsi="Times New Roman" w:cs="Times New Roman"/>
                <w:color w:val="000000"/>
                <w:sz w:val="24"/>
                <w:szCs w:val="24"/>
              </w:rPr>
              <w:t>6. Conclusion</w:t>
            </w:r>
            <w:r w:rsidRPr="00360BE5">
              <w:rPr>
                <w:rFonts w:ascii="Times New Roman" w:eastAsia="Times New Roman" w:hAnsi="Times New Roman" w:cs="Times New Roman"/>
                <w:color w:val="000000"/>
                <w:sz w:val="24"/>
                <w:szCs w:val="24"/>
              </w:rPr>
              <w:tab/>
              <w:t>21</w:t>
            </w:r>
          </w:hyperlink>
        </w:p>
        <w:p w14:paraId="7697E607"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sych68m0k52">
            <w:r w:rsidRPr="00360BE5">
              <w:rPr>
                <w:rFonts w:ascii="Times New Roman" w:eastAsia="Times New Roman" w:hAnsi="Times New Roman" w:cs="Times New Roman"/>
                <w:color w:val="000000"/>
                <w:sz w:val="24"/>
                <w:szCs w:val="24"/>
              </w:rPr>
              <w:t>6.1 Summary of key findings</w:t>
            </w:r>
            <w:r w:rsidRPr="00360BE5">
              <w:rPr>
                <w:rFonts w:ascii="Times New Roman" w:eastAsia="Times New Roman" w:hAnsi="Times New Roman" w:cs="Times New Roman"/>
                <w:color w:val="000000"/>
                <w:sz w:val="24"/>
                <w:szCs w:val="24"/>
              </w:rPr>
              <w:tab/>
              <w:t>21</w:t>
            </w:r>
          </w:hyperlink>
        </w:p>
        <w:p w14:paraId="3C60A41D"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psobrrrun5zr">
            <w:r w:rsidRPr="00360BE5">
              <w:rPr>
                <w:rFonts w:ascii="Times New Roman" w:eastAsia="Times New Roman" w:hAnsi="Times New Roman" w:cs="Times New Roman"/>
                <w:color w:val="000000"/>
                <w:sz w:val="24"/>
                <w:szCs w:val="24"/>
              </w:rPr>
              <w:t>6.2 Reflections on the acquisition's long-term impact on Meta's growth strategy</w:t>
            </w:r>
            <w:r w:rsidRPr="00360BE5">
              <w:rPr>
                <w:rFonts w:ascii="Times New Roman" w:eastAsia="Times New Roman" w:hAnsi="Times New Roman" w:cs="Times New Roman"/>
                <w:color w:val="000000"/>
                <w:sz w:val="24"/>
                <w:szCs w:val="24"/>
              </w:rPr>
              <w:tab/>
              <w:t>22</w:t>
            </w:r>
          </w:hyperlink>
        </w:p>
        <w:p w14:paraId="6284B2E4"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ehjo6fqmww6">
            <w:r w:rsidRPr="00360BE5">
              <w:rPr>
                <w:rFonts w:ascii="Times New Roman" w:eastAsia="Times New Roman" w:hAnsi="Times New Roman" w:cs="Times New Roman"/>
                <w:color w:val="000000"/>
                <w:sz w:val="24"/>
                <w:szCs w:val="24"/>
              </w:rPr>
              <w:t>6.3 Contributions to the understanding of strategic digital mergers and acquisitions</w:t>
            </w:r>
            <w:r w:rsidRPr="00360BE5">
              <w:rPr>
                <w:rFonts w:ascii="Times New Roman" w:eastAsia="Times New Roman" w:hAnsi="Times New Roman" w:cs="Times New Roman"/>
                <w:color w:val="000000"/>
                <w:sz w:val="24"/>
                <w:szCs w:val="24"/>
              </w:rPr>
              <w:tab/>
              <w:t>22</w:t>
            </w:r>
          </w:hyperlink>
        </w:p>
        <w:p w14:paraId="17CFC42D"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ula5ijxemmw">
            <w:r w:rsidRPr="00360BE5">
              <w:rPr>
                <w:rFonts w:ascii="Times New Roman" w:eastAsia="Times New Roman" w:hAnsi="Times New Roman" w:cs="Times New Roman"/>
                <w:color w:val="000000"/>
                <w:sz w:val="24"/>
                <w:szCs w:val="24"/>
              </w:rPr>
              <w:t>6.4 Suggestions for future research: AI-driven platforms, new competition from decentralized applications</w:t>
            </w:r>
            <w:r w:rsidRPr="00360BE5">
              <w:rPr>
                <w:rFonts w:ascii="Times New Roman" w:eastAsia="Times New Roman" w:hAnsi="Times New Roman" w:cs="Times New Roman"/>
                <w:color w:val="000000"/>
                <w:sz w:val="24"/>
                <w:szCs w:val="24"/>
              </w:rPr>
              <w:tab/>
              <w:t>22</w:t>
            </w:r>
          </w:hyperlink>
        </w:p>
        <w:p w14:paraId="18A5A2AE" w14:textId="77777777" w:rsidR="00557B22" w:rsidRPr="00360BE5" w:rsidRDefault="00F84221" w:rsidP="00360BE5">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8y2x8yz5x5f">
            <w:r w:rsidRPr="00360BE5">
              <w:rPr>
                <w:rFonts w:ascii="Times New Roman" w:eastAsia="Times New Roman" w:hAnsi="Times New Roman" w:cs="Times New Roman"/>
                <w:color w:val="000000"/>
                <w:sz w:val="24"/>
                <w:szCs w:val="24"/>
              </w:rPr>
              <w:t>6.5 Final thoughts on whether the acquisition was “worth it”</w:t>
            </w:r>
            <w:r w:rsidRPr="00360BE5">
              <w:rPr>
                <w:rFonts w:ascii="Times New Roman" w:eastAsia="Times New Roman" w:hAnsi="Times New Roman" w:cs="Times New Roman"/>
                <w:color w:val="000000"/>
                <w:sz w:val="24"/>
                <w:szCs w:val="24"/>
              </w:rPr>
              <w:tab/>
              <w:t>22</w:t>
            </w:r>
          </w:hyperlink>
        </w:p>
        <w:p w14:paraId="255EA6C2" w14:textId="77777777" w:rsidR="00557B22" w:rsidRPr="00360BE5" w:rsidRDefault="00F84221" w:rsidP="00360BE5">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a9z3ibaq7cd0">
            <w:r w:rsidRPr="00360BE5">
              <w:rPr>
                <w:rFonts w:ascii="Times New Roman" w:eastAsia="Times New Roman" w:hAnsi="Times New Roman" w:cs="Times New Roman"/>
                <w:color w:val="000000"/>
                <w:sz w:val="24"/>
                <w:szCs w:val="24"/>
              </w:rPr>
              <w:t>References</w:t>
            </w:r>
            <w:r w:rsidRPr="00360BE5">
              <w:rPr>
                <w:rFonts w:ascii="Times New Roman" w:eastAsia="Times New Roman" w:hAnsi="Times New Roman" w:cs="Times New Roman"/>
                <w:color w:val="000000"/>
                <w:sz w:val="24"/>
                <w:szCs w:val="24"/>
              </w:rPr>
              <w:tab/>
              <w:t>24</w:t>
            </w:r>
          </w:hyperlink>
        </w:p>
        <w:p w14:paraId="3B302722"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hAnsi="Times New Roman" w:cs="Times New Roman"/>
            </w:rPr>
            <w:fldChar w:fldCharType="end"/>
          </w:r>
        </w:p>
      </w:sdtContent>
    </w:sdt>
    <w:p w14:paraId="415A2835" w14:textId="77777777" w:rsidR="00557B22" w:rsidRPr="00360BE5" w:rsidRDefault="00557B22" w:rsidP="00360BE5">
      <w:pPr>
        <w:spacing w:line="360" w:lineRule="auto"/>
        <w:jc w:val="both"/>
        <w:rPr>
          <w:rFonts w:ascii="Times New Roman" w:eastAsia="Times New Roman" w:hAnsi="Times New Roman" w:cs="Times New Roman"/>
          <w:sz w:val="24"/>
          <w:szCs w:val="24"/>
        </w:rPr>
      </w:pPr>
    </w:p>
    <w:p w14:paraId="3AC53F76" w14:textId="77777777" w:rsidR="00557B22" w:rsidRPr="00360BE5" w:rsidRDefault="00F84221" w:rsidP="00360BE5">
      <w:pPr>
        <w:spacing w:line="360" w:lineRule="auto"/>
        <w:rPr>
          <w:rFonts w:ascii="Times New Roman" w:eastAsia="Times New Roman" w:hAnsi="Times New Roman" w:cs="Times New Roman"/>
          <w:b/>
          <w:sz w:val="24"/>
          <w:szCs w:val="24"/>
        </w:rPr>
      </w:pPr>
      <w:r w:rsidRPr="00360BE5">
        <w:rPr>
          <w:rFonts w:ascii="Times New Roman" w:hAnsi="Times New Roman" w:cs="Times New Roman"/>
        </w:rPr>
        <w:br w:type="page"/>
      </w:r>
    </w:p>
    <w:p w14:paraId="3C207346" w14:textId="77777777" w:rsidR="00557B22" w:rsidRPr="00360BE5" w:rsidRDefault="00F84221" w:rsidP="00360BE5">
      <w:pPr>
        <w:pBdr>
          <w:top w:val="nil"/>
          <w:left w:val="nil"/>
          <w:bottom w:val="nil"/>
          <w:right w:val="nil"/>
          <w:between w:val="nil"/>
        </w:pBdr>
        <w:tabs>
          <w:tab w:val="right" w:pos="9019"/>
        </w:tabs>
        <w:spacing w:line="360" w:lineRule="auto"/>
        <w:jc w:val="center"/>
        <w:rPr>
          <w:rFonts w:ascii="Times New Roman" w:eastAsia="Times New Roman" w:hAnsi="Times New Roman" w:cs="Times New Roman"/>
          <w:b/>
          <w:color w:val="000000"/>
          <w:sz w:val="24"/>
          <w:szCs w:val="24"/>
        </w:rPr>
      </w:pPr>
      <w:r w:rsidRPr="00360BE5">
        <w:rPr>
          <w:rFonts w:ascii="Times New Roman" w:eastAsia="Times New Roman" w:hAnsi="Times New Roman" w:cs="Times New Roman"/>
          <w:b/>
          <w:color w:val="000000"/>
          <w:sz w:val="24"/>
          <w:szCs w:val="24"/>
        </w:rPr>
        <w:lastRenderedPageBreak/>
        <w:t>List of figures</w:t>
      </w:r>
    </w:p>
    <w:sdt>
      <w:sdtPr>
        <w:rPr>
          <w:rFonts w:ascii="Times New Roman" w:hAnsi="Times New Roman" w:cs="Times New Roman"/>
        </w:rPr>
        <w:id w:val="44960453"/>
        <w:docPartObj>
          <w:docPartGallery w:val="Table of Contents"/>
          <w:docPartUnique/>
        </w:docPartObj>
      </w:sdtPr>
      <w:sdtEndPr/>
      <w:sdtContent>
        <w:p w14:paraId="43F3235D"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r w:rsidRPr="00360BE5">
            <w:rPr>
              <w:rFonts w:ascii="Times New Roman" w:hAnsi="Times New Roman" w:cs="Times New Roman"/>
            </w:rPr>
            <w:fldChar w:fldCharType="begin"/>
          </w:r>
          <w:r w:rsidRPr="00360BE5">
            <w:rPr>
              <w:rFonts w:ascii="Times New Roman" w:hAnsi="Times New Roman" w:cs="Times New Roman"/>
            </w:rPr>
            <w:instrText xml:space="preserve"> TOC \h \u \z \t "Heading 1,1,Heading 2,2,Heading 3,3,Heading 4,4,Heading 5,5,Heading 6,6,"</w:instrText>
          </w:r>
          <w:r w:rsidRPr="00360BE5">
            <w:rPr>
              <w:rFonts w:ascii="Times New Roman" w:hAnsi="Times New Roman" w:cs="Times New Roman"/>
            </w:rPr>
            <w:fldChar w:fldCharType="separate"/>
          </w:r>
          <w:hyperlink w:anchor="_heading=h.llwm52g08yza">
            <w:r w:rsidRPr="00360BE5">
              <w:rPr>
                <w:rFonts w:ascii="Times New Roman" w:eastAsia="Times New Roman" w:hAnsi="Times New Roman" w:cs="Times New Roman"/>
                <w:color w:val="000000"/>
                <w:sz w:val="24"/>
                <w:szCs w:val="24"/>
              </w:rPr>
              <w:t>Figure 1: Dissertation structure</w:t>
            </w:r>
            <w:r w:rsidRPr="00360BE5">
              <w:rPr>
                <w:rFonts w:ascii="Times New Roman" w:eastAsia="Times New Roman" w:hAnsi="Times New Roman" w:cs="Times New Roman"/>
                <w:color w:val="000000"/>
                <w:sz w:val="24"/>
                <w:szCs w:val="24"/>
              </w:rPr>
              <w:tab/>
              <w:t>6</w:t>
            </w:r>
          </w:hyperlink>
        </w:p>
        <w:p w14:paraId="61A085F1"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iisluqxbpe56">
            <w:r w:rsidRPr="00360BE5">
              <w:rPr>
                <w:rFonts w:ascii="Times New Roman" w:eastAsia="Times New Roman" w:hAnsi="Times New Roman" w:cs="Times New Roman"/>
                <w:color w:val="000000"/>
                <w:sz w:val="24"/>
                <w:szCs w:val="24"/>
              </w:rPr>
              <w:t>Figure 2: Facebook dominates social media landscape</w:t>
            </w:r>
            <w:r w:rsidRPr="00360BE5">
              <w:rPr>
                <w:rFonts w:ascii="Times New Roman" w:eastAsia="Times New Roman" w:hAnsi="Times New Roman" w:cs="Times New Roman"/>
                <w:color w:val="000000"/>
                <w:sz w:val="24"/>
                <w:szCs w:val="24"/>
              </w:rPr>
              <w:tab/>
              <w:t>8</w:t>
            </w:r>
          </w:hyperlink>
        </w:p>
        <w:p w14:paraId="663F629D"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681g8z2onqyb">
            <w:r w:rsidRPr="00360BE5">
              <w:rPr>
                <w:rFonts w:ascii="Times New Roman" w:eastAsia="Times New Roman" w:hAnsi="Times New Roman" w:cs="Times New Roman"/>
                <w:color w:val="000000"/>
                <w:sz w:val="24"/>
                <w:szCs w:val="24"/>
              </w:rPr>
              <w:t>Figure 3: Facebook ads in social media landscape</w:t>
            </w:r>
            <w:r w:rsidRPr="00360BE5">
              <w:rPr>
                <w:rFonts w:ascii="Times New Roman" w:eastAsia="Times New Roman" w:hAnsi="Times New Roman" w:cs="Times New Roman"/>
                <w:color w:val="000000"/>
                <w:sz w:val="24"/>
                <w:szCs w:val="24"/>
              </w:rPr>
              <w:tab/>
              <w:t>9</w:t>
            </w:r>
          </w:hyperlink>
        </w:p>
        <w:p w14:paraId="28B708BD"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uskzt0ku5odv">
            <w:r w:rsidRPr="00360BE5">
              <w:rPr>
                <w:rFonts w:ascii="Times New Roman" w:eastAsia="Times New Roman" w:hAnsi="Times New Roman" w:cs="Times New Roman"/>
                <w:color w:val="000000"/>
                <w:sz w:val="24"/>
                <w:szCs w:val="24"/>
              </w:rPr>
              <w:t>Figure 4: Meta advancement</w:t>
            </w:r>
            <w:r w:rsidRPr="00360BE5">
              <w:rPr>
                <w:rFonts w:ascii="Times New Roman" w:eastAsia="Times New Roman" w:hAnsi="Times New Roman" w:cs="Times New Roman"/>
                <w:color w:val="000000"/>
                <w:sz w:val="24"/>
                <w:szCs w:val="24"/>
              </w:rPr>
              <w:tab/>
              <w:t>11</w:t>
            </w:r>
          </w:hyperlink>
        </w:p>
        <w:p w14:paraId="10D6FD20"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utxgkhj2i3sq">
            <w:r w:rsidRPr="00360BE5">
              <w:rPr>
                <w:rFonts w:ascii="Times New Roman" w:eastAsia="Times New Roman" w:hAnsi="Times New Roman" w:cs="Times New Roman"/>
                <w:color w:val="000000"/>
                <w:sz w:val="24"/>
                <w:szCs w:val="24"/>
              </w:rPr>
              <w:t>Figure 5: One billion users</w:t>
            </w:r>
            <w:r w:rsidRPr="00360BE5">
              <w:rPr>
                <w:rFonts w:ascii="Times New Roman" w:eastAsia="Times New Roman" w:hAnsi="Times New Roman" w:cs="Times New Roman"/>
                <w:color w:val="000000"/>
                <w:sz w:val="24"/>
                <w:szCs w:val="24"/>
              </w:rPr>
              <w:tab/>
              <w:t>15</w:t>
            </w:r>
          </w:hyperlink>
        </w:p>
        <w:p w14:paraId="22B96C86"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ua351qbsxpx">
            <w:r w:rsidRPr="00360BE5">
              <w:rPr>
                <w:rFonts w:ascii="Times New Roman" w:eastAsia="Times New Roman" w:hAnsi="Times New Roman" w:cs="Times New Roman"/>
                <w:color w:val="000000"/>
                <w:sz w:val="24"/>
                <w:szCs w:val="24"/>
              </w:rPr>
              <w:t>Figure 6: Facebook acquisition of Instagram</w:t>
            </w:r>
            <w:r w:rsidRPr="00360BE5">
              <w:rPr>
                <w:rFonts w:ascii="Times New Roman" w:eastAsia="Times New Roman" w:hAnsi="Times New Roman" w:cs="Times New Roman"/>
                <w:color w:val="000000"/>
                <w:sz w:val="24"/>
                <w:szCs w:val="24"/>
              </w:rPr>
              <w:tab/>
              <w:t>17</w:t>
            </w:r>
          </w:hyperlink>
        </w:p>
        <w:p w14:paraId="3E85177D" w14:textId="77777777" w:rsidR="00557B22" w:rsidRPr="00360BE5" w:rsidRDefault="00F84221" w:rsidP="00360BE5">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sz w:val="24"/>
              <w:szCs w:val="24"/>
            </w:rPr>
          </w:pPr>
          <w:hyperlink w:anchor="_heading=h.dsyyzvoe4vkb">
            <w:r w:rsidRPr="00360BE5">
              <w:rPr>
                <w:rFonts w:ascii="Times New Roman" w:eastAsia="Times New Roman" w:hAnsi="Times New Roman" w:cs="Times New Roman"/>
                <w:color w:val="000000"/>
                <w:sz w:val="24"/>
                <w:szCs w:val="24"/>
              </w:rPr>
              <w:t>Figure 7: Personal data uses</w:t>
            </w:r>
            <w:r w:rsidRPr="00360BE5">
              <w:rPr>
                <w:rFonts w:ascii="Times New Roman" w:eastAsia="Times New Roman" w:hAnsi="Times New Roman" w:cs="Times New Roman"/>
                <w:color w:val="000000"/>
                <w:sz w:val="24"/>
                <w:szCs w:val="24"/>
              </w:rPr>
              <w:tab/>
              <w:t>19</w:t>
            </w:r>
          </w:hyperlink>
          <w:r w:rsidRPr="00360BE5">
            <w:rPr>
              <w:rFonts w:ascii="Times New Roman" w:hAnsi="Times New Roman" w:cs="Times New Roman"/>
            </w:rPr>
            <w:fldChar w:fldCharType="end"/>
          </w:r>
        </w:p>
      </w:sdtContent>
    </w:sdt>
    <w:p w14:paraId="12E2E2D7"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hAnsi="Times New Roman" w:cs="Times New Roman"/>
        </w:rPr>
        <w:br w:type="page"/>
      </w:r>
    </w:p>
    <w:p w14:paraId="25251013" w14:textId="77777777" w:rsidR="00557B22" w:rsidRPr="00360BE5" w:rsidRDefault="00F84221" w:rsidP="00360BE5">
      <w:pPr>
        <w:pStyle w:val="Heading1"/>
      </w:pPr>
      <w:bookmarkStart w:id="0" w:name="_heading=h.z7kjucawci09" w:colFirst="0" w:colLast="0"/>
      <w:bookmarkEnd w:id="0"/>
      <w:r w:rsidRPr="00360BE5">
        <w:lastRenderedPageBreak/>
        <w:t>1. Introduction</w:t>
      </w:r>
    </w:p>
    <w:p w14:paraId="19E664B3" w14:textId="77777777" w:rsidR="00557B22" w:rsidRPr="00360BE5" w:rsidRDefault="00F84221" w:rsidP="00360BE5">
      <w:pPr>
        <w:pStyle w:val="Heading2"/>
      </w:pPr>
      <w:bookmarkStart w:id="1" w:name="_heading=h.pqju0r8jhw1j" w:colFirst="0" w:colLast="0"/>
      <w:bookmarkEnd w:id="1"/>
      <w:r w:rsidRPr="00360BE5">
        <w:t>1.1 Background on Mergers and Acquisitions in the Tech Industry</w:t>
      </w:r>
    </w:p>
    <w:p w14:paraId="36B1D88E"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Mergers and acquisitions (M&amp;A) for quite some time, have been the quintessence of strategic action for technology </w:t>
      </w:r>
      <w:proofErr w:type="gramStart"/>
      <w:r w:rsidRPr="00360BE5">
        <w:rPr>
          <w:rFonts w:ascii="Times New Roman" w:eastAsia="Times New Roman" w:hAnsi="Times New Roman" w:cs="Times New Roman"/>
          <w:sz w:val="24"/>
          <w:szCs w:val="24"/>
        </w:rPr>
        <w:t>companies</w:t>
      </w:r>
      <w:proofErr w:type="gramEnd"/>
      <w:r w:rsidRPr="00360BE5">
        <w:rPr>
          <w:rFonts w:ascii="Times New Roman" w:eastAsia="Times New Roman" w:hAnsi="Times New Roman" w:cs="Times New Roman"/>
          <w:sz w:val="24"/>
          <w:szCs w:val="24"/>
        </w:rPr>
        <w:t xml:space="preserve"> intent on gaining market share, fast-tracking growth, and obtaining innovative capabilities. The tech domain, which is very much characterized by rapid change, network effects, and scalability, has been witnessing an M&amp;A boom since the 1990s (Xu, 2024). M&amp;A, particularly as a lever of growth, is prevalent among the large companies that dominate a digital platform, which are forever in pursuit of acquisitions of smaller and more innovative startups to embrace the latter's disruptive technologies and gifted manpower (O'Neill, 2021). The acquisition of Instagram by Facebook in April 2012 was an epoch-making deal in the annals of digital mergers. At approximately $1 billion, it was an enormous deal given that Instagram was a photo-sharing app with over 30 million users in just two years of its launch, being propelled to hyper-growth under a small team of just 13 employees at the time of acquisition. Facebook needed this acquisition more than ever ahead of its IPO as it was facing serious competition from mobile-first applications. While Instagram posed a competitive threat with its acclaimed brand and mobile-native interface, little did Facebook know that it would present an opportunity for it to load consolidated engagement and interactions on the mobile </w:t>
      </w:r>
      <w:proofErr w:type="gramStart"/>
      <w:r w:rsidRPr="00360BE5">
        <w:rPr>
          <w:rFonts w:ascii="Times New Roman" w:eastAsia="Times New Roman" w:hAnsi="Times New Roman" w:cs="Times New Roman"/>
          <w:sz w:val="24"/>
          <w:szCs w:val="24"/>
        </w:rPr>
        <w:t>platform.(</w:t>
      </w:r>
      <w:proofErr w:type="gramEnd"/>
      <w:r w:rsidRPr="00360BE5">
        <w:rPr>
          <w:rFonts w:ascii="Times New Roman" w:eastAsia="Times New Roman" w:hAnsi="Times New Roman" w:cs="Times New Roman"/>
          <w:sz w:val="24"/>
          <w:szCs w:val="24"/>
        </w:rPr>
        <w:t>Hay &amp; Turgeon, 2023).</w:t>
      </w:r>
    </w:p>
    <w:p w14:paraId="5FCD9BE5" w14:textId="77777777" w:rsidR="00557B22" w:rsidRPr="00360BE5" w:rsidRDefault="00F84221" w:rsidP="00360BE5">
      <w:pPr>
        <w:pStyle w:val="Heading2"/>
      </w:pPr>
      <w:bookmarkStart w:id="2" w:name="_heading=h.f9dqnaz1jmml" w:colFirst="0" w:colLast="0"/>
      <w:bookmarkEnd w:id="2"/>
      <w:r w:rsidRPr="00360BE5">
        <w:t>1.2 Research Problem and Gap</w:t>
      </w:r>
    </w:p>
    <w:p w14:paraId="6DE29800"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Much of the scholarly and media analysis pertaining to the acquisition of Instagram by Facebook has been focused on short-term outcomes such as valuation and antitrust issues. However, the long-term strategic value of this acquisition is under-explored. Existing literature evaluates the M&amp;A success on short-term financial metrics like announcement-period abnormal returns or immediate user growth (Yang &amp; Zeng, 2024; Xu, 2024). Given this reality of digital ecosystems that keep evolving, a longitudinal perspective becomes vital for understanding how the integration of Instagram into Facebook impacts the two companies' profitability, competitive positioning, and market dominance over the past ten years. The rising academic attention devoted to intangible factors like executive social capital and media sentiment towards M&amp;A outcomes (Debi et al., 2025; Pham et al., 2024) is also increasing. However, these frameworks have yet to be fully applied in </w:t>
      </w:r>
      <w:proofErr w:type="spellStart"/>
      <w:r w:rsidRPr="00360BE5">
        <w:rPr>
          <w:rFonts w:ascii="Times New Roman" w:eastAsia="Times New Roman" w:hAnsi="Times New Roman" w:cs="Times New Roman"/>
          <w:sz w:val="24"/>
          <w:szCs w:val="24"/>
        </w:rPr>
        <w:t>analyzing</w:t>
      </w:r>
      <w:proofErr w:type="spellEnd"/>
      <w:r w:rsidRPr="00360BE5">
        <w:rPr>
          <w:rFonts w:ascii="Times New Roman" w:eastAsia="Times New Roman" w:hAnsi="Times New Roman" w:cs="Times New Roman"/>
          <w:sz w:val="24"/>
          <w:szCs w:val="24"/>
        </w:rPr>
        <w:t xml:space="preserve"> considerations from the deal's viewpoint. Neither has detailed analysis been done about how the deal fits into its wider strategic goals regarding data monetization, user base consolidation, and market foreclosure (Boni et al., 2018).</w:t>
      </w:r>
    </w:p>
    <w:p w14:paraId="28EE22D9" w14:textId="77777777" w:rsidR="00557B22" w:rsidRPr="00360BE5" w:rsidRDefault="00F84221" w:rsidP="00360BE5">
      <w:pPr>
        <w:pStyle w:val="Heading2"/>
      </w:pPr>
      <w:bookmarkStart w:id="3" w:name="_heading=h.f30f61jjug6o" w:colFirst="0" w:colLast="0"/>
      <w:bookmarkEnd w:id="3"/>
      <w:r w:rsidRPr="00360BE5">
        <w:lastRenderedPageBreak/>
        <w:t>1.3 Aims and Objectives</w:t>
      </w:r>
    </w:p>
    <w:p w14:paraId="52BBB992"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This dissertation aims to assess the long-term strategic value and impact of Facebook’s acquisition of Instagram. The study will integrate financial data, media coverage, social media trends, and antitrust perspectives to evaluate Instagram’s post-acquisition trajectory within the broader Meta ecosystem. The primary objective is to </w:t>
      </w:r>
      <w:proofErr w:type="spellStart"/>
      <w:r w:rsidRPr="00360BE5">
        <w:rPr>
          <w:rFonts w:ascii="Times New Roman" w:eastAsia="Times New Roman" w:hAnsi="Times New Roman" w:cs="Times New Roman"/>
          <w:sz w:val="24"/>
          <w:szCs w:val="24"/>
        </w:rPr>
        <w:t>analyze</w:t>
      </w:r>
      <w:proofErr w:type="spellEnd"/>
      <w:r w:rsidRPr="00360BE5">
        <w:rPr>
          <w:rFonts w:ascii="Times New Roman" w:eastAsia="Times New Roman" w:hAnsi="Times New Roman" w:cs="Times New Roman"/>
          <w:sz w:val="24"/>
          <w:szCs w:val="24"/>
        </w:rPr>
        <w:t xml:space="preserve"> the deal from three interrelated dimensions: </w:t>
      </w:r>
    </w:p>
    <w:p w14:paraId="06CAEE9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(1) the strategic rationale behind the acquisition</w:t>
      </w:r>
    </w:p>
    <w:p w14:paraId="32307E9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(2) </w:t>
      </w:r>
      <w:proofErr w:type="spellStart"/>
      <w:r w:rsidRPr="00360BE5">
        <w:rPr>
          <w:rFonts w:ascii="Times New Roman" w:eastAsia="Times New Roman" w:hAnsi="Times New Roman" w:cs="Times New Roman"/>
          <w:sz w:val="24"/>
          <w:szCs w:val="24"/>
        </w:rPr>
        <w:t>facebook’s</w:t>
      </w:r>
      <w:proofErr w:type="spellEnd"/>
      <w:r w:rsidRPr="00360BE5">
        <w:rPr>
          <w:rFonts w:ascii="Times New Roman" w:eastAsia="Times New Roman" w:hAnsi="Times New Roman" w:cs="Times New Roman"/>
          <w:sz w:val="24"/>
          <w:szCs w:val="24"/>
        </w:rPr>
        <w:t xml:space="preserve"> financial and operational profitability</w:t>
      </w:r>
    </w:p>
    <w:p w14:paraId="0975F96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(3) its long-term implications for market competition, innovation, and regulatory scrutiny. </w:t>
      </w:r>
    </w:p>
    <w:p w14:paraId="0DED5F8D" w14:textId="77777777" w:rsidR="00557B22" w:rsidRPr="00360BE5" w:rsidRDefault="00F84221" w:rsidP="00360BE5">
      <w:pPr>
        <w:spacing w:line="360" w:lineRule="auto"/>
        <w:jc w:val="both"/>
        <w:rPr>
          <w:rFonts w:ascii="Times New Roman" w:eastAsia="Times New Roman" w:hAnsi="Times New Roman" w:cs="Times New Roman"/>
          <w:b/>
          <w:i/>
          <w:sz w:val="24"/>
          <w:szCs w:val="24"/>
        </w:rPr>
      </w:pPr>
      <w:r w:rsidRPr="00360BE5">
        <w:rPr>
          <w:rFonts w:ascii="Times New Roman" w:eastAsia="Times New Roman" w:hAnsi="Times New Roman" w:cs="Times New Roman"/>
          <w:b/>
          <w:i/>
          <w:sz w:val="24"/>
          <w:szCs w:val="24"/>
        </w:rPr>
        <w:t>Research Questions</w:t>
      </w:r>
    </w:p>
    <w:p w14:paraId="66775F1D" w14:textId="77777777" w:rsidR="00557B22" w:rsidRPr="00360BE5" w:rsidRDefault="00F84221" w:rsidP="00360BE5">
      <w:pPr>
        <w:numPr>
          <w:ilvl w:val="0"/>
          <w:numId w:val="1"/>
        </w:num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What were the key strategic motivations behind Facebook’s acquisition of Instagram in 2012?</w:t>
      </w:r>
    </w:p>
    <w:p w14:paraId="0C88D2E6" w14:textId="77777777" w:rsidR="00557B22" w:rsidRPr="00360BE5" w:rsidRDefault="00F84221" w:rsidP="00360BE5">
      <w:pPr>
        <w:numPr>
          <w:ilvl w:val="0"/>
          <w:numId w:val="1"/>
        </w:num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To what extent has the acquisition contributed to Meta’s financial performance and market dominance?</w:t>
      </w:r>
    </w:p>
    <w:p w14:paraId="780F8297" w14:textId="77777777" w:rsidR="00557B22" w:rsidRPr="00360BE5" w:rsidRDefault="00F84221" w:rsidP="00360BE5">
      <w:pPr>
        <w:numPr>
          <w:ilvl w:val="0"/>
          <w:numId w:val="1"/>
        </w:num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How has Instagram’s integration shaped the competitive landscape of the social media industry over the long term?</w:t>
      </w:r>
    </w:p>
    <w:p w14:paraId="0611CE2D" w14:textId="77777777" w:rsidR="00557B22" w:rsidRPr="00360BE5" w:rsidRDefault="00F84221" w:rsidP="00360BE5">
      <w:pPr>
        <w:numPr>
          <w:ilvl w:val="0"/>
          <w:numId w:val="1"/>
        </w:num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What lessons can be drawn about the efficacy and ethics of tech-sector M&amp;A from this case?</w:t>
      </w:r>
    </w:p>
    <w:p w14:paraId="741F3670" w14:textId="77777777" w:rsidR="00557B22" w:rsidRPr="00360BE5" w:rsidRDefault="00F84221" w:rsidP="00360BE5">
      <w:pPr>
        <w:pStyle w:val="Heading2"/>
      </w:pPr>
      <w:bookmarkStart w:id="4" w:name="_heading=h.y78evdkuw670" w:colFirst="0" w:colLast="0"/>
      <w:bookmarkEnd w:id="4"/>
      <w:r w:rsidRPr="00360BE5">
        <w:t>1.4 Structure of the dissertation</w:t>
      </w:r>
    </w:p>
    <w:p w14:paraId="6C785953"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mc:AlternateContent>
          <mc:Choice Requires="wpg">
            <w:drawing>
              <wp:inline distT="0" distB="0" distL="0" distR="0" wp14:anchorId="6E63DF32" wp14:editId="0876644C">
                <wp:extent cx="5486400" cy="3200400"/>
                <wp:effectExtent l="0" t="0" r="0" b="0"/>
                <wp:docPr id="1064112483" name="Group 1064112483"/>
                <wp:cNvGraphicFramePr/>
                <a:graphic xmlns:a="http://schemas.openxmlformats.org/drawingml/2006/main">
                  <a:graphicData uri="http://schemas.microsoft.com/office/word/2010/wordprocessingGroup">
                    <wpg:wgp>
                      <wpg:cNvGrpSpPr/>
                      <wpg:grpSpPr>
                        <a:xfrm>
                          <a:off x="0" y="0"/>
                          <a:ext cx="5486400" cy="3200400"/>
                          <a:chOff x="0" y="0"/>
                          <a:chExt cx="5486400" cy="3212225"/>
                        </a:xfrm>
                      </wpg:grpSpPr>
                      <wpg:grpSp>
                        <wpg:cNvPr id="1429782671" name="Group 1429782671"/>
                        <wpg:cNvGrpSpPr/>
                        <wpg:grpSpPr>
                          <a:xfrm>
                            <a:off x="0" y="0"/>
                            <a:ext cx="5486400" cy="3200400"/>
                            <a:chOff x="0" y="0"/>
                            <a:chExt cx="5486400" cy="3200400"/>
                          </a:xfrm>
                        </wpg:grpSpPr>
                        <wps:wsp>
                          <wps:cNvPr id="249466639" name="Rectangle 249466639"/>
                          <wps:cNvSpPr/>
                          <wps:spPr>
                            <a:xfrm>
                              <a:off x="0" y="0"/>
                              <a:ext cx="5486400" cy="3200400"/>
                            </a:xfrm>
                            <a:prstGeom prst="rect">
                              <a:avLst/>
                            </a:prstGeom>
                            <a:noFill/>
                            <a:ln>
                              <a:noFill/>
                            </a:ln>
                          </wps:spPr>
                          <wps:txbx>
                            <w:txbxContent>
                              <w:p w14:paraId="223716D4"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1965674287" name="Rectangle 1965674287"/>
                          <wps:cNvSpPr/>
                          <wps:spPr>
                            <a:xfrm>
                              <a:off x="1730700" y="879"/>
                              <a:ext cx="2025000" cy="511782"/>
                            </a:xfrm>
                            <a:prstGeom prst="rect">
                              <a:avLst/>
                            </a:prstGeom>
                            <a:solidFill>
                              <a:srgbClr val="49ACC5"/>
                            </a:solidFill>
                            <a:ln w="25400" cap="flat" cmpd="sng">
                              <a:solidFill>
                                <a:schemeClr val="lt1"/>
                              </a:solidFill>
                              <a:prstDash val="solid"/>
                              <a:round/>
                              <a:headEnd type="none" w="sm" len="sm"/>
                              <a:tailEnd type="none" w="sm" len="sm"/>
                            </a:ln>
                          </wps:spPr>
                          <wps:txbx>
                            <w:txbxContent>
                              <w:p w14:paraId="0BF0B3C3"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758963901" name="Text Box 758963901"/>
                          <wps:cNvSpPr txBox="1"/>
                          <wps:spPr>
                            <a:xfrm>
                              <a:off x="1730700" y="879"/>
                              <a:ext cx="2025000" cy="511782"/>
                            </a:xfrm>
                            <a:prstGeom prst="rect">
                              <a:avLst/>
                            </a:prstGeom>
                            <a:noFill/>
                            <a:ln>
                              <a:noFill/>
                            </a:ln>
                          </wps:spPr>
                          <wps:txbx>
                            <w:txbxContent>
                              <w:p w14:paraId="520C6CC8" w14:textId="77777777" w:rsidR="00557B22" w:rsidRDefault="00F84221">
                                <w:pPr>
                                  <w:spacing w:line="215" w:lineRule="auto"/>
                                  <w:jc w:val="center"/>
                                  <w:textDirection w:val="btLr"/>
                                </w:pPr>
                                <w:r>
                                  <w:rPr>
                                    <w:rFonts w:ascii="Cambria" w:eastAsia="Cambria" w:hAnsi="Cambria" w:cs="Cambria"/>
                                    <w:color w:val="000000"/>
                                    <w:sz w:val="54"/>
                                  </w:rPr>
                                  <w:t>Introduction</w:t>
                                </w:r>
                              </w:p>
                            </w:txbxContent>
                          </wps:txbx>
                          <wps:bodyPr spcFirstLastPara="1" wrap="square" lIns="68575" tIns="68575" rIns="68575" bIns="68575" anchor="ctr" anchorCtr="0">
                            <a:noAutofit/>
                          </wps:bodyPr>
                        </wps:wsp>
                        <wps:wsp>
                          <wps:cNvPr id="510494852" name="Rectangle 510494852"/>
                          <wps:cNvSpPr/>
                          <wps:spPr>
                            <a:xfrm>
                              <a:off x="1393200" y="538250"/>
                              <a:ext cx="2700000" cy="511782"/>
                            </a:xfrm>
                            <a:prstGeom prst="rect">
                              <a:avLst/>
                            </a:prstGeom>
                            <a:solidFill>
                              <a:srgbClr val="47CFA2"/>
                            </a:solidFill>
                            <a:ln w="25400" cap="flat" cmpd="sng">
                              <a:solidFill>
                                <a:schemeClr val="lt1"/>
                              </a:solidFill>
                              <a:prstDash val="solid"/>
                              <a:round/>
                              <a:headEnd type="none" w="sm" len="sm"/>
                              <a:tailEnd type="none" w="sm" len="sm"/>
                            </a:ln>
                          </wps:spPr>
                          <wps:txbx>
                            <w:txbxContent>
                              <w:p w14:paraId="7F73DA06"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777144570" name="Text Box 777144570"/>
                          <wps:cNvSpPr txBox="1"/>
                          <wps:spPr>
                            <a:xfrm>
                              <a:off x="1393200" y="538250"/>
                              <a:ext cx="2700000" cy="511782"/>
                            </a:xfrm>
                            <a:prstGeom prst="rect">
                              <a:avLst/>
                            </a:prstGeom>
                            <a:noFill/>
                            <a:ln>
                              <a:noFill/>
                            </a:ln>
                          </wps:spPr>
                          <wps:txbx>
                            <w:txbxContent>
                              <w:p w14:paraId="3C2EFC36" w14:textId="77777777" w:rsidR="00557B22" w:rsidRDefault="00F84221">
                                <w:pPr>
                                  <w:spacing w:line="215" w:lineRule="auto"/>
                                  <w:jc w:val="center"/>
                                  <w:textDirection w:val="btLr"/>
                                </w:pPr>
                                <w:r>
                                  <w:rPr>
                                    <w:rFonts w:ascii="Cambria" w:eastAsia="Cambria" w:hAnsi="Cambria" w:cs="Cambria"/>
                                    <w:color w:val="000000"/>
                                    <w:sz w:val="54"/>
                                  </w:rPr>
                                  <w:t>Literature review</w:t>
                                </w:r>
                              </w:p>
                            </w:txbxContent>
                          </wps:txbx>
                          <wps:bodyPr spcFirstLastPara="1" wrap="square" lIns="68575" tIns="68575" rIns="68575" bIns="68575" anchor="ctr" anchorCtr="0">
                            <a:noAutofit/>
                          </wps:bodyPr>
                        </wps:wsp>
                        <wps:wsp>
                          <wps:cNvPr id="2111518499" name="Rectangle 2111518499"/>
                          <wps:cNvSpPr/>
                          <wps:spPr>
                            <a:xfrm>
                              <a:off x="1708200" y="1075622"/>
                              <a:ext cx="2070000" cy="511782"/>
                            </a:xfrm>
                            <a:prstGeom prst="rect">
                              <a:avLst/>
                            </a:prstGeom>
                            <a:solidFill>
                              <a:srgbClr val="46D956"/>
                            </a:solidFill>
                            <a:ln w="25400" cap="flat" cmpd="sng">
                              <a:solidFill>
                                <a:schemeClr val="lt1"/>
                              </a:solidFill>
                              <a:prstDash val="solid"/>
                              <a:round/>
                              <a:headEnd type="none" w="sm" len="sm"/>
                              <a:tailEnd type="none" w="sm" len="sm"/>
                            </a:ln>
                          </wps:spPr>
                          <wps:txbx>
                            <w:txbxContent>
                              <w:p w14:paraId="03DCD2C1"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1291926129" name="Text Box 1291926129"/>
                          <wps:cNvSpPr txBox="1"/>
                          <wps:spPr>
                            <a:xfrm>
                              <a:off x="1708200" y="1075622"/>
                              <a:ext cx="2070000" cy="511782"/>
                            </a:xfrm>
                            <a:prstGeom prst="rect">
                              <a:avLst/>
                            </a:prstGeom>
                            <a:noFill/>
                            <a:ln>
                              <a:noFill/>
                            </a:ln>
                          </wps:spPr>
                          <wps:txbx>
                            <w:txbxContent>
                              <w:p w14:paraId="6646C081" w14:textId="77777777" w:rsidR="00557B22" w:rsidRDefault="00F84221">
                                <w:pPr>
                                  <w:spacing w:line="215" w:lineRule="auto"/>
                                  <w:jc w:val="center"/>
                                  <w:textDirection w:val="btLr"/>
                                </w:pPr>
                                <w:r>
                                  <w:rPr>
                                    <w:rFonts w:ascii="Cambria" w:eastAsia="Cambria" w:hAnsi="Cambria" w:cs="Cambria"/>
                                    <w:color w:val="000000"/>
                                    <w:sz w:val="54"/>
                                  </w:rPr>
                                  <w:t>Methodology</w:t>
                                </w:r>
                              </w:p>
                            </w:txbxContent>
                          </wps:txbx>
                          <wps:bodyPr spcFirstLastPara="1" wrap="square" lIns="68575" tIns="68575" rIns="68575" bIns="68575" anchor="ctr" anchorCtr="0">
                            <a:noAutofit/>
                          </wps:bodyPr>
                        </wps:wsp>
                        <wps:wsp>
                          <wps:cNvPr id="1914771017" name="Rectangle 1914771017"/>
                          <wps:cNvSpPr/>
                          <wps:spPr>
                            <a:xfrm>
                              <a:off x="2135700" y="1612994"/>
                              <a:ext cx="1215000" cy="511782"/>
                            </a:xfrm>
                            <a:prstGeom prst="rect">
                              <a:avLst/>
                            </a:prstGeom>
                            <a:solidFill>
                              <a:srgbClr val="8BE445"/>
                            </a:solidFill>
                            <a:ln w="25400" cap="flat" cmpd="sng">
                              <a:solidFill>
                                <a:schemeClr val="lt1"/>
                              </a:solidFill>
                              <a:prstDash val="solid"/>
                              <a:round/>
                              <a:headEnd type="none" w="sm" len="sm"/>
                              <a:tailEnd type="none" w="sm" len="sm"/>
                            </a:ln>
                          </wps:spPr>
                          <wps:txbx>
                            <w:txbxContent>
                              <w:p w14:paraId="0AF587A5"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807737789" name="Text Box 807737789"/>
                          <wps:cNvSpPr txBox="1"/>
                          <wps:spPr>
                            <a:xfrm>
                              <a:off x="2135700" y="1612994"/>
                              <a:ext cx="1215000" cy="511782"/>
                            </a:xfrm>
                            <a:prstGeom prst="rect">
                              <a:avLst/>
                            </a:prstGeom>
                            <a:noFill/>
                            <a:ln>
                              <a:noFill/>
                            </a:ln>
                          </wps:spPr>
                          <wps:txbx>
                            <w:txbxContent>
                              <w:p w14:paraId="20049F25" w14:textId="77777777" w:rsidR="00557B22" w:rsidRDefault="00F84221">
                                <w:pPr>
                                  <w:spacing w:line="215" w:lineRule="auto"/>
                                  <w:jc w:val="center"/>
                                  <w:textDirection w:val="btLr"/>
                                </w:pPr>
                                <w:r>
                                  <w:rPr>
                                    <w:rFonts w:ascii="Cambria" w:eastAsia="Cambria" w:hAnsi="Cambria" w:cs="Cambria"/>
                                    <w:color w:val="000000"/>
                                    <w:sz w:val="54"/>
                                  </w:rPr>
                                  <w:t>Results</w:t>
                                </w:r>
                              </w:p>
                            </w:txbxContent>
                          </wps:txbx>
                          <wps:bodyPr spcFirstLastPara="1" wrap="square" lIns="68575" tIns="68575" rIns="68575" bIns="68575" anchor="ctr" anchorCtr="0">
                            <a:noAutofit/>
                          </wps:bodyPr>
                        </wps:wsp>
                        <wps:wsp>
                          <wps:cNvPr id="849089829" name="Rectangle 849089829"/>
                          <wps:cNvSpPr/>
                          <wps:spPr>
                            <a:xfrm>
                              <a:off x="1865700" y="2150366"/>
                              <a:ext cx="1755000" cy="511782"/>
                            </a:xfrm>
                            <a:prstGeom prst="rect">
                              <a:avLst/>
                            </a:prstGeom>
                            <a:solidFill>
                              <a:srgbClr val="EDED45"/>
                            </a:solidFill>
                            <a:ln w="25400" cap="flat" cmpd="sng">
                              <a:solidFill>
                                <a:schemeClr val="lt1"/>
                              </a:solidFill>
                              <a:prstDash val="solid"/>
                              <a:round/>
                              <a:headEnd type="none" w="sm" len="sm"/>
                              <a:tailEnd type="none" w="sm" len="sm"/>
                            </a:ln>
                          </wps:spPr>
                          <wps:txbx>
                            <w:txbxContent>
                              <w:p w14:paraId="59102C1B"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1603571940" name="Text Box 1603571940"/>
                          <wps:cNvSpPr txBox="1"/>
                          <wps:spPr>
                            <a:xfrm>
                              <a:off x="1865700" y="2150366"/>
                              <a:ext cx="1755000" cy="511782"/>
                            </a:xfrm>
                            <a:prstGeom prst="rect">
                              <a:avLst/>
                            </a:prstGeom>
                            <a:noFill/>
                            <a:ln>
                              <a:noFill/>
                            </a:ln>
                          </wps:spPr>
                          <wps:txbx>
                            <w:txbxContent>
                              <w:p w14:paraId="23B1F7C6" w14:textId="77777777" w:rsidR="00557B22" w:rsidRDefault="00F84221">
                                <w:pPr>
                                  <w:spacing w:line="215" w:lineRule="auto"/>
                                  <w:jc w:val="center"/>
                                  <w:textDirection w:val="btLr"/>
                                </w:pPr>
                                <w:r>
                                  <w:rPr>
                                    <w:rFonts w:ascii="Cambria" w:eastAsia="Cambria" w:hAnsi="Cambria" w:cs="Cambria"/>
                                    <w:color w:val="000000"/>
                                    <w:sz w:val="54"/>
                                  </w:rPr>
                                  <w:t>Discussion</w:t>
                                </w:r>
                              </w:p>
                            </w:txbxContent>
                          </wps:txbx>
                          <wps:bodyPr spcFirstLastPara="1" wrap="square" lIns="68575" tIns="68575" rIns="68575" bIns="68575" anchor="ctr" anchorCtr="0">
                            <a:noAutofit/>
                          </wps:bodyPr>
                        </wps:wsp>
                        <wps:wsp>
                          <wps:cNvPr id="659820099" name="Rectangle 659820099"/>
                          <wps:cNvSpPr/>
                          <wps:spPr>
                            <a:xfrm>
                              <a:off x="1865700" y="2687738"/>
                              <a:ext cx="1755000" cy="511782"/>
                            </a:xfrm>
                            <a:prstGeom prst="rect">
                              <a:avLst/>
                            </a:prstGeom>
                            <a:solidFill>
                              <a:srgbClr val="F69444"/>
                            </a:solidFill>
                            <a:ln w="25400" cap="flat" cmpd="sng">
                              <a:solidFill>
                                <a:schemeClr val="lt1"/>
                              </a:solidFill>
                              <a:prstDash val="solid"/>
                              <a:round/>
                              <a:headEnd type="none" w="sm" len="sm"/>
                              <a:tailEnd type="none" w="sm" len="sm"/>
                            </a:ln>
                          </wps:spPr>
                          <wps:txbx>
                            <w:txbxContent>
                              <w:p w14:paraId="7860060D" w14:textId="77777777" w:rsidR="00557B22" w:rsidRDefault="00557B22">
                                <w:pPr>
                                  <w:spacing w:line="240" w:lineRule="auto"/>
                                  <w:textDirection w:val="btLr"/>
                                </w:pPr>
                              </w:p>
                            </w:txbxContent>
                          </wps:txbx>
                          <wps:bodyPr spcFirstLastPara="1" wrap="square" lIns="91425" tIns="91425" rIns="91425" bIns="91425" anchor="ctr" anchorCtr="0">
                            <a:noAutofit/>
                          </wps:bodyPr>
                        </wps:wsp>
                        <wps:wsp>
                          <wps:cNvPr id="1564539659" name="Text Box 1564539659"/>
                          <wps:cNvSpPr txBox="1"/>
                          <wps:spPr>
                            <a:xfrm>
                              <a:off x="1865700" y="2687738"/>
                              <a:ext cx="1755000" cy="511782"/>
                            </a:xfrm>
                            <a:prstGeom prst="rect">
                              <a:avLst/>
                            </a:prstGeom>
                            <a:noFill/>
                            <a:ln>
                              <a:noFill/>
                            </a:ln>
                          </wps:spPr>
                          <wps:txbx>
                            <w:txbxContent>
                              <w:p w14:paraId="08A4FE20" w14:textId="77777777" w:rsidR="00557B22" w:rsidRDefault="00F84221">
                                <w:pPr>
                                  <w:spacing w:line="215" w:lineRule="auto"/>
                                  <w:jc w:val="center"/>
                                  <w:textDirection w:val="btLr"/>
                                </w:pPr>
                                <w:r>
                                  <w:rPr>
                                    <w:rFonts w:ascii="Cambria" w:eastAsia="Cambria" w:hAnsi="Cambria" w:cs="Cambria"/>
                                    <w:color w:val="000000"/>
                                    <w:sz w:val="54"/>
                                  </w:rPr>
                                  <w:t>Conclusion</w:t>
                                </w:r>
                              </w:p>
                            </w:txbxContent>
                          </wps:txbx>
                          <wps:bodyPr spcFirstLastPara="1" wrap="square" lIns="68575" tIns="68575" rIns="68575" bIns="68575" anchor="ctr" anchorCtr="0">
                            <a:noAutofit/>
                          </wps:bodyPr>
                        </wps:wsp>
                      </wpg:grpSp>
                    </wpg:wgp>
                  </a:graphicData>
                </a:graphic>
              </wp:inline>
            </w:drawing>
          </mc:Choice>
          <mc:Fallback>
            <w:pict>
              <v:group w14:anchorId="6E63DF32" id="Group 1064112483" o:spid="_x0000_s1026" style="width:6in;height:252pt;mso-position-horizontal-relative:char;mso-position-vertical-relative:line" coordsize="54864,32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">
                <v:group id="Group 142978267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">
                  <v:rect id="Rectangle 249466639"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" filled="f" stroked="f">
                    <v:textbox inset="2.53958mm,2.53958mm,2.53958mm,2.53958mm">
                      <w:txbxContent>
                        <w:p w14:paraId="223716D4" w14:textId="77777777" w:rsidR="00557B22" w:rsidRDefault="00557B22">
                          <w:pPr>
                            <w:spacing w:line="240" w:lineRule="auto"/>
                            <w:textDirection w:val="btLr"/>
                          </w:pPr>
                        </w:p>
                      </w:txbxContent>
                    </v:textbox>
                  </v:rect>
                  <v:rect id="Rectangle 1965674287" o:spid="_x0000_s1029" style="position:absolute;left:17307;top:8;width:202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" fillcolor="#49acc5" strokecolor="white [3201]" strokeweight="2pt">
                    <v:stroke startarrowwidth="narrow" startarrowlength="short" endarrowwidth="narrow" endarrowlength="short" joinstyle="round"/>
                    <v:textbox inset="2.53958mm,2.53958mm,2.53958mm,2.53958mm">
                      <w:txbxContent>
                        <w:p w14:paraId="0BF0B3C3" w14:textId="77777777" w:rsidR="00557B22" w:rsidRDefault="00557B22">
                          <w:pPr>
                            <w:spacing w:line="240" w:lineRule="auto"/>
                            <w:textDirection w:val="btLr"/>
                          </w:pPr>
                        </w:p>
                      </w:txbxContent>
                    </v:textbox>
                  </v:rect>
                  <v:shapetype id="_x0000_t202" coordsize="21600,21600" o:spt="202" path="m,l,21600r21600,l21600,xe">
                    <v:stroke joinstyle="miter"/>
                    <v:path gradientshapeok="t" o:connecttype="rect"/>
                  </v:shapetype>
                  <v:shape id="Text Box 758963901" o:spid="_x0000_s1030" type="#_x0000_t202" style="position:absolute;left:17307;top:8;width:202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" filled="f" stroked="f">
                    <v:textbox inset="1.90486mm,1.90486mm,1.90486mm,1.90486mm">
                      <w:txbxContent>
                        <w:p w14:paraId="520C6CC8" w14:textId="77777777" w:rsidR="00557B22" w:rsidRDefault="00F84221">
                          <w:pPr>
                            <w:spacing w:line="215" w:lineRule="auto"/>
                            <w:jc w:val="center"/>
                            <w:textDirection w:val="btLr"/>
                          </w:pPr>
                          <w:r>
                            <w:rPr>
                              <w:rFonts w:ascii="Cambria" w:eastAsia="Cambria" w:hAnsi="Cambria" w:cs="Cambria"/>
                              <w:color w:val="000000"/>
                              <w:sz w:val="54"/>
                            </w:rPr>
                            <w:t>Introduction</w:t>
                          </w:r>
                        </w:p>
                      </w:txbxContent>
                    </v:textbox>
                  </v:shape>
                  <v:rect id="Rectangle 510494852" o:spid="_x0000_s1031" style="position:absolute;left:13932;top:5382;width:2700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" fillcolor="#47cfa2" strokecolor="white [3201]" strokeweight="2pt">
                    <v:stroke startarrowwidth="narrow" startarrowlength="short" endarrowwidth="narrow" endarrowlength="short" joinstyle="round"/>
                    <v:textbox inset="2.53958mm,2.53958mm,2.53958mm,2.53958mm">
                      <w:txbxContent>
                        <w:p w14:paraId="7F73DA06" w14:textId="77777777" w:rsidR="00557B22" w:rsidRDefault="00557B22">
                          <w:pPr>
                            <w:spacing w:line="240" w:lineRule="auto"/>
                            <w:textDirection w:val="btLr"/>
                          </w:pPr>
                        </w:p>
                      </w:txbxContent>
                    </v:textbox>
                  </v:rect>
                  <v:shape id="Text Box 777144570" o:spid="_x0000_s1032" type="#_x0000_t202" style="position:absolute;left:13932;top:5382;width:2700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" filled="f" stroked="f">
                    <v:textbox inset="1.90486mm,1.90486mm,1.90486mm,1.90486mm">
                      <w:txbxContent>
                        <w:p w14:paraId="3C2EFC36" w14:textId="77777777" w:rsidR="00557B22" w:rsidRDefault="00F84221">
                          <w:pPr>
                            <w:spacing w:line="215" w:lineRule="auto"/>
                            <w:jc w:val="center"/>
                            <w:textDirection w:val="btLr"/>
                          </w:pPr>
                          <w:r>
                            <w:rPr>
                              <w:rFonts w:ascii="Cambria" w:eastAsia="Cambria" w:hAnsi="Cambria" w:cs="Cambria"/>
                              <w:color w:val="000000"/>
                              <w:sz w:val="54"/>
                            </w:rPr>
                            <w:t>Literature review</w:t>
                          </w:r>
                        </w:p>
                      </w:txbxContent>
                    </v:textbox>
                  </v:shape>
                  <v:rect id="Rectangle 2111518499" o:spid="_x0000_s1033" style="position:absolute;left:17082;top:10756;width:2070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" fillcolor="#46d956" strokecolor="white [3201]" strokeweight="2pt">
                    <v:stroke startarrowwidth="narrow" startarrowlength="short" endarrowwidth="narrow" endarrowlength="short" joinstyle="round"/>
                    <v:textbox inset="2.53958mm,2.53958mm,2.53958mm,2.53958mm">
                      <w:txbxContent>
                        <w:p w14:paraId="03DCD2C1" w14:textId="77777777" w:rsidR="00557B22" w:rsidRDefault="00557B22">
                          <w:pPr>
                            <w:spacing w:line="240" w:lineRule="auto"/>
                            <w:textDirection w:val="btLr"/>
                          </w:pPr>
                        </w:p>
                      </w:txbxContent>
                    </v:textbox>
                  </v:rect>
                  <v:shape id="Text Box 1291926129" o:spid="_x0000_s1034" type="#_x0000_t202" style="position:absolute;left:17082;top:10756;width:2070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" filled="f" stroked="f">
                    <v:textbox inset="1.90486mm,1.90486mm,1.90486mm,1.90486mm">
                      <w:txbxContent>
                        <w:p w14:paraId="6646C081" w14:textId="77777777" w:rsidR="00557B22" w:rsidRDefault="00F84221">
                          <w:pPr>
                            <w:spacing w:line="215" w:lineRule="auto"/>
                            <w:jc w:val="center"/>
                            <w:textDirection w:val="btLr"/>
                          </w:pPr>
                          <w:r>
                            <w:rPr>
                              <w:rFonts w:ascii="Cambria" w:eastAsia="Cambria" w:hAnsi="Cambria" w:cs="Cambria"/>
                              <w:color w:val="000000"/>
                              <w:sz w:val="54"/>
                            </w:rPr>
                            <w:t>Methodology</w:t>
                          </w:r>
                        </w:p>
                      </w:txbxContent>
                    </v:textbox>
                  </v:shape>
                  <v:rect id="Rectangle 1914771017" o:spid="_x0000_s1035" style="position:absolute;left:21357;top:16129;width:121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" fillcolor="#8be445" strokecolor="white [3201]" strokeweight="2pt">
                    <v:stroke startarrowwidth="narrow" startarrowlength="short" endarrowwidth="narrow" endarrowlength="short" joinstyle="round"/>
                    <v:textbox inset="2.53958mm,2.53958mm,2.53958mm,2.53958mm">
                      <w:txbxContent>
                        <w:p w14:paraId="0AF587A5" w14:textId="77777777" w:rsidR="00557B22" w:rsidRDefault="00557B22">
                          <w:pPr>
                            <w:spacing w:line="240" w:lineRule="auto"/>
                            <w:textDirection w:val="btLr"/>
                          </w:pPr>
                        </w:p>
                      </w:txbxContent>
                    </v:textbox>
                  </v:rect>
                  <v:shape id="Text Box 807737789" o:spid="_x0000_s1036" type="#_x0000_t202" style="position:absolute;left:21357;top:16129;width:121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" filled="f" stroked="f">
                    <v:textbox inset="1.90486mm,1.90486mm,1.90486mm,1.90486mm">
                      <w:txbxContent>
                        <w:p w14:paraId="20049F25" w14:textId="77777777" w:rsidR="00557B22" w:rsidRDefault="00F84221">
                          <w:pPr>
                            <w:spacing w:line="215" w:lineRule="auto"/>
                            <w:jc w:val="center"/>
                            <w:textDirection w:val="btLr"/>
                          </w:pPr>
                          <w:r>
                            <w:rPr>
                              <w:rFonts w:ascii="Cambria" w:eastAsia="Cambria" w:hAnsi="Cambria" w:cs="Cambria"/>
                              <w:color w:val="000000"/>
                              <w:sz w:val="54"/>
                            </w:rPr>
                            <w:t>Results</w:t>
                          </w:r>
                        </w:p>
                      </w:txbxContent>
                    </v:textbox>
                  </v:shape>
                  <v:rect id="Rectangle 849089829" o:spid="_x0000_s1037" style="position:absolute;left:18657;top:21503;width:175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" fillcolor="#eded45" strokecolor="white [3201]" strokeweight="2pt">
                    <v:stroke startarrowwidth="narrow" startarrowlength="short" endarrowwidth="narrow" endarrowlength="short" joinstyle="round"/>
                    <v:textbox inset="2.53958mm,2.53958mm,2.53958mm,2.53958mm">
                      <w:txbxContent>
                        <w:p w14:paraId="59102C1B" w14:textId="77777777" w:rsidR="00557B22" w:rsidRDefault="00557B22">
                          <w:pPr>
                            <w:spacing w:line="240" w:lineRule="auto"/>
                            <w:textDirection w:val="btLr"/>
                          </w:pPr>
                        </w:p>
                      </w:txbxContent>
                    </v:textbox>
                  </v:rect>
                  <v:shape id="Text Box 1603571940" o:spid="_x0000_s1038" type="#_x0000_t202" style="position:absolute;left:18657;top:21503;width:175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" filled="f" stroked="f">
                    <v:textbox inset="1.90486mm,1.90486mm,1.90486mm,1.90486mm">
                      <w:txbxContent>
                        <w:p w14:paraId="23B1F7C6" w14:textId="77777777" w:rsidR="00557B22" w:rsidRDefault="00F84221">
                          <w:pPr>
                            <w:spacing w:line="215" w:lineRule="auto"/>
                            <w:jc w:val="center"/>
                            <w:textDirection w:val="btLr"/>
                          </w:pPr>
                          <w:r>
                            <w:rPr>
                              <w:rFonts w:ascii="Cambria" w:eastAsia="Cambria" w:hAnsi="Cambria" w:cs="Cambria"/>
                              <w:color w:val="000000"/>
                              <w:sz w:val="54"/>
                            </w:rPr>
                            <w:t>Discussion</w:t>
                          </w:r>
                        </w:p>
                      </w:txbxContent>
                    </v:textbox>
                  </v:shape>
                  <v:rect id="Rectangle 659820099" o:spid="_x0000_s1039" style="position:absolute;left:18657;top:26877;width:175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" fillcolor="#f69444" strokecolor="white [3201]" strokeweight="2pt">
                    <v:stroke startarrowwidth="narrow" startarrowlength="short" endarrowwidth="narrow" endarrowlength="short" joinstyle="round"/>
                    <v:textbox inset="2.53958mm,2.53958mm,2.53958mm,2.53958mm">
                      <w:txbxContent>
                        <w:p w14:paraId="7860060D" w14:textId="77777777" w:rsidR="00557B22" w:rsidRDefault="00557B22">
                          <w:pPr>
                            <w:spacing w:line="240" w:lineRule="auto"/>
                            <w:textDirection w:val="btLr"/>
                          </w:pPr>
                        </w:p>
                      </w:txbxContent>
                    </v:textbox>
                  </v:rect>
                  <v:shape id="Text Box 1564539659" o:spid="_x0000_s1040" type="#_x0000_t202" style="position:absolute;left:18657;top:26877;width:17550;height:5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" filled="f" stroked="f">
                    <v:textbox inset="1.90486mm,1.90486mm,1.90486mm,1.90486mm">
                      <w:txbxContent>
                        <w:p w14:paraId="08A4FE20" w14:textId="77777777" w:rsidR="00557B22" w:rsidRDefault="00F84221">
                          <w:pPr>
                            <w:spacing w:line="215" w:lineRule="auto"/>
                            <w:jc w:val="center"/>
                            <w:textDirection w:val="btLr"/>
                          </w:pPr>
                          <w:r>
                            <w:rPr>
                              <w:rFonts w:ascii="Cambria" w:eastAsia="Cambria" w:hAnsi="Cambria" w:cs="Cambria"/>
                              <w:color w:val="000000"/>
                              <w:sz w:val="54"/>
                            </w:rPr>
                            <w:t>Conclusion</w:t>
                          </w:r>
                        </w:p>
                      </w:txbxContent>
                    </v:textbox>
                  </v:shape>
                </v:group>
                <w10:anchorlock/>
              </v:group>
            </w:pict>
          </mc:Fallback>
        </mc:AlternateContent>
      </w:r>
    </w:p>
    <w:p w14:paraId="6007C20E" w14:textId="77777777" w:rsidR="00557B22" w:rsidRPr="00360BE5" w:rsidRDefault="00F84221" w:rsidP="00360BE5">
      <w:pPr>
        <w:pStyle w:val="Heading4"/>
      </w:pPr>
      <w:bookmarkStart w:id="5" w:name="_heading=h.llwm52g08yza" w:colFirst="0" w:colLast="0"/>
      <w:bookmarkEnd w:id="5"/>
      <w:r w:rsidRPr="00360BE5">
        <w:t>Figure 1: Dissertation structure</w:t>
      </w:r>
    </w:p>
    <w:p w14:paraId="24AC8B7F"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leaner)</w:t>
      </w:r>
    </w:p>
    <w:p w14:paraId="0A705D02" w14:textId="77777777" w:rsidR="00557B22" w:rsidRPr="00360BE5" w:rsidRDefault="00F84221" w:rsidP="00360BE5">
      <w:pPr>
        <w:pStyle w:val="Heading1"/>
      </w:pPr>
      <w:bookmarkStart w:id="6" w:name="_heading=h.rhc77bolggc2" w:colFirst="0" w:colLast="0"/>
      <w:bookmarkEnd w:id="6"/>
      <w:r w:rsidRPr="00360BE5">
        <w:lastRenderedPageBreak/>
        <w:t>2. Literature Review</w:t>
      </w:r>
    </w:p>
    <w:p w14:paraId="13ACCF59" w14:textId="77777777" w:rsidR="00557B22" w:rsidRPr="00360BE5" w:rsidRDefault="00F84221" w:rsidP="00360BE5">
      <w:pPr>
        <w:pStyle w:val="Heading2"/>
      </w:pPr>
      <w:bookmarkStart w:id="7" w:name="_heading=h.vcve4nlmhkd" w:colFirst="0" w:colLast="0"/>
      <w:bookmarkEnd w:id="7"/>
      <w:r w:rsidRPr="00360BE5">
        <w:t>2.1 Theoretical frameworks on M&amp;A (e.g., synergy theory, resource-based view, market positioning)</w:t>
      </w:r>
    </w:p>
    <w:p w14:paraId="679B56F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Merger and acquisition (M&amp;A) processes will always be a mixture of strategic, economic, and organizational reasons. Besides synergy theory and the resource-based view (RBV), among others, today, any such motivation is increasingly based on theoretical reasoning like market positioning strategies for the digital age. All these theories give insight into the strategic motivation behind some illustrious deals like that of Facebook acquiring Instagram. As for the theory of synergy, two firms, when joined together, are supposed to have a higher value than the sum of their parts by getting rid of inefficiencies, complementarily integrating resources, or scaling up operations (Xu, 2024). In the case of Facebook, acquiring Instagram immediately meant growth in users along with improvement in their mobile offerings while potentially preventing threats from future competitors. Besides, the author remarked that the presence of high synergy potentials usually turns into higher premiums for the buyer because oftentimes, these premiums reflect the anticipated combined value to be realized by the acquirer. However, even the perception and evaluation of potential synergies can also influence prices offered for deals.</w:t>
      </w:r>
    </w:p>
    <w:p w14:paraId="4D63D5BC"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drawing>
          <wp:inline distT="114300" distB="114300" distL="114300" distR="114300" wp14:anchorId="40F27713" wp14:editId="30CEE7F9">
            <wp:extent cx="4595122" cy="3619706"/>
            <wp:effectExtent l="0" t="0" r="0" b="0"/>
            <wp:docPr id="106411248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595122" cy="3619706"/>
                    </a:xfrm>
                    <a:prstGeom prst="rect">
                      <a:avLst/>
                    </a:prstGeom>
                    <a:ln/>
                  </pic:spPr>
                </pic:pic>
              </a:graphicData>
            </a:graphic>
          </wp:inline>
        </w:drawing>
      </w:r>
    </w:p>
    <w:p w14:paraId="0A0B7A3F" w14:textId="77777777" w:rsidR="00557B22" w:rsidRPr="00360BE5" w:rsidRDefault="00F84221" w:rsidP="00360BE5">
      <w:pPr>
        <w:pStyle w:val="Heading4"/>
      </w:pPr>
      <w:bookmarkStart w:id="8" w:name="_heading=h.iisluqxbpe56" w:colFirst="0" w:colLast="0"/>
      <w:bookmarkEnd w:id="8"/>
      <w:r w:rsidRPr="00360BE5">
        <w:t>Figure 2: Facebook dominates social media landscape</w:t>
      </w:r>
    </w:p>
    <w:p w14:paraId="755D7A68"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1E2DD87A"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lastRenderedPageBreak/>
        <w:t xml:space="preserve">Synergy Theory achieved and complemented this by the resource-based view by acquisition of valuable, rare, inimitable, and non-substitutable (VRIN) resources. Viewed this way, Facebook's purchase of Instagram for instance offered a lift into unique digital assets, like those accessing fast-growing user bases as well as a mobile-first interface for photo-sharing and a culturally influential brand identity-these things are most probably not easily created internally. According to Yang and Zeng (2024), firms with access to unique technological or brand-based assets through acquisition usually see an improvement in both innovation output and market competitive edge. Instagram therefore was the right strategic digital asset that filled Facebook's gap to remain relevant to the young ones as they increasingly pivot towards mobile. Market positioning also plays a critical role in M&amp;A strategy. According to O'Neill (2021), firms are engaged in acquisitions primarily in high-competitive markets for the consolidation of market power or diversification of their digital ecosystems. With respect to Facebook, acquiring Instagram was an immediate strategy involving the neutralization of a rising competitor and strengthening Facebook's lead in the social media arena. O'Neill draws upon sports competition to illustrate business strategy; in doing so, he remarked acquisitions can toe the ethical line when implemented for suppression of competition. Still, positioning moves such as these, in an industry where user data and platform engagement are driving profitability, are often justified and necessitated by retention of competitive advantage or shareholder value. </w:t>
      </w:r>
    </w:p>
    <w:p w14:paraId="5FD67AFD"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drawing>
          <wp:inline distT="114300" distB="114300" distL="114300" distR="114300" wp14:anchorId="0CA60DA8" wp14:editId="5966A379">
            <wp:extent cx="4450080" cy="2819400"/>
            <wp:effectExtent l="0" t="0" r="0" b="0"/>
            <wp:docPr id="106411248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50080" cy="2819400"/>
                    </a:xfrm>
                    <a:prstGeom prst="rect">
                      <a:avLst/>
                    </a:prstGeom>
                    <a:ln/>
                  </pic:spPr>
                </pic:pic>
              </a:graphicData>
            </a:graphic>
          </wp:inline>
        </w:drawing>
      </w:r>
    </w:p>
    <w:p w14:paraId="42391E5E" w14:textId="77777777" w:rsidR="00557B22" w:rsidRPr="00360BE5" w:rsidRDefault="00F84221" w:rsidP="00360BE5">
      <w:pPr>
        <w:pStyle w:val="Heading4"/>
      </w:pPr>
      <w:bookmarkStart w:id="9" w:name="_heading=h.681g8z2onqyb" w:colFirst="0" w:colLast="0"/>
      <w:bookmarkEnd w:id="9"/>
      <w:r w:rsidRPr="00360BE5">
        <w:t>Figure 3: Facebook ads in social media landscape</w:t>
      </w:r>
    </w:p>
    <w:p w14:paraId="244EC98D"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7D96F20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In the digital age, social media popularity and data analytics increasingly play a role in M&amp;A motivations. Xu (2024) conceived social media trend analysis as a metric to assess the </w:t>
      </w:r>
      <w:r w:rsidRPr="00360BE5">
        <w:rPr>
          <w:rFonts w:ascii="Times New Roman" w:eastAsia="Times New Roman" w:hAnsi="Times New Roman" w:cs="Times New Roman"/>
          <w:sz w:val="24"/>
          <w:szCs w:val="24"/>
        </w:rPr>
        <w:lastRenderedPageBreak/>
        <w:t xml:space="preserve">popularity of target firms, stressing the importance of user engagement and visibility in acquisition decisions. Real-time sentiment on platforms like Twitter may also act as a signal for imminent M&amp;A announcements, according to Boni, Sharma, and Zhang (2018), who assert that social media have become both an information channel and an asset for reputation in M&amp;A appraisal. Pham et al. (2024) argue that M&amp;As can also serve as </w:t>
      </w:r>
      <w:proofErr w:type="spellStart"/>
      <w:r w:rsidRPr="00360BE5">
        <w:rPr>
          <w:rFonts w:ascii="Times New Roman" w:eastAsia="Times New Roman" w:hAnsi="Times New Roman" w:cs="Times New Roman"/>
          <w:sz w:val="24"/>
          <w:szCs w:val="24"/>
        </w:rPr>
        <w:t>signaling</w:t>
      </w:r>
      <w:proofErr w:type="spellEnd"/>
      <w:r w:rsidRPr="00360BE5">
        <w:rPr>
          <w:rFonts w:ascii="Times New Roman" w:eastAsia="Times New Roman" w:hAnsi="Times New Roman" w:cs="Times New Roman"/>
          <w:sz w:val="24"/>
          <w:szCs w:val="24"/>
        </w:rPr>
        <w:t xml:space="preserve"> devices-acquiring preeminent digital firms signals agility and readiness for the future to investors in a manner that inflates market confidence after the acquisition. In sum, the Facebook acquisition of Instagram starkly demonstrates how M&amp;A decisions in this digital era bear the influence of a plethora of theoretical frameworks-synergy creation, resource acquisition competitive positioning-reinforced by real-time digital data and platform economics.</w:t>
      </w:r>
    </w:p>
    <w:p w14:paraId="22D0AFAC" w14:textId="77777777" w:rsidR="00557B22" w:rsidRPr="00360BE5" w:rsidRDefault="00F84221" w:rsidP="00360BE5">
      <w:pPr>
        <w:pStyle w:val="Heading2"/>
      </w:pPr>
      <w:bookmarkStart w:id="10" w:name="_heading=h.ezt8qonvqpv6" w:colFirst="0" w:colLast="0"/>
      <w:bookmarkEnd w:id="10"/>
      <w:r w:rsidRPr="00360BE5">
        <w:t>2.2 Brand consolidation and audience expansion post-acquisition</w:t>
      </w:r>
    </w:p>
    <w:p w14:paraId="3AF00FF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In terms of strategic importance, after Facebook's acquisition of Instagram in the year 2012, around brand consolidation and user engagement this acquisition was indeed of great importance. The critics lambasted the price of $1 billion-on grounds of very little revenue that could have been reported by Instagram at the time-but this acquisition has, indeed, been instrumental in improving Facebook's mobile standing and competition with incoming image-based messages among younger audiences (Xu, 2024). It was a big deal full </w:t>
      </w:r>
      <w:proofErr w:type="gramStart"/>
      <w:r w:rsidRPr="00360BE5">
        <w:rPr>
          <w:rFonts w:ascii="Times New Roman" w:eastAsia="Times New Roman" w:hAnsi="Times New Roman" w:cs="Times New Roman"/>
          <w:sz w:val="24"/>
          <w:szCs w:val="24"/>
        </w:rPr>
        <w:t>with</w:t>
      </w:r>
      <w:proofErr w:type="gramEnd"/>
      <w:r w:rsidRPr="00360BE5">
        <w:rPr>
          <w:rFonts w:ascii="Times New Roman" w:eastAsia="Times New Roman" w:hAnsi="Times New Roman" w:cs="Times New Roman"/>
          <w:sz w:val="24"/>
          <w:szCs w:val="24"/>
        </w:rPr>
        <w:t xml:space="preserve"> controversy. Most commentators exclaimed that the deal was overpriced; after all, it considered Facebook was buying a company with less than 20 employees and no clear ability to monetize. Xu (2024) points out that mainstream negative media sentiments at that time reflected doubts concerning the social media acquisitions in general, which were often seen as these speculative overpriced deals given scarce financial data and shaky user patterns. </w:t>
      </w:r>
    </w:p>
    <w:p w14:paraId="26A105DE"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lastRenderedPageBreak/>
        <w:drawing>
          <wp:inline distT="114300" distB="114300" distL="114300" distR="114300" wp14:anchorId="519A30B3" wp14:editId="234B1168">
            <wp:extent cx="4137660" cy="3398520"/>
            <wp:effectExtent l="0" t="0" r="0" b="0"/>
            <wp:docPr id="106411248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137660" cy="3398520"/>
                    </a:xfrm>
                    <a:prstGeom prst="rect">
                      <a:avLst/>
                    </a:prstGeom>
                    <a:ln/>
                  </pic:spPr>
                </pic:pic>
              </a:graphicData>
            </a:graphic>
          </wp:inline>
        </w:drawing>
      </w:r>
    </w:p>
    <w:p w14:paraId="0A6AE3A7" w14:textId="77777777" w:rsidR="00557B22" w:rsidRPr="00360BE5" w:rsidRDefault="00F84221" w:rsidP="00360BE5">
      <w:pPr>
        <w:pStyle w:val="Heading4"/>
      </w:pPr>
      <w:bookmarkStart w:id="11" w:name="_heading=h.uskzt0ku5odv" w:colFirst="0" w:colLast="0"/>
      <w:bookmarkEnd w:id="11"/>
      <w:r w:rsidRPr="00360BE5">
        <w:t>Figure 4: Meta advancement</w:t>
      </w:r>
    </w:p>
    <w:p w14:paraId="41AC3484"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0667844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Regulatory concerns were raised as well, but again, mostly on antitrust lines. O'Neill (2021) frames the acquisition also against the structural cheating debates in markets, especially concerned about how dominant actors like Facebook could stifle fair competition by means of acquisition. The major concern was the elimination of a potential rival in the social networking space, taking away consumer choices, and consolidating power under one brand. Post-acquisition developments say otherwise: Instagram's assimilation, during a time of shifting digital care and sporadic trends, was the lifeline for Facebook to retain its users and, in fact, increase its number. Through Instagram, Facebook's audience became younger and more visibly oriented, and the engagement metrics for that audience were strengthened altogether (Ben O’Neill, 2021). Social media trend data, normalized through Google Search indices, indicates that Instagram's popularity surged in multiple global markets following its acquisition, surpassing the 50-index threshold that denotes significant platform adoption (Xu, 2024).</w:t>
      </w:r>
    </w:p>
    <w:p w14:paraId="4C4B1101"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Additionally, Facebook’s ecosystem benefited from Instagram’s growth, as it leveraged Instagram’s user data and advertising infrastructure to enhance targeting across both platforms. This cross-platform integration deepened Facebook’s data moat and advertising dominance, furthering its position in the digital economy (Yang &amp; Zeng, 2024). However, questions remain regarding whether such consolidation stifles innovation. Antitrust frameworks in the U.S., </w:t>
      </w:r>
      <w:r w:rsidRPr="00360BE5">
        <w:rPr>
          <w:rFonts w:ascii="Times New Roman" w:eastAsia="Times New Roman" w:hAnsi="Times New Roman" w:cs="Times New Roman"/>
          <w:sz w:val="24"/>
          <w:szCs w:val="24"/>
        </w:rPr>
        <w:lastRenderedPageBreak/>
        <w:t xml:space="preserve">while governing permissible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often </w:t>
      </w:r>
      <w:proofErr w:type="gramStart"/>
      <w:r w:rsidRPr="00360BE5">
        <w:rPr>
          <w:rFonts w:ascii="Times New Roman" w:eastAsia="Times New Roman" w:hAnsi="Times New Roman" w:cs="Times New Roman"/>
          <w:sz w:val="24"/>
          <w:szCs w:val="24"/>
        </w:rPr>
        <w:t>lag behind</w:t>
      </w:r>
      <w:proofErr w:type="gramEnd"/>
      <w:r w:rsidRPr="00360BE5">
        <w:rPr>
          <w:rFonts w:ascii="Times New Roman" w:eastAsia="Times New Roman" w:hAnsi="Times New Roman" w:cs="Times New Roman"/>
          <w:sz w:val="24"/>
          <w:szCs w:val="24"/>
        </w:rPr>
        <w:t xml:space="preserve"> the speed of tech acquisitions, complicating enforcement (Hay &amp; Turgeon, 2023). The ambiguity in defining "anti-competitive"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in such dynamic sectors continues to be a point of contention, as only a minority of deals are investigated or blocked.</w:t>
      </w:r>
    </w:p>
    <w:p w14:paraId="76D83272" w14:textId="77777777" w:rsidR="00557B22" w:rsidRPr="00360BE5" w:rsidRDefault="00F84221" w:rsidP="00360BE5">
      <w:pPr>
        <w:pStyle w:val="Heading2"/>
      </w:pPr>
      <w:bookmarkStart w:id="12" w:name="_heading=h.uj7y1haawpoq" w:colFirst="0" w:colLast="0"/>
      <w:bookmarkEnd w:id="12"/>
      <w:r w:rsidRPr="00360BE5">
        <w:t>2.0 How Acquisitions Such as Instagram Are Situated in Larger Platform Dominance and Data Ecosystem Strategies</w:t>
      </w:r>
    </w:p>
    <w:p w14:paraId="5F142C82"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In digital ecosystems, acquisition incidents such as Instagram compromise the platform for data ecosystem domination. The network effects inherent in digital platforms allow these platforms to reap huge benefits from increasing their user base, namely monetizing them, as every nth user adds value to the platform for the rest of the users (Hay &amp; Turgeon, 2023). Instagram's acquisition by Facebook (now Meta) provides an example in which the platform expands the attention, engagement, and </w:t>
      </w:r>
      <w:proofErr w:type="spellStart"/>
      <w:r w:rsidRPr="00360BE5">
        <w:rPr>
          <w:rFonts w:ascii="Times New Roman" w:eastAsia="Times New Roman" w:hAnsi="Times New Roman" w:cs="Times New Roman"/>
          <w:sz w:val="24"/>
          <w:szCs w:val="24"/>
        </w:rPr>
        <w:t>behavioral</w:t>
      </w:r>
      <w:proofErr w:type="spellEnd"/>
      <w:r w:rsidRPr="00360BE5">
        <w:rPr>
          <w:rFonts w:ascii="Times New Roman" w:eastAsia="Times New Roman" w:hAnsi="Times New Roman" w:cs="Times New Roman"/>
          <w:sz w:val="24"/>
          <w:szCs w:val="24"/>
        </w:rPr>
        <w:t xml:space="preserve"> data that Meta can gather across demographic segments, strengthening its position as the central link in the digital advertising ecosystem. Through the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-Collis model, we see that Facebook and sometimes other platforms also gain social welfare through monetization, tax contributions, and only large user bases (Hay &amp; Turgeon, 2023). Meta realized that the larger the ecosystem, the more its data could be </w:t>
      </w:r>
      <w:proofErr w:type="gramStart"/>
      <w:r w:rsidRPr="00360BE5">
        <w:rPr>
          <w:rFonts w:ascii="Times New Roman" w:eastAsia="Times New Roman" w:hAnsi="Times New Roman" w:cs="Times New Roman"/>
          <w:sz w:val="24"/>
          <w:szCs w:val="24"/>
        </w:rPr>
        <w:t>cross-leveraged</w:t>
      </w:r>
      <w:proofErr w:type="gramEnd"/>
      <w:r w:rsidRPr="00360BE5">
        <w:rPr>
          <w:rFonts w:ascii="Times New Roman" w:eastAsia="Times New Roman" w:hAnsi="Times New Roman" w:cs="Times New Roman"/>
          <w:sz w:val="24"/>
          <w:szCs w:val="24"/>
        </w:rPr>
        <w:t xml:space="preserve"> for targeted advertisement delivery while killing competition. This is a stark manifestation of platform economics, which emphasises that the structural warp of the platform is to control supply (content creators) and demand (users) from which few platforms could walk away. </w:t>
      </w:r>
    </w:p>
    <w:p w14:paraId="23FC630D"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These acquisitions also form a wider strategy of dealing with innovation risk management and countering future competition. As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and Lee (2024) argue, sometimes, mergers happen when the incumbents feel that the </w:t>
      </w:r>
      <w:proofErr w:type="gramStart"/>
      <w:r w:rsidRPr="00360BE5">
        <w:rPr>
          <w:rFonts w:ascii="Times New Roman" w:eastAsia="Times New Roman" w:hAnsi="Times New Roman" w:cs="Times New Roman"/>
          <w:sz w:val="24"/>
          <w:szCs w:val="24"/>
        </w:rPr>
        <w:t>particular startup</w:t>
      </w:r>
      <w:proofErr w:type="gramEnd"/>
      <w:r w:rsidRPr="00360BE5">
        <w:rPr>
          <w:rFonts w:ascii="Times New Roman" w:eastAsia="Times New Roman" w:hAnsi="Times New Roman" w:cs="Times New Roman"/>
          <w:sz w:val="24"/>
          <w:szCs w:val="24"/>
        </w:rPr>
        <w:t xml:space="preserve"> will not survive alone or want to seemingly extinguish a possible future rival. In the case of Instagram, at the time it was but a small photo-sharing app; however, its future could have done a lot to threaten Facebook's core platform. These consolidations also lead platforms like Meta into economies of scale and scope-integration of numerous services under one umbrella to capture diverse revenue streams under the lock-in of the user (Gal and Rubinfeld, 2024). The integration of Instagram propels Meta's data-driven advertising model as well as strengthens its dominance in social media, demonstrating that such acquisitions form the essence of the platform's economic strategies and controls of the digital ecosystem.</w:t>
      </w:r>
    </w:p>
    <w:p w14:paraId="2470ABD0" w14:textId="77777777" w:rsidR="00557B22" w:rsidRPr="00360BE5" w:rsidRDefault="00F84221" w:rsidP="00360BE5">
      <w:pPr>
        <w:pStyle w:val="Heading2"/>
      </w:pPr>
      <w:bookmarkStart w:id="13" w:name="_heading=h.lbihr3loxur3" w:colFirst="0" w:colLast="0"/>
      <w:bookmarkEnd w:id="13"/>
      <w:r w:rsidRPr="00360BE5">
        <w:t>2.4 Gaps in existing research</w:t>
      </w:r>
    </w:p>
    <w:p w14:paraId="117C05F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Although substantial literature exists on the short-term performance of mergers and acquisitions, gaps remain in understanding their long-term implications. In particular, the impact of the Instagram acquisition on Facebook’s profitability, user retention, and enduring </w:t>
      </w:r>
      <w:r w:rsidRPr="00360BE5">
        <w:rPr>
          <w:rFonts w:ascii="Times New Roman" w:eastAsia="Times New Roman" w:hAnsi="Times New Roman" w:cs="Times New Roman"/>
          <w:sz w:val="24"/>
          <w:szCs w:val="24"/>
        </w:rPr>
        <w:lastRenderedPageBreak/>
        <w:t xml:space="preserve">market dominance is underexplored. Existing research focuses more on deal announcement effects and executive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(Yang &amp; Zeng, 2024; Boni et al., 2018), leaving a need for longitudinal studies that assess outcomes beyond initial investor sentiment and media narratives (Debi et al., 2025; Xu, 2024).</w:t>
      </w:r>
    </w:p>
    <w:p w14:paraId="5DFE4998" w14:textId="77777777" w:rsidR="00557B22" w:rsidRPr="00360BE5" w:rsidRDefault="00F84221" w:rsidP="00360BE5">
      <w:pPr>
        <w:pStyle w:val="Heading1"/>
      </w:pPr>
      <w:bookmarkStart w:id="14" w:name="_heading=h.oi0kjjzcvgwb" w:colFirst="0" w:colLast="0"/>
      <w:bookmarkEnd w:id="14"/>
      <w:r w:rsidRPr="00360BE5">
        <w:t>3. Methodology</w:t>
      </w:r>
    </w:p>
    <w:p w14:paraId="7F5A3D22" w14:textId="77777777" w:rsidR="00557B22" w:rsidRPr="00360BE5" w:rsidRDefault="00F84221" w:rsidP="00360BE5">
      <w:pPr>
        <w:pStyle w:val="Heading2"/>
      </w:pPr>
      <w:bookmarkStart w:id="15" w:name="_heading=h.wvaw9z7goxl2" w:colFirst="0" w:colLast="0"/>
      <w:bookmarkEnd w:id="15"/>
      <w:r w:rsidRPr="00360BE5">
        <w:t>3.1 Research Design</w:t>
      </w:r>
    </w:p>
    <w:p w14:paraId="43E8374A"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This study adopts a qualitative research design grounded in the review and thematic analysis of secondary data. The choice of a qualitative approach is informed by the need to explore complex dimensions of Meta's (formerly Facebook) acquisition of Instagram, including strategic rationale, financial performance, and long-term implications. Unlike quantitative methods that focus on numerical data and statistical relationships, qualitative analysis enables a deeper understanding of the motivations and impacts behind corporate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in mergers and acquisitions (M&amp;As). Academic sources, financial reports, user metrics, and case analyses are examined to provide a holistic view. Prior research has established the value of secondary data in understanding M&amp;A outcomes, especially when primary data is inaccessible (Xu, 2024; Yang &amp; Zeng, 2024).</w:t>
      </w:r>
    </w:p>
    <w:p w14:paraId="3E9DE820" w14:textId="77777777" w:rsidR="00557B22" w:rsidRPr="00360BE5" w:rsidRDefault="00F84221" w:rsidP="00360BE5">
      <w:pPr>
        <w:pStyle w:val="Heading2"/>
      </w:pPr>
      <w:bookmarkStart w:id="16" w:name="_heading=h.a5i7ot9n6jxf" w:colFirst="0" w:colLast="0"/>
      <w:bookmarkEnd w:id="16"/>
      <w:r w:rsidRPr="00360BE5">
        <w:t>3.2 Data Collection</w:t>
      </w:r>
    </w:p>
    <w:p w14:paraId="4ADEF016"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data for this study is derived from several authoritative secondary sources. These include Meta’s publicly available financial filings and annual reports, which provide insights into revenue growth, advertising performance, and user engagement metrics. Third-party market analyses, such as those from Statista and COMPUSTAT Global, offer macroeconomic indicators and digital adoption trends (Xu, 2024). M&amp;A-specific data comes from the Securities Data Corporation (SDC) database, which places very stringent filters on the acquisition's relevance and conformity, such as classification according to deal type, completion status, and size thresholds (Xu, 2024). Besides that, articles published in peer-reviewed journals and studies commissioned by think tanks provide them positioning and concepts especially on strategic alignment, executive social capital, and regulatory dimensions (Yang &amp; Zeng, 2024; Debi et al., 2025; Hay &amp; Turgeon, 2023).</w:t>
      </w:r>
    </w:p>
    <w:p w14:paraId="65AD5B60" w14:textId="77777777" w:rsidR="00557B22" w:rsidRPr="00360BE5" w:rsidRDefault="00F84221" w:rsidP="00360BE5">
      <w:pPr>
        <w:pStyle w:val="Heading2"/>
      </w:pPr>
      <w:bookmarkStart w:id="17" w:name="_heading=h.3nxn9ptbpwoz" w:colFirst="0" w:colLast="0"/>
      <w:bookmarkEnd w:id="17"/>
      <w:r w:rsidRPr="00360BE5">
        <w:t>3.3 Data Analysis</w:t>
      </w:r>
    </w:p>
    <w:p w14:paraId="4697547B"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The research employs a thematic analysis approach where it attempts to assess the strategic and financial consequences of acquiring Instagram. The themes that emerge include growth acceleration, market consolidation, antitrust scrutiny, and synergies for brands in the long term. Furthermore, this is a study that can integrate evidence from various sources, such as quantitative metrics, qualitative comments, and regulatory commentary, into defined analytical </w:t>
      </w:r>
      <w:r w:rsidRPr="00360BE5">
        <w:rPr>
          <w:rFonts w:ascii="Times New Roman" w:eastAsia="Times New Roman" w:hAnsi="Times New Roman" w:cs="Times New Roman"/>
          <w:sz w:val="24"/>
          <w:szCs w:val="24"/>
        </w:rPr>
        <w:lastRenderedPageBreak/>
        <w:t xml:space="preserve">categories. The framework relies on both </w:t>
      </w:r>
      <w:proofErr w:type="spellStart"/>
      <w:r w:rsidRPr="00360BE5">
        <w:rPr>
          <w:rFonts w:ascii="Times New Roman" w:eastAsia="Times New Roman" w:hAnsi="Times New Roman" w:cs="Times New Roman"/>
          <w:sz w:val="24"/>
          <w:szCs w:val="24"/>
        </w:rPr>
        <w:t>signaling</w:t>
      </w:r>
      <w:proofErr w:type="spellEnd"/>
      <w:r w:rsidRPr="00360BE5">
        <w:rPr>
          <w:rFonts w:ascii="Times New Roman" w:eastAsia="Times New Roman" w:hAnsi="Times New Roman" w:cs="Times New Roman"/>
          <w:sz w:val="24"/>
          <w:szCs w:val="24"/>
        </w:rPr>
        <w:t xml:space="preserve"> theory and social exchange theory that help to understand Meta's buying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and post-acquisition integration strategy (Pham et al., 2024). Other macro aspects that will be used in the analysis include the changing role of social media in M&amp;As (Boni et al., 2018) and the influence of political and corporate social capital sources on acquisition performance (Debi et al., 2025).</w:t>
      </w:r>
    </w:p>
    <w:p w14:paraId="3690CE06" w14:textId="77777777" w:rsidR="00557B22" w:rsidRPr="00360BE5" w:rsidRDefault="00F84221" w:rsidP="00360BE5">
      <w:pPr>
        <w:pStyle w:val="Heading2"/>
      </w:pPr>
      <w:bookmarkStart w:id="18" w:name="_heading=h.y4m8rwapu2bn" w:colFirst="0" w:colLast="0"/>
      <w:bookmarkEnd w:id="18"/>
      <w:r w:rsidRPr="00360BE5">
        <w:t>3.4 Validity and Reliability: Approaches Used to Ensure Credibility and Consistency of Secondary Data Interpretation</w:t>
      </w:r>
    </w:p>
    <w:p w14:paraId="6C3C7FC3"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To achieve the validity and reliability of secondary data with respect to the analysis of Facebook's acquisition of Instagram, the research exercise employs long-established models and several high-quality, different sources. In this sense, validity means accurate reflection of reality in strategic rationale, profitability, and long-term impact while reliability implies consistency of these findings across sources and time. The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-Collis model (cited in Hay &amp; Turgeon, 2023) provides the backbone of this study identifying the welfare impacts of Facebook through extensive real-world user data like surveys obtained from 57,000 Facebook users and using theoretical constructs such as consumer surplus, tax revenues, and platform profitability within measurable variables. Such actions provide interpretations with an anchor in empirical reality rather than abstract theory, thus enhancing construct validity.  Reliability is addressed by drawing from peer-reviewed literature and economic models tested across multiple scenarios; for instance,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(2024) and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and Lee (2024) provide dynamic models for the startup </w:t>
      </w:r>
      <w:proofErr w:type="spellStart"/>
      <w:r w:rsidRPr="00360BE5">
        <w:rPr>
          <w:rFonts w:ascii="Times New Roman" w:eastAsia="Times New Roman" w:hAnsi="Times New Roman" w:cs="Times New Roman"/>
          <w:sz w:val="24"/>
          <w:szCs w:val="24"/>
        </w:rPr>
        <w:t>behavior</w:t>
      </w:r>
      <w:proofErr w:type="spellEnd"/>
      <w:r w:rsidRPr="00360BE5">
        <w:rPr>
          <w:rFonts w:ascii="Times New Roman" w:eastAsia="Times New Roman" w:hAnsi="Times New Roman" w:cs="Times New Roman"/>
          <w:sz w:val="24"/>
          <w:szCs w:val="24"/>
        </w:rPr>
        <w:t xml:space="preserve"> and acquisition motives under asymmetric information, subject to repeated testing across alternative assumptions. </w:t>
      </w:r>
    </w:p>
    <w:p w14:paraId="67FE55E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Such confirms a perfect conformance towards interpretational </w:t>
      </w:r>
      <w:proofErr w:type="spellStart"/>
      <w:r w:rsidRPr="00360BE5">
        <w:rPr>
          <w:rFonts w:ascii="Times New Roman" w:eastAsia="Times New Roman" w:hAnsi="Times New Roman" w:cs="Times New Roman"/>
          <w:sz w:val="24"/>
          <w:szCs w:val="24"/>
        </w:rPr>
        <w:t>endeavors</w:t>
      </w:r>
      <w:proofErr w:type="spellEnd"/>
      <w:r w:rsidRPr="00360BE5">
        <w:rPr>
          <w:rFonts w:ascii="Times New Roman" w:eastAsia="Times New Roman" w:hAnsi="Times New Roman" w:cs="Times New Roman"/>
          <w:sz w:val="24"/>
          <w:szCs w:val="24"/>
        </w:rPr>
        <w:t xml:space="preserve"> especially in association with Facebook's intention and the independent play of Instagram in the competitive arena in the future. Then, on one hand, the validity becomes operational by the whole process of triangulation in methodology. Such theoretical analysis (for instance, merger control tools regarding price correlations with diversion ratios), historical counterfactuals, and insights pertinent to the case (for example, startup lifecycle uncertainties) together form different acquisition angles through which (Gal &amp; Rubinfeld, 2024) scrutinizes the acquisition. Thus, interpreting from this angle brings together complementary but distinct methods and ensures depth of interpretation and consistency across different perspectives.</w:t>
      </w:r>
    </w:p>
    <w:p w14:paraId="23322E5A" w14:textId="77777777" w:rsidR="00557B22" w:rsidRPr="00360BE5" w:rsidRDefault="00F84221" w:rsidP="00360BE5">
      <w:pPr>
        <w:pStyle w:val="Heading2"/>
      </w:pPr>
      <w:bookmarkStart w:id="19" w:name="_heading=h.gl9mvgfw7pzv" w:colFirst="0" w:colLast="0"/>
      <w:bookmarkEnd w:id="19"/>
      <w:r w:rsidRPr="00360BE5">
        <w:t xml:space="preserve">3.5 Limitations </w:t>
      </w:r>
    </w:p>
    <w:p w14:paraId="5728E559"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This prevents the acquisition of internal organizational reasoning or stakeholder perceptions. This is because the research is limited in using secondary sources, as no primary data such as </w:t>
      </w:r>
      <w:r w:rsidRPr="00360BE5">
        <w:rPr>
          <w:rFonts w:ascii="Times New Roman" w:eastAsia="Times New Roman" w:hAnsi="Times New Roman" w:cs="Times New Roman"/>
          <w:sz w:val="24"/>
          <w:szCs w:val="24"/>
        </w:rPr>
        <w:lastRenderedPageBreak/>
        <w:t xml:space="preserve">interviews or surveys were collected. Therefore, it will possibly omit some of the more nuanced interpretations surrounding the acquisition. </w:t>
      </w:r>
    </w:p>
    <w:p w14:paraId="56F35914"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Furthermore, the information is confided to public disclosures, which may be selected to fit company narratives or align with regulatory expectation. Theme analysis may create in-depth insights; however, they may be interpretative, not predictive or generalizable. </w:t>
      </w:r>
    </w:p>
    <w:p w14:paraId="50AD349F" w14:textId="77777777" w:rsidR="00557B22" w:rsidRPr="00360BE5" w:rsidRDefault="00F84221" w:rsidP="00360BE5">
      <w:pPr>
        <w:pStyle w:val="Heading2"/>
      </w:pPr>
      <w:bookmarkStart w:id="20" w:name="_heading=h.v1fbc8pm4l9u" w:colFirst="0" w:colLast="0"/>
      <w:bookmarkEnd w:id="20"/>
      <w:r w:rsidRPr="00360BE5">
        <w:t>3.6 Ethical Considerations</w:t>
      </w:r>
    </w:p>
    <w:p w14:paraId="1FC8A83B"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research being secondary based poses a minimal ethical risk to participant privacy and consent; however, every effort has been made to present data accurately and to properly cite sources while also crediting intellectual property. The inclusion of divergent views in cross-referencing has helped avoid bias, and corporate disclosures have been critically evaluated compared to academic and regulatory commentary (Hay &amp; Turgeon, 2023; O’Neill, 2021).</w:t>
      </w:r>
    </w:p>
    <w:p w14:paraId="6FEAAB8F" w14:textId="77777777" w:rsidR="00557B22" w:rsidRPr="00360BE5" w:rsidRDefault="00F84221" w:rsidP="00360BE5">
      <w:pPr>
        <w:pStyle w:val="Heading1"/>
      </w:pPr>
      <w:bookmarkStart w:id="21" w:name="_heading=h.gkoa1lfcnedj" w:colFirst="0" w:colLast="0"/>
      <w:bookmarkEnd w:id="21"/>
      <w:r w:rsidRPr="00360BE5">
        <w:t>4. Results</w:t>
      </w:r>
    </w:p>
    <w:p w14:paraId="18C47BC5" w14:textId="77777777" w:rsidR="00557B22" w:rsidRPr="00360BE5" w:rsidRDefault="00F84221" w:rsidP="00360BE5">
      <w:pPr>
        <w:pStyle w:val="Heading2"/>
      </w:pPr>
      <w:bookmarkStart w:id="22" w:name="_heading=h.s9q1aj4hstah" w:colFirst="0" w:colLast="0"/>
      <w:bookmarkEnd w:id="22"/>
      <w:r w:rsidRPr="00360BE5">
        <w:t>4.1 Instagram growth after 2012</w:t>
      </w:r>
    </w:p>
    <w:p w14:paraId="44CD00EB"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user base enhancement, global penetration, and app integration. After being acquired by Meta in 2012, Instagram has since grown exponentially from 30 million users in 2010 to more than 2 billion by 2023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&amp; Chang, 2023). The growth curve of Instagram was not just an expansion in numbers: it also invoked geography. The user base expanded globally into all the regions, especially where the young mobile-first demographic groups hold a sizable market share. For example, in Denmark, Instagram is used by 42% of the population; it is the second most-used social media platform after Facebook (Aagaard et al., 2025). This global penetration was facilitated when Meta began integrating Instagram into Facebook's core infrastructure, including unified advertising systems and cross-platform messaging capabilities (Epstein et al. 2024). Also, AI-supported tools and automation systems such as Echobox were integrated into both platforms to support content creators and news organizations in efficiently managing their presence and enabling greater engagement with simplified operations (Newman et al., 2024). This ecosystem-wide integration helped Meta in making user stickiness and data-driven personalization, encouraging a lengthened time spent across its platforms. Being smoothly incorporated into Meta's app family, Instagram amplifies its currency in brand marketing, influencer commerce, and cultural impact, establishing its position as Meta's linchpin for long-term dominance in social media (Angela et al. 2024, Nielsen &amp; Cherubini, 2022). </w:t>
      </w:r>
    </w:p>
    <w:p w14:paraId="07A914BC"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lastRenderedPageBreak/>
        <w:drawing>
          <wp:inline distT="114300" distB="114300" distL="114300" distR="114300" wp14:anchorId="11E7761C" wp14:editId="77AAD3E7">
            <wp:extent cx="5705475" cy="4600575"/>
            <wp:effectExtent l="0" t="0" r="0" b="0"/>
            <wp:docPr id="106411248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05475" cy="4600575"/>
                    </a:xfrm>
                    <a:prstGeom prst="rect">
                      <a:avLst/>
                    </a:prstGeom>
                    <a:ln/>
                  </pic:spPr>
                </pic:pic>
              </a:graphicData>
            </a:graphic>
          </wp:inline>
        </w:drawing>
      </w:r>
    </w:p>
    <w:p w14:paraId="7C8D3035" w14:textId="77777777" w:rsidR="00557B22" w:rsidRPr="00360BE5" w:rsidRDefault="00F84221" w:rsidP="00360BE5">
      <w:pPr>
        <w:pStyle w:val="Heading4"/>
      </w:pPr>
      <w:bookmarkStart w:id="23" w:name="_heading=h.utxgkhj2i3sq" w:colFirst="0" w:colLast="0"/>
      <w:bookmarkEnd w:id="23"/>
      <w:r w:rsidRPr="00360BE5">
        <w:t>Figure 5: One billion users</w:t>
      </w:r>
    </w:p>
    <w:p w14:paraId="4F7F5F22"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64717B2F" w14:textId="77777777" w:rsidR="00557B22" w:rsidRPr="00360BE5" w:rsidRDefault="00F84221" w:rsidP="00360BE5">
      <w:pPr>
        <w:pStyle w:val="Heading2"/>
      </w:pPr>
      <w:bookmarkStart w:id="24" w:name="_heading=h.8a0zwlueznym" w:colFirst="0" w:colLast="0"/>
      <w:bookmarkEnd w:id="24"/>
      <w:r w:rsidRPr="00360BE5">
        <w:t>4.2 Revenue Contribution to Meta: advertising strategy, monetization timeline, comparative analysis</w:t>
      </w:r>
    </w:p>
    <w:p w14:paraId="708FA020"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Instagram revenues contributed to Meta since the beginning of its monetization in 2013, and this contribution has followed a steady and inevitable rise. The advertising strategy is naturally based upon visual-content and influencer marketing that appeals to younger high-engagement-rate demographics. By integrating Instagram into Meta’s unified ad system, advertisers could target users across Facebook and Instagram with seamless precision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&amp; Chang, 2023). Instagram’s Stories and Reels formats were particularly lucrative, generating high ad impressions and user interaction. This integration allowed Meta to leverage user data across platforms, optimizing ROI for advertisers and significantly boosting revenue (Wang et al. 2024). While Facebook remained Meta’s dominant revenue source in the early years, Instagram’s role has become more prominent. It is now seen as a vital driver of Meta’s ad revenue growth, especially among Gen Z and millennial users (Newman et al., 2024). AI tools such as Echobox, used by news organizations to automate Instagram content, contributed </w:t>
      </w:r>
      <w:r w:rsidRPr="00360BE5">
        <w:rPr>
          <w:rFonts w:ascii="Times New Roman" w:eastAsia="Times New Roman" w:hAnsi="Times New Roman" w:cs="Times New Roman"/>
          <w:sz w:val="24"/>
          <w:szCs w:val="24"/>
        </w:rPr>
        <w:lastRenderedPageBreak/>
        <w:t>indirectly to revenue by increasing user engagement and time spent on the app (Nielsen &amp; Cherubini, 2022). Comparatively, Instagram’s engagement metrics and monetization potential have outperformed Facebook in younger markets, supporting claims that Meta’s acquisition was a forward-looking investment that diversified its revenue base while reinforcing its market dominance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&amp; Chang, 2023; Basak et al. 2024).</w:t>
      </w:r>
    </w:p>
    <w:p w14:paraId="50FED499" w14:textId="77777777" w:rsidR="00557B22" w:rsidRPr="00360BE5" w:rsidRDefault="00F84221" w:rsidP="00360BE5">
      <w:pPr>
        <w:pStyle w:val="Heading2"/>
      </w:pPr>
      <w:bookmarkStart w:id="25" w:name="_heading=h.1pksfgv34cmj" w:colFirst="0" w:colLast="0"/>
      <w:bookmarkEnd w:id="25"/>
      <w:r w:rsidRPr="00360BE5">
        <w:t>4.3 Competitive Advantage: how Instagram’s features (Stories, Reels) helped Facebook compete with Snapchat and TikTok</w:t>
      </w:r>
    </w:p>
    <w:p w14:paraId="5B2EDDDA"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integration of Instagram Stories and Reels significantly enhanced Meta’s ability to compete with rising social media platforms like Snapchat and TikTok. Instagram Stories, launched in 2016, directly responded to Snapchat’s ephemeral content format, helping Meta retain younger users and boost daily engagement. Reels, introduced in 2020, was Meta’s counter to TikTok’s viral short-form video model. These features were strategically designed to replicate the core appeal of rival platforms while leveraging Instagram’s existing user base and broader reach, giving Meta a powerful competitive edge (Eva &amp; Ramos, 2025). By quickly adapting and integrating popular formats, Meta utilized Instagram’s agile platform architecture to prevent user migration to competitors. This approach aligned with the idea of maintaining a dominant user base to maximize data collection and advertising revenue (Hay &amp; Turgeon, 2023). Moreover, Meta’s network effects enabled rapid adoption of new features across its ecosystem, blunting the disruptive potential of competitors. This allowed Instagram to not only retain users but also reshape market expectations, effectively shifting attention away from the innovators themselves (Goldwater, 2024). In essence, Instagram became a competitive shield for Meta, absorbing innovation from rivals and reinforcing its position in the social media hierarchy.</w:t>
      </w:r>
    </w:p>
    <w:p w14:paraId="3001E018"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lastRenderedPageBreak/>
        <w:drawing>
          <wp:inline distT="114300" distB="114300" distL="114300" distR="114300" wp14:anchorId="6F904CE9" wp14:editId="0DE37A90">
            <wp:extent cx="5591175" cy="5086350"/>
            <wp:effectExtent l="0" t="0" r="0" b="0"/>
            <wp:docPr id="106411248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591175" cy="5086350"/>
                    </a:xfrm>
                    <a:prstGeom prst="rect">
                      <a:avLst/>
                    </a:prstGeom>
                    <a:ln/>
                  </pic:spPr>
                </pic:pic>
              </a:graphicData>
            </a:graphic>
          </wp:inline>
        </w:drawing>
      </w:r>
    </w:p>
    <w:p w14:paraId="52FEC1C6" w14:textId="77777777" w:rsidR="00557B22" w:rsidRPr="00360BE5" w:rsidRDefault="00F84221" w:rsidP="00360BE5">
      <w:pPr>
        <w:pStyle w:val="Heading4"/>
      </w:pPr>
      <w:bookmarkStart w:id="26" w:name="_heading=h.ua351qbsxpx" w:colFirst="0" w:colLast="0"/>
      <w:bookmarkEnd w:id="26"/>
      <w:r w:rsidRPr="00360BE5">
        <w:t>Figure 6: Facebook acquisition of Instagram</w:t>
      </w:r>
    </w:p>
    <w:p w14:paraId="125CA698"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076FCAA5" w14:textId="77777777" w:rsidR="00557B22" w:rsidRPr="00360BE5" w:rsidRDefault="00F84221" w:rsidP="00360BE5">
      <w:pPr>
        <w:pStyle w:val="Heading2"/>
      </w:pPr>
      <w:bookmarkStart w:id="27" w:name="_heading=h.a7y4hit74t5m" w:colFirst="0" w:colLast="0"/>
      <w:bookmarkEnd w:id="27"/>
      <w:r w:rsidRPr="00360BE5">
        <w:t>4.4 Market Share and Influence: Instagram’s role in Meta’s platform ecosystem</w:t>
      </w:r>
    </w:p>
    <w:p w14:paraId="66BDE2F9"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Instagram has become a cornerstone of Meta’s digital platform ecosystem, playing a critical role in maintaining its dominant market position. While Meta still earns significant revenue from Facebook, Instagram’s share of ad revenue has grown rapidly, highlighting its increasing importance (Gal &amp; Rubinfeld, 2024). The platform's visual-centric design and adaptability to trends, such as Stories and Reels, have made it particularly attractive to younger demographics—key to long-term growth in the digital ad market (Eva &amp; Ramos, 2025). The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-Collis model emphasizes the strategic value of a large and active user base, which Instagram has helped Meta preserve amid shifting user preferences. Instagram contributes to Meta’s social welfare function through high consumer utility, substantial ad revenue, and synergistic integration with other Meta products like Facebook, Messenger, and WhatsApp (Hay &amp; Turgeon, 2023). Its influence extends beyond user retention; Instagram serves as a </w:t>
      </w:r>
      <w:r w:rsidRPr="00360BE5">
        <w:rPr>
          <w:rFonts w:ascii="Times New Roman" w:eastAsia="Times New Roman" w:hAnsi="Times New Roman" w:cs="Times New Roman"/>
          <w:sz w:val="24"/>
          <w:szCs w:val="24"/>
        </w:rPr>
        <w:lastRenderedPageBreak/>
        <w:t>testing ground for features that are later expanded across Meta’s ecosystem. Furthermore, Instagram’s role in market consolidation illustrates how Meta maintains a natural monopoly by acquiring innovative startups and scaling their features across platforms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2024). This has reinforced Meta’s network effects, deterred competition and strengthened its influence across digital media markets.</w:t>
      </w:r>
    </w:p>
    <w:p w14:paraId="1DB94BCB" w14:textId="77777777" w:rsidR="00557B22" w:rsidRPr="00360BE5" w:rsidRDefault="00F84221" w:rsidP="00360BE5">
      <w:pPr>
        <w:pStyle w:val="Heading2"/>
      </w:pPr>
      <w:bookmarkStart w:id="28" w:name="_heading=h.1pik6i40uoq3" w:colFirst="0" w:colLast="0"/>
      <w:bookmarkEnd w:id="28"/>
      <w:r w:rsidRPr="00360BE5">
        <w:t>4.5 Post-acquisition: Innovations-Newly Developed Features and Tools That Became Part of Meta's Evolving Business Model After the Acquisition</w:t>
      </w:r>
    </w:p>
    <w:p w14:paraId="689D5C59"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Instagram underwent significant innovations post-acquisition in 2012 by Facebook to align the platform with Meta's changing business strategy. Among the most significant developments after the acquisition were Stories, IGTV, Reels, and sophisticated advertising functionalities, which have transformed Instagram entirely into a multi-content platform. Such innovations helped Instagram get the younger demographic and compete directly with up-and-coming apps such as TikTok (Eva &amp; Ramos, 2025). Notably, the integration of Instagram into Meta's advertising ecosystem extended the potential for monetization. Gaining advertisement targeting and cross-platform data collection advantages from Instagram's huge user base and visually oriented structure maximized the network effects across Meta's </w:t>
      </w:r>
      <w:proofErr w:type="gramStart"/>
      <w:r w:rsidRPr="00360BE5">
        <w:rPr>
          <w:rFonts w:ascii="Times New Roman" w:eastAsia="Times New Roman" w:hAnsi="Times New Roman" w:cs="Times New Roman"/>
          <w:sz w:val="24"/>
          <w:szCs w:val="24"/>
        </w:rPr>
        <w:t>platforms(</w:t>
      </w:r>
      <w:proofErr w:type="spellStart"/>
      <w:proofErr w:type="gramEnd"/>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&amp; Collis, 2023). The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-Collis model emphasizes that innovations of this nature help enhance social welfare through engagement of consumers and increase platform utility even when services are rendered for free to users (Hay &amp; Turgeon, 2023).  Ultimately, the post-acquisition innovation on Instagram had become a strategic mantle within Meta's business model as it further diversified the revenue streams and enhanced Meta's name as a natural monopoly in the digital ecosystem (Goldwater, 2024).</w:t>
      </w:r>
    </w:p>
    <w:p w14:paraId="77ECA59C" w14:textId="77777777" w:rsidR="00557B22" w:rsidRPr="00360BE5" w:rsidRDefault="00F84221" w:rsidP="00360BE5">
      <w:pPr>
        <w:pStyle w:val="Heading1"/>
      </w:pPr>
      <w:bookmarkStart w:id="29" w:name="_heading=h.59jslq1cst87" w:colFirst="0" w:colLast="0"/>
      <w:bookmarkEnd w:id="29"/>
      <w:r w:rsidRPr="00360BE5">
        <w:t>5. Discussion</w:t>
      </w:r>
    </w:p>
    <w:p w14:paraId="4C9A455C" w14:textId="77777777" w:rsidR="00557B22" w:rsidRPr="00360BE5" w:rsidRDefault="00F84221" w:rsidP="00360BE5">
      <w:pPr>
        <w:pStyle w:val="Heading2"/>
      </w:pPr>
      <w:bookmarkStart w:id="30" w:name="_heading=h.253vlkmdd8j" w:colFirst="0" w:colLast="0"/>
      <w:bookmarkEnd w:id="30"/>
      <w:r w:rsidRPr="00360BE5">
        <w:t>5.1 Strategic Rationale: analysis of whether the acquisition achieved Facebook’s stated and unstated goals</w:t>
      </w:r>
    </w:p>
    <w:p w14:paraId="5563C5A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Facebook’s acquisition of Instagram in 2012 was driven by both explicit and implicit strategic objectives: preventing potential competition, strengthening its mobile presence, and expanding its user base (Goldwater, 2024). Although Instagram was a relatively small startup at the time, the acquisition was a </w:t>
      </w:r>
      <w:proofErr w:type="spellStart"/>
      <w:r w:rsidRPr="00360BE5">
        <w:rPr>
          <w:rFonts w:ascii="Times New Roman" w:eastAsia="Times New Roman" w:hAnsi="Times New Roman" w:cs="Times New Roman"/>
          <w:sz w:val="24"/>
          <w:szCs w:val="24"/>
        </w:rPr>
        <w:t>preemptive</w:t>
      </w:r>
      <w:proofErr w:type="spellEnd"/>
      <w:r w:rsidRPr="00360BE5">
        <w:rPr>
          <w:rFonts w:ascii="Times New Roman" w:eastAsia="Times New Roman" w:hAnsi="Times New Roman" w:cs="Times New Roman"/>
          <w:sz w:val="24"/>
          <w:szCs w:val="24"/>
        </w:rPr>
        <w:t xml:space="preserve"> strike to eliminate a rising competitor that could evolve into a viable threat in the photo-sharing and social networking space (Gal &amp; Rubinfeld, 2024). From this perspective, the acquisition succeeded. Instagram’s rapid growth post-acquisition validated concerns that it might have competed directly with Facebook’s core platform had it remained independent. Facebook also benefited from Instagram’s younger user demographic and mobile-native design—areas in which Facebook was lagging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2024). By integrating Instagram </w:t>
      </w:r>
      <w:r w:rsidRPr="00360BE5">
        <w:rPr>
          <w:rFonts w:ascii="Times New Roman" w:eastAsia="Times New Roman" w:hAnsi="Times New Roman" w:cs="Times New Roman"/>
          <w:sz w:val="24"/>
          <w:szCs w:val="24"/>
        </w:rPr>
        <w:lastRenderedPageBreak/>
        <w:t xml:space="preserve">into its ecosystem, Facebook enhanced its data-gathering capabilities and diversified its product offering without cannibalizing its existing user base. As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and Collis’ model of social welfare shows, Facebook places high strategic value on user base expansion, not just for monetization, but also for maintaining dominance and deterring competition (Hay &amp; Turgeon, 2023).</w:t>
      </w:r>
    </w:p>
    <w:p w14:paraId="6FA22201"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Moreover, the acquisition aligned with Facebook’s network-driven strategy of preserving a natural monopoly through scale, data access, and user interconnectivity (Goldwater, 2024). Instagram’s success under Meta’s ownership supports the view that the deal delivered on both stated and unstated objectives: reinforcing platform dominance, enhancing product diversification, and potentially limiting market entry by rivals. Therefore, Facebook’s strategic rationale for the acquisition—market control, growth, and data leverage—was effectively achieved.</w:t>
      </w:r>
    </w:p>
    <w:p w14:paraId="39FF831D" w14:textId="77777777" w:rsidR="00557B22" w:rsidRPr="00360BE5" w:rsidRDefault="00F84221" w:rsidP="00360BE5">
      <w:pPr>
        <w:pStyle w:val="Heading2"/>
      </w:pPr>
      <w:bookmarkStart w:id="31" w:name="_heading=h.8sapg4nqgp2h" w:colFirst="0" w:colLast="0"/>
      <w:bookmarkEnd w:id="31"/>
      <w:r w:rsidRPr="00360BE5">
        <w:t>5.2 Profitability &amp; Synergies: cost-benefit analysis over time; hidden synergies (data, tech, talent, ad revenue)</w:t>
      </w:r>
    </w:p>
    <w:p w14:paraId="1A55C807"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Over time, the Instagram acquisition proved to be one of the most profitable and synergistic deals in the tech sector. Facebook paid $1 billion for Instagram, a sum that, while high for a non-revenue-generating startup, was justified by Instagram's contribution to Meta’s advertising revenue and strategic ecosystem. As Gal and Rubinfeld (2024) note, Instagram’s ad revenue growth has outpaced Facebook’s core platform in recent years, and its success has become integral to Meta's revenue mix. The acquisition yielded substantial hidden synergies. Instagram contributed to Meta’s ad-tech infrastructure by integrating cross-platform user data and </w:t>
      </w:r>
      <w:proofErr w:type="spellStart"/>
      <w:r w:rsidRPr="00360BE5">
        <w:rPr>
          <w:rFonts w:ascii="Times New Roman" w:eastAsia="Times New Roman" w:hAnsi="Times New Roman" w:cs="Times New Roman"/>
          <w:sz w:val="24"/>
          <w:szCs w:val="24"/>
        </w:rPr>
        <w:t>behavioral</w:t>
      </w:r>
      <w:proofErr w:type="spellEnd"/>
      <w:r w:rsidRPr="00360BE5">
        <w:rPr>
          <w:rFonts w:ascii="Times New Roman" w:eastAsia="Times New Roman" w:hAnsi="Times New Roman" w:cs="Times New Roman"/>
          <w:sz w:val="24"/>
          <w:szCs w:val="24"/>
        </w:rPr>
        <w:t xml:space="preserve"> insights, improving ad targeting and boosting returns for advertisers (Eva &amp; Ramos, 2025). This synergy is emphasized in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and Collis’ welfare model, which highlights how platforms benefit from enhanced price discrimination and network effects through expanded user data and personalization (Hay &amp; Turgeon, 2023). Furthermore, Instagram allowed Facebook to maintain high-quality user engagement and user-generated content, which Eva &amp; Ramos (2025) show is key to influencing purchase intent and platform loyalty.</w:t>
      </w:r>
    </w:p>
    <w:p w14:paraId="67E77BDF"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noProof/>
          <w:sz w:val="24"/>
          <w:szCs w:val="24"/>
          <w:lang w:val="en-IN"/>
        </w:rPr>
        <w:lastRenderedPageBreak/>
        <w:drawing>
          <wp:inline distT="114300" distB="114300" distL="114300" distR="114300" wp14:anchorId="6AE199C9" wp14:editId="6BD5AC0D">
            <wp:extent cx="4238625" cy="4752975"/>
            <wp:effectExtent l="0" t="0" r="0" b="0"/>
            <wp:docPr id="106411248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238625" cy="4752975"/>
                    </a:xfrm>
                    <a:prstGeom prst="rect">
                      <a:avLst/>
                    </a:prstGeom>
                    <a:ln/>
                  </pic:spPr>
                </pic:pic>
              </a:graphicData>
            </a:graphic>
          </wp:inline>
        </w:drawing>
      </w:r>
    </w:p>
    <w:p w14:paraId="36881738" w14:textId="77777777" w:rsidR="00557B22" w:rsidRPr="00360BE5" w:rsidRDefault="00F84221" w:rsidP="00360BE5">
      <w:pPr>
        <w:pStyle w:val="Heading4"/>
      </w:pPr>
      <w:bookmarkStart w:id="32" w:name="_heading=h.dsyyzvoe4vkb" w:colFirst="0" w:colLast="0"/>
      <w:bookmarkEnd w:id="32"/>
      <w:r w:rsidRPr="00360BE5">
        <w:t>Figure 7: Personal data uses</w:t>
      </w:r>
    </w:p>
    <w:p w14:paraId="1DEF86D4" w14:textId="77777777" w:rsidR="00557B22" w:rsidRPr="00360BE5" w:rsidRDefault="00F84221" w:rsidP="00360BE5">
      <w:pPr>
        <w:spacing w:line="360" w:lineRule="auto"/>
        <w:jc w:val="center"/>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(Source: Statista.com, 2024)</w:t>
      </w:r>
    </w:p>
    <w:p w14:paraId="0914316F"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From a cost-benefit perspective, Instagram’s ongoing development required significant investment in engineering, infrastructure, and moderation tools. However, the return on these costs has been extraordinary, both in terms of financial performance and user base growth. Additionally, the acquisition gave Meta access to talent and innovative product design philosophies that were pivotal in keeping pace with rivals like TikTok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2024). Therefore, the Instagram acquisition not only delivered financial profitability but also created long-term value through data integration, advertising efficiencies, and talent acquisition.</w:t>
      </w:r>
    </w:p>
    <w:p w14:paraId="66B92E90" w14:textId="77777777" w:rsidR="00557B22" w:rsidRPr="00360BE5" w:rsidRDefault="00F84221" w:rsidP="00360BE5">
      <w:pPr>
        <w:pStyle w:val="Heading2"/>
      </w:pPr>
      <w:bookmarkStart w:id="33" w:name="_heading=h.j0aazm3qm0o9" w:colFirst="0" w:colLast="0"/>
      <w:bookmarkEnd w:id="33"/>
      <w:r w:rsidRPr="00360BE5">
        <w:t>5.3 Cultural Integration and Autonomy: Instagram’s operational independence under Meta and effects on innovation</w:t>
      </w:r>
    </w:p>
    <w:p w14:paraId="693C2FD7"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Following its acquisition by Facebook (now Meta) in 2012, Instagram was initially allowed significant operational independence, preserving its brand identity, leadership, and product direction. This autonomy contributed to the platform's rapid innovation and distinct user culture. Retaining co-founders Kevin Systrom and Mike Krieger in executive roles allowed </w:t>
      </w:r>
      <w:r w:rsidRPr="00360BE5">
        <w:rPr>
          <w:rFonts w:ascii="Times New Roman" w:eastAsia="Times New Roman" w:hAnsi="Times New Roman" w:cs="Times New Roman"/>
          <w:sz w:val="24"/>
          <w:szCs w:val="24"/>
        </w:rPr>
        <w:lastRenderedPageBreak/>
        <w:t>Instagram to evolve independently, introducing features like Stories and Explore that significantly enhanced user engagement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2024). The autonomy helped preserve Instagram’s creative momentum and differentiated user experience, even as Meta integrated backend resources like data analytics and ad targeting infrastructure. However, tensions emerged as Meta increasingly sought to align Instagram with its broader monetization and integration goals. While the use of shared infrastructure led to efficiencies, critics argue that it also constrained Instagram's innovative potential by pushing features aligned more with Meta’s corporate strategy than user preferences (Goldwater, 2024). Despite these concerns, the platform has remained a hub of user engagement and influencer-driven content, particularly among younger demographics (Eva &amp; Ramos, 2025). The case illustrates the delicate balance between maintaining startup agility and achieving synergy post-acquisition. Instagram’s story suggests that allowing post-merger autonomy—at least in the early stages—can foster innovation, though long-term pressures from parent firms may eventually dilute that independence.</w:t>
      </w:r>
    </w:p>
    <w:p w14:paraId="450429AA" w14:textId="77777777" w:rsidR="00557B22" w:rsidRPr="00360BE5" w:rsidRDefault="00F84221" w:rsidP="00360BE5">
      <w:pPr>
        <w:pStyle w:val="Heading2"/>
      </w:pPr>
      <w:bookmarkStart w:id="34" w:name="_heading=h.kkdotnmvkhz5" w:colFirst="0" w:colLast="0"/>
      <w:bookmarkEnd w:id="34"/>
      <w:r w:rsidRPr="00360BE5">
        <w:t>5.4 Regulatory and Ethical Considerations: competition, antitrust debates, and their implications</w:t>
      </w:r>
    </w:p>
    <w:p w14:paraId="4BBF4170"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acquisition of Instagram raised significant regulatory and ethical questions about competition and market dominance. At the time of the merger, Instagram was a small but rapidly growing startup, and regulators did not view it as a direct competitor to Facebook. However, this assessment underestimated Instagram's future potential and failed to anticipate the convergence of social media and photo-sharing platforms (Gal &amp; Rubinfeld, 2024). This miscalculation exemplifies the regulatory challenge of assessing mergers involving startups that lack current market power but hold disruptive potential (Temprano, 202). The U.S. and U.K. antitrust guidelines both acknowledge that eliminating a potential entrant can substantially lessen future competition, especially in concentrated markets (Hay &amp; Turgeon, 2023). By acquiring Instagram, Meta neutralized a fast-growing rival, reducing consumer choice and reinforcing its dominance. This aligns with the “killer acquisition” theory, where incumbents purchase startups to eliminate future threats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2024). The deal also brought ethical concerns over data consolidation and surveillance capitalism, as Meta gained control of yet another platform with vast user data.</w:t>
      </w:r>
    </w:p>
    <w:p w14:paraId="033E47FF"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Economists like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and Collis have quantified the social costs of such market power, including reduced innovation and distorted incentives for users and advertisers (Hay &amp; Turgeon, 2023). Furthermore, Meta’s strategy of leveraging a vast user base to entrench its dominance highlights how traditional antitrust tools struggle to capture the dynamics of digital </w:t>
      </w:r>
      <w:r w:rsidRPr="00360BE5">
        <w:rPr>
          <w:rFonts w:ascii="Times New Roman" w:eastAsia="Times New Roman" w:hAnsi="Times New Roman" w:cs="Times New Roman"/>
          <w:sz w:val="24"/>
          <w:szCs w:val="24"/>
        </w:rPr>
        <w:lastRenderedPageBreak/>
        <w:t>markets, where user engagement and network effects matter more than price (Goldwater, 2024). Overall, the Instagram deal revealed gaps in merger policy and reinforced the need for forward-looking antitrust frameworks capable of addressing digital era complexities.</w:t>
      </w:r>
    </w:p>
    <w:p w14:paraId="075CC11B" w14:textId="77777777" w:rsidR="00557B22" w:rsidRPr="00360BE5" w:rsidRDefault="00F84221" w:rsidP="00360BE5">
      <w:pPr>
        <w:pStyle w:val="Heading2"/>
      </w:pPr>
      <w:bookmarkStart w:id="35" w:name="_heading=h.l74f309taeae" w:colFirst="0" w:colLast="0"/>
      <w:bookmarkEnd w:id="35"/>
      <w:r w:rsidRPr="00360BE5">
        <w:t>5.5 Implications for Future M&amp;A Strategy Acquired in Tech: Lessons Learned and How This Case Informs Future Acquisitions of Digital Platforms</w:t>
      </w:r>
    </w:p>
    <w:p w14:paraId="0C68D68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Facebook's acquisition of Instagram teaches important lessons regarding future mergers and acquisitions (M&amp;A) within the technological sector, especially regarding digital platforms. First, the case illustrates the importance of antitrust authorities considering not just the current market overlap but also the prospects for potential competition (Gal &amp; Rubinfeld, 2024). Initially, the acquisition was thought to destroy a photo-sharing app far from Facebook's core founding applications. By technical strength, however, Instagram had fast evolved to be a formidable competitor that prompted concern of elimination of the potential rival. Also, traditional quantitative approaches rarely work when acquiring startups because of uncertainty and lack of market data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2024), thus necessitating a dynamic model that </w:t>
      </w:r>
      <w:proofErr w:type="gramStart"/>
      <w:r w:rsidRPr="00360BE5">
        <w:rPr>
          <w:rFonts w:ascii="Times New Roman" w:eastAsia="Times New Roman" w:hAnsi="Times New Roman" w:cs="Times New Roman"/>
          <w:sz w:val="24"/>
          <w:szCs w:val="24"/>
        </w:rPr>
        <w:t>is able to</w:t>
      </w:r>
      <w:proofErr w:type="gramEnd"/>
      <w:r w:rsidRPr="00360BE5">
        <w:rPr>
          <w:rFonts w:ascii="Times New Roman" w:eastAsia="Times New Roman" w:hAnsi="Times New Roman" w:cs="Times New Roman"/>
          <w:sz w:val="24"/>
          <w:szCs w:val="24"/>
        </w:rPr>
        <w:t xml:space="preserve"> carve and model the innovation trajectories and startup lifecycle stages. </w:t>
      </w:r>
    </w:p>
    <w:p w14:paraId="2CFA6F25"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Second, the point of strategic importance that could be offered by Facebook would be related to keeping a strong enough user base and network effects, indicating the natural monopoly traits which describe how M&amp;A can work to essentially underpin market power (Hay &amp; Turgeon, 2023). The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-Collis model appears to demonstrate the mechanism for how platforms use user demand information to steer payoffs-maximizing reforms and capitalize on large user bases to drive innovation or choke off competition (</w:t>
      </w: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&amp; Collis, 2024). Finally, this shows the importance of the merger price as a signal of the potential of a startup and how the dynamics of the bargaining process affect the timing of an </w:t>
      </w:r>
      <w:proofErr w:type="gramStart"/>
      <w:r w:rsidRPr="00360BE5">
        <w:rPr>
          <w:rFonts w:ascii="Times New Roman" w:eastAsia="Times New Roman" w:hAnsi="Times New Roman" w:cs="Times New Roman"/>
          <w:sz w:val="24"/>
          <w:szCs w:val="24"/>
        </w:rPr>
        <w:t>acquisition.(</w:t>
      </w:r>
      <w:proofErr w:type="spellStart"/>
      <w:proofErr w:type="gramEnd"/>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&amp; Lee, 2024). Overall, future M&amp;A evaluations must incorporate nuanced, forward-looking, and data-informed approaches.</w:t>
      </w:r>
    </w:p>
    <w:p w14:paraId="1E86A9ED" w14:textId="77777777" w:rsidR="00557B22" w:rsidRPr="00360BE5" w:rsidRDefault="00F84221" w:rsidP="00360BE5">
      <w:pPr>
        <w:pStyle w:val="Heading2"/>
      </w:pPr>
      <w:bookmarkStart w:id="36" w:name="_heading=h.fgnp6xfex5fv" w:colFirst="0" w:colLast="0"/>
      <w:bookmarkEnd w:id="36"/>
      <w:r w:rsidRPr="00360BE5">
        <w:t>5.6 Comparative Perspective: how the Instagram deal compares with other major tech acquisitions</w:t>
      </w:r>
    </w:p>
    <w:p w14:paraId="2F31A09F"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The Instagram acquisition bears similarities to other major tech deals, such as Meta’s purchase of WhatsApp and Google’s acquisition of YouTube. Like Instagram, WhatsApp and YouTube were acquired early in their growth but later proved essential to their parent companies' ecosystems. However, while YouTube retained significant independence under Google, WhatsApp's integration into Meta sparked concerns about data privacy and monetization (</w:t>
      </w: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2024; Goldwater, 2024). Among these deals, Instagram stands out for its blend of operational autonomy and strategic alignment, enabling rapid growth while sparking long-term </w:t>
      </w:r>
      <w:r w:rsidRPr="00360BE5">
        <w:rPr>
          <w:rFonts w:ascii="Times New Roman" w:eastAsia="Times New Roman" w:hAnsi="Times New Roman" w:cs="Times New Roman"/>
          <w:sz w:val="24"/>
          <w:szCs w:val="24"/>
        </w:rPr>
        <w:lastRenderedPageBreak/>
        <w:t xml:space="preserve">antitrust scrutiny. Collectively, these acquisitions reflect big tech's strategy of </w:t>
      </w:r>
      <w:proofErr w:type="spellStart"/>
      <w:r w:rsidRPr="00360BE5">
        <w:rPr>
          <w:rFonts w:ascii="Times New Roman" w:eastAsia="Times New Roman" w:hAnsi="Times New Roman" w:cs="Times New Roman"/>
          <w:sz w:val="24"/>
          <w:szCs w:val="24"/>
        </w:rPr>
        <w:t>preemptively</w:t>
      </w:r>
      <w:proofErr w:type="spellEnd"/>
      <w:r w:rsidRPr="00360BE5">
        <w:rPr>
          <w:rFonts w:ascii="Times New Roman" w:eastAsia="Times New Roman" w:hAnsi="Times New Roman" w:cs="Times New Roman"/>
          <w:sz w:val="24"/>
          <w:szCs w:val="24"/>
        </w:rPr>
        <w:t xml:space="preserve"> neutralizing future competition.</w:t>
      </w:r>
    </w:p>
    <w:p w14:paraId="1DEBBE18" w14:textId="77777777" w:rsidR="00557B22" w:rsidRPr="00360BE5" w:rsidRDefault="00F84221" w:rsidP="00360BE5">
      <w:pPr>
        <w:pStyle w:val="Heading1"/>
      </w:pPr>
      <w:bookmarkStart w:id="37" w:name="_heading=h.2zdloz4ki2rs" w:colFirst="0" w:colLast="0"/>
      <w:bookmarkEnd w:id="37"/>
      <w:r w:rsidRPr="00360BE5">
        <w:t>6. Conclusion</w:t>
      </w:r>
    </w:p>
    <w:p w14:paraId="77E85962" w14:textId="77777777" w:rsidR="00557B22" w:rsidRPr="00360BE5" w:rsidRDefault="00F84221" w:rsidP="00360BE5">
      <w:pPr>
        <w:pStyle w:val="Heading2"/>
      </w:pPr>
      <w:bookmarkStart w:id="38" w:name="_heading=h.sych68m0k52" w:colFirst="0" w:colLast="0"/>
      <w:bookmarkEnd w:id="38"/>
      <w:r w:rsidRPr="00360BE5">
        <w:t>6.1 Summary of key findings</w:t>
      </w:r>
    </w:p>
    <w:p w14:paraId="27BA0D6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This dissertation explored Facebook’s acquisition of Instagram through the lens of strategic rationale, profitability, and long-term impact. Instagram brought Meta a mobile-first, youth-driven user base, helping future-proof its platform ecosystem. Post-acquisition growth was exponential, with Instagram expanding from 30 million users to over 2 billion and becoming a central driver of advertising revenue. Features like Stories and Reels allowed Meta to neutralize competitive threats from Snapchat and TikTok, while cross-platform integration amplified data synergies and monetization. The acquisition also highlighted broader concerns, particularly around antitrust implications, innovation stifling, and ethical questions surrounding data consolidation.</w:t>
      </w:r>
    </w:p>
    <w:p w14:paraId="27A1B5C9" w14:textId="77777777" w:rsidR="00557B22" w:rsidRPr="00360BE5" w:rsidRDefault="00F84221" w:rsidP="00360BE5">
      <w:pPr>
        <w:pStyle w:val="Heading2"/>
      </w:pPr>
      <w:bookmarkStart w:id="39" w:name="_heading=h.psobrrrun5zr" w:colFirst="0" w:colLast="0"/>
      <w:bookmarkEnd w:id="39"/>
      <w:r w:rsidRPr="00360BE5">
        <w:t>6.2 Reflections on the acquisition's long-term impact on Meta's growth strategy</w:t>
      </w:r>
    </w:p>
    <w:p w14:paraId="01C7B9CA"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The long-term impact of the acquisition has indeed started to define the growth curve at Meta. It allowed the company to pivot in a formidable manner to the age of mobile and visual content, helping it to sustain its monopoly in an era of shifting pedagogies among users. The agility of Instagram, especially with respect to assimilating trends and rolling out viral-generation features, helped keep Meta competitive in a crowded and fast-moving marketplace (Petruccio et al. 2025). In fact, Instagram aided Meta over the years, as it transitioned Meta's image from a single app to a much larger platform service provider. </w:t>
      </w:r>
    </w:p>
    <w:p w14:paraId="662F1EB9" w14:textId="77777777" w:rsidR="00557B22" w:rsidRPr="00360BE5" w:rsidRDefault="00F84221" w:rsidP="00360BE5">
      <w:pPr>
        <w:pStyle w:val="Heading2"/>
      </w:pPr>
      <w:bookmarkStart w:id="40" w:name="_heading=h.ehjo6fqmww6" w:colFirst="0" w:colLast="0"/>
      <w:bookmarkEnd w:id="40"/>
      <w:r w:rsidRPr="00360BE5">
        <w:t xml:space="preserve">6.3 Contributions to the understanding of strategic digital mergers and acquisitions </w:t>
      </w:r>
    </w:p>
    <w:p w14:paraId="38BA7CB8"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This case goes on to deepen the understanding of digital mergers and acquisitions in illustrating how non-revenue-generating assets can deliver massive strategic and financial returns. It also illuminates the importance of timing and operational autonomy, along with the choice of post-merger integration strategy in determining long-term success (Sokol et al. 2024). This Instagram acquisition further exemplifies how mergers are used as competitive shields, soaking up the innovation that could threaten the one being acquired while putting into play the network effects and data ecosystems to consolidate power. </w:t>
      </w:r>
    </w:p>
    <w:p w14:paraId="654F83B2" w14:textId="77777777" w:rsidR="00557B22" w:rsidRPr="00360BE5" w:rsidRDefault="00F84221" w:rsidP="00360BE5">
      <w:pPr>
        <w:pStyle w:val="Heading2"/>
      </w:pPr>
      <w:bookmarkStart w:id="41" w:name="_heading=h.ula5ijxemmw" w:colFirst="0" w:colLast="0"/>
      <w:bookmarkEnd w:id="41"/>
      <w:r w:rsidRPr="00360BE5">
        <w:t>6.4 Suggestions for future research: AI-driven platforms, new competition from decentralized applications</w:t>
      </w:r>
    </w:p>
    <w:p w14:paraId="367C303C"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Future research could illuminate how AI-driven platforms change M&amp;A strategy, specifically, how generative AI and personalization engines affect acquisition motives and user engagement. Added to this are threats from decentralized networks and blockchain-based </w:t>
      </w:r>
      <w:r w:rsidRPr="00360BE5">
        <w:rPr>
          <w:rFonts w:ascii="Times New Roman" w:eastAsia="Times New Roman" w:hAnsi="Times New Roman" w:cs="Times New Roman"/>
          <w:sz w:val="24"/>
          <w:szCs w:val="24"/>
        </w:rPr>
        <w:lastRenderedPageBreak/>
        <w:t xml:space="preserve">platforms, considered new forms of competition attacking centralized incumbents like Meta. If a timely analysis is made concerning how these tech giants adapt via acquisition or innovation, it would provide an incredibly insightful angle at this point in </w:t>
      </w:r>
      <w:proofErr w:type="gramStart"/>
      <w:r w:rsidRPr="00360BE5">
        <w:rPr>
          <w:rFonts w:ascii="Times New Roman" w:eastAsia="Times New Roman" w:hAnsi="Times New Roman" w:cs="Times New Roman"/>
          <w:sz w:val="24"/>
          <w:szCs w:val="24"/>
        </w:rPr>
        <w:t>time.(</w:t>
      </w:r>
      <w:proofErr w:type="gramEnd"/>
      <w:r w:rsidRPr="00360BE5">
        <w:rPr>
          <w:rFonts w:ascii="Times New Roman" w:eastAsia="Times New Roman" w:hAnsi="Times New Roman" w:cs="Times New Roman"/>
          <w:sz w:val="24"/>
          <w:szCs w:val="24"/>
        </w:rPr>
        <w:t>Spence et al. 2020).</w:t>
      </w:r>
    </w:p>
    <w:p w14:paraId="55534F34" w14:textId="77777777" w:rsidR="00557B22" w:rsidRPr="00360BE5" w:rsidRDefault="00F84221" w:rsidP="00360BE5">
      <w:pPr>
        <w:pStyle w:val="Heading2"/>
      </w:pPr>
      <w:bookmarkStart w:id="42" w:name="_heading=h.28y2x8yz5x5f" w:colFirst="0" w:colLast="0"/>
      <w:bookmarkEnd w:id="42"/>
      <w:r w:rsidRPr="00360BE5">
        <w:t>6.5 Final thoughts on whether the acquisition was “worth it”</w:t>
      </w:r>
    </w:p>
    <w:p w14:paraId="78125CD2" w14:textId="77777777" w:rsidR="00557B22" w:rsidRPr="00360BE5" w:rsidRDefault="00F84221" w:rsidP="00360BE5">
      <w:pPr>
        <w:spacing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From a financial, strategic, and market positioning perspective, the Instagram acquisition was unequivocally “worth it.” For just $1 billion, Meta gained a platform that has since generated outsized returns and helped secure its dominance in digital media. Despite ongoing regulatory challenges, the deal remains a defining example of a high-stakes acquisition that reshaped the digital landscape—and succeeded.</w:t>
      </w:r>
    </w:p>
    <w:p w14:paraId="737FE9CF" w14:textId="77777777" w:rsidR="00557B22" w:rsidRPr="00360BE5" w:rsidRDefault="00557B22" w:rsidP="00360BE5">
      <w:pPr>
        <w:spacing w:line="360" w:lineRule="auto"/>
        <w:jc w:val="both"/>
        <w:rPr>
          <w:rFonts w:ascii="Times New Roman" w:eastAsia="Times New Roman" w:hAnsi="Times New Roman" w:cs="Times New Roman"/>
          <w:sz w:val="24"/>
          <w:szCs w:val="24"/>
        </w:rPr>
      </w:pPr>
    </w:p>
    <w:p w14:paraId="0D399E6B" w14:textId="77777777" w:rsidR="00557B22" w:rsidRPr="00360BE5" w:rsidRDefault="00557B22" w:rsidP="00360BE5">
      <w:pPr>
        <w:spacing w:line="360" w:lineRule="auto"/>
        <w:jc w:val="both"/>
        <w:rPr>
          <w:rFonts w:ascii="Times New Roman" w:eastAsia="Times New Roman" w:hAnsi="Times New Roman" w:cs="Times New Roman"/>
          <w:sz w:val="24"/>
          <w:szCs w:val="24"/>
        </w:rPr>
      </w:pPr>
    </w:p>
    <w:p w14:paraId="767F17DB" w14:textId="77777777" w:rsidR="00557B22" w:rsidRPr="00360BE5" w:rsidRDefault="00F84221" w:rsidP="00360BE5">
      <w:pPr>
        <w:pStyle w:val="Heading1"/>
      </w:pPr>
      <w:bookmarkStart w:id="43" w:name="_heading=h.vr4hy617jlqm" w:colFirst="0" w:colLast="0"/>
      <w:bookmarkEnd w:id="43"/>
      <w:r w:rsidRPr="00360BE5">
        <w:br w:type="page"/>
      </w:r>
    </w:p>
    <w:p w14:paraId="04C3141D" w14:textId="77777777" w:rsidR="00557B22" w:rsidRPr="00360BE5" w:rsidRDefault="00F84221" w:rsidP="00360BE5">
      <w:pPr>
        <w:pStyle w:val="Heading1"/>
      </w:pPr>
      <w:bookmarkStart w:id="44" w:name="_heading=h.a9z3ibaq7cd0" w:colFirst="0" w:colLast="0"/>
      <w:bookmarkEnd w:id="44"/>
      <w:r w:rsidRPr="00360BE5">
        <w:lastRenderedPageBreak/>
        <w:t>References</w:t>
      </w:r>
    </w:p>
    <w:p w14:paraId="4AE75136"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Aagaard, P., Schwartz, S. A., Nygaard, L., &amp; Larsen, M. T. (2025). How party-system dynamics shape political parties’ use of </w:t>
      </w:r>
      <w:proofErr w:type="spellStart"/>
      <w:r w:rsidRPr="00360BE5">
        <w:rPr>
          <w:rFonts w:ascii="Times New Roman" w:eastAsia="Times New Roman" w:hAnsi="Times New Roman" w:cs="Times New Roman"/>
          <w:sz w:val="24"/>
          <w:szCs w:val="24"/>
        </w:rPr>
        <w:t>facebook</w:t>
      </w:r>
      <w:proofErr w:type="spellEnd"/>
      <w:r w:rsidRPr="00360BE5">
        <w:rPr>
          <w:rFonts w:ascii="Times New Roman" w:eastAsia="Times New Roman" w:hAnsi="Times New Roman" w:cs="Times New Roman"/>
          <w:sz w:val="24"/>
          <w:szCs w:val="24"/>
        </w:rPr>
        <w:t xml:space="preserve"> between elections. Journalism and Media, 6(1), 6.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://doi.org/10.3390/journalmedia6010006</w:t>
      </w:r>
      <w:proofErr w:type="gramEnd"/>
    </w:p>
    <w:p w14:paraId="272352B2"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Ali Rashed, I. A., &amp; Jinan Abdulaziz, H. A. (2024). Wow, I cannot stop: A concentration on vocabulary learning via </w:t>
      </w:r>
      <w:proofErr w:type="spellStart"/>
      <w:r w:rsidRPr="00360BE5">
        <w:rPr>
          <w:rFonts w:ascii="Times New Roman" w:eastAsia="Times New Roman" w:hAnsi="Times New Roman" w:cs="Times New Roman"/>
          <w:sz w:val="24"/>
          <w:szCs w:val="24"/>
        </w:rPr>
        <w:t>instagram</w:t>
      </w:r>
      <w:proofErr w:type="spellEnd"/>
      <w:r w:rsidRPr="00360BE5">
        <w:rPr>
          <w:rFonts w:ascii="Times New Roman" w:eastAsia="Times New Roman" w:hAnsi="Times New Roman" w:cs="Times New Roman"/>
          <w:sz w:val="24"/>
          <w:szCs w:val="24"/>
        </w:rPr>
        <w:t xml:space="preserve"> and its effects on informal digital learning of </w:t>
      </w:r>
      <w:proofErr w:type="spellStart"/>
      <w:r w:rsidRPr="00360BE5">
        <w:rPr>
          <w:rFonts w:ascii="Times New Roman" w:eastAsia="Times New Roman" w:hAnsi="Times New Roman" w:cs="Times New Roman"/>
          <w:sz w:val="24"/>
          <w:szCs w:val="24"/>
        </w:rPr>
        <w:t>english</w:t>
      </w:r>
      <w:proofErr w:type="spellEnd"/>
      <w:r w:rsidRPr="00360BE5">
        <w:rPr>
          <w:rFonts w:ascii="Times New Roman" w:eastAsia="Times New Roman" w:hAnsi="Times New Roman" w:cs="Times New Roman"/>
          <w:sz w:val="24"/>
          <w:szCs w:val="24"/>
        </w:rPr>
        <w:t xml:space="preserve">, technostress, and on-line engagement. BMC Psychology, 12, 1-11.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://doi.org/10.1186/s40359-023-01503-w</w:t>
      </w:r>
      <w:proofErr w:type="gramEnd"/>
    </w:p>
    <w:p w14:paraId="1128347C"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Angela Kit, F. M., &amp; Chen, Y. (2024). Board attributes, ownership structure, and corporate social responsibility: Evidence from A-share listed technological companies in </w:t>
      </w:r>
      <w:proofErr w:type="spellStart"/>
      <w:r w:rsidRPr="00360BE5">
        <w:rPr>
          <w:rFonts w:ascii="Times New Roman" w:eastAsia="Times New Roman" w:hAnsi="Times New Roman" w:cs="Times New Roman"/>
          <w:sz w:val="24"/>
          <w:szCs w:val="24"/>
        </w:rPr>
        <w:t>china</w:t>
      </w:r>
      <w:proofErr w:type="spellEnd"/>
      <w:r w:rsidRPr="00360BE5">
        <w:rPr>
          <w:rFonts w:ascii="Times New Roman" w:eastAsia="Times New Roman" w:hAnsi="Times New Roman" w:cs="Times New Roman"/>
          <w:sz w:val="24"/>
          <w:szCs w:val="24"/>
        </w:rPr>
        <w:t xml:space="preserve">. Society and Business Review, 19(2), 181-206.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://doi.org/10.1108/SBR-08-2022-0225</w:t>
      </w:r>
      <w:proofErr w:type="gramEnd"/>
    </w:p>
    <w:p w14:paraId="4E7226E7"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Anne-Sophie </w:t>
      </w:r>
      <w:proofErr w:type="spellStart"/>
      <w:r w:rsidRPr="00360BE5">
        <w:rPr>
          <w:rFonts w:ascii="Times New Roman" w:eastAsia="Times New Roman" w:hAnsi="Times New Roman" w:cs="Times New Roman"/>
          <w:sz w:val="24"/>
          <w:szCs w:val="24"/>
        </w:rPr>
        <w:t>Thelisson</w:t>
      </w:r>
      <w:proofErr w:type="spellEnd"/>
      <w:r w:rsidRPr="00360BE5">
        <w:rPr>
          <w:rFonts w:ascii="Times New Roman" w:eastAsia="Times New Roman" w:hAnsi="Times New Roman" w:cs="Times New Roman"/>
          <w:sz w:val="24"/>
          <w:szCs w:val="24"/>
        </w:rPr>
        <w:t xml:space="preserve">. (2023). Are we talking about merger or acquisition? defining the integration process. The Journal of Business Strategy, 44(5), 301-307.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://doi.org/10.1108/JBS-02-2022-0037</w:t>
      </w:r>
      <w:proofErr w:type="gramEnd"/>
    </w:p>
    <w:p w14:paraId="0C4B4C0E"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Basak, E., </w:t>
      </w:r>
      <w:proofErr w:type="spellStart"/>
      <w:r w:rsidRPr="00360BE5">
        <w:rPr>
          <w:rFonts w:ascii="Times New Roman" w:eastAsia="Times New Roman" w:hAnsi="Times New Roman" w:cs="Times New Roman"/>
          <w:sz w:val="24"/>
          <w:szCs w:val="24"/>
        </w:rPr>
        <w:t>Tafti</w:t>
      </w:r>
      <w:proofErr w:type="spellEnd"/>
      <w:r w:rsidRPr="00360BE5">
        <w:rPr>
          <w:rFonts w:ascii="Times New Roman" w:eastAsia="Times New Roman" w:hAnsi="Times New Roman" w:cs="Times New Roman"/>
          <w:sz w:val="24"/>
          <w:szCs w:val="24"/>
        </w:rPr>
        <w:t xml:space="preserve">, A., &amp; Min-Seok Pang. (2024). The role of online and geographically distant social networks in political decision-making: Empirical evidence from the 2016 united states presidential election. Journal of the Association for Information Systems, 25(3), 721-737.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://doi.org/10.17705/1jais.00851</w:t>
      </w:r>
      <w:proofErr w:type="gramEnd"/>
    </w:p>
    <w:p w14:paraId="3FB16A49"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Ben O’Neill. (2021). Social Media’s impact on the global mergers and acquisitions market. Journal of Risk and Financial Management, 14(4), 157.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://doi.org/10.3390/jrfm14040157</w:t>
      </w:r>
      <w:proofErr w:type="gramEnd"/>
    </w:p>
    <w:p w14:paraId="14474B03"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proofErr w:type="spellStart"/>
      <w:r w:rsidRPr="00360BE5">
        <w:rPr>
          <w:rFonts w:ascii="Times New Roman" w:eastAsia="Times New Roman" w:hAnsi="Times New Roman" w:cs="Times New Roman"/>
          <w:sz w:val="24"/>
          <w:szCs w:val="24"/>
        </w:rPr>
        <w:t>Benzell</w:t>
      </w:r>
      <w:proofErr w:type="spellEnd"/>
      <w:r w:rsidRPr="00360BE5">
        <w:rPr>
          <w:rFonts w:ascii="Times New Roman" w:eastAsia="Times New Roman" w:hAnsi="Times New Roman" w:cs="Times New Roman"/>
          <w:sz w:val="24"/>
          <w:szCs w:val="24"/>
        </w:rPr>
        <w:t xml:space="preserve">, S. G., &amp; Chang, F. B. (2023). Evaluating antitrust remedies for platform monopolies: The case of </w:t>
      </w:r>
      <w:proofErr w:type="spellStart"/>
      <w:r w:rsidRPr="00360BE5">
        <w:rPr>
          <w:rFonts w:ascii="Times New Roman" w:eastAsia="Times New Roman" w:hAnsi="Times New Roman" w:cs="Times New Roman"/>
          <w:sz w:val="24"/>
          <w:szCs w:val="24"/>
        </w:rPr>
        <w:t>facebook</w:t>
      </w:r>
      <w:proofErr w:type="spellEnd"/>
      <w:r w:rsidRPr="00360BE5">
        <w:rPr>
          <w:rFonts w:ascii="Times New Roman" w:eastAsia="Times New Roman" w:hAnsi="Times New Roman" w:cs="Times New Roman"/>
          <w:sz w:val="24"/>
          <w:szCs w:val="24"/>
        </w:rPr>
        <w:t>. Vanderbilt Law Review, 76(3), 773-826. Retrieved from https://www.proquest.com/scholarly-journals/evaluating-antitrust-remedies-platform-monopolies/docview/2810212926/se-2</w:t>
      </w:r>
    </w:p>
    <w:p w14:paraId="0E15796D"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Boni, L., Sharma, S., &amp; Zhang, C. (2018). Short selling, informed trading, and the role of social media. Journal of Accounting and Finance, 18(6), 24-36. Retrieved from https://www.proquest.com/scholarly-journals/short-selling-informed-trading-role-social-media/docview/2119849469/se-2</w:t>
      </w:r>
    </w:p>
    <w:p w14:paraId="68DFFB13"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lastRenderedPageBreak/>
        <w:t xml:space="preserve">Debi, P. S., Soni, T. K., </w:t>
      </w:r>
      <w:proofErr w:type="spellStart"/>
      <w:r w:rsidRPr="00360BE5">
        <w:rPr>
          <w:rFonts w:ascii="Times New Roman" w:eastAsia="Times New Roman" w:hAnsi="Times New Roman" w:cs="Times New Roman"/>
          <w:sz w:val="24"/>
          <w:szCs w:val="24"/>
        </w:rPr>
        <w:t>Patjoshi</w:t>
      </w:r>
      <w:proofErr w:type="spellEnd"/>
      <w:r w:rsidRPr="00360BE5">
        <w:rPr>
          <w:rFonts w:ascii="Times New Roman" w:eastAsia="Times New Roman" w:hAnsi="Times New Roman" w:cs="Times New Roman"/>
          <w:sz w:val="24"/>
          <w:szCs w:val="24"/>
        </w:rPr>
        <w:t xml:space="preserve">, P. K., &amp; Divya, S. J. (2025). The effect of cross-border mergers and acquisitions performance on shareholder wealth: The role of advisory services. Journal of Risk and Financial Management, 18(2), 107.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://doi.org/10.3390/jrfm18020107</w:t>
      </w:r>
      <w:proofErr w:type="gramEnd"/>
    </w:p>
    <w:p w14:paraId="73AFF5BF"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Epstein, R. A. (2024). The DOJ and FTC's misguided attack on mergers. Journal of Corporation Law, 49(2), 275-297. Retrieved from https://www.proquest.com/scholarly-journals/doj-ftcs-misguided-attack-on-mergers/docview/2999852430/se-2</w:t>
      </w:r>
    </w:p>
    <w:p w14:paraId="4073852A"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Eva, C. R., &amp; Ramos, C. (2025). User-generated content and its impact on purchase intent for tourism products: A comparative analysis of millennials and centennials on TikTok. Future Internet, 17(3), 105.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://doi.org/10.3390/fi17030105</w:t>
      </w:r>
      <w:proofErr w:type="gramEnd"/>
    </w:p>
    <w:p w14:paraId="2AC881F0"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Gal, M. S., &amp; Rubinfeld, D. L. (2024). ALGORITHMS, AI, AND MERGERS. Antitrust Law Journal, 85(3), 683-738. Retrieved from https://www.proquest.com/scholarly-journals/algorithms-ai-mergers/docview/3040314314/se-2</w:t>
      </w:r>
    </w:p>
    <w:p w14:paraId="692D9A51"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Goldwater, J. (2024). Did </w:t>
      </w:r>
      <w:proofErr w:type="spellStart"/>
      <w:r w:rsidRPr="00360BE5">
        <w:rPr>
          <w:rFonts w:ascii="Times New Roman" w:eastAsia="Times New Roman" w:hAnsi="Times New Roman" w:cs="Times New Roman"/>
          <w:sz w:val="24"/>
          <w:szCs w:val="24"/>
        </w:rPr>
        <w:t>facebook</w:t>
      </w:r>
      <w:proofErr w:type="spellEnd"/>
      <w:r w:rsidRPr="00360BE5">
        <w:rPr>
          <w:rFonts w:ascii="Times New Roman" w:eastAsia="Times New Roman" w:hAnsi="Times New Roman" w:cs="Times New Roman"/>
          <w:sz w:val="24"/>
          <w:szCs w:val="24"/>
        </w:rPr>
        <w:t xml:space="preserve"> </w:t>
      </w:r>
      <w:proofErr w:type="gramStart"/>
      <w:r w:rsidRPr="00360BE5">
        <w:rPr>
          <w:rFonts w:ascii="Times New Roman" w:eastAsia="Times New Roman" w:hAnsi="Times New Roman" w:cs="Times New Roman"/>
          <w:sz w:val="24"/>
          <w:szCs w:val="24"/>
        </w:rPr>
        <w:t>cheat?:</w:t>
      </w:r>
      <w:proofErr w:type="gramEnd"/>
      <w:r w:rsidRPr="00360BE5">
        <w:rPr>
          <w:rFonts w:ascii="Times New Roman" w:eastAsia="Times New Roman" w:hAnsi="Times New Roman" w:cs="Times New Roman"/>
          <w:sz w:val="24"/>
          <w:szCs w:val="24"/>
        </w:rPr>
        <w:t xml:space="preserve"> A test case of antitrust ethics: JBE. Journal of Business Ethics, 195(1), 133-149.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://doi.org/10.1007/s10551-024-05694-z</w:t>
      </w:r>
      <w:proofErr w:type="gramEnd"/>
    </w:p>
    <w:p w14:paraId="1586163B"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proofErr w:type="spellStart"/>
      <w:r w:rsidRPr="00360BE5">
        <w:rPr>
          <w:rFonts w:ascii="Times New Roman" w:eastAsia="Times New Roman" w:hAnsi="Times New Roman" w:cs="Times New Roman"/>
          <w:sz w:val="24"/>
          <w:szCs w:val="24"/>
        </w:rPr>
        <w:t>Gueron</w:t>
      </w:r>
      <w:proofErr w:type="spellEnd"/>
      <w:r w:rsidRPr="00360BE5">
        <w:rPr>
          <w:rFonts w:ascii="Times New Roman" w:eastAsia="Times New Roman" w:hAnsi="Times New Roman" w:cs="Times New Roman"/>
          <w:sz w:val="24"/>
          <w:szCs w:val="24"/>
        </w:rPr>
        <w:t xml:space="preserve">, Y. (2024). Killer acquisitions. Seoul Journal of Economics, 37(1), 55-73.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://doi.org/10.22904/sje.2024.37.1.003</w:t>
      </w:r>
      <w:proofErr w:type="gramEnd"/>
    </w:p>
    <w:p w14:paraId="540F9220"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Hay, G., &amp; Turgeon, T. (2023). GENIUS OR CHAOS: THE "BIG TECH" ANTITRUST CASES AS A WINDOW INTO THE COMPLEX PROCEDURAL ASPECTS OF U.S. ANTITRUST LAW. Antitrust Law Journal, 85(2), 375-407. Retrieved from https://www.proquest.com/scholarly-journals/genius-chaos-big-tech-antitrust-cases-as-window/docview/2904990583/se-2</w:t>
      </w:r>
    </w:p>
    <w:p w14:paraId="7465B468"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Petruccio, P., Neilson, T., &amp; </w:t>
      </w:r>
      <w:proofErr w:type="spellStart"/>
      <w:r w:rsidRPr="00360BE5">
        <w:rPr>
          <w:rFonts w:ascii="Times New Roman" w:eastAsia="Times New Roman" w:hAnsi="Times New Roman" w:cs="Times New Roman"/>
          <w:sz w:val="24"/>
          <w:szCs w:val="24"/>
        </w:rPr>
        <w:t>Stöcker</w:t>
      </w:r>
      <w:proofErr w:type="spellEnd"/>
      <w:r w:rsidRPr="00360BE5">
        <w:rPr>
          <w:rFonts w:ascii="Times New Roman" w:eastAsia="Times New Roman" w:hAnsi="Times New Roman" w:cs="Times New Roman"/>
          <w:sz w:val="24"/>
          <w:szCs w:val="24"/>
        </w:rPr>
        <w:t xml:space="preserve">, C. (2025). ‘A part of our work disappeared’: AI automated publishing in social media journalism. Journalism and Media, 6(1), 30.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://doi.org/10.3390/journalmedia6010030</w:t>
      </w:r>
      <w:proofErr w:type="gramEnd"/>
    </w:p>
    <w:p w14:paraId="7CC6F15D"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Pham, S., </w:t>
      </w:r>
      <w:proofErr w:type="spellStart"/>
      <w:r w:rsidRPr="00360BE5">
        <w:rPr>
          <w:rFonts w:ascii="Times New Roman" w:eastAsia="Times New Roman" w:hAnsi="Times New Roman" w:cs="Times New Roman"/>
          <w:sz w:val="24"/>
          <w:szCs w:val="24"/>
        </w:rPr>
        <w:t>Churruca</w:t>
      </w:r>
      <w:proofErr w:type="spellEnd"/>
      <w:r w:rsidRPr="00360BE5">
        <w:rPr>
          <w:rFonts w:ascii="Times New Roman" w:eastAsia="Times New Roman" w:hAnsi="Times New Roman" w:cs="Times New Roman"/>
          <w:sz w:val="24"/>
          <w:szCs w:val="24"/>
        </w:rPr>
        <w:t xml:space="preserve">, K., Ellis, L. A., &amp; Braithwaite, J. (2024). ‘No matter what time of day’: The value of joining </w:t>
      </w:r>
      <w:proofErr w:type="spellStart"/>
      <w:r w:rsidRPr="00360BE5">
        <w:rPr>
          <w:rFonts w:ascii="Times New Roman" w:eastAsia="Times New Roman" w:hAnsi="Times New Roman" w:cs="Times New Roman"/>
          <w:sz w:val="24"/>
          <w:szCs w:val="24"/>
        </w:rPr>
        <w:t>facebook</w:t>
      </w:r>
      <w:proofErr w:type="spellEnd"/>
      <w:r w:rsidRPr="00360BE5">
        <w:rPr>
          <w:rFonts w:ascii="Times New Roman" w:eastAsia="Times New Roman" w:hAnsi="Times New Roman" w:cs="Times New Roman"/>
          <w:sz w:val="24"/>
          <w:szCs w:val="24"/>
        </w:rPr>
        <w:t xml:space="preserve"> groups supporting women's self-management of gestational diabetes mellitus. Health Expectations, 27(3)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://doi.org/10.1111/hex.14082</w:t>
      </w:r>
      <w:proofErr w:type="gramEnd"/>
    </w:p>
    <w:p w14:paraId="77267917"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lastRenderedPageBreak/>
        <w:t>Sokol, D. D. (2024). Antitrust merger control as a regulatory sandbox. Journal of Corporation Law, 49(2), 403-418. Retrieved from https://www.proquest.com/scholarly-journals/antitrust-merger-control-as-regulatory-sandbox/docview/3000504089/se-2</w:t>
      </w:r>
    </w:p>
    <w:p w14:paraId="1A004E62"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Spence, W. (2020). Facebook, the attention economy and EU competition law: Established standards reconsidered? European Business Law Review, 31(4), 693-724. Retrieved from https://www.proquest.com/scholarly-journals/facebook-attention-economy-eu-competition-law/docview/3125961275/se-2</w:t>
      </w:r>
    </w:p>
    <w:p w14:paraId="18CBD627"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Temprano, D. (2024). Future market blueprints: Harnessing artificial intelligence in a world wired for wonder. Northwestern Journal of International Law &amp; Business, 44(3), 531-592. Retrieved from https://www.proquest.com/scholarly-journals/future-market-blueprints-harnessing-artificial/docview/3168417047/se-2</w:t>
      </w:r>
    </w:p>
    <w:p w14:paraId="5EE353C2"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Wang, Q., Raymond </w:t>
      </w:r>
      <w:proofErr w:type="spellStart"/>
      <w:r w:rsidRPr="00360BE5">
        <w:rPr>
          <w:rFonts w:ascii="Times New Roman" w:eastAsia="Times New Roman" w:hAnsi="Times New Roman" w:cs="Times New Roman"/>
          <w:sz w:val="24"/>
          <w:szCs w:val="24"/>
        </w:rPr>
        <w:t>Yiu</w:t>
      </w:r>
      <w:proofErr w:type="spellEnd"/>
      <w:r w:rsidRPr="00360BE5">
        <w:rPr>
          <w:rFonts w:ascii="Times New Roman" w:eastAsia="Times New Roman" w:hAnsi="Times New Roman" w:cs="Times New Roman"/>
          <w:sz w:val="24"/>
          <w:szCs w:val="24"/>
        </w:rPr>
        <w:t xml:space="preserve">, K. L., Wai Ting, E. N., Jason, B. T., &amp; Xu, W. (2024). Consumers’ opinion orientations and their credit risk: An econometric analysis enhanced by multimodal analytics. Journal of the Association for Information Systems, 25(4), 1117-1156.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://doi.org/10.17705/1jais.00856</w:t>
      </w:r>
      <w:proofErr w:type="gramEnd"/>
    </w:p>
    <w:p w14:paraId="52111F27"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Xu, L. (2024). Bullish or foolish? negative media coverage and cross-border acquisition premiums: JMI. Journal of Managerial Issues, 36(1), 31-49. Retrieved from https://www.proquest.com/scholarly-journals/bullish-foolish-negative-media-coverage-cross/docview/3155800811/se-2</w:t>
      </w:r>
    </w:p>
    <w:p w14:paraId="75E507A9" w14:textId="77777777" w:rsidR="00557B22" w:rsidRPr="00360BE5" w:rsidRDefault="00F84221" w:rsidP="00360BE5">
      <w:pPr>
        <w:spacing w:before="240" w:line="360" w:lineRule="auto"/>
        <w:jc w:val="both"/>
        <w:rPr>
          <w:rFonts w:ascii="Times New Roman" w:eastAsia="Times New Roman" w:hAnsi="Times New Roman" w:cs="Times New Roman"/>
          <w:sz w:val="24"/>
          <w:szCs w:val="24"/>
        </w:rPr>
      </w:pPr>
      <w:r w:rsidRPr="00360BE5">
        <w:rPr>
          <w:rFonts w:ascii="Times New Roman" w:eastAsia="Times New Roman" w:hAnsi="Times New Roman" w:cs="Times New Roman"/>
          <w:sz w:val="24"/>
          <w:szCs w:val="24"/>
        </w:rPr>
        <w:t xml:space="preserve">Yang, W., &amp; Zeng, Q. (2024). The role of executives’ social capital in improving merger and acquisition performance during corporate transformation and upgrading: Evidence from </w:t>
      </w:r>
      <w:proofErr w:type="spellStart"/>
      <w:r w:rsidRPr="00360BE5">
        <w:rPr>
          <w:rFonts w:ascii="Times New Roman" w:eastAsia="Times New Roman" w:hAnsi="Times New Roman" w:cs="Times New Roman"/>
          <w:sz w:val="24"/>
          <w:szCs w:val="24"/>
        </w:rPr>
        <w:t>chinese</w:t>
      </w:r>
      <w:proofErr w:type="spellEnd"/>
      <w:r w:rsidRPr="00360BE5">
        <w:rPr>
          <w:rFonts w:ascii="Times New Roman" w:eastAsia="Times New Roman" w:hAnsi="Times New Roman" w:cs="Times New Roman"/>
          <w:sz w:val="24"/>
          <w:szCs w:val="24"/>
        </w:rPr>
        <w:t xml:space="preserve"> media enterprises. </w:t>
      </w:r>
      <w:proofErr w:type="spellStart"/>
      <w:r w:rsidRPr="00360BE5">
        <w:rPr>
          <w:rFonts w:ascii="Times New Roman" w:eastAsia="Times New Roman" w:hAnsi="Times New Roman" w:cs="Times New Roman"/>
          <w:sz w:val="24"/>
          <w:szCs w:val="24"/>
        </w:rPr>
        <w:t>PLoS</w:t>
      </w:r>
      <w:proofErr w:type="spellEnd"/>
      <w:r w:rsidRPr="00360BE5">
        <w:rPr>
          <w:rFonts w:ascii="Times New Roman" w:eastAsia="Times New Roman" w:hAnsi="Times New Roman" w:cs="Times New Roman"/>
          <w:sz w:val="24"/>
          <w:szCs w:val="24"/>
        </w:rPr>
        <w:t xml:space="preserve"> One, 19(9) </w:t>
      </w:r>
      <w:proofErr w:type="spellStart"/>
      <w:proofErr w:type="gramStart"/>
      <w:r w:rsidRPr="00360BE5">
        <w:rPr>
          <w:rFonts w:ascii="Times New Roman" w:eastAsia="Times New Roman" w:hAnsi="Times New Roman" w:cs="Times New Roman"/>
          <w:sz w:val="24"/>
          <w:szCs w:val="24"/>
        </w:rPr>
        <w:t>doi:https</w:t>
      </w:r>
      <w:proofErr w:type="spellEnd"/>
      <w:r w:rsidRPr="00360BE5">
        <w:rPr>
          <w:rFonts w:ascii="Times New Roman" w:eastAsia="Times New Roman" w:hAnsi="Times New Roman" w:cs="Times New Roman"/>
          <w:sz w:val="24"/>
          <w:szCs w:val="24"/>
        </w:rPr>
        <w:t>://doi.org/10.1371/journal.pone.0306363</w:t>
      </w:r>
      <w:proofErr w:type="gramEnd"/>
    </w:p>
    <w:sectPr w:rsidR="00557B22" w:rsidRPr="00360BE5">
      <w:head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889C4" w14:textId="77777777" w:rsidR="00F84221" w:rsidRDefault="00F84221">
      <w:pPr>
        <w:spacing w:line="240" w:lineRule="auto"/>
      </w:pPr>
      <w:r>
        <w:separator/>
      </w:r>
    </w:p>
  </w:endnote>
  <w:endnote w:type="continuationSeparator" w:id="0">
    <w:p w14:paraId="7246618C" w14:textId="77777777" w:rsidR="00F84221" w:rsidRDefault="00F842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E4A00" w14:textId="77777777" w:rsidR="00F84221" w:rsidRDefault="00F84221">
      <w:pPr>
        <w:spacing w:line="240" w:lineRule="auto"/>
      </w:pPr>
      <w:r>
        <w:separator/>
      </w:r>
    </w:p>
  </w:footnote>
  <w:footnote w:type="continuationSeparator" w:id="0">
    <w:p w14:paraId="58A64793" w14:textId="77777777" w:rsidR="00F84221" w:rsidRDefault="00F842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7B9738" w14:textId="77777777" w:rsidR="00557B22" w:rsidRDefault="00F84221">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643356">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p w14:paraId="1C650F4B" w14:textId="77777777" w:rsidR="00557B22" w:rsidRDefault="00557B22">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3E7C2B"/>
    <w:multiLevelType w:val="multilevel"/>
    <w:tmpl w:val="BD4A2F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4532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B22"/>
    <w:rsid w:val="001067A0"/>
    <w:rsid w:val="00360BE5"/>
    <w:rsid w:val="003A3128"/>
    <w:rsid w:val="00557B22"/>
    <w:rsid w:val="00643356"/>
    <w:rsid w:val="00644E85"/>
    <w:rsid w:val="00E90CD4"/>
    <w:rsid w:val="00F842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99C5"/>
  <w15:docId w15:val="{3091E9D4-F378-4835-B466-38F2950AC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87CDA"/>
    <w:pPr>
      <w:tabs>
        <w:tab w:val="center" w:pos="4513"/>
        <w:tab w:val="right" w:pos="9026"/>
      </w:tabs>
      <w:spacing w:line="240" w:lineRule="auto"/>
    </w:pPr>
  </w:style>
  <w:style w:type="character" w:customStyle="1" w:styleId="HeaderChar">
    <w:name w:val="Header Char"/>
    <w:basedOn w:val="DefaultParagraphFont"/>
    <w:link w:val="Header"/>
    <w:uiPriority w:val="99"/>
    <w:rsid w:val="00B87CDA"/>
  </w:style>
  <w:style w:type="paragraph" w:styleId="Footer">
    <w:name w:val="footer"/>
    <w:basedOn w:val="Normal"/>
    <w:link w:val="FooterChar"/>
    <w:uiPriority w:val="99"/>
    <w:unhideWhenUsed/>
    <w:rsid w:val="00B87CDA"/>
    <w:pPr>
      <w:tabs>
        <w:tab w:val="center" w:pos="4513"/>
        <w:tab w:val="right" w:pos="9026"/>
      </w:tabs>
      <w:spacing w:line="240" w:lineRule="auto"/>
    </w:pPr>
  </w:style>
  <w:style w:type="character" w:customStyle="1" w:styleId="FooterChar">
    <w:name w:val="Footer Char"/>
    <w:basedOn w:val="DefaultParagraphFont"/>
    <w:link w:val="Footer"/>
    <w:uiPriority w:val="99"/>
    <w:rsid w:val="00B87CDA"/>
  </w:style>
  <w:style w:type="paragraph" w:styleId="TableofFigures">
    <w:name w:val="table of figures"/>
    <w:basedOn w:val="Normal"/>
    <w:next w:val="Normal"/>
    <w:uiPriority w:val="99"/>
    <w:unhideWhenUsed/>
    <w:rsid w:val="00931E55"/>
  </w:style>
  <w:style w:type="character" w:styleId="Hyperlink">
    <w:name w:val="Hyperlink"/>
    <w:basedOn w:val="DefaultParagraphFont"/>
    <w:uiPriority w:val="99"/>
    <w:unhideWhenUsed/>
    <w:rsid w:val="00931E55"/>
    <w:rPr>
      <w:color w:val="0000FF" w:themeColor="hyperlink"/>
      <w:u w:val="single"/>
    </w:rPr>
  </w:style>
  <w:style w:type="paragraph" w:styleId="TOCHeading">
    <w:name w:val="TOC Heading"/>
    <w:basedOn w:val="Heading1"/>
    <w:next w:val="Normal"/>
    <w:uiPriority w:val="39"/>
    <w:unhideWhenUsed/>
    <w:qFormat/>
    <w:rsid w:val="00931E5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1E55"/>
    <w:pPr>
      <w:spacing w:after="100"/>
    </w:pPr>
  </w:style>
  <w:style w:type="paragraph" w:styleId="TOC2">
    <w:name w:val="toc 2"/>
    <w:basedOn w:val="Normal"/>
    <w:next w:val="Normal"/>
    <w:autoRedefine/>
    <w:uiPriority w:val="39"/>
    <w:unhideWhenUsed/>
    <w:rsid w:val="00931E5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Ry69Uaow7b+tfdYJoRFhL5Xhug==">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7817</Words>
  <Characters>44557</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Cristian Pintilei</cp:lastModifiedBy>
  <cp:revision>3</cp:revision>
  <dcterms:created xsi:type="dcterms:W3CDTF">2025-04-04T12:36:00Z</dcterms:created>
  <dcterms:modified xsi:type="dcterms:W3CDTF">2025-04-04T15:40:00Z</dcterms:modified>
</cp:coreProperties>
</file>