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9EE807" w14:textId="45BFA574" w:rsidR="007A6F00" w:rsidRDefault="00627496" w:rsidP="0B966F89">
      <w:pPr>
        <w:jc w:val="both"/>
      </w:pPr>
      <w:r>
        <w:rPr>
          <w:noProof/>
        </w:rPr>
        <w:drawing>
          <wp:inline distT="0" distB="0" distL="0" distR="0" wp14:anchorId="643B1FCA" wp14:editId="4B3F819E">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B9A53D2" w14:textId="4A1095C0" w:rsidR="007A6F00" w:rsidRDefault="34D6E030" w:rsidP="0B966F89">
      <w:pPr>
        <w:spacing w:line="360" w:lineRule="auto"/>
        <w:jc w:val="both"/>
        <w:rPr>
          <w:rFonts w:ascii="Arial" w:eastAsia="Arial" w:hAnsi="Arial" w:cs="Arial"/>
          <w:b/>
          <w:bCs/>
        </w:rPr>
      </w:pPr>
      <w:r w:rsidRPr="0B966F89">
        <w:rPr>
          <w:rFonts w:ascii="Arial" w:eastAsia="Arial" w:hAnsi="Arial" w:cs="Arial"/>
          <w:b/>
          <w:bCs/>
        </w:rPr>
        <w:t>Research Appraisal Report</w:t>
      </w:r>
    </w:p>
    <w:p w14:paraId="61B24D63" w14:textId="1307257A" w:rsidR="007A6F00" w:rsidRDefault="34D6E030" w:rsidP="0B966F89">
      <w:pPr>
        <w:spacing w:line="360" w:lineRule="auto"/>
        <w:jc w:val="both"/>
        <w:rPr>
          <w:rFonts w:ascii="Arial" w:eastAsia="Arial" w:hAnsi="Arial" w:cs="Arial"/>
        </w:rPr>
      </w:pPr>
      <w:r w:rsidRPr="0B966F89">
        <w:rPr>
          <w:rFonts w:ascii="Arial" w:eastAsia="Arial" w:hAnsi="Arial" w:cs="Arial"/>
        </w:rPr>
        <w:t>Critical Appraisal of Integrated Care for Older Adults with Multimorbidity: An Evaluation of a Qualitative Study Exploring Primary Care and Social Service Collaboration in England</w:t>
      </w:r>
    </w:p>
    <w:p w14:paraId="5742D48E" w14:textId="58CA0439" w:rsidR="007A6F00" w:rsidRDefault="007A6F00" w:rsidP="0B966F89">
      <w:pPr>
        <w:spacing w:line="360" w:lineRule="auto"/>
        <w:jc w:val="both"/>
        <w:rPr>
          <w:rFonts w:ascii="Arial" w:eastAsia="Arial" w:hAnsi="Arial" w:cs="Arial"/>
        </w:rPr>
      </w:pPr>
    </w:p>
    <w:p w14:paraId="6001C29B" w14:textId="24E29137" w:rsidR="007A6F00" w:rsidRDefault="34D6E030" w:rsidP="0B966F89">
      <w:pPr>
        <w:spacing w:before="240" w:after="240" w:line="360" w:lineRule="auto"/>
        <w:jc w:val="both"/>
        <w:rPr>
          <w:rFonts w:ascii="Arial" w:eastAsia="Arial" w:hAnsi="Arial" w:cs="Arial"/>
        </w:rPr>
      </w:pPr>
      <w:r w:rsidRPr="0B966F89">
        <w:rPr>
          <w:rFonts w:ascii="Arial" w:eastAsia="Arial" w:hAnsi="Arial" w:cs="Arial"/>
          <w:b/>
          <w:bCs/>
        </w:rPr>
        <w:t>Student Name:</w:t>
      </w:r>
      <w:r w:rsidRPr="0B966F89">
        <w:rPr>
          <w:rFonts w:ascii="Arial" w:eastAsia="Arial" w:hAnsi="Arial" w:cs="Arial"/>
        </w:rPr>
        <w:t xml:space="preserve"> </w:t>
      </w:r>
      <w:proofErr w:type="spellStart"/>
      <w:r w:rsidR="003E718C">
        <w:rPr>
          <w:rFonts w:ascii="Arial" w:eastAsia="Arial" w:hAnsi="Arial" w:cs="Arial"/>
        </w:rPr>
        <w:t>kadir</w:t>
      </w:r>
      <w:proofErr w:type="spellEnd"/>
      <w:r w:rsidR="003E718C">
        <w:rPr>
          <w:rFonts w:ascii="Arial" w:eastAsia="Arial" w:hAnsi="Arial" w:cs="Arial"/>
        </w:rPr>
        <w:t xml:space="preserve"> </w:t>
      </w:r>
      <w:proofErr w:type="spellStart"/>
      <w:r w:rsidR="003E718C">
        <w:rPr>
          <w:rFonts w:ascii="Arial" w:eastAsia="Arial" w:hAnsi="Arial" w:cs="Arial"/>
        </w:rPr>
        <w:t>aykac</w:t>
      </w:r>
      <w:proofErr w:type="spellEnd"/>
    </w:p>
    <w:p w14:paraId="70D0FA8E" w14:textId="7B1ED92A" w:rsidR="007A6F00" w:rsidRDefault="34D6E030" w:rsidP="0B966F89">
      <w:pPr>
        <w:spacing w:before="240" w:after="240" w:line="360" w:lineRule="auto"/>
        <w:jc w:val="both"/>
        <w:rPr>
          <w:rFonts w:ascii="Arial" w:eastAsia="Arial" w:hAnsi="Arial" w:cs="Arial"/>
        </w:rPr>
      </w:pPr>
      <w:r w:rsidRPr="0B966F89">
        <w:rPr>
          <w:rFonts w:ascii="Arial" w:eastAsia="Arial" w:hAnsi="Arial" w:cs="Arial"/>
          <w:b/>
          <w:bCs/>
        </w:rPr>
        <w:t>Student ID:</w:t>
      </w:r>
      <w:r w:rsidRPr="0B966F89">
        <w:rPr>
          <w:rFonts w:ascii="Arial" w:eastAsia="Arial" w:hAnsi="Arial" w:cs="Arial"/>
        </w:rPr>
        <w:t xml:space="preserve"> </w:t>
      </w:r>
      <w:r w:rsidR="003E4234">
        <w:rPr>
          <w:rFonts w:ascii="Arial" w:eastAsia="Arial" w:hAnsi="Arial" w:cs="Arial"/>
        </w:rPr>
        <w:t>2544488</w:t>
      </w:r>
    </w:p>
    <w:p w14:paraId="5C45794F" w14:textId="128FBBAC" w:rsidR="007A6F00" w:rsidRPr="006B2B69" w:rsidRDefault="34D6E030" w:rsidP="006B2B69">
      <w:pPr>
        <w:jc w:val="both"/>
        <w:rPr>
          <w:rFonts w:asciiTheme="minorBidi" w:hAnsiTheme="minorBidi"/>
          <w:sz w:val="28"/>
          <w:szCs w:val="28"/>
        </w:rPr>
      </w:pPr>
      <w:proofErr w:type="spellStart"/>
      <w:r w:rsidRPr="0B966F89">
        <w:rPr>
          <w:rFonts w:ascii="Arial" w:eastAsia="Arial" w:hAnsi="Arial" w:cs="Arial"/>
          <w:b/>
          <w:bCs/>
        </w:rPr>
        <w:t>Programme</w:t>
      </w:r>
      <w:proofErr w:type="spellEnd"/>
      <w:r w:rsidRPr="0B966F89">
        <w:rPr>
          <w:rFonts w:ascii="Arial" w:eastAsia="Arial" w:hAnsi="Arial" w:cs="Arial"/>
          <w:b/>
          <w:bCs/>
        </w:rPr>
        <w:t>:</w:t>
      </w:r>
      <w:r w:rsidRPr="0B966F89">
        <w:rPr>
          <w:rFonts w:ascii="Arial" w:eastAsia="Arial" w:hAnsi="Arial" w:cs="Arial"/>
        </w:rPr>
        <w:t xml:space="preserve"> </w:t>
      </w:r>
      <w:r w:rsidR="006B2B69">
        <w:rPr>
          <w:rFonts w:asciiTheme="minorBidi" w:hAnsiTheme="minorBidi"/>
          <w:sz w:val="28"/>
          <w:szCs w:val="28"/>
        </w:rPr>
        <w:t>Academic and Employability Skills</w:t>
      </w:r>
    </w:p>
    <w:p w14:paraId="5D005F4C" w14:textId="5BB94566" w:rsidR="007A6F00" w:rsidRDefault="34D6E030" w:rsidP="0B966F89">
      <w:pPr>
        <w:spacing w:before="240" w:after="240" w:line="360" w:lineRule="auto"/>
        <w:jc w:val="both"/>
        <w:rPr>
          <w:rFonts w:ascii="Arial" w:eastAsia="Arial" w:hAnsi="Arial" w:cs="Arial"/>
        </w:rPr>
      </w:pPr>
      <w:r w:rsidRPr="0B966F89">
        <w:rPr>
          <w:rFonts w:ascii="Arial" w:eastAsia="Arial" w:hAnsi="Arial" w:cs="Arial"/>
          <w:b/>
          <w:bCs/>
        </w:rPr>
        <w:t>Module Title:</w:t>
      </w:r>
      <w:r w:rsidRPr="0B966F89">
        <w:rPr>
          <w:rFonts w:ascii="Arial" w:eastAsia="Arial" w:hAnsi="Arial" w:cs="Arial"/>
        </w:rPr>
        <w:t xml:space="preserve"> Research Literacy – Learning How to Read a Research Paper</w:t>
      </w:r>
    </w:p>
    <w:p w14:paraId="432D9802" w14:textId="3D7D9E3B" w:rsidR="007A6F00" w:rsidRPr="007D1A89" w:rsidRDefault="34D6E030" w:rsidP="007D1A89">
      <w:pPr>
        <w:jc w:val="both"/>
        <w:rPr>
          <w:rFonts w:asciiTheme="minorBidi" w:hAnsiTheme="minorBidi"/>
          <w:b/>
          <w:bCs/>
          <w:sz w:val="28"/>
          <w:szCs w:val="28"/>
        </w:rPr>
      </w:pPr>
      <w:r w:rsidRPr="0B966F89">
        <w:rPr>
          <w:rFonts w:ascii="Arial" w:eastAsia="Arial" w:hAnsi="Arial" w:cs="Arial"/>
          <w:b/>
          <w:bCs/>
        </w:rPr>
        <w:t>Module Code:</w:t>
      </w:r>
      <w:r w:rsidRPr="0B966F89">
        <w:rPr>
          <w:rFonts w:ascii="Arial" w:eastAsia="Arial" w:hAnsi="Arial" w:cs="Arial"/>
        </w:rPr>
        <w:t xml:space="preserve"> </w:t>
      </w:r>
      <w:r w:rsidR="007D1A89" w:rsidRPr="00C25A6D">
        <w:rPr>
          <w:rFonts w:asciiTheme="minorBidi" w:hAnsiTheme="minorBidi"/>
          <w:sz w:val="28"/>
          <w:szCs w:val="28"/>
        </w:rPr>
        <w:t>(LCHS4001_LON)</w:t>
      </w:r>
    </w:p>
    <w:p w14:paraId="578C690C" w14:textId="0193FC2E" w:rsidR="007A6F00" w:rsidRDefault="34D6E030" w:rsidP="0B966F89">
      <w:pPr>
        <w:spacing w:before="240" w:after="240" w:line="360" w:lineRule="auto"/>
        <w:jc w:val="both"/>
        <w:rPr>
          <w:rFonts w:ascii="Arial" w:eastAsia="Arial" w:hAnsi="Arial" w:cs="Arial"/>
        </w:rPr>
      </w:pPr>
      <w:r w:rsidRPr="0B966F89">
        <w:rPr>
          <w:rFonts w:ascii="Arial" w:eastAsia="Arial" w:hAnsi="Arial" w:cs="Arial"/>
          <w:b/>
          <w:bCs/>
        </w:rPr>
        <w:t>Assessment Component:</w:t>
      </w:r>
      <w:r w:rsidRPr="0B966F89">
        <w:rPr>
          <w:rFonts w:ascii="Arial" w:eastAsia="Arial" w:hAnsi="Arial" w:cs="Arial"/>
        </w:rPr>
        <w:t xml:space="preserve"> Component 2 – Research Literacy</w:t>
      </w:r>
    </w:p>
    <w:p w14:paraId="08484BB6" w14:textId="7176C672" w:rsidR="007A6F00" w:rsidRDefault="34D6E030" w:rsidP="0B966F89">
      <w:pPr>
        <w:spacing w:before="240" w:after="240" w:line="360" w:lineRule="auto"/>
        <w:jc w:val="both"/>
        <w:rPr>
          <w:rFonts w:ascii="Arial" w:eastAsia="Arial" w:hAnsi="Arial" w:cs="Arial"/>
        </w:rPr>
      </w:pPr>
      <w:r w:rsidRPr="0B966F89">
        <w:rPr>
          <w:rFonts w:ascii="Arial" w:eastAsia="Arial" w:hAnsi="Arial" w:cs="Arial"/>
          <w:b/>
          <w:bCs/>
        </w:rPr>
        <w:t>Assessment Title:</w:t>
      </w:r>
      <w:r w:rsidRPr="0B966F89">
        <w:rPr>
          <w:rFonts w:ascii="Arial" w:eastAsia="Arial" w:hAnsi="Arial" w:cs="Arial"/>
        </w:rPr>
        <w:t xml:space="preserve"> Critical Appraisal of a Research Paper</w:t>
      </w:r>
    </w:p>
    <w:p w14:paraId="7EDF61DF" w14:textId="523662BB" w:rsidR="007A6F00" w:rsidRDefault="007A6F00" w:rsidP="0B966F89">
      <w:pPr>
        <w:spacing w:line="360" w:lineRule="auto"/>
        <w:jc w:val="both"/>
        <w:rPr>
          <w:rFonts w:ascii="Arial" w:eastAsia="Arial" w:hAnsi="Arial" w:cs="Arial"/>
        </w:rPr>
      </w:pPr>
    </w:p>
    <w:p w14:paraId="4E667F1F" w14:textId="13DD8443" w:rsidR="007A6F00" w:rsidRDefault="34D6E030" w:rsidP="0B966F89">
      <w:pPr>
        <w:pStyle w:val="Heading3"/>
        <w:spacing w:before="281" w:after="281" w:line="360" w:lineRule="auto"/>
        <w:jc w:val="both"/>
        <w:rPr>
          <w:rFonts w:ascii="Arial" w:eastAsia="Arial" w:hAnsi="Arial" w:cs="Arial"/>
          <w:b/>
          <w:bCs/>
          <w:sz w:val="24"/>
          <w:szCs w:val="24"/>
        </w:rPr>
      </w:pPr>
      <w:r w:rsidRPr="0B966F89">
        <w:rPr>
          <w:rFonts w:ascii="Arial" w:eastAsia="Arial" w:hAnsi="Arial" w:cs="Arial"/>
          <w:b/>
          <w:bCs/>
          <w:sz w:val="24"/>
          <w:szCs w:val="24"/>
        </w:rPr>
        <w:t>Research Paper Appraised</w:t>
      </w:r>
    </w:p>
    <w:p w14:paraId="68D495E6" w14:textId="39A094BD" w:rsidR="007A6F00" w:rsidRDefault="34D6E030" w:rsidP="0B966F89">
      <w:pPr>
        <w:spacing w:before="240" w:after="240" w:line="360" w:lineRule="auto"/>
        <w:jc w:val="both"/>
        <w:rPr>
          <w:rFonts w:ascii="Arial" w:eastAsia="Arial" w:hAnsi="Arial" w:cs="Arial"/>
          <w:b/>
          <w:bCs/>
        </w:rPr>
      </w:pPr>
      <w:r w:rsidRPr="0B966F89">
        <w:rPr>
          <w:rFonts w:ascii="Arial" w:eastAsia="Arial" w:hAnsi="Arial" w:cs="Arial"/>
          <w:b/>
          <w:bCs/>
        </w:rPr>
        <w:t>Original Research Paper Title:</w:t>
      </w:r>
    </w:p>
    <w:p w14:paraId="0113D9CF" w14:textId="21808BA2" w:rsidR="007A6F00" w:rsidRDefault="34D6E030" w:rsidP="0B966F89">
      <w:pPr>
        <w:spacing w:before="240" w:after="240" w:line="360" w:lineRule="auto"/>
        <w:jc w:val="both"/>
        <w:rPr>
          <w:rFonts w:ascii="Arial" w:eastAsia="Arial" w:hAnsi="Arial" w:cs="Arial"/>
          <w:b/>
          <w:bCs/>
        </w:rPr>
      </w:pPr>
      <w:r w:rsidRPr="0B966F89">
        <w:rPr>
          <w:rFonts w:ascii="Arial" w:eastAsia="Arial" w:hAnsi="Arial" w:cs="Arial"/>
          <w:b/>
          <w:bCs/>
        </w:rPr>
        <w:t>“Integrating primary care and social services for older adults with multimorbidity: a qualitative study”</w:t>
      </w:r>
    </w:p>
    <w:p w14:paraId="6B2EF667" w14:textId="734CE455" w:rsidR="007A6F00" w:rsidRDefault="34D6E030" w:rsidP="0B966F89">
      <w:pPr>
        <w:spacing w:before="240" w:after="240" w:line="360" w:lineRule="auto"/>
        <w:jc w:val="both"/>
        <w:rPr>
          <w:rFonts w:ascii="Arial" w:eastAsia="Arial" w:hAnsi="Arial" w:cs="Arial"/>
          <w:b/>
          <w:bCs/>
        </w:rPr>
      </w:pPr>
      <w:r w:rsidRPr="0B966F89">
        <w:rPr>
          <w:rFonts w:ascii="Arial" w:eastAsia="Arial" w:hAnsi="Arial" w:cs="Arial"/>
          <w:b/>
          <w:bCs/>
        </w:rPr>
        <w:t>Authors:</w:t>
      </w:r>
    </w:p>
    <w:p w14:paraId="2D9C74E3" w14:textId="0904FDD6" w:rsidR="007A6F00" w:rsidRDefault="34D6E030" w:rsidP="0B966F89">
      <w:pPr>
        <w:spacing w:before="240" w:after="240" w:line="360" w:lineRule="auto"/>
        <w:jc w:val="both"/>
        <w:rPr>
          <w:rFonts w:ascii="Arial" w:eastAsia="Arial" w:hAnsi="Arial" w:cs="Arial"/>
        </w:rPr>
      </w:pPr>
      <w:r w:rsidRPr="0B966F89">
        <w:rPr>
          <w:rFonts w:ascii="Arial" w:eastAsia="Arial" w:hAnsi="Arial" w:cs="Arial"/>
        </w:rPr>
        <w:lastRenderedPageBreak/>
        <w:t>Dambha-Miller, H., Simpson, G., Hobson, L., Olaniyan, D., Hodgson, S., Roderick, P., Fraser, S.D.S., Little, P., Everitt, H. and Santer, M.</w:t>
      </w:r>
    </w:p>
    <w:p w14:paraId="7A271DFE" w14:textId="341D12FA" w:rsidR="007A6F00" w:rsidRDefault="34D6E030" w:rsidP="0B966F89">
      <w:pPr>
        <w:spacing w:before="240" w:after="240" w:line="360" w:lineRule="auto"/>
        <w:jc w:val="both"/>
        <w:rPr>
          <w:rFonts w:ascii="Arial" w:eastAsia="Arial" w:hAnsi="Arial" w:cs="Arial"/>
          <w:b/>
          <w:bCs/>
        </w:rPr>
      </w:pPr>
      <w:r w:rsidRPr="0B966F89">
        <w:rPr>
          <w:rFonts w:ascii="Arial" w:eastAsia="Arial" w:hAnsi="Arial" w:cs="Arial"/>
          <w:b/>
          <w:bCs/>
        </w:rPr>
        <w:t>Published in:</w:t>
      </w:r>
    </w:p>
    <w:p w14:paraId="2DA7BC89" w14:textId="1AB868BB" w:rsidR="007A6F00" w:rsidRDefault="34D6E030" w:rsidP="0B966F89">
      <w:pPr>
        <w:spacing w:before="240" w:after="240" w:line="360" w:lineRule="auto"/>
        <w:jc w:val="both"/>
        <w:rPr>
          <w:rFonts w:ascii="Arial" w:eastAsia="Arial" w:hAnsi="Arial" w:cs="Arial"/>
        </w:rPr>
      </w:pPr>
      <w:r w:rsidRPr="0B966F89">
        <w:rPr>
          <w:rFonts w:ascii="Arial" w:eastAsia="Arial" w:hAnsi="Arial" w:cs="Arial"/>
          <w:i/>
          <w:iCs/>
        </w:rPr>
        <w:t>British Journal of General Practice</w:t>
      </w:r>
      <w:r w:rsidRPr="0B966F89">
        <w:rPr>
          <w:rFonts w:ascii="Arial" w:eastAsia="Arial" w:hAnsi="Arial" w:cs="Arial"/>
        </w:rPr>
        <w:t xml:space="preserve"> (2021), 71(711), pp. e753–e761.</w:t>
      </w:r>
    </w:p>
    <w:p w14:paraId="3BF7BE83" w14:textId="31C16121" w:rsidR="007A6F00" w:rsidRDefault="007A6F00" w:rsidP="0B966F89">
      <w:pPr>
        <w:spacing w:line="360" w:lineRule="auto"/>
        <w:jc w:val="both"/>
        <w:rPr>
          <w:rFonts w:ascii="Arial" w:eastAsia="Arial" w:hAnsi="Arial" w:cs="Arial"/>
        </w:rPr>
      </w:pPr>
    </w:p>
    <w:p w14:paraId="31E26DF7" w14:textId="17E524D6" w:rsidR="007A6F00" w:rsidRDefault="34D6E030" w:rsidP="0B966F89">
      <w:pPr>
        <w:pStyle w:val="Heading3"/>
        <w:spacing w:before="281" w:after="281" w:line="360" w:lineRule="auto"/>
        <w:jc w:val="both"/>
        <w:rPr>
          <w:rFonts w:ascii="Arial" w:eastAsia="Arial" w:hAnsi="Arial" w:cs="Arial"/>
          <w:b/>
          <w:bCs/>
          <w:sz w:val="24"/>
          <w:szCs w:val="24"/>
        </w:rPr>
      </w:pPr>
      <w:r w:rsidRPr="0B966F89">
        <w:rPr>
          <w:rFonts w:ascii="Arial" w:eastAsia="Arial" w:hAnsi="Arial" w:cs="Arial"/>
          <w:b/>
          <w:bCs/>
          <w:sz w:val="24"/>
          <w:szCs w:val="24"/>
        </w:rPr>
        <w:t>Word Count</w:t>
      </w:r>
    </w:p>
    <w:p w14:paraId="7932DA94" w14:textId="0A1D0398" w:rsidR="007A6F00" w:rsidRDefault="34D6E030" w:rsidP="0B966F89">
      <w:pPr>
        <w:spacing w:before="240" w:after="240" w:line="360" w:lineRule="auto"/>
        <w:jc w:val="both"/>
        <w:rPr>
          <w:rFonts w:ascii="Arial" w:eastAsia="Arial" w:hAnsi="Arial" w:cs="Arial"/>
        </w:rPr>
      </w:pPr>
      <w:r w:rsidRPr="0B966F89">
        <w:rPr>
          <w:rFonts w:ascii="Arial" w:eastAsia="Arial" w:hAnsi="Arial" w:cs="Arial"/>
          <w:b/>
          <w:bCs/>
        </w:rPr>
        <w:t>Main Text:</w:t>
      </w:r>
      <w:r w:rsidRPr="0B966F89">
        <w:rPr>
          <w:rFonts w:ascii="Arial" w:eastAsia="Arial" w:hAnsi="Arial" w:cs="Arial"/>
        </w:rPr>
        <w:t xml:space="preserve"> Approximately 1,500 words</w:t>
      </w:r>
    </w:p>
    <w:p w14:paraId="6251E139" w14:textId="1DD1202E" w:rsidR="007A6F00" w:rsidRDefault="34D6E030" w:rsidP="0B966F89">
      <w:pPr>
        <w:spacing w:before="240" w:after="240" w:line="360" w:lineRule="auto"/>
        <w:jc w:val="both"/>
        <w:rPr>
          <w:rFonts w:ascii="Arial" w:eastAsia="Arial" w:hAnsi="Arial" w:cs="Arial"/>
        </w:rPr>
      </w:pPr>
      <w:r w:rsidRPr="0B966F89">
        <w:rPr>
          <w:rFonts w:ascii="Arial" w:eastAsia="Arial" w:hAnsi="Arial" w:cs="Arial"/>
          <w:b/>
          <w:bCs/>
        </w:rPr>
        <w:t>Reference List:</w:t>
      </w:r>
      <w:r w:rsidRPr="0B966F89">
        <w:rPr>
          <w:rFonts w:ascii="Arial" w:eastAsia="Arial" w:hAnsi="Arial" w:cs="Arial"/>
        </w:rPr>
        <w:t xml:space="preserve"> Excluded from word count</w:t>
      </w:r>
    </w:p>
    <w:p w14:paraId="27DD0B00" w14:textId="10F85C56" w:rsidR="007A6F00" w:rsidRDefault="007A6F00" w:rsidP="0B966F89">
      <w:pPr>
        <w:spacing w:line="360" w:lineRule="auto"/>
        <w:jc w:val="both"/>
        <w:rPr>
          <w:rFonts w:ascii="Arial" w:eastAsia="Arial" w:hAnsi="Arial" w:cs="Arial"/>
        </w:rPr>
      </w:pPr>
    </w:p>
    <w:p w14:paraId="3E275046" w14:textId="77DD0AC2" w:rsidR="007A6F00" w:rsidRDefault="34D6E030" w:rsidP="0B966F89">
      <w:pPr>
        <w:pStyle w:val="Heading3"/>
        <w:spacing w:before="281" w:after="281" w:line="360" w:lineRule="auto"/>
        <w:jc w:val="both"/>
        <w:rPr>
          <w:rFonts w:ascii="Arial" w:eastAsia="Arial" w:hAnsi="Arial" w:cs="Arial"/>
          <w:b/>
          <w:bCs/>
          <w:sz w:val="24"/>
          <w:szCs w:val="24"/>
        </w:rPr>
      </w:pPr>
      <w:r w:rsidRPr="0B966F89">
        <w:rPr>
          <w:rFonts w:ascii="Arial" w:eastAsia="Arial" w:hAnsi="Arial" w:cs="Arial"/>
          <w:b/>
          <w:bCs/>
          <w:sz w:val="24"/>
          <w:szCs w:val="24"/>
        </w:rPr>
        <w:t>Submission Details</w:t>
      </w:r>
    </w:p>
    <w:p w14:paraId="7F4BB88C" w14:textId="0D02141D" w:rsidR="007A6F00" w:rsidRDefault="34D6E030" w:rsidP="0B966F89">
      <w:pPr>
        <w:spacing w:before="240" w:after="240" w:line="360" w:lineRule="auto"/>
        <w:jc w:val="both"/>
        <w:rPr>
          <w:rFonts w:ascii="Arial" w:eastAsia="Arial" w:hAnsi="Arial" w:cs="Arial"/>
        </w:rPr>
      </w:pPr>
      <w:r w:rsidRPr="0B966F89">
        <w:rPr>
          <w:rFonts w:ascii="Arial" w:eastAsia="Arial" w:hAnsi="Arial" w:cs="Arial"/>
          <w:b/>
          <w:bCs/>
        </w:rPr>
        <w:t>Institution:</w:t>
      </w:r>
      <w:r w:rsidRPr="0B966F89">
        <w:rPr>
          <w:rFonts w:ascii="Arial" w:eastAsia="Arial" w:hAnsi="Arial" w:cs="Arial"/>
        </w:rPr>
        <w:t xml:space="preserve"> [Insert University Name]</w:t>
      </w:r>
    </w:p>
    <w:p w14:paraId="58469A0B" w14:textId="1E23A2B9" w:rsidR="007A6F00" w:rsidRDefault="34D6E030" w:rsidP="0B966F89">
      <w:pPr>
        <w:spacing w:before="240" w:after="240" w:line="360" w:lineRule="auto"/>
        <w:jc w:val="both"/>
        <w:rPr>
          <w:rFonts w:ascii="Arial" w:eastAsia="Arial" w:hAnsi="Arial" w:cs="Arial"/>
        </w:rPr>
      </w:pPr>
      <w:r w:rsidRPr="0B966F89">
        <w:rPr>
          <w:rFonts w:ascii="Arial" w:eastAsia="Arial" w:hAnsi="Arial" w:cs="Arial"/>
          <w:b/>
          <w:bCs/>
        </w:rPr>
        <w:t>Faculty/School:</w:t>
      </w:r>
      <w:r w:rsidRPr="0B966F89">
        <w:rPr>
          <w:rFonts w:ascii="Arial" w:eastAsia="Arial" w:hAnsi="Arial" w:cs="Arial"/>
        </w:rPr>
        <w:t xml:space="preserve"> [Insert Faculty Name]</w:t>
      </w:r>
    </w:p>
    <w:p w14:paraId="3D85E744" w14:textId="68027FC9" w:rsidR="007A6F00" w:rsidRDefault="34D6E030" w:rsidP="0B966F89">
      <w:pPr>
        <w:spacing w:before="240" w:after="240" w:line="360" w:lineRule="auto"/>
        <w:jc w:val="both"/>
        <w:rPr>
          <w:rFonts w:ascii="Arial" w:eastAsia="Arial" w:hAnsi="Arial" w:cs="Arial"/>
        </w:rPr>
      </w:pPr>
      <w:r w:rsidRPr="0B966F89">
        <w:rPr>
          <w:rFonts w:ascii="Arial" w:eastAsia="Arial" w:hAnsi="Arial" w:cs="Arial"/>
          <w:b/>
          <w:bCs/>
        </w:rPr>
        <w:t>Submission Date:</w:t>
      </w:r>
      <w:r w:rsidRPr="0B966F89">
        <w:rPr>
          <w:rFonts w:ascii="Arial" w:eastAsia="Arial" w:hAnsi="Arial" w:cs="Arial"/>
        </w:rPr>
        <w:t xml:space="preserve"> [Insert Date]</w:t>
      </w:r>
    </w:p>
    <w:p w14:paraId="71129AC2" w14:textId="2FAD32C0" w:rsidR="007A6F00" w:rsidRDefault="34D6E030" w:rsidP="0B966F89">
      <w:pPr>
        <w:spacing w:before="240" w:after="240" w:line="360" w:lineRule="auto"/>
        <w:jc w:val="both"/>
        <w:rPr>
          <w:rFonts w:ascii="Arial" w:eastAsia="Arial" w:hAnsi="Arial" w:cs="Arial"/>
        </w:rPr>
      </w:pPr>
      <w:r w:rsidRPr="0B966F89">
        <w:rPr>
          <w:rFonts w:ascii="Arial" w:eastAsia="Arial" w:hAnsi="Arial" w:cs="Arial"/>
          <w:b/>
          <w:bCs/>
        </w:rPr>
        <w:t>Academic Year:</w:t>
      </w:r>
      <w:r w:rsidRPr="0B966F89">
        <w:rPr>
          <w:rFonts w:ascii="Arial" w:eastAsia="Arial" w:hAnsi="Arial" w:cs="Arial"/>
        </w:rPr>
        <w:t xml:space="preserve"> 2025/2026</w:t>
      </w:r>
    </w:p>
    <w:p w14:paraId="736FAE10" w14:textId="57BAA017" w:rsidR="007A6F00" w:rsidRDefault="007A6F00" w:rsidP="0B966F89">
      <w:pPr>
        <w:spacing w:line="360" w:lineRule="auto"/>
        <w:jc w:val="both"/>
        <w:rPr>
          <w:rFonts w:ascii="Arial" w:eastAsia="Arial" w:hAnsi="Arial" w:cs="Arial"/>
        </w:rPr>
      </w:pPr>
    </w:p>
    <w:p w14:paraId="5437B9C5" w14:textId="1970518B" w:rsidR="007A6F00" w:rsidRDefault="34D6E030" w:rsidP="0B966F89">
      <w:pPr>
        <w:pStyle w:val="Heading3"/>
        <w:spacing w:before="281" w:after="281" w:line="360" w:lineRule="auto"/>
        <w:jc w:val="both"/>
        <w:rPr>
          <w:rFonts w:ascii="Arial" w:eastAsia="Arial" w:hAnsi="Arial" w:cs="Arial"/>
          <w:b/>
          <w:bCs/>
          <w:sz w:val="24"/>
          <w:szCs w:val="24"/>
        </w:rPr>
      </w:pPr>
      <w:r w:rsidRPr="0B966F89">
        <w:rPr>
          <w:rFonts w:ascii="Arial" w:eastAsia="Arial" w:hAnsi="Arial" w:cs="Arial"/>
          <w:b/>
          <w:bCs/>
          <w:sz w:val="24"/>
          <w:szCs w:val="24"/>
        </w:rPr>
        <w:t>Declaration</w:t>
      </w:r>
    </w:p>
    <w:p w14:paraId="4ED36614" w14:textId="70800E49" w:rsidR="007A6F00" w:rsidRDefault="34D6E030" w:rsidP="0B966F89">
      <w:pPr>
        <w:spacing w:before="240" w:after="240" w:line="360" w:lineRule="auto"/>
        <w:jc w:val="both"/>
        <w:rPr>
          <w:rFonts w:ascii="Arial" w:eastAsia="Arial" w:hAnsi="Arial" w:cs="Arial"/>
        </w:rPr>
      </w:pPr>
      <w:r w:rsidRPr="0B966F89">
        <w:rPr>
          <w:rFonts w:ascii="Arial" w:eastAsia="Arial" w:hAnsi="Arial" w:cs="Arial"/>
        </w:rPr>
        <w:t>I confirm that this assignment is my own academic work and that all sources used have been appropriately acknowledged using Harvard referencing.</w:t>
      </w:r>
    </w:p>
    <w:p w14:paraId="7AC0EDBF" w14:textId="5C564B96" w:rsidR="007A6F00" w:rsidRDefault="34D6E030" w:rsidP="0B966F89">
      <w:pPr>
        <w:spacing w:before="240" w:after="240" w:line="360" w:lineRule="auto"/>
        <w:jc w:val="both"/>
        <w:rPr>
          <w:rFonts w:ascii="Arial" w:eastAsia="Arial" w:hAnsi="Arial" w:cs="Arial"/>
        </w:rPr>
      </w:pPr>
      <w:r w:rsidRPr="0B966F89">
        <w:rPr>
          <w:rFonts w:ascii="Arial" w:eastAsia="Arial" w:hAnsi="Arial" w:cs="Arial"/>
          <w:b/>
          <w:bCs/>
        </w:rPr>
        <w:t>Student Signature:</w:t>
      </w:r>
      <w:r w:rsidRPr="0B966F89">
        <w:rPr>
          <w:rFonts w:ascii="Arial" w:eastAsia="Arial" w:hAnsi="Arial" w:cs="Arial"/>
        </w:rPr>
        <w:t xml:space="preserve"> ______________________</w:t>
      </w:r>
    </w:p>
    <w:p w14:paraId="0315EBA4" w14:textId="61F7547E" w:rsidR="007A6F00" w:rsidRDefault="34D6E030" w:rsidP="0B966F89">
      <w:pPr>
        <w:spacing w:before="240" w:after="240" w:line="360" w:lineRule="auto"/>
        <w:jc w:val="both"/>
        <w:rPr>
          <w:rFonts w:ascii="Arial" w:eastAsia="Arial" w:hAnsi="Arial" w:cs="Arial"/>
        </w:rPr>
      </w:pPr>
      <w:r w:rsidRPr="0B966F89">
        <w:rPr>
          <w:rFonts w:ascii="Arial" w:eastAsia="Arial" w:hAnsi="Arial" w:cs="Arial"/>
          <w:b/>
          <w:bCs/>
        </w:rPr>
        <w:t>Date:</w:t>
      </w:r>
      <w:r w:rsidRPr="0B966F89">
        <w:rPr>
          <w:rFonts w:ascii="Arial" w:eastAsia="Arial" w:hAnsi="Arial" w:cs="Arial"/>
        </w:rPr>
        <w:t xml:space="preserve"> ______________________</w:t>
      </w:r>
    </w:p>
    <w:p w14:paraId="27DCFF41" w14:textId="234100CB" w:rsidR="007A6F00" w:rsidRDefault="007A6F00" w:rsidP="0B966F89">
      <w:pPr>
        <w:jc w:val="both"/>
      </w:pPr>
    </w:p>
    <w:p w14:paraId="35DA09EE" w14:textId="3B0A1F99" w:rsidR="007A6F00" w:rsidRDefault="007A6F00" w:rsidP="0B966F89">
      <w:pPr>
        <w:spacing w:line="360" w:lineRule="auto"/>
        <w:jc w:val="both"/>
        <w:rPr>
          <w:rFonts w:ascii="Arial" w:eastAsia="Arial" w:hAnsi="Arial" w:cs="Arial"/>
        </w:rPr>
      </w:pPr>
    </w:p>
    <w:p w14:paraId="0D548774" w14:textId="3755D3AF" w:rsidR="007A6F00" w:rsidRDefault="007A6F00" w:rsidP="0B966F89">
      <w:pPr>
        <w:spacing w:line="360" w:lineRule="auto"/>
        <w:jc w:val="both"/>
        <w:rPr>
          <w:rFonts w:ascii="Arial" w:eastAsia="Arial" w:hAnsi="Arial" w:cs="Arial"/>
        </w:rPr>
      </w:pPr>
    </w:p>
    <w:p w14:paraId="69BD6870" w14:textId="79CA00A8" w:rsidR="007A6F00" w:rsidRDefault="007A6F00" w:rsidP="0B966F89">
      <w:pPr>
        <w:spacing w:line="360" w:lineRule="auto"/>
        <w:jc w:val="both"/>
        <w:rPr>
          <w:rFonts w:ascii="Arial" w:eastAsia="Arial" w:hAnsi="Arial" w:cs="Arial"/>
        </w:rPr>
      </w:pPr>
    </w:p>
    <w:p w14:paraId="78EE3732" w14:textId="05600FC0" w:rsidR="007A6F00" w:rsidRDefault="007A6F00" w:rsidP="0B966F89">
      <w:pPr>
        <w:spacing w:line="360" w:lineRule="auto"/>
        <w:jc w:val="both"/>
        <w:rPr>
          <w:rFonts w:ascii="Arial" w:eastAsia="Arial" w:hAnsi="Arial" w:cs="Arial"/>
        </w:rPr>
      </w:pPr>
    </w:p>
    <w:p w14:paraId="69CB5F82" w14:textId="58AB2E4B" w:rsidR="007A6F00" w:rsidRDefault="660C7457" w:rsidP="0B966F89">
      <w:pPr>
        <w:spacing w:line="360" w:lineRule="auto"/>
        <w:jc w:val="both"/>
        <w:rPr>
          <w:rFonts w:ascii="Arial" w:eastAsia="Arial" w:hAnsi="Arial" w:cs="Arial"/>
          <w:b/>
          <w:bCs/>
        </w:rPr>
      </w:pPr>
      <w:r w:rsidRPr="0B966F89">
        <w:rPr>
          <w:rFonts w:ascii="Arial" w:eastAsia="Arial" w:hAnsi="Arial" w:cs="Arial"/>
          <w:b/>
          <w:bCs/>
        </w:rPr>
        <w:t>Introduction</w:t>
      </w:r>
    </w:p>
    <w:p w14:paraId="33792C66" w14:textId="08189221" w:rsidR="007A6F00" w:rsidRDefault="31DEF478" w:rsidP="0B966F89">
      <w:pPr>
        <w:spacing w:line="360" w:lineRule="auto"/>
        <w:jc w:val="both"/>
        <w:rPr>
          <w:rFonts w:ascii="Arial" w:eastAsia="Arial" w:hAnsi="Arial" w:cs="Arial"/>
        </w:rPr>
      </w:pPr>
      <w:r w:rsidRPr="0B966F89">
        <w:rPr>
          <w:rFonts w:ascii="Arial" w:eastAsia="Arial" w:hAnsi="Arial" w:cs="Arial"/>
        </w:rPr>
        <w:t>Evidence-based practice underpins high-quality health and social care by ensuring professional decisions are guided by robust research evidence rather than solely by experience or opinion (Melnyk and Fineout-Overholt, 2023). In the UK, increased life expectancy and improved healthcare have contributed to a growing number of older adults living with multimorbidity, creating demand for coordinated support across primary care, community services, social care, and voluntary organisations (Dambha-Miller et al., 2021).</w:t>
      </w:r>
    </w:p>
    <w:p w14:paraId="205759DC" w14:textId="5C5E925F" w:rsidR="007A6F00" w:rsidRDefault="31DEF478" w:rsidP="0B966F89">
      <w:pPr>
        <w:spacing w:line="360" w:lineRule="auto"/>
        <w:jc w:val="both"/>
        <w:rPr>
          <w:rFonts w:ascii="Arial" w:eastAsia="Arial" w:hAnsi="Arial" w:cs="Arial"/>
        </w:rPr>
      </w:pPr>
      <w:r w:rsidRPr="0B966F89">
        <w:rPr>
          <w:rFonts w:ascii="Arial" w:eastAsia="Arial" w:hAnsi="Arial" w:cs="Arial"/>
        </w:rPr>
        <w:t>Integrated care has become a key priority within UK health policy, aiming to improve continuity, reduce duplication, and deliver person-centred support. However, effective collaboration remains challenging due to differences in organisational structures, funding systems, professional cultures, and information-sharing processes, contributing to fragmented care for individuals with complex needs (Alderwick et al., 2021).</w:t>
      </w:r>
    </w:p>
    <w:p w14:paraId="3A6E2A29" w14:textId="74ADB755" w:rsidR="007A6F00" w:rsidRDefault="31DEF478" w:rsidP="0B966F89">
      <w:pPr>
        <w:spacing w:line="360" w:lineRule="auto"/>
        <w:jc w:val="both"/>
        <w:rPr>
          <w:rFonts w:ascii="Arial" w:eastAsia="Arial" w:hAnsi="Arial" w:cs="Arial"/>
        </w:rPr>
      </w:pPr>
      <w:r w:rsidRPr="0B966F89">
        <w:rPr>
          <w:rFonts w:ascii="Arial" w:eastAsia="Arial" w:hAnsi="Arial" w:cs="Arial"/>
        </w:rPr>
        <w:t xml:space="preserve">This report critically evaluates Dambha-Miller et al.’s (2021) qualitative study exploring how primary care and social services can better support older adults with multimorbidity in England. It examines the study’s aim, methodology, sampling, data collection, ethics, and analysis, </w:t>
      </w:r>
      <w:proofErr w:type="gramStart"/>
      <w:r w:rsidRPr="0B966F89">
        <w:rPr>
          <w:rFonts w:ascii="Arial" w:eastAsia="Arial" w:hAnsi="Arial" w:cs="Arial"/>
        </w:rPr>
        <w:t>while critically</w:t>
      </w:r>
      <w:proofErr w:type="gramEnd"/>
      <w:r w:rsidRPr="0B966F89">
        <w:rPr>
          <w:rFonts w:ascii="Arial" w:eastAsia="Arial" w:hAnsi="Arial" w:cs="Arial"/>
        </w:rPr>
        <w:t xml:space="preserve"> considering the relevance of its findings to UK health and social care practice. The report also reflects on the importance of research literacy in enabling healthcare professionals to evaluate evidence and support informed decision-making.</w:t>
      </w:r>
    </w:p>
    <w:p w14:paraId="048291FC" w14:textId="3B94B140" w:rsidR="007A6F00" w:rsidRDefault="007A6F00" w:rsidP="0B966F89">
      <w:pPr>
        <w:spacing w:line="360" w:lineRule="auto"/>
        <w:jc w:val="both"/>
        <w:rPr>
          <w:rFonts w:ascii="Arial" w:eastAsia="Arial" w:hAnsi="Arial" w:cs="Arial"/>
        </w:rPr>
      </w:pPr>
    </w:p>
    <w:p w14:paraId="6D4AD574" w14:textId="5E0CD636" w:rsidR="007A6F00" w:rsidRDefault="660C7457" w:rsidP="0B966F89">
      <w:pPr>
        <w:spacing w:line="360" w:lineRule="auto"/>
        <w:jc w:val="both"/>
        <w:rPr>
          <w:rFonts w:ascii="Arial" w:eastAsia="Arial" w:hAnsi="Arial" w:cs="Arial"/>
          <w:b/>
          <w:bCs/>
        </w:rPr>
      </w:pPr>
      <w:r w:rsidRPr="0B966F89">
        <w:rPr>
          <w:rFonts w:ascii="Arial" w:eastAsia="Arial" w:hAnsi="Arial" w:cs="Arial"/>
          <w:b/>
          <w:bCs/>
        </w:rPr>
        <w:t>Background to the Study and Research Aim</w:t>
      </w:r>
    </w:p>
    <w:p w14:paraId="3E390E7F" w14:textId="0A013699" w:rsidR="007A6F00" w:rsidRDefault="71396BB1" w:rsidP="0B966F89">
      <w:pPr>
        <w:spacing w:line="360" w:lineRule="auto"/>
        <w:jc w:val="both"/>
        <w:rPr>
          <w:rFonts w:ascii="Arial" w:eastAsia="Arial" w:hAnsi="Arial" w:cs="Arial"/>
        </w:rPr>
      </w:pPr>
      <w:r w:rsidRPr="0B966F89">
        <w:rPr>
          <w:rFonts w:ascii="Arial" w:eastAsia="Arial" w:hAnsi="Arial" w:cs="Arial"/>
        </w:rPr>
        <w:lastRenderedPageBreak/>
        <w:t>The rising prevalence of multimorbidity among older adults presents a significant challenge for health and social care systems. Although advances in medicine have increased survival with chronic conditions, many individuals require support for complex physical, psychological, and social needs that cannot be managed effectively by a single service (Dambha-Miller et al., 2021). Multiple interactions with different professionals can increase the risk of fragmented communication and inconsistent care.</w:t>
      </w:r>
    </w:p>
    <w:p w14:paraId="0184C43C" w14:textId="672CA2F7" w:rsidR="007A6F00" w:rsidRDefault="71396BB1" w:rsidP="0B966F89">
      <w:pPr>
        <w:spacing w:line="360" w:lineRule="auto"/>
        <w:jc w:val="both"/>
        <w:rPr>
          <w:rFonts w:ascii="Arial" w:eastAsia="Arial" w:hAnsi="Arial" w:cs="Arial"/>
        </w:rPr>
      </w:pPr>
      <w:r w:rsidRPr="0B966F89">
        <w:rPr>
          <w:rFonts w:ascii="Arial" w:eastAsia="Arial" w:hAnsi="Arial" w:cs="Arial"/>
        </w:rPr>
        <w:t>Integrated care aims to address these challenges by promoting collaboration between health and social care providers, ensuring services are organised around individual needs rather than organisational boundaries. Evidence indicates that effective integration can improve patient experiences, continuity of care, and resource efficiency; however, implementation remains difficult due to differences in governance, funding, and professional systems across NHS and social care organisations (Baxter et al., 2020).</w:t>
      </w:r>
    </w:p>
    <w:p w14:paraId="7A190AD3" w14:textId="0F00448C" w:rsidR="007A6F00" w:rsidRDefault="71396BB1" w:rsidP="0B966F89">
      <w:pPr>
        <w:spacing w:line="360" w:lineRule="auto"/>
        <w:jc w:val="both"/>
        <w:rPr>
          <w:rFonts w:ascii="Arial" w:eastAsia="Arial" w:hAnsi="Arial" w:cs="Arial"/>
        </w:rPr>
      </w:pPr>
      <w:r w:rsidRPr="0B966F89">
        <w:rPr>
          <w:rFonts w:ascii="Arial" w:eastAsia="Arial" w:hAnsi="Arial" w:cs="Arial"/>
        </w:rPr>
        <w:t>Dambha-Miller et al. (2021) identified a gap in previous research, which had largely focused on integrated care policies rather than how integration operates in practice. Therefore, the study explored stakeholder experiences to identify factors that enable or restrict collaboration between primary care and social services for older adults with multimorbidity in England.</w:t>
      </w:r>
    </w:p>
    <w:p w14:paraId="5546C4DF" w14:textId="2CCAD615" w:rsidR="007A6F00" w:rsidRDefault="71396BB1" w:rsidP="0B966F89">
      <w:pPr>
        <w:spacing w:line="360" w:lineRule="auto"/>
        <w:jc w:val="both"/>
        <w:rPr>
          <w:rFonts w:ascii="Arial" w:eastAsia="Arial" w:hAnsi="Arial" w:cs="Arial"/>
        </w:rPr>
      </w:pPr>
      <w:r w:rsidRPr="0B966F89">
        <w:rPr>
          <w:rFonts w:ascii="Arial" w:eastAsia="Arial" w:hAnsi="Arial" w:cs="Arial"/>
        </w:rPr>
        <w:t>A qualitative approach was appropriate because integrated care is influenced by complex social and organisational factors, including communication, relationships, and workplace culture. Greenhalgh et al. (2018) highlight that such interventions cannot be fully understood through outcome measures alone, as successful implementation depends on the processes behind service delivery. Although the study provides valuable insights into integration, its findings should be interpreted as explanatory rather than definitive evidence of effectiveness because patient outcomes were not directly measured.</w:t>
      </w:r>
    </w:p>
    <w:p w14:paraId="04CD3316" w14:textId="0F44C97F" w:rsidR="007A6F00" w:rsidRDefault="007A6F00" w:rsidP="0B966F89">
      <w:pPr>
        <w:spacing w:line="360" w:lineRule="auto"/>
        <w:jc w:val="both"/>
        <w:rPr>
          <w:rFonts w:ascii="Arial" w:eastAsia="Arial" w:hAnsi="Arial" w:cs="Arial"/>
        </w:rPr>
      </w:pPr>
    </w:p>
    <w:p w14:paraId="36F4F982" w14:textId="2ED079BD" w:rsidR="007A6F00" w:rsidRDefault="660C7457" w:rsidP="0B966F89">
      <w:pPr>
        <w:spacing w:line="360" w:lineRule="auto"/>
        <w:jc w:val="both"/>
        <w:rPr>
          <w:rFonts w:ascii="Arial" w:eastAsia="Arial" w:hAnsi="Arial" w:cs="Arial"/>
          <w:b/>
          <w:bCs/>
        </w:rPr>
      </w:pPr>
      <w:r w:rsidRPr="0B966F89">
        <w:rPr>
          <w:rFonts w:ascii="Arial" w:eastAsia="Arial" w:hAnsi="Arial" w:cs="Arial"/>
          <w:b/>
          <w:bCs/>
        </w:rPr>
        <w:t>Research Design and Methodology</w:t>
      </w:r>
    </w:p>
    <w:p w14:paraId="44EB5363" w14:textId="44D363BB" w:rsidR="007A6F00" w:rsidRDefault="10CEFC70" w:rsidP="0B966F89">
      <w:pPr>
        <w:spacing w:line="360" w:lineRule="auto"/>
        <w:jc w:val="both"/>
        <w:rPr>
          <w:rFonts w:ascii="Arial" w:eastAsia="Arial" w:hAnsi="Arial" w:cs="Arial"/>
        </w:rPr>
      </w:pPr>
      <w:r w:rsidRPr="0B966F89">
        <w:rPr>
          <w:rFonts w:ascii="Arial" w:eastAsia="Arial" w:hAnsi="Arial" w:cs="Arial"/>
        </w:rPr>
        <w:t xml:space="preserve">Dambha-Miller et al. (2021) employed a qualitative research design to explore the organisational and interpersonal factors affecting integrated care. This approach was appropriate because the study aimed to understand experiences, perceptions, and </w:t>
      </w:r>
      <w:r w:rsidRPr="0B966F89">
        <w:rPr>
          <w:rFonts w:ascii="Arial" w:eastAsia="Arial" w:hAnsi="Arial" w:cs="Arial"/>
        </w:rPr>
        <w:lastRenderedPageBreak/>
        <w:t>professional interactions rather than measure statistical relationships. Qualitative methods are particularly valuable in health and social care research as they allow investigation of complex processes such as communication, teamwork, and organisational culture that may not be captured through quantitative approaches (Braun and Clarke, 2021).</w:t>
      </w:r>
    </w:p>
    <w:p w14:paraId="0A4B9972" w14:textId="5A8F654E" w:rsidR="007A6F00" w:rsidRDefault="10CEFC70" w:rsidP="0B966F89">
      <w:pPr>
        <w:spacing w:line="360" w:lineRule="auto"/>
        <w:jc w:val="both"/>
        <w:rPr>
          <w:rFonts w:ascii="Arial" w:eastAsia="Arial" w:hAnsi="Arial" w:cs="Arial"/>
        </w:rPr>
      </w:pPr>
      <w:r w:rsidRPr="0B966F89">
        <w:rPr>
          <w:rFonts w:ascii="Arial" w:eastAsia="Arial" w:hAnsi="Arial" w:cs="Arial"/>
        </w:rPr>
        <w:t xml:space="preserve">Data </w:t>
      </w:r>
      <w:proofErr w:type="gramStart"/>
      <w:r w:rsidRPr="0B966F89">
        <w:rPr>
          <w:rFonts w:ascii="Arial" w:eastAsia="Arial" w:hAnsi="Arial" w:cs="Arial"/>
        </w:rPr>
        <w:t>were</w:t>
      </w:r>
      <w:proofErr w:type="gramEnd"/>
      <w:r w:rsidRPr="0B966F89">
        <w:rPr>
          <w:rFonts w:ascii="Arial" w:eastAsia="Arial" w:hAnsi="Arial" w:cs="Arial"/>
        </w:rPr>
        <w:t xml:space="preserve"> collected through semi-structured interviews with 37 participants across England, including healthcare professionals, social care practitioners, commissioners, voluntary sector representatives, and stakeholders involved in integrated care initiatives (Dambha-Miller et al., 2021). The multidisciplinary sample strengthened the study by providing diverse perspectives on the challenges and facilitators of collaboration between services. Semi-structured interviews allowed consistency across participants while also enabling detailed exploration of individual experiences and emerging issues (Busetto, Wick and Gumbinger, 2020). However, responses may have been influenced by personal perspectives or professional interests, creating potential bias.</w:t>
      </w:r>
    </w:p>
    <w:p w14:paraId="07928102" w14:textId="1BDE8BB3" w:rsidR="007A6F00" w:rsidRDefault="10CEFC70" w:rsidP="0B966F89">
      <w:pPr>
        <w:spacing w:line="360" w:lineRule="auto"/>
        <w:jc w:val="both"/>
        <w:rPr>
          <w:rFonts w:ascii="Arial" w:eastAsia="Arial" w:hAnsi="Arial" w:cs="Arial"/>
        </w:rPr>
      </w:pPr>
      <w:r w:rsidRPr="0B966F89">
        <w:rPr>
          <w:rFonts w:ascii="Arial" w:eastAsia="Arial" w:hAnsi="Arial" w:cs="Arial"/>
        </w:rPr>
        <w:t>Participants were recruited using purposive sampling, ensuring that individuals had relevant experience of primary care and social care integration. This method is appropriate for qualitative research as it prioritises information-rich participants rather than statistical representation (Campbell et al., 2020). Although the diverse sample enhanced credibility, purposive sampling may have resulted in selection bias, as those involved in successful integration projects may have been more likely to participate.</w:t>
      </w:r>
    </w:p>
    <w:p w14:paraId="50D2B8DF" w14:textId="6F326ADE" w:rsidR="007A6F00" w:rsidRDefault="10CEFC70" w:rsidP="0B966F89">
      <w:pPr>
        <w:spacing w:line="360" w:lineRule="auto"/>
        <w:jc w:val="both"/>
        <w:rPr>
          <w:rFonts w:ascii="Arial" w:eastAsia="Arial" w:hAnsi="Arial" w:cs="Arial"/>
        </w:rPr>
      </w:pPr>
      <w:r w:rsidRPr="0B966F89">
        <w:rPr>
          <w:rFonts w:ascii="Arial" w:eastAsia="Arial" w:hAnsi="Arial" w:cs="Arial"/>
        </w:rPr>
        <w:t>The researchers analysed data using thematic analysis to identify recurring patterns and themes within participant accounts (Braun and Clarke, 2021). The involvement of multiple researchers strengthened reliability by reducing individual interpretation bias and improving consistency during analysis (Nowell et al., 2017). However, qualitative findings remain influenced by researcher interpretation, meaning reflexivity is essential when evaluating credibility.</w:t>
      </w:r>
    </w:p>
    <w:p w14:paraId="366192C6" w14:textId="0E6C1EC3" w:rsidR="007A6F00" w:rsidRDefault="10CEFC70" w:rsidP="0B966F89">
      <w:pPr>
        <w:spacing w:line="360" w:lineRule="auto"/>
        <w:jc w:val="both"/>
        <w:rPr>
          <w:rFonts w:ascii="Arial" w:eastAsia="Arial" w:hAnsi="Arial" w:cs="Arial"/>
        </w:rPr>
      </w:pPr>
      <w:r w:rsidRPr="0B966F89">
        <w:rPr>
          <w:rFonts w:ascii="Arial" w:eastAsia="Arial" w:hAnsi="Arial" w:cs="Arial"/>
        </w:rPr>
        <w:t>Ethical standards were maintained through NHS Research Ethics Committee approval and informed consent from participants (Dambha-Miller et al., 2021). Confidentiality and participant protection were particularly important due to discussions surrounding organisational challenges.</w:t>
      </w:r>
    </w:p>
    <w:p w14:paraId="52FDA001" w14:textId="09B9D463" w:rsidR="007A6F00" w:rsidRDefault="10CEFC70" w:rsidP="0B966F89">
      <w:pPr>
        <w:spacing w:line="360" w:lineRule="auto"/>
        <w:jc w:val="both"/>
        <w:rPr>
          <w:rFonts w:ascii="Arial" w:eastAsia="Arial" w:hAnsi="Arial" w:cs="Arial"/>
        </w:rPr>
      </w:pPr>
      <w:r w:rsidRPr="0B966F89">
        <w:rPr>
          <w:rFonts w:ascii="Arial" w:eastAsia="Arial" w:hAnsi="Arial" w:cs="Arial"/>
        </w:rPr>
        <w:lastRenderedPageBreak/>
        <w:t xml:space="preserve">Overall, the methodology was well aligned with the research aim, providing valuable insight into the social and organisational processes influencing integrated care. Although </w:t>
      </w:r>
      <w:proofErr w:type="gramStart"/>
      <w:r w:rsidRPr="0B966F89">
        <w:rPr>
          <w:rFonts w:ascii="Arial" w:eastAsia="Arial" w:hAnsi="Arial" w:cs="Arial"/>
        </w:rPr>
        <w:t>the qualitative</w:t>
      </w:r>
      <w:proofErr w:type="gramEnd"/>
      <w:r w:rsidRPr="0B966F89">
        <w:rPr>
          <w:rFonts w:ascii="Arial" w:eastAsia="Arial" w:hAnsi="Arial" w:cs="Arial"/>
        </w:rPr>
        <w:t xml:space="preserve"> design limits statistical generalisability, it offers important contextual understanding of how communication, relationships, and collaboration affect health and social care integration.</w:t>
      </w:r>
    </w:p>
    <w:p w14:paraId="5DF5B5B4" w14:textId="2A8BB878" w:rsidR="007A6F00" w:rsidRDefault="007A6F00" w:rsidP="0B966F89">
      <w:pPr>
        <w:spacing w:line="360" w:lineRule="auto"/>
        <w:jc w:val="both"/>
        <w:rPr>
          <w:rFonts w:ascii="Arial" w:eastAsia="Arial" w:hAnsi="Arial" w:cs="Arial"/>
        </w:rPr>
      </w:pPr>
    </w:p>
    <w:p w14:paraId="5E1C08FF" w14:textId="0C30D784" w:rsidR="007A6F00" w:rsidRDefault="660C7457" w:rsidP="0B966F89">
      <w:pPr>
        <w:spacing w:line="360" w:lineRule="auto"/>
        <w:jc w:val="both"/>
        <w:rPr>
          <w:rFonts w:ascii="Arial" w:eastAsia="Arial" w:hAnsi="Arial" w:cs="Arial"/>
          <w:b/>
          <w:bCs/>
        </w:rPr>
      </w:pPr>
      <w:r w:rsidRPr="0B966F89">
        <w:rPr>
          <w:rFonts w:ascii="Arial" w:eastAsia="Arial" w:hAnsi="Arial" w:cs="Arial"/>
          <w:b/>
          <w:bCs/>
        </w:rPr>
        <w:t>Findings, Critical Discussion and Implications for UK Health and Social Care</w:t>
      </w:r>
    </w:p>
    <w:p w14:paraId="409F89F7" w14:textId="1F6F2F6A" w:rsidR="007A6F00" w:rsidRDefault="3064A288" w:rsidP="0B966F89">
      <w:pPr>
        <w:spacing w:line="360" w:lineRule="auto"/>
        <w:jc w:val="both"/>
        <w:rPr>
          <w:rFonts w:ascii="Arial" w:eastAsia="Arial" w:hAnsi="Arial" w:cs="Arial"/>
        </w:rPr>
      </w:pPr>
      <w:r w:rsidRPr="0B966F89">
        <w:rPr>
          <w:rFonts w:ascii="Arial" w:eastAsia="Arial" w:hAnsi="Arial" w:cs="Arial"/>
        </w:rPr>
        <w:t xml:space="preserve">Dambha-Miller et al. (2021) identified three main factors supporting effective integration between primary care and social services: strong leadership, interface roles, and co-location of multidisciplinary teams. These findings highlight that successful integration depends not only on organisational structures but also on the relationships, communication, and behaviours that enable professionals to work collaboratively. Leadership was particularly important in developing shared goals, encouraging cross-organisational communication, and reducing traditional boundaries between health and social care. This </w:t>
      </w:r>
      <w:proofErr w:type="gramStart"/>
      <w:r w:rsidRPr="0B966F89">
        <w:rPr>
          <w:rFonts w:ascii="Arial" w:eastAsia="Arial" w:hAnsi="Arial" w:cs="Arial"/>
        </w:rPr>
        <w:t>aligns with</w:t>
      </w:r>
      <w:proofErr w:type="gramEnd"/>
      <w:r w:rsidRPr="0B966F89">
        <w:rPr>
          <w:rFonts w:ascii="Arial" w:eastAsia="Arial" w:hAnsi="Arial" w:cs="Arial"/>
        </w:rPr>
        <w:t xml:space="preserve"> evidence that inclusive and collaborative leadership can improve teamwork, staff engagement, and care quality within complex healthcare environments (West et al., 2022). However, leadership alone cannot resolve systemic barriers and requires support through adequate resources, workforce planning, and organisational commitment.</w:t>
      </w:r>
    </w:p>
    <w:p w14:paraId="7C6B10A5" w14:textId="40E40716" w:rsidR="007A6F00" w:rsidRDefault="3064A288" w:rsidP="0B966F89">
      <w:pPr>
        <w:spacing w:line="360" w:lineRule="auto"/>
        <w:jc w:val="both"/>
        <w:rPr>
          <w:rFonts w:ascii="Arial" w:eastAsia="Arial" w:hAnsi="Arial" w:cs="Arial"/>
        </w:rPr>
      </w:pPr>
      <w:r w:rsidRPr="0B966F89">
        <w:rPr>
          <w:rFonts w:ascii="Arial" w:eastAsia="Arial" w:hAnsi="Arial" w:cs="Arial"/>
        </w:rPr>
        <w:t>Interface roles, such as care coordinators, were identified as valuable in connecting health and social care services, improving information exchange, and supporting individuals with multimorbidity to navigate complex care systems (Dambha-Miller et al., 2021). This supports wider evidence that coordinated care approaches can improve continuity and reduce duplication for people with multiple long-term conditions (Baxter et al., 2020). However, the effectiveness of these roles depends on clear responsibilities, appropriate training, and organisational support; without these factors, they may increase administration rather than improve integration.</w:t>
      </w:r>
    </w:p>
    <w:p w14:paraId="589E6572" w14:textId="485AE708" w:rsidR="007A6F00" w:rsidRDefault="3064A288" w:rsidP="0B966F89">
      <w:pPr>
        <w:spacing w:line="360" w:lineRule="auto"/>
        <w:jc w:val="both"/>
        <w:rPr>
          <w:rFonts w:ascii="Arial" w:eastAsia="Arial" w:hAnsi="Arial" w:cs="Arial"/>
        </w:rPr>
      </w:pPr>
      <w:r w:rsidRPr="0B966F89">
        <w:rPr>
          <w:rFonts w:ascii="Arial" w:eastAsia="Arial" w:hAnsi="Arial" w:cs="Arial"/>
        </w:rPr>
        <w:t xml:space="preserve">The study also identified co-location as a facilitator of collaboration by promoting informal communication, stronger professional relationships, and faster responses to patient </w:t>
      </w:r>
      <w:r w:rsidRPr="0B966F89">
        <w:rPr>
          <w:rFonts w:ascii="Arial" w:eastAsia="Arial" w:hAnsi="Arial" w:cs="Arial"/>
        </w:rPr>
        <w:lastRenderedPageBreak/>
        <w:t>needs. However, physical proximity alone is insufficient, as sustainable integration requires alignment of organisational cultures, digital systems, workforce strategies, and shared objectives (Alderwick et al., 2021).</w:t>
      </w:r>
    </w:p>
    <w:p w14:paraId="1E9F8075" w14:textId="646DF554" w:rsidR="007A6F00" w:rsidRDefault="3064A288" w:rsidP="0B966F89">
      <w:pPr>
        <w:spacing w:line="360" w:lineRule="auto"/>
        <w:jc w:val="both"/>
        <w:rPr>
          <w:rFonts w:ascii="Arial" w:eastAsia="Arial" w:hAnsi="Arial" w:cs="Arial"/>
        </w:rPr>
      </w:pPr>
      <w:r w:rsidRPr="0B966F89">
        <w:rPr>
          <w:rFonts w:ascii="Arial" w:eastAsia="Arial" w:hAnsi="Arial" w:cs="Arial"/>
        </w:rPr>
        <w:t>Despite these facilitators, significant barriers remained, including separate funding arrangements, incompatible information systems, and differing professional priorities between health and social care organisations (Dambha-Miller et al., 2021). Although Integrated Care Systems (ICSs) aim to address fragmentation, evidence suggests that structural change must be accompanied by investment in workforce capacity, collaboration, and shared accountability (Checkland et al., 2023).</w:t>
      </w:r>
    </w:p>
    <w:p w14:paraId="535F0F87" w14:textId="1BB7A574" w:rsidR="007A6F00" w:rsidRDefault="3064A288" w:rsidP="0B966F89">
      <w:pPr>
        <w:spacing w:line="360" w:lineRule="auto"/>
        <w:jc w:val="both"/>
        <w:rPr>
          <w:rFonts w:ascii="Arial" w:eastAsia="Arial" w:hAnsi="Arial" w:cs="Arial"/>
        </w:rPr>
      </w:pPr>
      <w:r w:rsidRPr="0B966F89">
        <w:rPr>
          <w:rFonts w:ascii="Arial" w:eastAsia="Arial" w:hAnsi="Arial" w:cs="Arial"/>
        </w:rPr>
        <w:t xml:space="preserve">A strength of the study is the inclusion of multiple stakeholder perspectives, providing a comprehensive understanding of integrated care challenges. </w:t>
      </w:r>
      <w:proofErr w:type="gramStart"/>
      <w:r w:rsidRPr="0B966F89">
        <w:rPr>
          <w:rFonts w:ascii="Arial" w:eastAsia="Arial" w:hAnsi="Arial" w:cs="Arial"/>
        </w:rPr>
        <w:t>The qualitative</w:t>
      </w:r>
      <w:proofErr w:type="gramEnd"/>
      <w:r w:rsidRPr="0B966F89">
        <w:rPr>
          <w:rFonts w:ascii="Arial" w:eastAsia="Arial" w:hAnsi="Arial" w:cs="Arial"/>
        </w:rPr>
        <w:t xml:space="preserve"> design also allowed exploration of practical experiences that may not be captured through quantitative methods. However, the small sample size and reliance on participant accounts limit generalisability and introduce potential recall or social desirability bias (Busetto, Wick and Gumbinger, 2020). Including direct observations or patient outcome measures could have strengthened the evidence.</w:t>
      </w:r>
    </w:p>
    <w:p w14:paraId="252BDA55" w14:textId="1BA1953C" w:rsidR="007A6F00" w:rsidRDefault="3064A288" w:rsidP="0B966F89">
      <w:pPr>
        <w:spacing w:line="360" w:lineRule="auto"/>
        <w:jc w:val="both"/>
        <w:rPr>
          <w:rFonts w:ascii="Arial" w:eastAsia="Arial" w:hAnsi="Arial" w:cs="Arial"/>
        </w:rPr>
      </w:pPr>
      <w:r w:rsidRPr="0B966F89">
        <w:rPr>
          <w:rFonts w:ascii="Arial" w:eastAsia="Arial" w:hAnsi="Arial" w:cs="Arial"/>
        </w:rPr>
        <w:t>Overall, the study provides valuable insights into implementing integrated care for older adults with multimorbidity. Its findings suggest that effective integration requires more than policy reform; it depends on collaborative leadership, communication systems, workforce development, and person-centred approaches that address both medical and social needs.</w:t>
      </w:r>
    </w:p>
    <w:p w14:paraId="4FBF45F7" w14:textId="1686CE44" w:rsidR="007A6F00" w:rsidRDefault="007A6F00" w:rsidP="0B966F89">
      <w:pPr>
        <w:spacing w:line="360" w:lineRule="auto"/>
        <w:jc w:val="both"/>
        <w:rPr>
          <w:rFonts w:ascii="Arial" w:eastAsia="Arial" w:hAnsi="Arial" w:cs="Arial"/>
        </w:rPr>
      </w:pPr>
    </w:p>
    <w:p w14:paraId="720D517B" w14:textId="1882B8D9" w:rsidR="007A6F00" w:rsidRDefault="660C7457" w:rsidP="0B966F89">
      <w:pPr>
        <w:spacing w:line="360" w:lineRule="auto"/>
        <w:jc w:val="both"/>
        <w:rPr>
          <w:rFonts w:ascii="Arial" w:eastAsia="Arial" w:hAnsi="Arial" w:cs="Arial"/>
          <w:b/>
          <w:bCs/>
        </w:rPr>
      </w:pPr>
      <w:r w:rsidRPr="0B966F89">
        <w:rPr>
          <w:rFonts w:ascii="Arial" w:eastAsia="Arial" w:hAnsi="Arial" w:cs="Arial"/>
          <w:b/>
          <w:bCs/>
        </w:rPr>
        <w:t>Reflection on Reading Research</w:t>
      </w:r>
    </w:p>
    <w:p w14:paraId="0AFF4108" w14:textId="2E5616CF" w:rsidR="007A6F00" w:rsidRDefault="5B8F45BD" w:rsidP="0B966F89">
      <w:pPr>
        <w:spacing w:line="360" w:lineRule="auto"/>
        <w:jc w:val="both"/>
        <w:rPr>
          <w:rFonts w:ascii="Arial" w:eastAsia="Arial" w:hAnsi="Arial" w:cs="Arial"/>
        </w:rPr>
      </w:pPr>
      <w:r w:rsidRPr="0B966F89">
        <w:rPr>
          <w:rFonts w:ascii="Arial" w:eastAsia="Arial" w:hAnsi="Arial" w:cs="Arial"/>
        </w:rPr>
        <w:t>Critically appraising Dambha-Miller et al. (2021) has enhanced my understanding of the importance of research literacy within health and social care practice. Initially, research quality may be viewed mainly through measurable outcomes and statistical significance; however, evaluating this qualitative study demonstrated that valuable evidence can also be generated through exploring experiences, perceptions, and organisational processes.</w:t>
      </w:r>
    </w:p>
    <w:p w14:paraId="53E8EB67" w14:textId="5F226D01" w:rsidR="007A6F00" w:rsidRDefault="5B8F45BD" w:rsidP="0B966F89">
      <w:pPr>
        <w:spacing w:line="360" w:lineRule="auto"/>
        <w:jc w:val="both"/>
        <w:rPr>
          <w:rFonts w:ascii="Arial" w:eastAsia="Arial" w:hAnsi="Arial" w:cs="Arial"/>
        </w:rPr>
      </w:pPr>
      <w:r w:rsidRPr="0B966F89">
        <w:rPr>
          <w:rFonts w:ascii="Arial" w:eastAsia="Arial" w:hAnsi="Arial" w:cs="Arial"/>
        </w:rPr>
        <w:lastRenderedPageBreak/>
        <w:t>The appraisal highlighted the importance of assessing whether the chosen methodology appropriately addresses the research question. The qualitative design was suitable because the study aimed to understand how integrated care operates in practice rather than measure the effectiveness of a specific intervention. This emphasised that research should be evaluated according to its purpose, design, and methodological appropriateness rather than judged by research type alone.</w:t>
      </w:r>
    </w:p>
    <w:p w14:paraId="7A116D02" w14:textId="4D814F19" w:rsidR="007A6F00" w:rsidRDefault="5B8F45BD" w:rsidP="0B966F89">
      <w:pPr>
        <w:spacing w:line="360" w:lineRule="auto"/>
        <w:jc w:val="both"/>
        <w:rPr>
          <w:rFonts w:ascii="Arial" w:eastAsia="Arial" w:hAnsi="Arial" w:cs="Arial"/>
        </w:rPr>
      </w:pPr>
      <w:r w:rsidRPr="0B966F89">
        <w:rPr>
          <w:rFonts w:ascii="Arial" w:eastAsia="Arial" w:hAnsi="Arial" w:cs="Arial"/>
        </w:rPr>
        <w:t>Examining the strengths and limitations of the study also reinforced the need for critical interpretation of evidence. Although the research provided valuable insights into integrated care, factors such as sampling, participant perspectives, and researcher interpretation must be considered when assessing the reliability and transferability of findings. Evidence should therefore be evaluated in relation to its quality, limitations, and relevance to practice.</w:t>
      </w:r>
    </w:p>
    <w:p w14:paraId="2EB01460" w14:textId="6CA26624" w:rsidR="007A6F00" w:rsidRDefault="5B8F45BD" w:rsidP="0B966F89">
      <w:pPr>
        <w:spacing w:line="360" w:lineRule="auto"/>
        <w:jc w:val="both"/>
        <w:rPr>
          <w:rFonts w:ascii="Arial" w:eastAsia="Arial" w:hAnsi="Arial" w:cs="Arial"/>
        </w:rPr>
      </w:pPr>
      <w:r w:rsidRPr="0B966F89">
        <w:rPr>
          <w:rFonts w:ascii="Arial" w:eastAsia="Arial" w:hAnsi="Arial" w:cs="Arial"/>
        </w:rPr>
        <w:t>Furthermore, comparing the study findings with wider evidence demonstrated that effective evidence-based practice requires the integration of multiple sources, including primary research, reviews, and policy guidance (Melnyk and Fineout-Overholt, 2023). This is particularly important in health and social care, where decisions are influenced by complex individual, organisational, and social factors.</w:t>
      </w:r>
    </w:p>
    <w:p w14:paraId="50781473" w14:textId="79D1DFB5" w:rsidR="007A6F00" w:rsidRDefault="5B8F45BD" w:rsidP="0B966F89">
      <w:pPr>
        <w:spacing w:line="360" w:lineRule="auto"/>
        <w:jc w:val="both"/>
        <w:rPr>
          <w:rFonts w:ascii="Arial" w:eastAsia="Arial" w:hAnsi="Arial" w:cs="Arial"/>
        </w:rPr>
      </w:pPr>
      <w:r w:rsidRPr="0B966F89">
        <w:rPr>
          <w:rFonts w:ascii="Arial" w:eastAsia="Arial" w:hAnsi="Arial" w:cs="Arial"/>
        </w:rPr>
        <w:t>Overall, this appraisal has strengthened my understanding that research literacy is an essential professional skill. Critically evaluating research enables practitioners to identify credible evidence, recognise limitations, and make informed decisions that support safe, effective, and person-centred care.</w:t>
      </w:r>
    </w:p>
    <w:p w14:paraId="4E2FD0A1" w14:textId="7A6D245E" w:rsidR="007A6F00" w:rsidRDefault="007A6F00" w:rsidP="0B966F89">
      <w:pPr>
        <w:spacing w:line="360" w:lineRule="auto"/>
        <w:jc w:val="both"/>
        <w:rPr>
          <w:rFonts w:ascii="Arial" w:eastAsia="Arial" w:hAnsi="Arial" w:cs="Arial"/>
        </w:rPr>
      </w:pPr>
    </w:p>
    <w:p w14:paraId="07057362" w14:textId="51E59D11" w:rsidR="007A6F00" w:rsidRDefault="660C7457" w:rsidP="0B966F89">
      <w:pPr>
        <w:spacing w:line="360" w:lineRule="auto"/>
        <w:jc w:val="both"/>
        <w:rPr>
          <w:rFonts w:ascii="Arial" w:eastAsia="Arial" w:hAnsi="Arial" w:cs="Arial"/>
          <w:b/>
          <w:bCs/>
        </w:rPr>
      </w:pPr>
      <w:r w:rsidRPr="0B966F89">
        <w:rPr>
          <w:rFonts w:ascii="Arial" w:eastAsia="Arial" w:hAnsi="Arial" w:cs="Arial"/>
          <w:b/>
          <w:bCs/>
        </w:rPr>
        <w:t>Conclusion</w:t>
      </w:r>
    </w:p>
    <w:p w14:paraId="78C8B29B" w14:textId="1DF264BE" w:rsidR="007A6F00" w:rsidRDefault="007A6F00" w:rsidP="0B966F89">
      <w:pPr>
        <w:spacing w:line="360" w:lineRule="auto"/>
        <w:jc w:val="both"/>
        <w:rPr>
          <w:rFonts w:ascii="Arial" w:eastAsia="Arial" w:hAnsi="Arial" w:cs="Arial"/>
        </w:rPr>
      </w:pPr>
    </w:p>
    <w:p w14:paraId="3379CC3F" w14:textId="17E1AFBE" w:rsidR="007A6F00" w:rsidRDefault="28B65022" w:rsidP="0B966F89">
      <w:pPr>
        <w:spacing w:line="360" w:lineRule="auto"/>
        <w:jc w:val="both"/>
        <w:rPr>
          <w:rFonts w:ascii="Arial" w:eastAsia="Arial" w:hAnsi="Arial" w:cs="Arial"/>
        </w:rPr>
      </w:pPr>
      <w:r w:rsidRPr="0B966F89">
        <w:rPr>
          <w:rFonts w:ascii="Arial" w:eastAsia="Arial" w:hAnsi="Arial" w:cs="Arial"/>
        </w:rPr>
        <w:t xml:space="preserve">This report critically appraised Dambha-Miller et al.’s (2021) qualitative study investigating the integration of primary care and social services for older adults with multimorbidity in England. The study addressed a significant issue within UK health and social care by </w:t>
      </w:r>
      <w:r w:rsidRPr="0B966F89">
        <w:rPr>
          <w:rFonts w:ascii="Arial" w:eastAsia="Arial" w:hAnsi="Arial" w:cs="Arial"/>
        </w:rPr>
        <w:lastRenderedPageBreak/>
        <w:t>exploring the factors that influence effective collaboration between healthcare and social care providers.</w:t>
      </w:r>
    </w:p>
    <w:p w14:paraId="14475844" w14:textId="1A8D2CF1" w:rsidR="007A6F00" w:rsidRDefault="28B65022" w:rsidP="0B966F89">
      <w:pPr>
        <w:spacing w:line="360" w:lineRule="auto"/>
        <w:jc w:val="both"/>
        <w:rPr>
          <w:rFonts w:ascii="Arial" w:eastAsia="Arial" w:hAnsi="Arial" w:cs="Arial"/>
        </w:rPr>
      </w:pPr>
      <w:r w:rsidRPr="0B966F89">
        <w:rPr>
          <w:rFonts w:ascii="Arial" w:eastAsia="Arial" w:hAnsi="Arial" w:cs="Arial"/>
        </w:rPr>
        <w:t>The appraisal demonstrated that the qualitative methodology was appropriate for examining the complex organisational and interpersonal factors involved in integrated care. Through semi-structured interviews and thematic analysis, the researchers identified the importance of leadership, coordination roles, and collaborative working practices. Although the study does not provide measurable evidence of effectiveness, it offers valuable insights into how integrated care can be developed and improved in practice.</w:t>
      </w:r>
    </w:p>
    <w:p w14:paraId="00396072" w14:textId="5C9DFDF2" w:rsidR="007A6F00" w:rsidRDefault="28B65022" w:rsidP="0B966F89">
      <w:pPr>
        <w:spacing w:line="360" w:lineRule="auto"/>
        <w:jc w:val="both"/>
        <w:rPr>
          <w:rFonts w:ascii="Arial" w:eastAsia="Arial" w:hAnsi="Arial" w:cs="Arial"/>
        </w:rPr>
      </w:pPr>
      <w:r w:rsidRPr="0B966F89">
        <w:rPr>
          <w:rFonts w:ascii="Arial" w:eastAsia="Arial" w:hAnsi="Arial" w:cs="Arial"/>
        </w:rPr>
        <w:t>The findings indicate that successful integration requires more than structural or policy changes. Sustainable improvements depend on effective leadership, clear communication systems, workforce support, and a collaborative culture across professional boundaries. Although challenges such as fragmented funding and information-sharing barriers remain, the study contributes useful evidence for enhancing care delivery for older adults with complex needs.</w:t>
      </w:r>
    </w:p>
    <w:p w14:paraId="786992C9" w14:textId="758F4B8C" w:rsidR="007A6F00" w:rsidRDefault="28B65022" w:rsidP="0B966F89">
      <w:pPr>
        <w:spacing w:line="360" w:lineRule="auto"/>
        <w:jc w:val="both"/>
        <w:rPr>
          <w:rFonts w:ascii="Arial" w:eastAsia="Arial" w:hAnsi="Arial" w:cs="Arial"/>
        </w:rPr>
      </w:pPr>
      <w:r w:rsidRPr="0B966F89">
        <w:rPr>
          <w:rFonts w:ascii="Arial" w:eastAsia="Arial" w:hAnsi="Arial" w:cs="Arial"/>
        </w:rPr>
        <w:t>Overall, this appraisal highlights the importance of research literacy in evidence-based health and social care practice. Understanding how research is designed, analysed, and applied enables professionals to critically evaluate evidence, make informed decisions, and support continuous improvement. Developing these skills is essential for delivering safe, effective, and person-centred care.</w:t>
      </w:r>
    </w:p>
    <w:p w14:paraId="3FCB4651" w14:textId="06DD5672" w:rsidR="007A6F00" w:rsidRDefault="007A6F00" w:rsidP="0B966F89">
      <w:pPr>
        <w:spacing w:line="360" w:lineRule="auto"/>
        <w:jc w:val="both"/>
      </w:pPr>
    </w:p>
    <w:p w14:paraId="451F4BA3" w14:textId="48049460" w:rsidR="007A6F00" w:rsidRDefault="007A6F00" w:rsidP="0B966F89">
      <w:pPr>
        <w:spacing w:line="360" w:lineRule="auto"/>
        <w:jc w:val="both"/>
      </w:pPr>
    </w:p>
    <w:p w14:paraId="7C982E31" w14:textId="6E653DE9" w:rsidR="007A6F00" w:rsidRDefault="007A6F00" w:rsidP="0B966F89">
      <w:pPr>
        <w:spacing w:line="360" w:lineRule="auto"/>
        <w:jc w:val="both"/>
      </w:pPr>
    </w:p>
    <w:p w14:paraId="59DF70C4" w14:textId="59AE0539" w:rsidR="007A6F00" w:rsidRDefault="007A6F00" w:rsidP="0B966F89">
      <w:pPr>
        <w:spacing w:line="360" w:lineRule="auto"/>
        <w:jc w:val="both"/>
      </w:pPr>
    </w:p>
    <w:p w14:paraId="1DC49201" w14:textId="08F37D74" w:rsidR="007A6F00" w:rsidRDefault="007A6F00" w:rsidP="0B966F89">
      <w:pPr>
        <w:spacing w:line="360" w:lineRule="auto"/>
        <w:jc w:val="both"/>
      </w:pPr>
    </w:p>
    <w:p w14:paraId="294C8A87" w14:textId="583098F8" w:rsidR="007A6F00" w:rsidRDefault="007A6F00" w:rsidP="0B966F89">
      <w:pPr>
        <w:spacing w:line="360" w:lineRule="auto"/>
        <w:jc w:val="both"/>
      </w:pPr>
    </w:p>
    <w:p w14:paraId="21C1A28B" w14:textId="193D32FF" w:rsidR="007A6F00" w:rsidRDefault="007A6F00" w:rsidP="0B966F89">
      <w:pPr>
        <w:spacing w:line="360" w:lineRule="auto"/>
        <w:jc w:val="both"/>
      </w:pPr>
    </w:p>
    <w:p w14:paraId="6C1DF2C9" w14:textId="160DA124" w:rsidR="007A6F00" w:rsidRDefault="007A6F00" w:rsidP="0B966F89">
      <w:pPr>
        <w:spacing w:line="360" w:lineRule="auto"/>
        <w:jc w:val="both"/>
      </w:pPr>
    </w:p>
    <w:p w14:paraId="3562848A" w14:textId="0E8E5E7F" w:rsidR="007A6F00" w:rsidRDefault="007A6F00" w:rsidP="0B966F89">
      <w:pPr>
        <w:spacing w:line="360" w:lineRule="auto"/>
        <w:jc w:val="both"/>
      </w:pPr>
    </w:p>
    <w:p w14:paraId="63D9DE8D" w14:textId="15ADC238" w:rsidR="007A6F00" w:rsidRDefault="0D2820E2" w:rsidP="0B966F89">
      <w:pPr>
        <w:spacing w:line="360" w:lineRule="auto"/>
        <w:jc w:val="both"/>
        <w:rPr>
          <w:b/>
          <w:bCs/>
        </w:rPr>
      </w:pPr>
      <w:r w:rsidRPr="0B966F89">
        <w:rPr>
          <w:b/>
          <w:bCs/>
        </w:rPr>
        <w:t>References</w:t>
      </w:r>
    </w:p>
    <w:p w14:paraId="0F860573" w14:textId="5E22D0B0" w:rsidR="007A6F00" w:rsidRDefault="0D2820E2" w:rsidP="0B966F89">
      <w:pPr>
        <w:spacing w:line="360" w:lineRule="auto"/>
        <w:jc w:val="both"/>
      </w:pPr>
      <w:r w:rsidRPr="0B966F89">
        <w:t>Alderwick, H., Hutchings, A., Briggs, A. and Mays, N. (</w:t>
      </w:r>
      <w:proofErr w:type="gramStart"/>
      <w:r w:rsidRPr="0B966F89">
        <w:t>2021) ‘</w:t>
      </w:r>
      <w:proofErr w:type="gramEnd"/>
      <w:r w:rsidRPr="0B966F89">
        <w:t>The impacts of collaboration between local health care and non-health care organisations and factors shaping how they work: a systematic review of reviews’, BMC Public Health, 21, Article 753. doi: 10.1186/s12889-021-10730-2.</w:t>
      </w:r>
    </w:p>
    <w:p w14:paraId="2C3E503D" w14:textId="6F1D529E" w:rsidR="007A6F00" w:rsidRDefault="0D2820E2" w:rsidP="0B966F89">
      <w:pPr>
        <w:spacing w:line="360" w:lineRule="auto"/>
        <w:jc w:val="both"/>
      </w:pPr>
      <w:r w:rsidRPr="0B966F89">
        <w:t>Baxter, S., Johnson, M., Chambers, D., Sutton, A., Goyder, E. and Booth, A. (</w:t>
      </w:r>
      <w:proofErr w:type="gramStart"/>
      <w:r w:rsidRPr="0B966F89">
        <w:t>2020) ‘</w:t>
      </w:r>
      <w:proofErr w:type="gramEnd"/>
      <w:r w:rsidRPr="0B966F89">
        <w:t>The effects of integrated care: a systematic review of UK and international evidence’, BMC Health Services Research, 20, Article 347. doi: 10.1186/s12913-020-05121-1.</w:t>
      </w:r>
    </w:p>
    <w:p w14:paraId="250E412A" w14:textId="50E64245" w:rsidR="007A6F00" w:rsidRDefault="0D2820E2" w:rsidP="0B966F89">
      <w:pPr>
        <w:spacing w:line="360" w:lineRule="auto"/>
        <w:jc w:val="both"/>
      </w:pPr>
      <w:r w:rsidRPr="0B966F89">
        <w:t>Braun, V. and Clarke, V. (2021) Thematic Analysis: A Practical Guide. London: SAGE Publications.</w:t>
      </w:r>
    </w:p>
    <w:p w14:paraId="06053F21" w14:textId="599FA924" w:rsidR="007A6F00" w:rsidRDefault="0D2820E2" w:rsidP="0B966F89">
      <w:pPr>
        <w:spacing w:line="360" w:lineRule="auto"/>
        <w:jc w:val="both"/>
      </w:pPr>
      <w:r w:rsidRPr="0B966F89">
        <w:t>Busetto, L., Wick, W. and Gumbinger, C. (</w:t>
      </w:r>
      <w:proofErr w:type="gramStart"/>
      <w:r w:rsidRPr="0B966F89">
        <w:t>2020) ‘</w:t>
      </w:r>
      <w:proofErr w:type="gramEnd"/>
      <w:r w:rsidRPr="0B966F89">
        <w:t>How to use and assess qualitative research methods’, Neurological Research and Practice, 2, Article 14. doi: 10.1186/s42466-020-00059-z.</w:t>
      </w:r>
    </w:p>
    <w:p w14:paraId="1A546EEF" w14:textId="264F5412" w:rsidR="007A6F00" w:rsidRDefault="0D2820E2" w:rsidP="0B966F89">
      <w:pPr>
        <w:spacing w:before="240" w:after="240" w:line="360" w:lineRule="auto"/>
        <w:jc w:val="both"/>
      </w:pPr>
      <w:r w:rsidRPr="0B966F89">
        <w:rPr>
          <w:rFonts w:ascii="Book Antiqua" w:eastAsia="Book Antiqua" w:hAnsi="Book Antiqua" w:cs="Book Antiqua"/>
        </w:rPr>
        <w:t>Campbell, S., Greenwood, M., Prior, S., Shearer, T., Walkem, K., Young, S., Bywaters, D. and Walker, K. (</w:t>
      </w:r>
      <w:proofErr w:type="gramStart"/>
      <w:r w:rsidRPr="0B966F89">
        <w:rPr>
          <w:rFonts w:ascii="Book Antiqua" w:eastAsia="Book Antiqua" w:hAnsi="Book Antiqua" w:cs="Book Antiqua"/>
        </w:rPr>
        <w:t>2020) ‘</w:t>
      </w:r>
      <w:proofErr w:type="gramEnd"/>
      <w:r w:rsidRPr="0B966F89">
        <w:rPr>
          <w:rFonts w:ascii="Book Antiqua" w:eastAsia="Book Antiqua" w:hAnsi="Book Antiqua" w:cs="Book Antiqua"/>
        </w:rPr>
        <w:t xml:space="preserve">Purposive sampling: complex or simple? Research case examples’, </w:t>
      </w:r>
      <w:r w:rsidRPr="0B966F89">
        <w:rPr>
          <w:rFonts w:ascii="Book Antiqua" w:eastAsia="Book Antiqua" w:hAnsi="Book Antiqua" w:cs="Book Antiqua"/>
          <w:i/>
          <w:iCs/>
        </w:rPr>
        <w:t>Journal of Research in Nursing</w:t>
      </w:r>
      <w:r w:rsidRPr="0B966F89">
        <w:rPr>
          <w:rFonts w:ascii="Book Antiqua" w:eastAsia="Book Antiqua" w:hAnsi="Book Antiqua" w:cs="Book Antiqua"/>
        </w:rPr>
        <w:t>, 25(8), pp. 652–661. doi: 10.1177/1744987120927206.</w:t>
      </w:r>
    </w:p>
    <w:p w14:paraId="0FAB9E9E" w14:textId="0CB186A8" w:rsidR="007A6F00" w:rsidRDefault="0D2820E2" w:rsidP="0B966F89">
      <w:pPr>
        <w:spacing w:before="240" w:after="240" w:line="360" w:lineRule="auto"/>
        <w:jc w:val="both"/>
      </w:pPr>
      <w:r w:rsidRPr="0B966F89">
        <w:rPr>
          <w:rFonts w:ascii="Book Antiqua" w:eastAsia="Book Antiqua" w:hAnsi="Book Antiqua" w:cs="Book Antiqua"/>
        </w:rPr>
        <w:t xml:space="preserve">Checkland, K., Hammond, J., Allen, P. and Warwick-Giles, L. (2023) ‘Integrated Care Systems in England: early implementation and organisational challenges’, </w:t>
      </w:r>
      <w:r w:rsidRPr="0B966F89">
        <w:rPr>
          <w:rFonts w:ascii="Book Antiqua" w:eastAsia="Book Antiqua" w:hAnsi="Book Antiqua" w:cs="Book Antiqua"/>
          <w:i/>
          <w:iCs/>
        </w:rPr>
        <w:t>BMJ</w:t>
      </w:r>
      <w:r w:rsidRPr="0B966F89">
        <w:rPr>
          <w:rFonts w:ascii="Book Antiqua" w:eastAsia="Book Antiqua" w:hAnsi="Book Antiqua" w:cs="Book Antiqua"/>
        </w:rPr>
        <w:t>, 381, e074745. doi: 10.1136/bmj-2022-074745.</w:t>
      </w:r>
    </w:p>
    <w:p w14:paraId="40A432A2" w14:textId="457331D7" w:rsidR="007A6F00" w:rsidRDefault="0D2820E2" w:rsidP="0B966F89">
      <w:pPr>
        <w:spacing w:before="240" w:after="240" w:line="360" w:lineRule="auto"/>
        <w:jc w:val="both"/>
      </w:pPr>
      <w:r w:rsidRPr="0B966F89">
        <w:rPr>
          <w:rFonts w:ascii="Book Antiqua" w:eastAsia="Book Antiqua" w:hAnsi="Book Antiqua" w:cs="Book Antiqua"/>
        </w:rPr>
        <w:t xml:space="preserve">Dambha-Miller, H., Simpson, G., Hobson, L., Olaniyan, D., Hodgson, S., Roderick, P., Fraser, S.D.S., Little, P., Everitt, H. and Santer, M. (2021) ‘Integrating primary care and social services for older adults with multimorbidity: a qualitative study’, </w:t>
      </w:r>
      <w:r w:rsidRPr="0B966F89">
        <w:rPr>
          <w:rFonts w:ascii="Book Antiqua" w:eastAsia="Book Antiqua" w:hAnsi="Book Antiqua" w:cs="Book Antiqua"/>
          <w:i/>
          <w:iCs/>
        </w:rPr>
        <w:t>British Journal of General Practice</w:t>
      </w:r>
      <w:r w:rsidRPr="0B966F89">
        <w:rPr>
          <w:rFonts w:ascii="Book Antiqua" w:eastAsia="Book Antiqua" w:hAnsi="Book Antiqua" w:cs="Book Antiqua"/>
        </w:rPr>
        <w:t>, 71(711), pp. e753–e761. doi: 10.3399/BJGP.2021.0023.</w:t>
      </w:r>
    </w:p>
    <w:p w14:paraId="1D319717" w14:textId="23B41B6D" w:rsidR="007A6F00" w:rsidRDefault="0D2820E2" w:rsidP="0B966F89">
      <w:pPr>
        <w:spacing w:before="240" w:after="240" w:line="360" w:lineRule="auto"/>
        <w:jc w:val="both"/>
      </w:pPr>
      <w:r w:rsidRPr="0B966F89">
        <w:rPr>
          <w:rFonts w:ascii="Book Antiqua" w:eastAsia="Book Antiqua" w:hAnsi="Book Antiqua" w:cs="Book Antiqua"/>
        </w:rPr>
        <w:lastRenderedPageBreak/>
        <w:t xml:space="preserve">Greenhalgh, T., Papoutsi, C., Spyridonidis, D. and Bate, P. (2018) ‘Beyond adoption: a new framework for theorising and evaluating non-adoption, abandonment, scale-up, spread and sustainability of health and care technologies’, </w:t>
      </w:r>
      <w:r w:rsidRPr="0B966F89">
        <w:rPr>
          <w:rFonts w:ascii="Book Antiqua" w:eastAsia="Book Antiqua" w:hAnsi="Book Antiqua" w:cs="Book Antiqua"/>
          <w:i/>
          <w:iCs/>
        </w:rPr>
        <w:t>Journal of Medical Internet Research</w:t>
      </w:r>
      <w:r w:rsidRPr="0B966F89">
        <w:rPr>
          <w:rFonts w:ascii="Book Antiqua" w:eastAsia="Book Antiqua" w:hAnsi="Book Antiqua" w:cs="Book Antiqua"/>
        </w:rPr>
        <w:t>, 20(11), e367. doi: 10.2196/jmir.8775.</w:t>
      </w:r>
    </w:p>
    <w:p w14:paraId="030C1498" w14:textId="11B078D2" w:rsidR="007A6F00" w:rsidRDefault="0D2820E2" w:rsidP="0B966F89">
      <w:pPr>
        <w:spacing w:before="240" w:after="240" w:line="360" w:lineRule="auto"/>
        <w:jc w:val="both"/>
      </w:pPr>
      <w:r w:rsidRPr="0B966F89">
        <w:rPr>
          <w:rFonts w:ascii="Book Antiqua" w:eastAsia="Book Antiqua" w:hAnsi="Book Antiqua" w:cs="Book Antiqua"/>
        </w:rPr>
        <w:t xml:space="preserve">Health Research Authority (2023) </w:t>
      </w:r>
      <w:r w:rsidRPr="0B966F89">
        <w:rPr>
          <w:rFonts w:ascii="Book Antiqua" w:eastAsia="Book Antiqua" w:hAnsi="Book Antiqua" w:cs="Book Antiqua"/>
          <w:i/>
          <w:iCs/>
        </w:rPr>
        <w:t>UK Policy Framework for Health and Social Care Research</w:t>
      </w:r>
      <w:r w:rsidRPr="0B966F89">
        <w:rPr>
          <w:rFonts w:ascii="Book Antiqua" w:eastAsia="Book Antiqua" w:hAnsi="Book Antiqua" w:cs="Book Antiqua"/>
        </w:rPr>
        <w:t xml:space="preserve">. Available at: </w:t>
      </w:r>
      <w:hyperlink r:id="rId8">
        <w:r w:rsidRPr="0B966F89">
          <w:rPr>
            <w:rStyle w:val="Hyperlink"/>
          </w:rPr>
          <w:t>https://www.hra.nhs.uk/planning-and-improving-research/policies-standards-legislation/uk-policy-framework-health-social-care-research/</w:t>
        </w:r>
      </w:hyperlink>
      <w:r w:rsidRPr="0B966F89">
        <w:rPr>
          <w:rFonts w:ascii="Book Antiqua" w:eastAsia="Book Antiqua" w:hAnsi="Book Antiqua" w:cs="Book Antiqua"/>
        </w:rPr>
        <w:t xml:space="preserve"> (Accessed: 2 August 2026).</w:t>
      </w:r>
    </w:p>
    <w:p w14:paraId="588C69D1" w14:textId="4E684C48" w:rsidR="007A6F00" w:rsidRDefault="0D2820E2" w:rsidP="0B966F89">
      <w:pPr>
        <w:spacing w:before="240" w:after="240" w:line="360" w:lineRule="auto"/>
        <w:jc w:val="both"/>
      </w:pPr>
      <w:r w:rsidRPr="0B966F89">
        <w:rPr>
          <w:rFonts w:ascii="Book Antiqua" w:eastAsia="Book Antiqua" w:hAnsi="Book Antiqua" w:cs="Book Antiqua"/>
        </w:rPr>
        <w:t xml:space="preserve">Melnyk, B.M. and Fineout-Overholt, E. (2023) </w:t>
      </w:r>
      <w:r w:rsidRPr="0B966F89">
        <w:rPr>
          <w:rFonts w:ascii="Book Antiqua" w:eastAsia="Book Antiqua" w:hAnsi="Book Antiqua" w:cs="Book Antiqua"/>
          <w:i/>
          <w:iCs/>
        </w:rPr>
        <w:t>Evidence-Based Practice in Nursing &amp; Healthcare: A Guide to Best Practice</w:t>
      </w:r>
      <w:r w:rsidRPr="0B966F89">
        <w:rPr>
          <w:rFonts w:ascii="Book Antiqua" w:eastAsia="Book Antiqua" w:hAnsi="Book Antiqua" w:cs="Book Antiqua"/>
        </w:rPr>
        <w:t>. 5th edn. Philadelphia: Wolters Kluwer.</w:t>
      </w:r>
    </w:p>
    <w:p w14:paraId="2D38C9EB" w14:textId="2D7F2D50" w:rsidR="007A6F00" w:rsidRDefault="0D2820E2" w:rsidP="0B966F89">
      <w:pPr>
        <w:spacing w:before="240" w:after="240" w:line="360" w:lineRule="auto"/>
        <w:jc w:val="both"/>
      </w:pPr>
      <w:r w:rsidRPr="0B966F89">
        <w:rPr>
          <w:rFonts w:ascii="Book Antiqua" w:eastAsia="Book Antiqua" w:hAnsi="Book Antiqua" w:cs="Book Antiqua"/>
        </w:rPr>
        <w:t xml:space="preserve">Nowell, L.S., Norris, J.M., White, D.E. and Moules, N.J. (2017) ‘Thematic analysis: striving to meet the trustworthiness criteria’, </w:t>
      </w:r>
      <w:r w:rsidRPr="0B966F89">
        <w:rPr>
          <w:rFonts w:ascii="Book Antiqua" w:eastAsia="Book Antiqua" w:hAnsi="Book Antiqua" w:cs="Book Antiqua"/>
          <w:i/>
          <w:iCs/>
        </w:rPr>
        <w:t>International Journal of Qualitative Methods</w:t>
      </w:r>
      <w:r w:rsidRPr="0B966F89">
        <w:rPr>
          <w:rFonts w:ascii="Book Antiqua" w:eastAsia="Book Antiqua" w:hAnsi="Book Antiqua" w:cs="Book Antiqua"/>
        </w:rPr>
        <w:t>, 16(1), pp. 1–13. doi: 10.1177/1609406917733847.</w:t>
      </w:r>
    </w:p>
    <w:p w14:paraId="6709D029" w14:textId="18600D43" w:rsidR="007A6F00" w:rsidRDefault="0D2820E2" w:rsidP="0B966F89">
      <w:pPr>
        <w:spacing w:before="240" w:after="240" w:line="360" w:lineRule="auto"/>
        <w:jc w:val="both"/>
      </w:pPr>
      <w:r w:rsidRPr="0B966F89">
        <w:rPr>
          <w:rFonts w:ascii="Book Antiqua" w:eastAsia="Book Antiqua" w:hAnsi="Book Antiqua" w:cs="Book Antiqua"/>
        </w:rPr>
        <w:t xml:space="preserve">West, M., Bailey, S. and Williams, E. (2022) </w:t>
      </w:r>
      <w:r w:rsidRPr="0B966F89">
        <w:rPr>
          <w:rFonts w:ascii="Book Antiqua" w:eastAsia="Book Antiqua" w:hAnsi="Book Antiqua" w:cs="Book Antiqua"/>
          <w:i/>
          <w:iCs/>
        </w:rPr>
        <w:t>The Courage of Compassion: Supporting Nurses and Midwives to Deliver High-Quality Care</w:t>
      </w:r>
      <w:r w:rsidRPr="0B966F89">
        <w:rPr>
          <w:rFonts w:ascii="Book Antiqua" w:eastAsia="Book Antiqua" w:hAnsi="Book Antiqua" w:cs="Book Antiqua"/>
        </w:rPr>
        <w:t>. London: The King’s Fund.</w:t>
      </w:r>
    </w:p>
    <w:p w14:paraId="3394BA37" w14:textId="67038483" w:rsidR="007A6F00" w:rsidRDefault="007A6F00" w:rsidP="0B966F89">
      <w:pPr>
        <w:spacing w:line="360" w:lineRule="auto"/>
        <w:jc w:val="both"/>
      </w:pPr>
    </w:p>
    <w:p w14:paraId="51FC74CB" w14:textId="797081A7" w:rsidR="007A6F00" w:rsidRDefault="007A6F00" w:rsidP="0B966F89">
      <w:pPr>
        <w:pStyle w:val="Heading3"/>
        <w:spacing w:before="281" w:after="281"/>
        <w:rPr>
          <w:rFonts w:ascii="Book Antiqua" w:eastAsia="Book Antiqua" w:hAnsi="Book Antiqua" w:cs="Book Antiqua"/>
          <w:b/>
          <w:bCs/>
        </w:rPr>
      </w:pPr>
    </w:p>
    <w:p w14:paraId="1A997EAD" w14:textId="4DC7500A" w:rsidR="007A6F00" w:rsidRDefault="007A6F00" w:rsidP="0B966F89">
      <w:pPr>
        <w:pStyle w:val="Heading3"/>
        <w:spacing w:before="281" w:after="281"/>
        <w:rPr>
          <w:rFonts w:ascii="Book Antiqua" w:eastAsia="Book Antiqua" w:hAnsi="Book Antiqua" w:cs="Book Antiqua"/>
          <w:b/>
          <w:bCs/>
        </w:rPr>
      </w:pPr>
    </w:p>
    <w:p w14:paraId="6D3876CE" w14:textId="61186880" w:rsidR="007A6F00" w:rsidRDefault="007A6F00" w:rsidP="0B966F89">
      <w:pPr>
        <w:pStyle w:val="Heading3"/>
        <w:spacing w:before="281" w:after="281"/>
        <w:rPr>
          <w:rFonts w:ascii="Book Antiqua" w:eastAsia="Book Antiqua" w:hAnsi="Book Antiqua" w:cs="Book Antiqua"/>
          <w:b/>
          <w:bCs/>
        </w:rPr>
      </w:pPr>
    </w:p>
    <w:p w14:paraId="4D77A142" w14:textId="589EE97A" w:rsidR="007A6F00" w:rsidRDefault="007A6F00" w:rsidP="0B966F89">
      <w:pPr>
        <w:pStyle w:val="Heading3"/>
        <w:spacing w:before="281" w:after="281"/>
        <w:rPr>
          <w:rFonts w:ascii="Book Antiqua" w:eastAsia="Book Antiqua" w:hAnsi="Book Antiqua" w:cs="Book Antiqua"/>
          <w:b/>
          <w:bCs/>
        </w:rPr>
      </w:pPr>
    </w:p>
    <w:p w14:paraId="06F5616B" w14:textId="7F51C356" w:rsidR="007A6F00" w:rsidRDefault="007A6F00" w:rsidP="0B966F89">
      <w:pPr>
        <w:pStyle w:val="Heading3"/>
        <w:spacing w:before="281" w:after="281"/>
        <w:rPr>
          <w:rFonts w:ascii="Book Antiqua" w:eastAsia="Book Antiqua" w:hAnsi="Book Antiqua" w:cs="Book Antiqua"/>
          <w:b/>
          <w:bCs/>
        </w:rPr>
      </w:pPr>
    </w:p>
    <w:p w14:paraId="1E444826" w14:textId="659BD95A" w:rsidR="007A6F00" w:rsidRDefault="007A6F00" w:rsidP="0B966F89">
      <w:pPr>
        <w:pStyle w:val="Heading3"/>
        <w:spacing w:before="281" w:after="281"/>
        <w:rPr>
          <w:rFonts w:ascii="Book Antiqua" w:eastAsia="Book Antiqua" w:hAnsi="Book Antiqua" w:cs="Book Antiqua"/>
          <w:b/>
          <w:bCs/>
        </w:rPr>
      </w:pPr>
    </w:p>
    <w:p w14:paraId="2C078E63" w14:textId="766EB7B8" w:rsidR="007A6F00" w:rsidRDefault="007A6F00"/>
    <w:sectPr w:rsidR="007A6F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Book Antiqua">
    <w:panose1 w:val="0204060205030503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kByidkXaRxGvMx" int2:id="vRMuwaFp">
      <int2:state int2:value="Rejected" int2:type="spell"/>
    </int2:textHash>
    <int2:textHash int2:hashCode="kv4UVae7TQCfC0" int2:id="zrdXeoIX">
      <int2:state int2:value="Rejected" int2:type="spell"/>
    </int2:textHash>
    <int2:textHash int2:hashCode="/EewnMmHErfsTr" int2:id="DAAWvotq">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31D8B5"/>
    <w:rsid w:val="003E4234"/>
    <w:rsid w:val="003E718C"/>
    <w:rsid w:val="00627496"/>
    <w:rsid w:val="006B2B69"/>
    <w:rsid w:val="007A6F00"/>
    <w:rsid w:val="007D1A89"/>
    <w:rsid w:val="008BEAD9"/>
    <w:rsid w:val="00C62642"/>
    <w:rsid w:val="00CF66A9"/>
    <w:rsid w:val="02EF93E3"/>
    <w:rsid w:val="050E6E5D"/>
    <w:rsid w:val="08055D58"/>
    <w:rsid w:val="0862D3D3"/>
    <w:rsid w:val="0B966F89"/>
    <w:rsid w:val="0D2820E2"/>
    <w:rsid w:val="0D9649CD"/>
    <w:rsid w:val="1091B4B4"/>
    <w:rsid w:val="10CEFC70"/>
    <w:rsid w:val="14898E03"/>
    <w:rsid w:val="1996EED3"/>
    <w:rsid w:val="209E7003"/>
    <w:rsid w:val="26692F8F"/>
    <w:rsid w:val="26FB5119"/>
    <w:rsid w:val="28B65022"/>
    <w:rsid w:val="3064A288"/>
    <w:rsid w:val="31DEF478"/>
    <w:rsid w:val="34D6E030"/>
    <w:rsid w:val="37F31184"/>
    <w:rsid w:val="3915A26E"/>
    <w:rsid w:val="41A1AB10"/>
    <w:rsid w:val="4F2A956A"/>
    <w:rsid w:val="5037CDE4"/>
    <w:rsid w:val="5731D8B5"/>
    <w:rsid w:val="5B8F45BD"/>
    <w:rsid w:val="61B87184"/>
    <w:rsid w:val="65090182"/>
    <w:rsid w:val="660C7457"/>
    <w:rsid w:val="71396BB1"/>
    <w:rsid w:val="71AEC420"/>
    <w:rsid w:val="7A206A5F"/>
    <w:rsid w:val="7AD1E2FD"/>
    <w:rsid w:val="7BF9BB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998C0"/>
  <w15:chartTrackingRefBased/>
  <w15:docId w15:val="{E26E3CA5-8A0B-4B79-80B2-C98656456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B966F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B966F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B966F89"/>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B966F8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a.nhs.uk/planning-and-improving-research/policies-standards-legislation/uk-policy-framework-health-social-care-research/" TargetMode="Externa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20/10/relationships/intelligence" Target="intelligence2.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Book Antiqu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eeaced657aee227a197f5075da658616">
  <xsd:schema xmlns:xsd="http://www.w3.org/2001/XMLSchema" xmlns:xs="http://www.w3.org/2001/XMLSchema" xmlns:p="http://schemas.microsoft.com/office/2006/metadata/properties" xmlns:ns3="15fc19cd-fa26-435b-84bc-af8af48cbcc7" targetNamespace="http://schemas.microsoft.com/office/2006/metadata/properties" ma:root="true" ma:fieldsID="9c827ae789d6219a98be831743bd5aae"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0260D5-079D-43A7-B1B7-E636DEBFBB89}">
  <ds:schemaRefs>
    <ds:schemaRef ds:uri="http://schemas.microsoft.com/office/2006/metadata/properties"/>
    <ds:schemaRef ds:uri="http://schemas.microsoft.com/office/infopath/2007/PartnerControls"/>
    <ds:schemaRef ds:uri="15fc19cd-fa26-435b-84bc-af8af48cbcc7"/>
  </ds:schemaRefs>
</ds:datastoreItem>
</file>

<file path=customXml/itemProps2.xml><?xml version="1.0" encoding="utf-8"?>
<ds:datastoreItem xmlns:ds="http://schemas.openxmlformats.org/officeDocument/2006/customXml" ds:itemID="{01AE38B0-FD17-4C71-9CE0-3F859F673F2B}">
  <ds:schemaRefs>
    <ds:schemaRef ds:uri="http://schemas.microsoft.com/sharepoint/v3/contenttype/forms"/>
  </ds:schemaRefs>
</ds:datastoreItem>
</file>

<file path=customXml/itemProps3.xml><?xml version="1.0" encoding="utf-8"?>
<ds:datastoreItem xmlns:ds="http://schemas.openxmlformats.org/officeDocument/2006/customXml" ds:itemID="{ACF318E1-F665-40F1-B52B-639B71A81B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2717</Words>
  <Characters>15488</Characters>
  <Application>Microsoft Office Word</Application>
  <DocSecurity>0</DocSecurity>
  <Lines>129</Lines>
  <Paragraphs>36</Paragraphs>
  <ScaleCrop>false</ScaleCrop>
  <Company/>
  <LinksUpToDate>false</LinksUpToDate>
  <CharactersWithSpaces>18169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Raquel Molongua Nguba</dc:creator>
  <cp:keywords/>
  <dc:description/>
  <cp:lastModifiedBy>Isha Kargbo (2542091)</cp:lastModifiedBy>
  <cp:revision>3</cp:revision>
  <dcterms:created xsi:type="dcterms:W3CDTF">2026-08-15T10:39:00Z</dcterms:created>
  <dcterms:modified xsi:type="dcterms:W3CDTF">2026-08-15T10:41:00Z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a313a9a7-3987-4dd9-8a69-f573fc5de202</vt:lpwstr>
  </property>
  <property fmtid="{D5CDD505-2E9C-101B-9397-08002B2CF9AE}" pid="3" name="ContentTypeId">
    <vt:lpwstr>0x010100C8357CCDC245654FAB1F4DED54B9A2C2</vt:lpwstr>
  </property>
</Properties>
</file>