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81158" w14:textId="29745B21" w:rsidR="0055775C" w:rsidRDefault="0055775C" w:rsidP="0055775C">
      <w:pPr>
        <w:spacing w:line="360" w:lineRule="auto"/>
        <w:jc w:val="center"/>
        <w:rPr>
          <w:rFonts w:ascii="Arial" w:hAnsi="Arial" w:cs="Arial"/>
          <w:sz w:val="22"/>
          <w:szCs w:val="22"/>
        </w:rPr>
      </w:pPr>
      <w:r w:rsidRPr="003B684F">
        <w:rPr>
          <w:rFonts w:ascii="Arial" w:hAnsi="Arial" w:cs="Arial"/>
          <w:sz w:val="22"/>
          <w:szCs w:val="22"/>
        </w:rPr>
        <w:t xml:space="preserve">Student Name: </w:t>
      </w:r>
      <w:r>
        <w:rPr>
          <w:rFonts w:ascii="Arial" w:hAnsi="Arial" w:cs="Arial"/>
          <w:sz w:val="22"/>
          <w:szCs w:val="22"/>
        </w:rPr>
        <w:t>Heena</w:t>
      </w:r>
      <w:r w:rsidRPr="003B684F">
        <w:rPr>
          <w:rFonts w:ascii="Arial" w:hAnsi="Arial" w:cs="Arial"/>
          <w:sz w:val="22"/>
          <w:szCs w:val="22"/>
        </w:rPr>
        <w:t xml:space="preserve"> Khan</w:t>
      </w:r>
    </w:p>
    <w:p w14:paraId="16CE6A10" w14:textId="38BC7A42" w:rsidR="0055775C" w:rsidRDefault="0055775C" w:rsidP="0055775C">
      <w:pPr>
        <w:spacing w:line="360" w:lineRule="auto"/>
        <w:jc w:val="center"/>
        <w:rPr>
          <w:rFonts w:ascii="Arial" w:hAnsi="Arial" w:cs="Arial"/>
          <w:sz w:val="22"/>
          <w:szCs w:val="22"/>
        </w:rPr>
      </w:pPr>
      <w:r>
        <w:rPr>
          <w:rFonts w:ascii="Arial" w:hAnsi="Arial" w:cs="Arial"/>
          <w:sz w:val="22"/>
          <w:szCs w:val="22"/>
        </w:rPr>
        <w:t>Student Number: 24195</w:t>
      </w:r>
      <w:r>
        <w:rPr>
          <w:rFonts w:ascii="Arial" w:hAnsi="Arial" w:cs="Arial"/>
          <w:sz w:val="22"/>
          <w:szCs w:val="22"/>
        </w:rPr>
        <w:t>90</w:t>
      </w:r>
    </w:p>
    <w:p w14:paraId="07C79C7E" w14:textId="4DD03127" w:rsidR="0055775C" w:rsidRDefault="0055775C" w:rsidP="0055775C">
      <w:pPr>
        <w:spacing w:line="360" w:lineRule="auto"/>
        <w:jc w:val="center"/>
        <w:rPr>
          <w:rFonts w:ascii="Arial" w:hAnsi="Arial" w:cs="Arial"/>
          <w:sz w:val="22"/>
          <w:szCs w:val="22"/>
        </w:rPr>
      </w:pPr>
      <w:r>
        <w:rPr>
          <w:rFonts w:ascii="Arial" w:hAnsi="Arial" w:cs="Arial"/>
          <w:sz w:val="22"/>
          <w:szCs w:val="22"/>
        </w:rPr>
        <w:t xml:space="preserve">Lecturer's Name: </w:t>
      </w:r>
      <w:r w:rsidRPr="0055775C">
        <w:rPr>
          <w:rFonts w:ascii="Arial" w:hAnsi="Arial" w:cs="Arial"/>
          <w:sz w:val="22"/>
          <w:szCs w:val="22"/>
        </w:rPr>
        <w:t xml:space="preserve">Precious </w:t>
      </w:r>
      <w:proofErr w:type="spellStart"/>
      <w:r w:rsidRPr="0055775C">
        <w:rPr>
          <w:rFonts w:ascii="Arial" w:hAnsi="Arial" w:cs="Arial"/>
          <w:sz w:val="22"/>
          <w:szCs w:val="22"/>
        </w:rPr>
        <w:t>Igbinigie</w:t>
      </w:r>
      <w:proofErr w:type="spellEnd"/>
    </w:p>
    <w:p w14:paraId="0FCB357D" w14:textId="0C161AE8" w:rsidR="0055775C" w:rsidRDefault="0055775C" w:rsidP="0055775C">
      <w:pPr>
        <w:spacing w:line="360" w:lineRule="auto"/>
        <w:jc w:val="center"/>
        <w:rPr>
          <w:rFonts w:ascii="Arial" w:hAnsi="Arial" w:cs="Arial"/>
          <w:sz w:val="22"/>
          <w:szCs w:val="22"/>
        </w:rPr>
      </w:pPr>
      <w:r>
        <w:rPr>
          <w:rFonts w:ascii="Arial" w:hAnsi="Arial" w:cs="Arial"/>
          <w:sz w:val="22"/>
          <w:szCs w:val="22"/>
        </w:rPr>
        <w:t>Module Title:</w:t>
      </w:r>
      <w:r w:rsidRPr="003B684F">
        <w:rPr>
          <w:rFonts w:ascii="Arial" w:hAnsi="Arial" w:cs="Arial"/>
          <w:sz w:val="22"/>
          <w:szCs w:val="22"/>
        </w:rPr>
        <w:t xml:space="preserve"> </w:t>
      </w:r>
      <w:r>
        <w:rPr>
          <w:rFonts w:ascii="Arial" w:hAnsi="Arial" w:cs="Arial"/>
          <w:sz w:val="22"/>
          <w:szCs w:val="22"/>
        </w:rPr>
        <w:t>Principles of health and social care practice</w:t>
      </w:r>
    </w:p>
    <w:p w14:paraId="01CFBA3B" w14:textId="4DB104C4" w:rsidR="0055775C" w:rsidRDefault="0055775C" w:rsidP="0055775C">
      <w:pPr>
        <w:spacing w:line="360" w:lineRule="auto"/>
        <w:jc w:val="center"/>
        <w:rPr>
          <w:rFonts w:ascii="Arial" w:hAnsi="Arial" w:cs="Arial"/>
          <w:sz w:val="22"/>
          <w:szCs w:val="22"/>
        </w:rPr>
      </w:pPr>
      <w:r>
        <w:rPr>
          <w:rFonts w:ascii="Arial" w:hAnsi="Arial" w:cs="Arial"/>
          <w:sz w:val="22"/>
          <w:szCs w:val="22"/>
        </w:rPr>
        <w:t>Module Code:</w:t>
      </w:r>
      <w:r w:rsidRPr="0055775C">
        <w:rPr>
          <w:rFonts w:ascii="Arial" w:hAnsi="Arial" w:cs="Arial"/>
          <w:bCs/>
          <w:sz w:val="22"/>
          <w:szCs w:val="22"/>
        </w:rPr>
        <w:t xml:space="preserve"> BMHP5016</w:t>
      </w:r>
    </w:p>
    <w:p w14:paraId="1928174B" w14:textId="19101EFE" w:rsidR="0055775C" w:rsidRDefault="0055775C" w:rsidP="0055775C">
      <w:pPr>
        <w:spacing w:line="360" w:lineRule="auto"/>
        <w:jc w:val="center"/>
        <w:rPr>
          <w:rFonts w:ascii="Arial" w:hAnsi="Arial" w:cs="Arial"/>
          <w:bCs/>
          <w:sz w:val="22"/>
          <w:szCs w:val="22"/>
        </w:rPr>
      </w:pPr>
      <w:r>
        <w:rPr>
          <w:rFonts w:ascii="Arial" w:hAnsi="Arial" w:cs="Arial"/>
          <w:sz w:val="22"/>
          <w:szCs w:val="22"/>
        </w:rPr>
        <w:t xml:space="preserve">Assignment Title: </w:t>
      </w:r>
      <w:r w:rsidRPr="0055775C">
        <w:rPr>
          <w:rFonts w:ascii="Arial" w:hAnsi="Arial" w:cs="Arial"/>
          <w:bCs/>
          <w:sz w:val="22"/>
          <w:szCs w:val="22"/>
        </w:rPr>
        <w:t>Component 2: Written Assignment (Report)</w:t>
      </w:r>
    </w:p>
    <w:p w14:paraId="2C8ABCA1" w14:textId="77777777" w:rsidR="00E853C9" w:rsidRPr="00E853C9" w:rsidRDefault="00E853C9" w:rsidP="00E853C9">
      <w:pPr>
        <w:spacing w:line="360" w:lineRule="auto"/>
        <w:jc w:val="center"/>
        <w:rPr>
          <w:rFonts w:ascii="Arial" w:hAnsi="Arial" w:cs="Arial"/>
          <w:sz w:val="22"/>
          <w:szCs w:val="22"/>
        </w:rPr>
      </w:pPr>
      <w:r>
        <w:rPr>
          <w:rFonts w:ascii="Arial" w:hAnsi="Arial" w:cs="Arial"/>
          <w:bCs/>
          <w:sz w:val="22"/>
          <w:szCs w:val="22"/>
        </w:rPr>
        <w:t xml:space="preserve">Report Title: </w:t>
      </w:r>
      <w:r w:rsidRPr="00E853C9">
        <w:rPr>
          <w:rFonts w:ascii="Arial" w:hAnsi="Arial" w:cs="Arial"/>
          <w:sz w:val="22"/>
          <w:szCs w:val="22"/>
        </w:rPr>
        <w:t>An Evaluation of Person-Centred Care and Partnership Working in Health and Social Care</w:t>
      </w:r>
    </w:p>
    <w:p w14:paraId="1A24D122" w14:textId="61733504" w:rsidR="00E853C9" w:rsidRDefault="00E853C9" w:rsidP="0055775C">
      <w:pPr>
        <w:spacing w:line="360" w:lineRule="auto"/>
        <w:jc w:val="center"/>
        <w:rPr>
          <w:rFonts w:ascii="Arial" w:hAnsi="Arial" w:cs="Arial"/>
          <w:bCs/>
          <w:sz w:val="22"/>
          <w:szCs w:val="22"/>
        </w:rPr>
      </w:pPr>
    </w:p>
    <w:p w14:paraId="45A7661B" w14:textId="77777777" w:rsidR="0055775C" w:rsidRDefault="0055775C" w:rsidP="0055775C">
      <w:pPr>
        <w:spacing w:line="360" w:lineRule="auto"/>
        <w:jc w:val="center"/>
        <w:rPr>
          <w:rFonts w:ascii="Arial" w:hAnsi="Arial" w:cs="Arial"/>
          <w:bCs/>
          <w:sz w:val="22"/>
          <w:szCs w:val="22"/>
        </w:rPr>
      </w:pPr>
    </w:p>
    <w:p w14:paraId="529F5D81" w14:textId="77777777" w:rsidR="0055775C" w:rsidRDefault="0055775C" w:rsidP="0055775C">
      <w:pPr>
        <w:spacing w:line="360" w:lineRule="auto"/>
        <w:jc w:val="center"/>
        <w:rPr>
          <w:rFonts w:ascii="Arial" w:hAnsi="Arial" w:cs="Arial"/>
          <w:bCs/>
          <w:sz w:val="22"/>
          <w:szCs w:val="22"/>
        </w:rPr>
      </w:pPr>
    </w:p>
    <w:p w14:paraId="2502B6BF" w14:textId="77777777" w:rsidR="0055775C" w:rsidRDefault="0055775C" w:rsidP="0055775C">
      <w:pPr>
        <w:spacing w:line="360" w:lineRule="auto"/>
        <w:jc w:val="center"/>
        <w:rPr>
          <w:rFonts w:ascii="Arial" w:hAnsi="Arial" w:cs="Arial"/>
          <w:bCs/>
          <w:sz w:val="22"/>
          <w:szCs w:val="22"/>
        </w:rPr>
      </w:pPr>
    </w:p>
    <w:p w14:paraId="79B847F5" w14:textId="77777777" w:rsidR="0055775C" w:rsidRDefault="0055775C" w:rsidP="0055775C">
      <w:pPr>
        <w:spacing w:line="360" w:lineRule="auto"/>
        <w:jc w:val="center"/>
        <w:rPr>
          <w:rFonts w:ascii="Arial" w:hAnsi="Arial" w:cs="Arial"/>
          <w:bCs/>
          <w:sz w:val="22"/>
          <w:szCs w:val="22"/>
        </w:rPr>
      </w:pPr>
    </w:p>
    <w:p w14:paraId="71669FA8" w14:textId="77777777" w:rsidR="0055775C" w:rsidRDefault="0055775C" w:rsidP="0055775C">
      <w:pPr>
        <w:spacing w:line="360" w:lineRule="auto"/>
        <w:jc w:val="center"/>
        <w:rPr>
          <w:rFonts w:ascii="Arial" w:hAnsi="Arial" w:cs="Arial"/>
          <w:bCs/>
          <w:sz w:val="22"/>
          <w:szCs w:val="22"/>
        </w:rPr>
      </w:pPr>
    </w:p>
    <w:p w14:paraId="105BA256" w14:textId="77777777" w:rsidR="0055775C" w:rsidRDefault="0055775C" w:rsidP="0055775C">
      <w:pPr>
        <w:spacing w:line="360" w:lineRule="auto"/>
        <w:jc w:val="center"/>
        <w:rPr>
          <w:rFonts w:ascii="Arial" w:hAnsi="Arial" w:cs="Arial"/>
          <w:bCs/>
          <w:sz w:val="22"/>
          <w:szCs w:val="22"/>
        </w:rPr>
      </w:pPr>
    </w:p>
    <w:p w14:paraId="1FC20C4C" w14:textId="77777777" w:rsidR="0055775C" w:rsidRDefault="0055775C" w:rsidP="0055775C">
      <w:pPr>
        <w:spacing w:line="360" w:lineRule="auto"/>
        <w:jc w:val="center"/>
        <w:rPr>
          <w:rFonts w:ascii="Arial" w:hAnsi="Arial" w:cs="Arial"/>
          <w:bCs/>
          <w:sz w:val="22"/>
          <w:szCs w:val="22"/>
        </w:rPr>
      </w:pPr>
    </w:p>
    <w:p w14:paraId="2FC79E41" w14:textId="77777777" w:rsidR="0055775C" w:rsidRDefault="0055775C" w:rsidP="0055775C">
      <w:pPr>
        <w:spacing w:line="360" w:lineRule="auto"/>
        <w:jc w:val="center"/>
        <w:rPr>
          <w:rFonts w:ascii="Arial" w:hAnsi="Arial" w:cs="Arial"/>
          <w:bCs/>
          <w:sz w:val="22"/>
          <w:szCs w:val="22"/>
        </w:rPr>
      </w:pPr>
    </w:p>
    <w:p w14:paraId="129C9720" w14:textId="77777777" w:rsidR="0055775C" w:rsidRDefault="0055775C" w:rsidP="0055775C">
      <w:pPr>
        <w:spacing w:line="360" w:lineRule="auto"/>
        <w:jc w:val="center"/>
        <w:rPr>
          <w:rFonts w:ascii="Arial" w:hAnsi="Arial" w:cs="Arial"/>
          <w:bCs/>
          <w:sz w:val="22"/>
          <w:szCs w:val="22"/>
        </w:rPr>
      </w:pPr>
    </w:p>
    <w:p w14:paraId="6C3497C9" w14:textId="77777777" w:rsidR="0055775C" w:rsidRDefault="0055775C" w:rsidP="0055775C">
      <w:pPr>
        <w:spacing w:line="360" w:lineRule="auto"/>
        <w:jc w:val="center"/>
        <w:rPr>
          <w:rFonts w:ascii="Arial" w:hAnsi="Arial" w:cs="Arial"/>
          <w:bCs/>
          <w:sz w:val="22"/>
          <w:szCs w:val="22"/>
        </w:rPr>
      </w:pPr>
    </w:p>
    <w:p w14:paraId="4FC9495A" w14:textId="77777777" w:rsidR="0055775C" w:rsidRDefault="0055775C" w:rsidP="0055775C">
      <w:pPr>
        <w:spacing w:line="360" w:lineRule="auto"/>
        <w:jc w:val="center"/>
        <w:rPr>
          <w:rFonts w:ascii="Arial" w:hAnsi="Arial" w:cs="Arial"/>
          <w:bCs/>
          <w:sz w:val="22"/>
          <w:szCs w:val="22"/>
        </w:rPr>
      </w:pPr>
    </w:p>
    <w:p w14:paraId="1659E66E" w14:textId="77777777" w:rsidR="0055775C" w:rsidRDefault="0055775C" w:rsidP="0055775C">
      <w:pPr>
        <w:spacing w:line="360" w:lineRule="auto"/>
        <w:jc w:val="center"/>
        <w:rPr>
          <w:rFonts w:ascii="Arial" w:hAnsi="Arial" w:cs="Arial"/>
          <w:bCs/>
          <w:sz w:val="22"/>
          <w:szCs w:val="22"/>
        </w:rPr>
      </w:pPr>
    </w:p>
    <w:p w14:paraId="5353D279" w14:textId="77777777" w:rsidR="0055775C" w:rsidRDefault="0055775C" w:rsidP="0055775C">
      <w:pPr>
        <w:spacing w:line="360" w:lineRule="auto"/>
        <w:jc w:val="center"/>
        <w:rPr>
          <w:rFonts w:ascii="Arial" w:hAnsi="Arial" w:cs="Arial"/>
          <w:bCs/>
          <w:sz w:val="22"/>
          <w:szCs w:val="22"/>
        </w:rPr>
      </w:pPr>
    </w:p>
    <w:p w14:paraId="0DBBDB70" w14:textId="77777777" w:rsidR="0055775C" w:rsidRDefault="0055775C" w:rsidP="0055775C">
      <w:pPr>
        <w:spacing w:line="360" w:lineRule="auto"/>
        <w:jc w:val="center"/>
        <w:rPr>
          <w:rFonts w:ascii="Arial" w:hAnsi="Arial" w:cs="Arial"/>
          <w:bCs/>
          <w:sz w:val="22"/>
          <w:szCs w:val="22"/>
        </w:rPr>
      </w:pPr>
    </w:p>
    <w:p w14:paraId="32FD6054" w14:textId="77777777" w:rsidR="0055775C" w:rsidRDefault="0055775C" w:rsidP="0055775C">
      <w:pPr>
        <w:spacing w:line="360" w:lineRule="auto"/>
        <w:jc w:val="center"/>
        <w:rPr>
          <w:rFonts w:ascii="Arial" w:hAnsi="Arial" w:cs="Arial"/>
          <w:bCs/>
          <w:sz w:val="22"/>
          <w:szCs w:val="22"/>
        </w:rPr>
      </w:pPr>
    </w:p>
    <w:p w14:paraId="70B79C86" w14:textId="77777777" w:rsidR="0055775C" w:rsidRDefault="0055775C" w:rsidP="0055775C">
      <w:pPr>
        <w:spacing w:line="360" w:lineRule="auto"/>
        <w:jc w:val="center"/>
        <w:rPr>
          <w:rFonts w:ascii="Arial" w:hAnsi="Arial" w:cs="Arial"/>
          <w:bCs/>
          <w:sz w:val="22"/>
          <w:szCs w:val="22"/>
        </w:rPr>
      </w:pPr>
    </w:p>
    <w:p w14:paraId="50164025" w14:textId="77777777" w:rsidR="0055775C" w:rsidRDefault="0055775C" w:rsidP="0055775C">
      <w:pPr>
        <w:spacing w:line="360" w:lineRule="auto"/>
        <w:jc w:val="center"/>
        <w:rPr>
          <w:rFonts w:ascii="Arial" w:hAnsi="Arial" w:cs="Arial"/>
          <w:bCs/>
          <w:sz w:val="22"/>
          <w:szCs w:val="22"/>
        </w:rPr>
      </w:pPr>
    </w:p>
    <w:p w14:paraId="38CA805B" w14:textId="22CB68FF" w:rsidR="0055775C" w:rsidRPr="007A5DA9" w:rsidRDefault="007A5DA9" w:rsidP="00E853C9">
      <w:pPr>
        <w:spacing w:line="360" w:lineRule="auto"/>
        <w:rPr>
          <w:rFonts w:ascii="Arial" w:hAnsi="Arial" w:cs="Arial"/>
          <w:b/>
          <w:sz w:val="22"/>
          <w:szCs w:val="22"/>
        </w:rPr>
      </w:pPr>
      <w:r w:rsidRPr="007A5DA9">
        <w:rPr>
          <w:rFonts w:ascii="Arial" w:hAnsi="Arial" w:cs="Arial"/>
          <w:b/>
          <w:sz w:val="22"/>
          <w:szCs w:val="22"/>
        </w:rPr>
        <w:lastRenderedPageBreak/>
        <w:t xml:space="preserve">Introduction – </w:t>
      </w:r>
    </w:p>
    <w:p w14:paraId="4DB30633" w14:textId="7312A98C" w:rsidR="007A5DA9" w:rsidRDefault="007A5DA9" w:rsidP="00E853C9">
      <w:pPr>
        <w:spacing w:line="360" w:lineRule="auto"/>
        <w:rPr>
          <w:rFonts w:ascii="Arial" w:hAnsi="Arial" w:cs="Arial"/>
          <w:bCs/>
          <w:sz w:val="22"/>
          <w:szCs w:val="22"/>
        </w:rPr>
      </w:pPr>
      <w:r w:rsidRPr="007A5DA9">
        <w:rPr>
          <w:rFonts w:ascii="Arial" w:hAnsi="Arial" w:cs="Arial"/>
          <w:bCs/>
          <w:sz w:val="22"/>
          <w:szCs w:val="22"/>
        </w:rPr>
        <w:t xml:space="preserve">The modern health and social care system across the United Kingdom is influenced by two fundamental concepts: Person-Centred Care (PCC) and Partnership Working (PW). These approaches have become central to policy direction, ethical frameworks, and professional practice, reflecting a shift away from traditional, paternalistic and illness-focused models towards more holistic and collaborative forms of care. </w:t>
      </w:r>
    </w:p>
    <w:p w14:paraId="26F46A94" w14:textId="0BBDB38A" w:rsidR="007A5DA9" w:rsidRDefault="007A5DA9" w:rsidP="007A5DA9">
      <w:pPr>
        <w:spacing w:line="360" w:lineRule="auto"/>
        <w:rPr>
          <w:rFonts w:ascii="Arial" w:hAnsi="Arial" w:cs="Arial"/>
          <w:bCs/>
          <w:sz w:val="22"/>
          <w:szCs w:val="22"/>
        </w:rPr>
      </w:pPr>
      <w:r w:rsidRPr="007A5DA9">
        <w:rPr>
          <w:rFonts w:ascii="Arial" w:hAnsi="Arial" w:cs="Arial"/>
          <w:bCs/>
          <w:sz w:val="22"/>
          <w:szCs w:val="22"/>
        </w:rPr>
        <w:t xml:space="preserve">This report will </w:t>
      </w:r>
      <w:r>
        <w:rPr>
          <w:rFonts w:ascii="Arial" w:hAnsi="Arial" w:cs="Arial"/>
          <w:bCs/>
          <w:sz w:val="22"/>
          <w:szCs w:val="22"/>
        </w:rPr>
        <w:t>critically assess these concepts by examining</w:t>
      </w:r>
      <w:r w:rsidRPr="007A5DA9">
        <w:rPr>
          <w:rFonts w:ascii="Arial" w:hAnsi="Arial" w:cs="Arial"/>
          <w:bCs/>
          <w:sz w:val="22"/>
          <w:szCs w:val="22"/>
        </w:rPr>
        <w:t xml:space="preserve"> their theoretical underpinnings, ethical dimensions, and real-world implementation. It will provide a clear definition of Person-Centred Care, examine a </w:t>
      </w:r>
      <w:r>
        <w:rPr>
          <w:rFonts w:ascii="Arial" w:hAnsi="Arial" w:cs="Arial"/>
          <w:bCs/>
          <w:sz w:val="22"/>
          <w:szCs w:val="22"/>
        </w:rPr>
        <w:t xml:space="preserve">relevant care model, and explore the ethical principles that underpin practice </w:t>
      </w:r>
      <w:r w:rsidR="0025204C">
        <w:rPr>
          <w:rFonts w:ascii="Arial" w:hAnsi="Arial" w:cs="Arial"/>
          <w:bCs/>
          <w:sz w:val="22"/>
          <w:szCs w:val="22"/>
        </w:rPr>
        <w:t xml:space="preserve">within the hospital </w:t>
      </w:r>
      <w:r w:rsidRPr="007A5DA9">
        <w:rPr>
          <w:rFonts w:ascii="Arial" w:hAnsi="Arial" w:cs="Arial"/>
          <w:bCs/>
          <w:sz w:val="22"/>
          <w:szCs w:val="22"/>
        </w:rPr>
        <w:t xml:space="preserve">sector. Furthermore, the report will assess Partnership Working </w:t>
      </w:r>
      <w:r>
        <w:rPr>
          <w:rFonts w:ascii="Arial" w:hAnsi="Arial" w:cs="Arial"/>
          <w:bCs/>
          <w:sz w:val="22"/>
          <w:szCs w:val="22"/>
        </w:rPr>
        <w:t>within a specific practice setting, highlighting its importance in achieving successful treatment outcomes</w:t>
      </w:r>
      <w:r w:rsidRPr="007A5DA9">
        <w:rPr>
          <w:rFonts w:ascii="Arial" w:hAnsi="Arial" w:cs="Arial"/>
          <w:bCs/>
          <w:sz w:val="22"/>
          <w:szCs w:val="22"/>
        </w:rPr>
        <w:t>.</w:t>
      </w:r>
      <w:r>
        <w:rPr>
          <w:rFonts w:ascii="Arial" w:hAnsi="Arial" w:cs="Arial"/>
          <w:bCs/>
          <w:sz w:val="22"/>
          <w:szCs w:val="22"/>
        </w:rPr>
        <w:t xml:space="preserve"> </w:t>
      </w:r>
      <w:r w:rsidRPr="007A5DA9">
        <w:rPr>
          <w:rFonts w:ascii="Arial" w:hAnsi="Arial" w:cs="Arial"/>
          <w:bCs/>
          <w:sz w:val="22"/>
          <w:szCs w:val="22"/>
        </w:rPr>
        <w:t>It will illustrate how these two concepts are interlinked and reinforce one another. To conclude, the report will review the policy and legislative structures that direct their application and put forward suggestions for their ongoing advancement within the UK.</w:t>
      </w:r>
    </w:p>
    <w:p w14:paraId="3C0154C6" w14:textId="124FDDB9" w:rsidR="007A5DA9" w:rsidRDefault="007A5DA9" w:rsidP="007A5DA9">
      <w:pPr>
        <w:spacing w:line="360" w:lineRule="auto"/>
        <w:rPr>
          <w:rFonts w:ascii="Arial" w:hAnsi="Arial" w:cs="Arial"/>
          <w:b/>
          <w:bCs/>
          <w:sz w:val="22"/>
          <w:szCs w:val="22"/>
        </w:rPr>
      </w:pPr>
      <w:r w:rsidRPr="007A5DA9">
        <w:rPr>
          <w:rFonts w:ascii="Arial" w:hAnsi="Arial" w:cs="Arial"/>
          <w:b/>
          <w:bCs/>
          <w:sz w:val="22"/>
          <w:szCs w:val="22"/>
        </w:rPr>
        <w:t>Defining Person-Centred Care: Benefits and Limitations</w:t>
      </w:r>
      <w:r>
        <w:rPr>
          <w:rFonts w:ascii="Arial" w:hAnsi="Arial" w:cs="Arial"/>
          <w:b/>
          <w:bCs/>
          <w:sz w:val="22"/>
          <w:szCs w:val="22"/>
        </w:rPr>
        <w:t xml:space="preserve"> </w:t>
      </w:r>
      <w:r w:rsidR="008E480D">
        <w:rPr>
          <w:rFonts w:ascii="Arial" w:hAnsi="Arial" w:cs="Arial"/>
          <w:b/>
          <w:bCs/>
          <w:sz w:val="22"/>
          <w:szCs w:val="22"/>
        </w:rPr>
        <w:t>within the hospital sector -</w:t>
      </w:r>
    </w:p>
    <w:p w14:paraId="4ACBDDF1" w14:textId="77777777" w:rsidR="00374B8A" w:rsidRDefault="00CF68AF" w:rsidP="007A5DA9">
      <w:pPr>
        <w:spacing w:line="360" w:lineRule="auto"/>
        <w:rPr>
          <w:rFonts w:ascii="Arial" w:hAnsi="Arial" w:cs="Arial"/>
          <w:sz w:val="22"/>
          <w:szCs w:val="22"/>
        </w:rPr>
      </w:pPr>
      <w:r w:rsidRPr="00CF68AF">
        <w:rPr>
          <w:rFonts w:ascii="Arial" w:hAnsi="Arial" w:cs="Arial"/>
          <w:sz w:val="22"/>
          <w:szCs w:val="22"/>
        </w:rPr>
        <w:t>Person-centred care (PCC) is a model of health and social care that prioritises the individual as the focal point of all decision-making</w:t>
      </w:r>
      <w:r>
        <w:rPr>
          <w:rFonts w:ascii="Arial" w:hAnsi="Arial" w:cs="Arial"/>
          <w:sz w:val="22"/>
          <w:szCs w:val="22"/>
        </w:rPr>
        <w:t>, ensuring</w:t>
      </w:r>
      <w:r w:rsidRPr="00CF68AF">
        <w:rPr>
          <w:rFonts w:ascii="Arial" w:hAnsi="Arial" w:cs="Arial"/>
          <w:sz w:val="22"/>
          <w:szCs w:val="22"/>
        </w:rPr>
        <w:t xml:space="preserve"> that their values, preferences, and requirements inform how care is planned and </w:t>
      </w:r>
      <w:r w:rsidRPr="00CF68AF">
        <w:rPr>
          <w:rFonts w:ascii="Arial" w:hAnsi="Arial" w:cs="Arial"/>
          <w:sz w:val="22"/>
          <w:szCs w:val="22"/>
        </w:rPr>
        <w:t>delivered. It</w:t>
      </w:r>
      <w:r w:rsidRPr="00CF68AF">
        <w:rPr>
          <w:rFonts w:ascii="Arial" w:hAnsi="Arial" w:cs="Arial"/>
          <w:sz w:val="22"/>
          <w:szCs w:val="22"/>
        </w:rPr>
        <w:t xml:space="preserve"> promotes dignity, respect, and autonomy, enabling individuals to </w:t>
      </w:r>
      <w:r w:rsidRPr="00CF68AF">
        <w:rPr>
          <w:rFonts w:ascii="Arial" w:hAnsi="Arial" w:cs="Arial"/>
          <w:sz w:val="22"/>
          <w:szCs w:val="22"/>
        </w:rPr>
        <w:t>actively engage in their care rather than simply receive</w:t>
      </w:r>
      <w:r w:rsidRPr="00CF68AF">
        <w:rPr>
          <w:rFonts w:ascii="Arial" w:hAnsi="Arial" w:cs="Arial"/>
          <w:sz w:val="22"/>
          <w:szCs w:val="22"/>
        </w:rPr>
        <w:t xml:space="preserve"> it. According to NHS England, person-centred care </w:t>
      </w:r>
      <w:r w:rsidRPr="00CF68AF">
        <w:rPr>
          <w:rFonts w:ascii="Arial" w:hAnsi="Arial" w:cs="Arial"/>
          <w:sz w:val="22"/>
          <w:szCs w:val="22"/>
        </w:rPr>
        <w:t>focuses on understanding what truly matters to the individual, rather than solely</w:t>
      </w:r>
      <w:r w:rsidRPr="00CF68AF">
        <w:rPr>
          <w:rFonts w:ascii="Arial" w:hAnsi="Arial" w:cs="Arial"/>
          <w:sz w:val="22"/>
          <w:szCs w:val="22"/>
        </w:rPr>
        <w:t xml:space="preserve"> on their medical condition (NHS England, 2016). The Health Foundation adds that P</w:t>
      </w:r>
      <w:r w:rsidRPr="00CF68AF">
        <w:rPr>
          <w:rFonts w:ascii="Arial" w:hAnsi="Arial" w:cs="Arial"/>
          <w:sz w:val="22"/>
          <w:szCs w:val="22"/>
        </w:rPr>
        <w:t>erson</w:t>
      </w:r>
      <w:r w:rsidR="00F34E7F">
        <w:rPr>
          <w:rFonts w:ascii="Arial" w:hAnsi="Arial" w:cs="Arial"/>
          <w:sz w:val="22"/>
          <w:szCs w:val="22"/>
        </w:rPr>
        <w:t>-</w:t>
      </w:r>
      <w:r w:rsidRPr="00CF68AF">
        <w:rPr>
          <w:rFonts w:ascii="Arial" w:hAnsi="Arial" w:cs="Arial"/>
          <w:sz w:val="22"/>
          <w:szCs w:val="22"/>
        </w:rPr>
        <w:t>C</w:t>
      </w:r>
      <w:r w:rsidRPr="00CF68AF">
        <w:rPr>
          <w:rFonts w:ascii="Arial" w:hAnsi="Arial" w:cs="Arial"/>
          <w:sz w:val="22"/>
          <w:szCs w:val="22"/>
        </w:rPr>
        <w:t xml:space="preserve">entred </w:t>
      </w:r>
      <w:r w:rsidRPr="00CF68AF">
        <w:rPr>
          <w:rFonts w:ascii="Arial" w:hAnsi="Arial" w:cs="Arial"/>
          <w:sz w:val="22"/>
          <w:szCs w:val="22"/>
        </w:rPr>
        <w:t>C</w:t>
      </w:r>
      <w:r w:rsidRPr="00CF68AF">
        <w:rPr>
          <w:rFonts w:ascii="Arial" w:hAnsi="Arial" w:cs="Arial"/>
          <w:sz w:val="22"/>
          <w:szCs w:val="22"/>
        </w:rPr>
        <w:t xml:space="preserve">are </w:t>
      </w:r>
      <w:r w:rsidRPr="00CF68AF">
        <w:rPr>
          <w:rFonts w:ascii="Arial" w:hAnsi="Arial" w:cs="Arial"/>
          <w:sz w:val="22"/>
          <w:szCs w:val="22"/>
        </w:rPr>
        <w:t xml:space="preserve">fosters stronger connections between </w:t>
      </w:r>
      <w:r w:rsidRPr="00CF68AF">
        <w:rPr>
          <w:rFonts w:ascii="Arial" w:hAnsi="Arial" w:cs="Arial"/>
          <w:sz w:val="22"/>
          <w:szCs w:val="22"/>
        </w:rPr>
        <w:t>patients</w:t>
      </w:r>
      <w:r w:rsidRPr="00CF68AF">
        <w:rPr>
          <w:rFonts w:ascii="Arial" w:hAnsi="Arial" w:cs="Arial"/>
          <w:sz w:val="22"/>
          <w:szCs w:val="22"/>
        </w:rPr>
        <w:t xml:space="preserve"> and </w:t>
      </w:r>
      <w:r w:rsidRPr="00CF68AF">
        <w:rPr>
          <w:rFonts w:ascii="Arial" w:hAnsi="Arial" w:cs="Arial"/>
          <w:sz w:val="22"/>
          <w:szCs w:val="22"/>
        </w:rPr>
        <w:t xml:space="preserve">health care </w:t>
      </w:r>
      <w:r w:rsidRPr="00CF68AF">
        <w:rPr>
          <w:rFonts w:ascii="Arial" w:hAnsi="Arial" w:cs="Arial"/>
          <w:sz w:val="22"/>
          <w:szCs w:val="22"/>
        </w:rPr>
        <w:t>professionals</w:t>
      </w:r>
      <w:r w:rsidR="00F34E7F">
        <w:rPr>
          <w:rFonts w:ascii="Arial" w:hAnsi="Arial" w:cs="Arial"/>
          <w:sz w:val="22"/>
          <w:szCs w:val="22"/>
        </w:rPr>
        <w:t xml:space="preserve"> such as doctors and nurses</w:t>
      </w:r>
      <w:r w:rsidR="00B34D8A">
        <w:rPr>
          <w:rFonts w:ascii="Arial" w:hAnsi="Arial" w:cs="Arial"/>
          <w:sz w:val="22"/>
          <w:szCs w:val="22"/>
        </w:rPr>
        <w:t xml:space="preserve">. </w:t>
      </w:r>
      <w:r w:rsidRPr="00CF68AF">
        <w:rPr>
          <w:rFonts w:ascii="Arial" w:hAnsi="Arial" w:cs="Arial"/>
          <w:sz w:val="22"/>
          <w:szCs w:val="22"/>
        </w:rPr>
        <w:t>(The Health Foundation, 2014).</w:t>
      </w:r>
      <w:r w:rsidR="00B34D8A">
        <w:rPr>
          <w:rFonts w:ascii="Arial" w:hAnsi="Arial" w:cs="Arial"/>
          <w:sz w:val="22"/>
          <w:szCs w:val="22"/>
        </w:rPr>
        <w:t xml:space="preserve"> </w:t>
      </w:r>
      <w:r w:rsidR="00B34D8A" w:rsidRPr="00B34D8A">
        <w:rPr>
          <w:rFonts w:ascii="Arial" w:hAnsi="Arial" w:cs="Arial"/>
          <w:sz w:val="22"/>
          <w:szCs w:val="22"/>
        </w:rPr>
        <w:t>Within the hospital sector, PCC is particularly important due to the fast-paced and often high-pressure environment. Hospitals traditionally follow structured, medically driven routines; however, PCC encourages practitioners to involve patients in decisions about treatments, discharge planning, and care preferences. This can improve patient experience, reduce anxiety, and support better recovery outcomes, especially during long-term or complex admissions</w:t>
      </w:r>
      <w:r w:rsidR="00374B8A">
        <w:rPr>
          <w:rFonts w:ascii="Arial" w:hAnsi="Arial" w:cs="Arial"/>
          <w:sz w:val="22"/>
          <w:szCs w:val="22"/>
        </w:rPr>
        <w:t xml:space="preserve">. </w:t>
      </w:r>
      <w:r w:rsidRPr="00CF68AF">
        <w:rPr>
          <w:rFonts w:ascii="Arial" w:hAnsi="Arial" w:cs="Arial"/>
          <w:sz w:val="22"/>
          <w:szCs w:val="22"/>
        </w:rPr>
        <w:t>The advantages of P</w:t>
      </w:r>
      <w:r w:rsidR="000C3888">
        <w:rPr>
          <w:rFonts w:ascii="Arial" w:hAnsi="Arial" w:cs="Arial"/>
          <w:sz w:val="22"/>
          <w:szCs w:val="22"/>
        </w:rPr>
        <w:t>erson-Centred Care</w:t>
      </w:r>
      <w:r w:rsidRPr="00CF68AF">
        <w:rPr>
          <w:rFonts w:ascii="Arial" w:hAnsi="Arial" w:cs="Arial"/>
          <w:sz w:val="22"/>
          <w:szCs w:val="22"/>
        </w:rPr>
        <w:t xml:space="preserve"> encompass enhanced patient satisfaction, improved health outcomes, and increased involvement in one's own care. It upholds individual autonomy and can foster greater trust between patients and practitioners.</w:t>
      </w:r>
    </w:p>
    <w:p w14:paraId="29809FDE" w14:textId="7C685D2F" w:rsidR="00B74E4B" w:rsidRDefault="00CF68AF" w:rsidP="007A5DA9">
      <w:pPr>
        <w:spacing w:line="360" w:lineRule="auto"/>
        <w:rPr>
          <w:rFonts w:ascii="Arial" w:hAnsi="Arial" w:cs="Arial"/>
          <w:sz w:val="22"/>
          <w:szCs w:val="22"/>
        </w:rPr>
      </w:pPr>
      <w:r w:rsidRPr="00CF68AF">
        <w:rPr>
          <w:rFonts w:ascii="Arial" w:hAnsi="Arial" w:cs="Arial"/>
          <w:sz w:val="22"/>
          <w:szCs w:val="22"/>
        </w:rPr>
        <w:t xml:space="preserve"> Nevertheless, challenges exist</w:t>
      </w:r>
      <w:r w:rsidR="000C3888">
        <w:rPr>
          <w:rFonts w:ascii="Arial" w:hAnsi="Arial" w:cs="Arial"/>
          <w:sz w:val="22"/>
          <w:szCs w:val="22"/>
        </w:rPr>
        <w:t xml:space="preserve"> which can limit the benefits of Person-Centred Care. </w:t>
      </w:r>
      <w:r w:rsidR="006D7A0B" w:rsidRPr="006D7A0B">
        <w:rPr>
          <w:rFonts w:ascii="Arial" w:hAnsi="Arial" w:cs="Arial"/>
          <w:sz w:val="22"/>
          <w:szCs w:val="22"/>
        </w:rPr>
        <w:t xml:space="preserve">Olsson </w:t>
      </w:r>
      <w:r w:rsidR="006D7A0B" w:rsidRPr="006D7A0B">
        <w:rPr>
          <w:rFonts w:ascii="Arial" w:hAnsi="Arial" w:cs="Arial"/>
          <w:i/>
          <w:iCs/>
          <w:sz w:val="22"/>
          <w:szCs w:val="22"/>
        </w:rPr>
        <w:t>et al</w:t>
      </w:r>
      <w:r w:rsidR="006D7A0B" w:rsidRPr="006D7A0B">
        <w:rPr>
          <w:rFonts w:ascii="Arial" w:hAnsi="Arial" w:cs="Arial"/>
          <w:sz w:val="22"/>
          <w:szCs w:val="22"/>
        </w:rPr>
        <w:t>. (2013) argue</w:t>
      </w:r>
      <w:r w:rsidR="00B74E4B">
        <w:rPr>
          <w:rFonts w:ascii="Arial" w:hAnsi="Arial" w:cs="Arial"/>
          <w:sz w:val="22"/>
          <w:szCs w:val="22"/>
        </w:rPr>
        <w:t xml:space="preserve">s </w:t>
      </w:r>
      <w:r w:rsidR="006D7A0B" w:rsidRPr="006D7A0B">
        <w:rPr>
          <w:rFonts w:ascii="Arial" w:hAnsi="Arial" w:cs="Arial"/>
          <w:sz w:val="22"/>
          <w:szCs w:val="22"/>
        </w:rPr>
        <w:t>that</w:t>
      </w:r>
      <w:r w:rsidR="006D7A0B">
        <w:rPr>
          <w:rFonts w:ascii="Arial" w:hAnsi="Arial" w:cs="Arial"/>
          <w:sz w:val="22"/>
          <w:szCs w:val="22"/>
        </w:rPr>
        <w:t xml:space="preserve"> Person-Centred Care d</w:t>
      </w:r>
      <w:r w:rsidRPr="00CF68AF">
        <w:rPr>
          <w:rFonts w:ascii="Arial" w:hAnsi="Arial" w:cs="Arial"/>
          <w:sz w:val="22"/>
          <w:szCs w:val="22"/>
        </w:rPr>
        <w:t xml:space="preserve">emands considerable time and can </w:t>
      </w:r>
      <w:r>
        <w:rPr>
          <w:rFonts w:ascii="Arial" w:hAnsi="Arial" w:cs="Arial"/>
          <w:sz w:val="22"/>
          <w:szCs w:val="22"/>
        </w:rPr>
        <w:t xml:space="preserve">be </w:t>
      </w:r>
      <w:r>
        <w:rPr>
          <w:rFonts w:ascii="Arial" w:hAnsi="Arial" w:cs="Arial"/>
          <w:sz w:val="22"/>
          <w:szCs w:val="22"/>
        </w:rPr>
        <w:lastRenderedPageBreak/>
        <w:t xml:space="preserve">difficult to implement in </w:t>
      </w:r>
      <w:r w:rsidR="000C3888">
        <w:rPr>
          <w:rFonts w:ascii="Arial" w:hAnsi="Arial" w:cs="Arial"/>
          <w:sz w:val="22"/>
          <w:szCs w:val="22"/>
        </w:rPr>
        <w:t xml:space="preserve">resource-constrained or staff-limited </w:t>
      </w:r>
      <w:r w:rsidR="00CD4394">
        <w:rPr>
          <w:rFonts w:ascii="Arial" w:hAnsi="Arial" w:cs="Arial"/>
          <w:sz w:val="22"/>
          <w:szCs w:val="22"/>
        </w:rPr>
        <w:t xml:space="preserve">hospital environments. </w:t>
      </w:r>
      <w:r w:rsidR="006E25EE" w:rsidRPr="006E25EE">
        <w:rPr>
          <w:rFonts w:ascii="Arial" w:hAnsi="Arial" w:cs="Arial"/>
          <w:sz w:val="22"/>
          <w:szCs w:val="22"/>
        </w:rPr>
        <w:t>Furthermore, practitioners in hospital settings may require additional training to effectively deliver person-centred care, particularly in developing communication and shared decision-making skills within fast-paced environments. Reconciling individual patient preferences with organisational protocols or clinical standards can also present challenges in hospitals, where strict guidelines, time pressures, and the need to prioritise patient safety may limit the extent to which personal choices can be accommodated</w:t>
      </w:r>
      <w:r w:rsidR="00F97D38">
        <w:rPr>
          <w:rFonts w:ascii="Arial" w:hAnsi="Arial" w:cs="Arial"/>
          <w:sz w:val="22"/>
          <w:szCs w:val="22"/>
        </w:rPr>
        <w:t xml:space="preserve"> (</w:t>
      </w:r>
      <w:r w:rsidR="00F97D38" w:rsidRPr="00F97D38">
        <w:rPr>
          <w:rFonts w:ascii="Arial" w:hAnsi="Arial" w:cs="Arial"/>
          <w:sz w:val="22"/>
          <w:szCs w:val="22"/>
        </w:rPr>
        <w:t>West, Barron and Reeves, 2005</w:t>
      </w:r>
      <w:r w:rsidR="00590089">
        <w:rPr>
          <w:rFonts w:ascii="Arial" w:hAnsi="Arial" w:cs="Arial"/>
          <w:sz w:val="22"/>
          <w:szCs w:val="22"/>
        </w:rPr>
        <w:t>).</w:t>
      </w:r>
    </w:p>
    <w:p w14:paraId="7329A095" w14:textId="5CFFE4CA" w:rsidR="00C07F0A" w:rsidRDefault="00DB0A0A" w:rsidP="00C07F0A">
      <w:pPr>
        <w:spacing w:line="360" w:lineRule="auto"/>
        <w:rPr>
          <w:rFonts w:ascii="Arial" w:hAnsi="Arial" w:cs="Arial"/>
          <w:b/>
          <w:bCs/>
          <w:sz w:val="22"/>
          <w:szCs w:val="22"/>
        </w:rPr>
      </w:pPr>
      <w:r>
        <w:rPr>
          <w:rFonts w:ascii="Arial" w:hAnsi="Arial" w:cs="Arial"/>
          <w:b/>
          <w:bCs/>
          <w:sz w:val="22"/>
          <w:szCs w:val="22"/>
        </w:rPr>
        <w:t xml:space="preserve">Fundamentals of Care </w:t>
      </w:r>
      <w:r w:rsidR="00C07F0A" w:rsidRPr="00C07F0A">
        <w:rPr>
          <w:rFonts w:ascii="Arial" w:hAnsi="Arial" w:cs="Arial"/>
          <w:b/>
          <w:bCs/>
          <w:sz w:val="22"/>
          <w:szCs w:val="22"/>
        </w:rPr>
        <w:t>model which underpins PCC</w:t>
      </w:r>
      <w:r w:rsidR="00C07F0A" w:rsidRPr="00C07F0A">
        <w:rPr>
          <w:rFonts w:ascii="Arial" w:hAnsi="Arial" w:cs="Arial"/>
          <w:b/>
          <w:bCs/>
          <w:sz w:val="22"/>
          <w:szCs w:val="22"/>
        </w:rPr>
        <w:t xml:space="preserve"> – </w:t>
      </w:r>
    </w:p>
    <w:p w14:paraId="68E4D272" w14:textId="77777777" w:rsidR="0054086F" w:rsidRPr="0054086F" w:rsidRDefault="0054086F" w:rsidP="0054086F">
      <w:pPr>
        <w:spacing w:line="360" w:lineRule="auto"/>
        <w:rPr>
          <w:rFonts w:ascii="Arial" w:hAnsi="Arial" w:cs="Arial"/>
          <w:sz w:val="22"/>
          <w:szCs w:val="22"/>
        </w:rPr>
      </w:pPr>
      <w:r w:rsidRPr="0054086F">
        <w:rPr>
          <w:rFonts w:ascii="Arial" w:hAnsi="Arial" w:cs="Arial"/>
          <w:sz w:val="22"/>
          <w:szCs w:val="22"/>
        </w:rPr>
        <w:t>A key model that supports Person-Centred Care (PCC) is the Fundamentals of Care Framework, developed by Kitson et al. (2013). This model sets out three connected elements: the relationship between the nurse and the patient, the combination of physical, emotional and social care, and the work environment that either helps or hinders good care. At the heart of this framework is the idea that basic care cannot be done well without a trusting relationship between the practitioner and the individual.</w:t>
      </w:r>
    </w:p>
    <w:p w14:paraId="2D6A3FEC" w14:textId="77777777" w:rsidR="0054086F" w:rsidRPr="0054086F" w:rsidRDefault="0054086F" w:rsidP="0054086F">
      <w:pPr>
        <w:spacing w:line="360" w:lineRule="auto"/>
        <w:rPr>
          <w:rFonts w:ascii="Arial" w:hAnsi="Arial" w:cs="Arial"/>
          <w:sz w:val="22"/>
          <w:szCs w:val="22"/>
        </w:rPr>
      </w:pPr>
      <w:r w:rsidRPr="0054086F">
        <w:rPr>
          <w:rFonts w:ascii="Arial" w:hAnsi="Arial" w:cs="Arial"/>
          <w:sz w:val="22"/>
          <w:szCs w:val="22"/>
        </w:rPr>
        <w:t>This model supports the principles of PCC by making the relationship between the patient and professional the central focus. This matches the PCC aim of treating people with dignity and respect and involving them in their own care. The framework also moves away from simply completing tasks and instead encourages practitioners to understand what matters to the person receiving care (Kitson et al., 2013). It also acknowledges that for PCC to work well, the organisation must provide the right support, such as good leadership and enough staff.</w:t>
      </w:r>
    </w:p>
    <w:p w14:paraId="602318C6" w14:textId="77777777" w:rsidR="0054086F" w:rsidRDefault="0054086F" w:rsidP="0054086F">
      <w:pPr>
        <w:spacing w:line="360" w:lineRule="auto"/>
        <w:rPr>
          <w:rFonts w:ascii="Arial" w:hAnsi="Arial" w:cs="Arial"/>
          <w:sz w:val="22"/>
          <w:szCs w:val="22"/>
        </w:rPr>
      </w:pPr>
      <w:r w:rsidRPr="0054086F">
        <w:rPr>
          <w:rFonts w:ascii="Arial" w:hAnsi="Arial" w:cs="Arial"/>
          <w:sz w:val="22"/>
          <w:szCs w:val="22"/>
        </w:rPr>
        <w:t>In a hospital setting, this model can be used to shape how care is given. For example, when caring for an older patient, a nurse would not just complete personal care tasks but would first build a relationship, ask about the patient's preferences, and ensure the environment supports the patient's dignity. Feo et al. (2017) suggest that using this framework helps prevent basic care from being overlooked in busy hospital wards by offering a clear but relationship-focused way of working.</w:t>
      </w:r>
    </w:p>
    <w:p w14:paraId="7087359B" w14:textId="7FFD552C" w:rsidR="00C234E7" w:rsidRDefault="00C234E7" w:rsidP="00C234E7">
      <w:pPr>
        <w:spacing w:line="360" w:lineRule="auto"/>
        <w:rPr>
          <w:rFonts w:ascii="Arial" w:hAnsi="Arial" w:cs="Arial"/>
          <w:b/>
          <w:bCs/>
          <w:sz w:val="22"/>
          <w:szCs w:val="22"/>
        </w:rPr>
      </w:pPr>
      <w:r w:rsidRPr="00C234E7">
        <w:rPr>
          <w:rFonts w:ascii="Arial" w:hAnsi="Arial" w:cs="Arial"/>
          <w:b/>
          <w:bCs/>
          <w:sz w:val="22"/>
          <w:szCs w:val="22"/>
        </w:rPr>
        <w:t>Analy</w:t>
      </w:r>
      <w:r w:rsidR="00EE1095">
        <w:rPr>
          <w:rFonts w:ascii="Arial" w:hAnsi="Arial" w:cs="Arial"/>
          <w:b/>
          <w:bCs/>
          <w:sz w:val="22"/>
          <w:szCs w:val="22"/>
        </w:rPr>
        <w:t xml:space="preserve">sis of </w:t>
      </w:r>
      <w:r w:rsidR="00FD5660">
        <w:rPr>
          <w:rFonts w:ascii="Arial" w:hAnsi="Arial" w:cs="Arial"/>
          <w:b/>
          <w:bCs/>
          <w:sz w:val="22"/>
          <w:szCs w:val="22"/>
        </w:rPr>
        <w:t>the E</w:t>
      </w:r>
      <w:r w:rsidRPr="00C234E7">
        <w:rPr>
          <w:rFonts w:ascii="Arial" w:hAnsi="Arial" w:cs="Arial"/>
          <w:b/>
          <w:bCs/>
          <w:sz w:val="22"/>
          <w:szCs w:val="22"/>
        </w:rPr>
        <w:t>thical fundamentals of health and social care</w:t>
      </w:r>
      <w:r w:rsidRPr="00C234E7">
        <w:rPr>
          <w:rFonts w:ascii="Arial" w:hAnsi="Arial" w:cs="Arial"/>
          <w:b/>
          <w:bCs/>
          <w:sz w:val="22"/>
          <w:szCs w:val="22"/>
        </w:rPr>
        <w:t xml:space="preserve"> </w:t>
      </w:r>
      <w:r>
        <w:rPr>
          <w:rFonts w:ascii="Arial" w:hAnsi="Arial" w:cs="Arial"/>
          <w:b/>
          <w:bCs/>
          <w:sz w:val="22"/>
          <w:szCs w:val="22"/>
        </w:rPr>
        <w:t>–</w:t>
      </w:r>
    </w:p>
    <w:p w14:paraId="328CF6E3" w14:textId="77777777" w:rsidR="00DA2CDA" w:rsidRPr="00DA2CDA" w:rsidRDefault="00DA2CDA" w:rsidP="00DA2CDA">
      <w:pPr>
        <w:spacing w:line="360" w:lineRule="auto"/>
        <w:rPr>
          <w:rFonts w:ascii="Arial" w:hAnsi="Arial" w:cs="Arial"/>
          <w:sz w:val="22"/>
          <w:szCs w:val="22"/>
        </w:rPr>
      </w:pPr>
      <w:r w:rsidRPr="00DA2CDA">
        <w:rPr>
          <w:rFonts w:ascii="Arial" w:hAnsi="Arial" w:cs="Arial"/>
          <w:sz w:val="22"/>
          <w:szCs w:val="22"/>
        </w:rPr>
        <w:t>The key ethical principles guiding health and social care are autonomy, beneficence, non-maleficence, and justice (Beauchamp and Childress, 2019). Autonomy means respecting a person's right to make their own choices. Beneficence involves acting in the individual's best interest. Non-maleficence means avoiding harm. Justice requires fair and equal treatment for all.</w:t>
      </w:r>
    </w:p>
    <w:p w14:paraId="64E83914" w14:textId="77777777" w:rsidR="00DA2CDA" w:rsidRPr="00DA2CDA" w:rsidRDefault="00DA2CDA" w:rsidP="00DA2CDA">
      <w:pPr>
        <w:spacing w:line="360" w:lineRule="auto"/>
        <w:rPr>
          <w:rFonts w:ascii="Arial" w:hAnsi="Arial" w:cs="Arial"/>
          <w:sz w:val="22"/>
          <w:szCs w:val="22"/>
        </w:rPr>
      </w:pPr>
      <w:r w:rsidRPr="00DA2CDA">
        <w:rPr>
          <w:rFonts w:ascii="Arial" w:hAnsi="Arial" w:cs="Arial"/>
          <w:sz w:val="22"/>
          <w:szCs w:val="22"/>
        </w:rPr>
        <w:lastRenderedPageBreak/>
        <w:t>These principles are closely linked to Person-Centred Care (PCC) and Partnership Working (PW). Autonomy supports PCC by ensuring that care reflects what matters to the individual. Beneficence and non-maleficence help professionals balance what is clinically helpful with the need to avoid causing distress. Justice supports PW by encouraging different agencies to work together to provide fair access to care (NHS England, 2019).</w:t>
      </w:r>
    </w:p>
    <w:p w14:paraId="3BE2B392" w14:textId="77777777" w:rsidR="00DA2CDA" w:rsidRDefault="00DA2CDA" w:rsidP="00DA2CDA">
      <w:pPr>
        <w:spacing w:line="360" w:lineRule="auto"/>
        <w:rPr>
          <w:rFonts w:ascii="Arial" w:hAnsi="Arial" w:cs="Arial"/>
          <w:sz w:val="22"/>
          <w:szCs w:val="22"/>
        </w:rPr>
      </w:pPr>
      <w:r w:rsidRPr="00DA2CDA">
        <w:rPr>
          <w:rFonts w:ascii="Arial" w:hAnsi="Arial" w:cs="Arial"/>
          <w:sz w:val="22"/>
          <w:szCs w:val="22"/>
        </w:rPr>
        <w:t>In a hospital setting, ethical dilemmas can arise. For example, an older patient with dementia may resist personal care, becoming distressed when staff try to assist. Nurses face a dilemma between non-maleficence (avoiding distress) and beneficence (maintaining hygiene to prevent infection). Differing viewpoints may exist: some staff may feel it is essential to complete the task, while others may prioritise the patient's emotional well-being. Resolution requires partnership working between nursing staff, the patient's family, and an occupational therapist to develop a care plan that respects the patient's needs while minimising distress (NMC, 2018).</w:t>
      </w:r>
    </w:p>
    <w:p w14:paraId="19B0F494" w14:textId="15B0AC19" w:rsidR="00270E7E" w:rsidRDefault="00270E7E" w:rsidP="00270E7E">
      <w:pPr>
        <w:spacing w:line="360" w:lineRule="auto"/>
        <w:rPr>
          <w:rFonts w:ascii="Arial" w:hAnsi="Arial" w:cs="Arial"/>
          <w:b/>
          <w:bCs/>
          <w:sz w:val="22"/>
          <w:szCs w:val="22"/>
        </w:rPr>
      </w:pPr>
      <w:r w:rsidRPr="00270E7E">
        <w:rPr>
          <w:rFonts w:ascii="Arial" w:hAnsi="Arial" w:cs="Arial"/>
          <w:b/>
          <w:bCs/>
          <w:sz w:val="22"/>
          <w:szCs w:val="22"/>
        </w:rPr>
        <w:t>Evaluat</w:t>
      </w:r>
      <w:r w:rsidR="00F63AA0">
        <w:rPr>
          <w:rFonts w:ascii="Arial" w:hAnsi="Arial" w:cs="Arial"/>
          <w:b/>
          <w:bCs/>
          <w:sz w:val="22"/>
          <w:szCs w:val="22"/>
        </w:rPr>
        <w:t xml:space="preserve">ion of </w:t>
      </w:r>
      <w:r w:rsidRPr="00270E7E">
        <w:rPr>
          <w:rFonts w:ascii="Arial" w:hAnsi="Arial" w:cs="Arial"/>
          <w:b/>
          <w:bCs/>
          <w:sz w:val="22"/>
          <w:szCs w:val="22"/>
        </w:rPr>
        <w:t>partnership working in health and social care</w:t>
      </w:r>
      <w:r w:rsidRPr="00270E7E">
        <w:rPr>
          <w:rFonts w:ascii="Arial" w:hAnsi="Arial" w:cs="Arial"/>
          <w:b/>
          <w:bCs/>
          <w:sz w:val="22"/>
          <w:szCs w:val="22"/>
        </w:rPr>
        <w:t xml:space="preserve"> </w:t>
      </w:r>
      <w:r w:rsidR="009410E8">
        <w:rPr>
          <w:rFonts w:ascii="Arial" w:hAnsi="Arial" w:cs="Arial"/>
          <w:b/>
          <w:bCs/>
          <w:sz w:val="22"/>
          <w:szCs w:val="22"/>
        </w:rPr>
        <w:t xml:space="preserve">and </w:t>
      </w:r>
      <w:r w:rsidR="001F05C6">
        <w:rPr>
          <w:rFonts w:ascii="Arial" w:hAnsi="Arial" w:cs="Arial"/>
          <w:b/>
          <w:bCs/>
          <w:sz w:val="22"/>
          <w:szCs w:val="22"/>
        </w:rPr>
        <w:t xml:space="preserve">application in a hospital setting - </w:t>
      </w:r>
    </w:p>
    <w:p w14:paraId="72095089" w14:textId="77777777" w:rsidR="005B4140" w:rsidRPr="005B4140" w:rsidRDefault="005B4140" w:rsidP="005B4140">
      <w:pPr>
        <w:spacing w:line="360" w:lineRule="auto"/>
        <w:rPr>
          <w:rFonts w:ascii="Arial" w:hAnsi="Arial" w:cs="Arial"/>
          <w:sz w:val="22"/>
          <w:szCs w:val="22"/>
        </w:rPr>
      </w:pPr>
      <w:r w:rsidRPr="005B4140">
        <w:rPr>
          <w:rFonts w:ascii="Arial" w:hAnsi="Arial" w:cs="Arial"/>
          <w:sz w:val="22"/>
          <w:szCs w:val="22"/>
        </w:rPr>
        <w:t>Partnership working (PW) refers to the collaboration between different organisations, professionals, service users, and their families to achieve shared goals in health and social care (Glasby and Dickinson, 2014). Unlike traditional models where services operated separately, PW aims to create a seamless system where care is coordinated across traditional boundaries. Its importance has grown significantly with the introduction of Integrated Care Systems (ICSs), which legally require NHS bodies, local authorities, and voluntary organisations to work together to plan and deliver joined-up services (Department of Health and Social Care, 2022). This structural change reflects a recognition that complex health and social care needs cannot be met by any single agency working in isolation.</w:t>
      </w:r>
    </w:p>
    <w:p w14:paraId="6A637D12" w14:textId="77777777" w:rsidR="005B4140" w:rsidRPr="005B4140" w:rsidRDefault="005B4140" w:rsidP="005B4140">
      <w:pPr>
        <w:spacing w:line="360" w:lineRule="auto"/>
        <w:rPr>
          <w:rFonts w:ascii="Arial" w:hAnsi="Arial" w:cs="Arial"/>
          <w:sz w:val="22"/>
          <w:szCs w:val="22"/>
        </w:rPr>
      </w:pPr>
      <w:r w:rsidRPr="005B4140">
        <w:rPr>
          <w:rFonts w:ascii="Arial" w:hAnsi="Arial" w:cs="Arial"/>
          <w:sz w:val="22"/>
          <w:szCs w:val="22"/>
        </w:rPr>
        <w:t>The benefits of PW are well documented. When professionals share information and coordinate their efforts effectively, service users experience fewer gaps in care, reduced hospital admissions, and improved overall outcomes (NHS England, 2019). For professionals, PW fosters shared learning and mutual support. However, significant challenges remain. Coordination issues often arise due to different funding streams, accountability structures, and incompatible IT systems between organisations. Communication barriers can also occur when professionals from different backgrounds use conflicting language or hold differing priorities (Glasby and Dickinson, 2014). Power imbalances between medical and social care staff can further hinder effective collaboration.</w:t>
      </w:r>
    </w:p>
    <w:p w14:paraId="05C20B90" w14:textId="77777777" w:rsidR="005B4140" w:rsidRPr="005B4140" w:rsidRDefault="005B4140" w:rsidP="005B4140">
      <w:pPr>
        <w:spacing w:line="360" w:lineRule="auto"/>
        <w:rPr>
          <w:rFonts w:ascii="Arial" w:hAnsi="Arial" w:cs="Arial"/>
          <w:sz w:val="22"/>
          <w:szCs w:val="22"/>
        </w:rPr>
      </w:pPr>
      <w:r w:rsidRPr="005B4140">
        <w:rPr>
          <w:rFonts w:ascii="Arial" w:hAnsi="Arial" w:cs="Arial"/>
          <w:sz w:val="22"/>
          <w:szCs w:val="22"/>
        </w:rPr>
        <w:t xml:space="preserve">In a hospital setting, PW is essential for safe and timely discharges. A discharge planning team typically involves doctors, nurses, social workers, physiotherapists, and family </w:t>
      </w:r>
      <w:r w:rsidRPr="005B4140">
        <w:rPr>
          <w:rFonts w:ascii="Arial" w:hAnsi="Arial" w:cs="Arial"/>
          <w:sz w:val="22"/>
          <w:szCs w:val="22"/>
        </w:rPr>
        <w:lastRenderedPageBreak/>
        <w:t>members working together to ensure a patient leaving hospital has appropriate support at home. Without effective PW, delays occur, bed capacity is reduced, and patients may face readmission due to inadequate follow-up care. The overall impact of PW on services is significant, as it promotes efficiency, reduces duplication, and supports a more sustainable system. However, its success depends on strong leadership, shared accountability, and a culture that values collaboration across all partners.</w:t>
      </w:r>
    </w:p>
    <w:p w14:paraId="36C04E05" w14:textId="507ED3EA" w:rsidR="00FD67F6" w:rsidRDefault="00FD67F6" w:rsidP="00D7225D">
      <w:pPr>
        <w:spacing w:line="360" w:lineRule="auto"/>
        <w:rPr>
          <w:rFonts w:ascii="Arial" w:hAnsi="Arial" w:cs="Arial"/>
          <w:b/>
          <w:bCs/>
          <w:sz w:val="22"/>
          <w:szCs w:val="22"/>
        </w:rPr>
      </w:pPr>
      <w:r w:rsidRPr="00C82A31">
        <w:rPr>
          <w:rFonts w:ascii="Arial" w:hAnsi="Arial" w:cs="Arial"/>
          <w:b/>
          <w:bCs/>
          <w:sz w:val="22"/>
          <w:szCs w:val="22"/>
        </w:rPr>
        <w:t xml:space="preserve">Policy </w:t>
      </w:r>
      <w:r w:rsidR="00562DF8">
        <w:rPr>
          <w:rFonts w:ascii="Arial" w:hAnsi="Arial" w:cs="Arial"/>
          <w:b/>
          <w:bCs/>
          <w:sz w:val="22"/>
          <w:szCs w:val="22"/>
        </w:rPr>
        <w:t xml:space="preserve">and </w:t>
      </w:r>
      <w:r w:rsidRPr="00C82A31">
        <w:rPr>
          <w:rFonts w:ascii="Arial" w:hAnsi="Arial" w:cs="Arial"/>
          <w:b/>
          <w:bCs/>
          <w:sz w:val="22"/>
          <w:szCs w:val="22"/>
        </w:rPr>
        <w:t xml:space="preserve">Legislation </w:t>
      </w:r>
      <w:r w:rsidR="00562DF8">
        <w:rPr>
          <w:rFonts w:ascii="Arial" w:hAnsi="Arial" w:cs="Arial"/>
          <w:b/>
          <w:bCs/>
          <w:sz w:val="22"/>
          <w:szCs w:val="22"/>
        </w:rPr>
        <w:t>–</w:t>
      </w:r>
      <w:r w:rsidRPr="00C82A31">
        <w:rPr>
          <w:rFonts w:ascii="Arial" w:hAnsi="Arial" w:cs="Arial"/>
          <w:b/>
          <w:bCs/>
          <w:sz w:val="22"/>
          <w:szCs w:val="22"/>
        </w:rPr>
        <w:t xml:space="preserve"> </w:t>
      </w:r>
    </w:p>
    <w:p w14:paraId="3EAB772B" w14:textId="77777777" w:rsidR="00D03533" w:rsidRPr="00D03533" w:rsidRDefault="00D03533" w:rsidP="00D03533">
      <w:pPr>
        <w:spacing w:line="360" w:lineRule="auto"/>
        <w:rPr>
          <w:rFonts w:ascii="Arial" w:hAnsi="Arial" w:cs="Arial"/>
          <w:sz w:val="22"/>
          <w:szCs w:val="22"/>
        </w:rPr>
      </w:pPr>
      <w:r w:rsidRPr="00D03533">
        <w:rPr>
          <w:rFonts w:ascii="Arial" w:hAnsi="Arial" w:cs="Arial"/>
          <w:sz w:val="22"/>
          <w:szCs w:val="22"/>
        </w:rPr>
        <w:t>The legal and policy framework in the UK provides the foundation for Person-Centred Care (PCC) and Partnership Working (PW). The Health and Social Care Act 2012 introduced a legal duty to involve patients in decisions about their care, embedding PCC into the NHS Constitution (Department of Health, 2012). More recently, the Health and Care Act 2022 established Integrated Care Systems (ICSs), making partnership working a statutory requirement by mandating NHS organisations, local authorities, and voluntary sector partners to collaborate on planning and delivering services (Department of Health and Social Care, 2022). The Care Act 2014 reinforces PCC by placing the individual's well-being at the centre of social care practice, promoting choice and control (HM Government, 2014).</w:t>
      </w:r>
    </w:p>
    <w:p w14:paraId="53077A2C" w14:textId="77777777" w:rsidR="00D03533" w:rsidRPr="00D03533" w:rsidRDefault="00D03533" w:rsidP="00D03533">
      <w:pPr>
        <w:spacing w:line="360" w:lineRule="auto"/>
        <w:rPr>
          <w:rFonts w:ascii="Arial" w:hAnsi="Arial" w:cs="Arial"/>
          <w:sz w:val="22"/>
          <w:szCs w:val="22"/>
        </w:rPr>
      </w:pPr>
      <w:r w:rsidRPr="00D03533">
        <w:rPr>
          <w:rFonts w:ascii="Arial" w:hAnsi="Arial" w:cs="Arial"/>
          <w:sz w:val="22"/>
          <w:szCs w:val="22"/>
        </w:rPr>
        <w:t>These policies strongly support PCC by giving service users greater involvement in their care. The 2022 Act supports PW by creating formal structures for integration. However, challenges remain. While legislation mandates structures for collaboration, it does not fully address the cultural and financial barriers that hinder effective partnership working on the ground (Glasby, 2017).</w:t>
      </w:r>
    </w:p>
    <w:p w14:paraId="60E6C3BF" w14:textId="77777777" w:rsidR="00D03533" w:rsidRDefault="00D03533" w:rsidP="00D03533">
      <w:pPr>
        <w:spacing w:line="360" w:lineRule="auto"/>
        <w:rPr>
          <w:rFonts w:ascii="Arial" w:hAnsi="Arial" w:cs="Arial"/>
          <w:sz w:val="22"/>
          <w:szCs w:val="22"/>
        </w:rPr>
      </w:pPr>
      <w:r w:rsidRPr="00D03533">
        <w:rPr>
          <w:rFonts w:ascii="Arial" w:hAnsi="Arial" w:cs="Arial"/>
          <w:sz w:val="22"/>
          <w:szCs w:val="22"/>
        </w:rPr>
        <w:t>In a hospital setting, these laws have direct implications. For example, the Care Act 2014 requires hospitals to ensure patients are not discharged until their care needs are assessed and appropriate support is in place. This promotes PW by forcing collaboration between hospital discharge teams and social care services. The Equality Act 2010 requires hospitals to make reasonable adjustments for patients with disabilities, ensuring that PCC is accessible to all (Equality and Human Rights Commission, 2011).</w:t>
      </w:r>
    </w:p>
    <w:p w14:paraId="3C924E46" w14:textId="435E536E" w:rsidR="006C221D" w:rsidRPr="002D3E8E" w:rsidRDefault="006C221D" w:rsidP="00D03533">
      <w:pPr>
        <w:spacing w:line="360" w:lineRule="auto"/>
        <w:rPr>
          <w:rFonts w:ascii="Arial" w:hAnsi="Arial" w:cs="Arial"/>
          <w:b/>
          <w:bCs/>
          <w:sz w:val="22"/>
          <w:szCs w:val="22"/>
        </w:rPr>
      </w:pPr>
      <w:r w:rsidRPr="002D3E8E">
        <w:rPr>
          <w:rFonts w:ascii="Arial" w:hAnsi="Arial" w:cs="Arial"/>
          <w:b/>
          <w:bCs/>
          <w:sz w:val="22"/>
          <w:szCs w:val="22"/>
        </w:rPr>
        <w:t xml:space="preserve">Recommendations – </w:t>
      </w:r>
    </w:p>
    <w:p w14:paraId="3B327E3E" w14:textId="77777777" w:rsidR="002D3E8E" w:rsidRPr="002D3E8E" w:rsidRDefault="002D3E8E" w:rsidP="002D3E8E">
      <w:pPr>
        <w:spacing w:line="360" w:lineRule="auto"/>
        <w:rPr>
          <w:rFonts w:ascii="Arial" w:hAnsi="Arial" w:cs="Arial"/>
          <w:sz w:val="22"/>
          <w:szCs w:val="22"/>
        </w:rPr>
      </w:pPr>
      <w:r w:rsidRPr="002D3E8E">
        <w:rPr>
          <w:rFonts w:ascii="Arial" w:hAnsi="Arial" w:cs="Arial"/>
          <w:sz w:val="22"/>
          <w:szCs w:val="22"/>
        </w:rPr>
        <w:t>Despite policy advances, gaps remain in the implementation of Person-Centred Care (PCC) and Partnership Working (PW). Staff shortages, time pressures, and fragmented IT systems continue to hinder relational care and effective collaboration (Glasby and Dickinson, 2014). To address these challenges, the following recommendations are proposed.</w:t>
      </w:r>
    </w:p>
    <w:p w14:paraId="1B21E2B9" w14:textId="77777777" w:rsidR="002D3E8E" w:rsidRPr="002D3E8E" w:rsidRDefault="002D3E8E" w:rsidP="002D3E8E">
      <w:pPr>
        <w:spacing w:line="360" w:lineRule="auto"/>
        <w:rPr>
          <w:rFonts w:ascii="Arial" w:hAnsi="Arial" w:cs="Arial"/>
          <w:sz w:val="22"/>
          <w:szCs w:val="22"/>
        </w:rPr>
      </w:pPr>
      <w:r w:rsidRPr="002D3E8E">
        <w:rPr>
          <w:rFonts w:ascii="Arial" w:hAnsi="Arial" w:cs="Arial"/>
          <w:b/>
          <w:bCs/>
          <w:sz w:val="22"/>
          <w:szCs w:val="22"/>
        </w:rPr>
        <w:t>1. Enhance Digital Integration</w:t>
      </w:r>
      <w:r w:rsidRPr="002D3E8E">
        <w:rPr>
          <w:rFonts w:ascii="Arial" w:hAnsi="Arial" w:cs="Arial"/>
          <w:sz w:val="22"/>
          <w:szCs w:val="22"/>
        </w:rPr>
        <w:br/>
        <w:t xml:space="preserve">Investment in shared digital platforms across NHS and social care is essential. Unified </w:t>
      </w:r>
      <w:r w:rsidRPr="002D3E8E">
        <w:rPr>
          <w:rFonts w:ascii="Arial" w:hAnsi="Arial" w:cs="Arial"/>
          <w:sz w:val="22"/>
          <w:szCs w:val="22"/>
        </w:rPr>
        <w:lastRenderedPageBreak/>
        <w:t>electronic records would enable seamless information sharing, reducing duplication and supporting coordinated discharge planning in hospitals. However, this requires significant funding and robust data governance to address privacy concerns (The Health Foundation, 2021).</w:t>
      </w:r>
    </w:p>
    <w:p w14:paraId="7E0390A5" w14:textId="77777777" w:rsidR="002D3E8E" w:rsidRPr="002D3E8E" w:rsidRDefault="002D3E8E" w:rsidP="002D3E8E">
      <w:pPr>
        <w:spacing w:line="360" w:lineRule="auto"/>
        <w:rPr>
          <w:rFonts w:ascii="Arial" w:hAnsi="Arial" w:cs="Arial"/>
          <w:sz w:val="22"/>
          <w:szCs w:val="22"/>
        </w:rPr>
      </w:pPr>
      <w:r w:rsidRPr="002D3E8E">
        <w:rPr>
          <w:rFonts w:ascii="Arial" w:hAnsi="Arial" w:cs="Arial"/>
          <w:b/>
          <w:bCs/>
          <w:sz w:val="22"/>
          <w:szCs w:val="22"/>
        </w:rPr>
        <w:t>2. Mandate Co-Production in Service Design</w:t>
      </w:r>
      <w:r w:rsidRPr="002D3E8E">
        <w:rPr>
          <w:rFonts w:ascii="Arial" w:hAnsi="Arial" w:cs="Arial"/>
          <w:sz w:val="22"/>
          <w:szCs w:val="22"/>
        </w:rPr>
        <w:br/>
        <w:t>PCC would be strengthened by mandating co-production, where service users and carers are equal partners in planning care pathways. In hospitals, this could involve patient representatives on discharge planning teams. A potential barrier is the time and resources required to support meaningful involvement (NHS England, 2019).</w:t>
      </w:r>
    </w:p>
    <w:p w14:paraId="69D1080B" w14:textId="77777777" w:rsidR="002D3E8E" w:rsidRPr="002D3E8E" w:rsidRDefault="002D3E8E" w:rsidP="002D3E8E">
      <w:pPr>
        <w:spacing w:line="360" w:lineRule="auto"/>
        <w:rPr>
          <w:rFonts w:ascii="Arial" w:hAnsi="Arial" w:cs="Arial"/>
          <w:sz w:val="22"/>
          <w:szCs w:val="22"/>
        </w:rPr>
      </w:pPr>
      <w:r w:rsidRPr="002D3E8E">
        <w:rPr>
          <w:rFonts w:ascii="Arial" w:hAnsi="Arial" w:cs="Arial"/>
          <w:b/>
          <w:bCs/>
          <w:sz w:val="22"/>
          <w:szCs w:val="22"/>
        </w:rPr>
        <w:t>3. Invest in Relational Skills Training</w:t>
      </w:r>
      <w:r w:rsidRPr="002D3E8E">
        <w:rPr>
          <w:rFonts w:ascii="Arial" w:hAnsi="Arial" w:cs="Arial"/>
          <w:sz w:val="22"/>
          <w:szCs w:val="22"/>
        </w:rPr>
        <w:br/>
        <w:t>Workforce development should prioritise training in communication, empathy, and conflict resolution. Staff in hospital settings need protected time for reflective practice to build therapeutic relationships. The main limitation is cost and the challenge of releasing staff from clinical duties to attend training (McCormack and McCance, 2017).</w:t>
      </w:r>
    </w:p>
    <w:p w14:paraId="132E82D0" w14:textId="77777777" w:rsidR="002D3E8E" w:rsidRDefault="002D3E8E" w:rsidP="002D3E8E">
      <w:pPr>
        <w:spacing w:line="360" w:lineRule="auto"/>
        <w:rPr>
          <w:rFonts w:ascii="Arial" w:hAnsi="Arial" w:cs="Arial"/>
          <w:sz w:val="22"/>
          <w:szCs w:val="22"/>
        </w:rPr>
      </w:pPr>
      <w:r w:rsidRPr="002D3E8E">
        <w:rPr>
          <w:rFonts w:ascii="Arial" w:hAnsi="Arial" w:cs="Arial"/>
          <w:b/>
          <w:bCs/>
          <w:sz w:val="22"/>
          <w:szCs w:val="22"/>
        </w:rPr>
        <w:t>4. Strengthen Legislative Accountability</w:t>
      </w:r>
      <w:r w:rsidRPr="002D3E8E">
        <w:rPr>
          <w:rFonts w:ascii="Arial" w:hAnsi="Arial" w:cs="Arial"/>
          <w:sz w:val="22"/>
          <w:szCs w:val="22"/>
        </w:rPr>
        <w:br/>
        <w:t>Future policy should include clearer accountability mechanisms for integration, such as joint budgets for health and social care. This would reduce the financial silos that currently obstruct PW. However, political and organisational resistance to merging budgets remains a significant barrier (Glasby, 2017).</w:t>
      </w:r>
    </w:p>
    <w:p w14:paraId="7222B9AA" w14:textId="4DE6E731" w:rsidR="00656A4D" w:rsidRDefault="00656A4D" w:rsidP="002D3E8E">
      <w:pPr>
        <w:spacing w:line="360" w:lineRule="auto"/>
        <w:rPr>
          <w:rFonts w:ascii="Arial" w:hAnsi="Arial" w:cs="Arial"/>
          <w:b/>
          <w:bCs/>
          <w:sz w:val="22"/>
          <w:szCs w:val="22"/>
        </w:rPr>
      </w:pPr>
      <w:r w:rsidRPr="00656A4D">
        <w:rPr>
          <w:rFonts w:ascii="Arial" w:hAnsi="Arial" w:cs="Arial"/>
          <w:b/>
          <w:bCs/>
          <w:sz w:val="22"/>
          <w:szCs w:val="22"/>
        </w:rPr>
        <w:t xml:space="preserve">Conclusion </w:t>
      </w:r>
      <w:r>
        <w:rPr>
          <w:rFonts w:ascii="Arial" w:hAnsi="Arial" w:cs="Arial"/>
          <w:b/>
          <w:bCs/>
          <w:sz w:val="22"/>
          <w:szCs w:val="22"/>
        </w:rPr>
        <w:t>–</w:t>
      </w:r>
      <w:r w:rsidRPr="00656A4D">
        <w:rPr>
          <w:rFonts w:ascii="Arial" w:hAnsi="Arial" w:cs="Arial"/>
          <w:b/>
          <w:bCs/>
          <w:sz w:val="22"/>
          <w:szCs w:val="22"/>
        </w:rPr>
        <w:t xml:space="preserve"> </w:t>
      </w:r>
    </w:p>
    <w:p w14:paraId="540B0A10" w14:textId="77777777" w:rsidR="00B713D7" w:rsidRPr="00B713D7" w:rsidRDefault="00B713D7" w:rsidP="00B713D7">
      <w:pPr>
        <w:spacing w:line="360" w:lineRule="auto"/>
        <w:rPr>
          <w:rFonts w:ascii="Arial" w:hAnsi="Arial" w:cs="Arial"/>
          <w:sz w:val="22"/>
          <w:szCs w:val="22"/>
        </w:rPr>
      </w:pPr>
      <w:r w:rsidRPr="00B713D7">
        <w:rPr>
          <w:rFonts w:ascii="Arial" w:hAnsi="Arial" w:cs="Arial"/>
          <w:sz w:val="22"/>
          <w:szCs w:val="22"/>
        </w:rPr>
        <w:t>This report has examined Person-Centred Care (PCC) and Partnership Working (PW), demonstrating their central role in shaping modern health and social care across the UK. Both approaches represent a shift away from traditional, illness-focused models towards more holistic and collaborative forms of care delivery.</w:t>
      </w:r>
    </w:p>
    <w:p w14:paraId="468DE3F9" w14:textId="77777777" w:rsidR="00B713D7" w:rsidRPr="00B713D7" w:rsidRDefault="00B713D7" w:rsidP="00B713D7">
      <w:pPr>
        <w:spacing w:line="360" w:lineRule="auto"/>
        <w:rPr>
          <w:rFonts w:ascii="Arial" w:hAnsi="Arial" w:cs="Arial"/>
          <w:sz w:val="22"/>
          <w:szCs w:val="22"/>
        </w:rPr>
      </w:pPr>
      <w:r w:rsidRPr="00B713D7">
        <w:rPr>
          <w:rFonts w:ascii="Arial" w:hAnsi="Arial" w:cs="Arial"/>
          <w:sz w:val="22"/>
          <w:szCs w:val="22"/>
        </w:rPr>
        <w:t>The report defined PCC as an approach that places the individual at the heart of decisions, respecting their values and autonomy. While PCC offers benefits including improved patient satisfaction, its implementation within hospital settings faces challenges such as time constraints and resource limitations. The Fundamentals of Care Framework was examined as a key model underpinning PCC, highlighting the importance of therapeutic relationships.</w:t>
      </w:r>
    </w:p>
    <w:p w14:paraId="4C6FB155" w14:textId="77777777" w:rsidR="00B713D7" w:rsidRPr="00B713D7" w:rsidRDefault="00B713D7" w:rsidP="00B713D7">
      <w:pPr>
        <w:spacing w:line="360" w:lineRule="auto"/>
        <w:rPr>
          <w:rFonts w:ascii="Arial" w:hAnsi="Arial" w:cs="Arial"/>
          <w:sz w:val="22"/>
          <w:szCs w:val="22"/>
        </w:rPr>
      </w:pPr>
      <w:r w:rsidRPr="00B713D7">
        <w:rPr>
          <w:rFonts w:ascii="Arial" w:hAnsi="Arial" w:cs="Arial"/>
          <w:sz w:val="22"/>
          <w:szCs w:val="22"/>
        </w:rPr>
        <w:t>The ethical principles of autonomy, beneficence, non-maleficence, and justice were identified as fundamental to both PCC and PW, guiding professionals in resolving dilemmas. The evaluation of PW revealed that while collaboration across agencies leads to improved continuity of care, barriers such as fragmented IT systems and communication difficulties persist.</w:t>
      </w:r>
    </w:p>
    <w:p w14:paraId="73F2D69A" w14:textId="77777777" w:rsidR="00B713D7" w:rsidRPr="00B713D7" w:rsidRDefault="00B713D7" w:rsidP="00B713D7">
      <w:pPr>
        <w:spacing w:line="360" w:lineRule="auto"/>
        <w:rPr>
          <w:rFonts w:ascii="Arial" w:hAnsi="Arial" w:cs="Arial"/>
          <w:sz w:val="22"/>
          <w:szCs w:val="22"/>
        </w:rPr>
      </w:pPr>
      <w:r w:rsidRPr="00B713D7">
        <w:rPr>
          <w:rFonts w:ascii="Arial" w:hAnsi="Arial" w:cs="Arial"/>
          <w:sz w:val="22"/>
          <w:szCs w:val="22"/>
        </w:rPr>
        <w:lastRenderedPageBreak/>
        <w:t>Policy and legislation, including the Health and Care Act 2022, provide a foundation for PCC and PW, yet gaps remain between policy intent and frontline practice. To address these gaps, this report recommends enhanced digital integration, mandated co-production, investment in relational skills training, and strengthened legislative accountability.</w:t>
      </w:r>
    </w:p>
    <w:p w14:paraId="461FD226" w14:textId="77777777" w:rsidR="00B713D7" w:rsidRPr="00B713D7" w:rsidRDefault="00B713D7" w:rsidP="00B713D7">
      <w:pPr>
        <w:spacing w:line="360" w:lineRule="auto"/>
        <w:rPr>
          <w:rFonts w:ascii="Arial" w:hAnsi="Arial" w:cs="Arial"/>
          <w:sz w:val="22"/>
          <w:szCs w:val="22"/>
        </w:rPr>
      </w:pPr>
      <w:r w:rsidRPr="00B713D7">
        <w:rPr>
          <w:rFonts w:ascii="Arial" w:hAnsi="Arial" w:cs="Arial"/>
          <w:sz w:val="22"/>
          <w:szCs w:val="22"/>
        </w:rPr>
        <w:t>In conclusion, PCC and PW are mutually reinforcing principles essential for delivering high-quality care. Their successful implementation requires sustained investment, cultural change, and genuine commitment to partnership at all levels of the health and social care system.</w:t>
      </w:r>
    </w:p>
    <w:p w14:paraId="210527B4" w14:textId="77777777" w:rsidR="008A3D2D" w:rsidRDefault="008A3D2D" w:rsidP="002D3E8E">
      <w:pPr>
        <w:spacing w:line="360" w:lineRule="auto"/>
        <w:rPr>
          <w:rFonts w:ascii="Arial" w:hAnsi="Arial" w:cs="Arial"/>
          <w:b/>
          <w:bCs/>
          <w:sz w:val="22"/>
          <w:szCs w:val="22"/>
        </w:rPr>
      </w:pPr>
    </w:p>
    <w:p w14:paraId="6837548A" w14:textId="77777777" w:rsidR="00656A4D" w:rsidRPr="002D3E8E" w:rsidRDefault="00656A4D" w:rsidP="002D3E8E">
      <w:pPr>
        <w:spacing w:line="360" w:lineRule="auto"/>
        <w:rPr>
          <w:rFonts w:ascii="Arial" w:hAnsi="Arial" w:cs="Arial"/>
          <w:b/>
          <w:bCs/>
          <w:sz w:val="22"/>
          <w:szCs w:val="22"/>
        </w:rPr>
      </w:pPr>
    </w:p>
    <w:p w14:paraId="46BE9F83" w14:textId="77777777" w:rsidR="006C221D" w:rsidRPr="006C221D" w:rsidRDefault="006C221D" w:rsidP="00D03533">
      <w:pPr>
        <w:spacing w:line="360" w:lineRule="auto"/>
        <w:rPr>
          <w:rFonts w:ascii="Arial" w:hAnsi="Arial" w:cs="Arial"/>
          <w:b/>
          <w:bCs/>
          <w:sz w:val="22"/>
          <w:szCs w:val="22"/>
        </w:rPr>
      </w:pPr>
    </w:p>
    <w:p w14:paraId="45EA1B88" w14:textId="77777777" w:rsidR="006C221D" w:rsidRPr="00D03533" w:rsidRDefault="006C221D" w:rsidP="00D03533">
      <w:pPr>
        <w:spacing w:line="360" w:lineRule="auto"/>
        <w:rPr>
          <w:rFonts w:ascii="Arial" w:hAnsi="Arial" w:cs="Arial"/>
          <w:sz w:val="22"/>
          <w:szCs w:val="22"/>
        </w:rPr>
      </w:pPr>
    </w:p>
    <w:p w14:paraId="1FFC8BD7" w14:textId="77777777" w:rsidR="006D7A0B" w:rsidRDefault="006D7A0B" w:rsidP="007A5DA9">
      <w:pPr>
        <w:spacing w:line="360" w:lineRule="auto"/>
        <w:rPr>
          <w:rFonts w:ascii="Arial" w:hAnsi="Arial" w:cs="Arial"/>
          <w:sz w:val="22"/>
          <w:szCs w:val="22"/>
        </w:rPr>
      </w:pPr>
    </w:p>
    <w:p w14:paraId="6E8016C9" w14:textId="77777777" w:rsidR="006D7A0B" w:rsidRDefault="006D7A0B" w:rsidP="007A5DA9">
      <w:pPr>
        <w:spacing w:line="360" w:lineRule="auto"/>
        <w:rPr>
          <w:rFonts w:ascii="Arial" w:hAnsi="Arial" w:cs="Arial"/>
          <w:sz w:val="22"/>
          <w:szCs w:val="22"/>
        </w:rPr>
      </w:pPr>
    </w:p>
    <w:p w14:paraId="18FE755D" w14:textId="77777777" w:rsidR="006D7A0B" w:rsidRDefault="006D7A0B" w:rsidP="007A5DA9">
      <w:pPr>
        <w:spacing w:line="360" w:lineRule="auto"/>
        <w:rPr>
          <w:rFonts w:ascii="Arial" w:hAnsi="Arial" w:cs="Arial"/>
          <w:sz w:val="22"/>
          <w:szCs w:val="22"/>
        </w:rPr>
      </w:pPr>
    </w:p>
    <w:p w14:paraId="2E381A7D" w14:textId="77777777" w:rsidR="006D7A0B" w:rsidRDefault="006D7A0B" w:rsidP="007A5DA9">
      <w:pPr>
        <w:spacing w:line="360" w:lineRule="auto"/>
        <w:rPr>
          <w:rFonts w:ascii="Arial" w:hAnsi="Arial" w:cs="Arial"/>
          <w:sz w:val="22"/>
          <w:szCs w:val="22"/>
        </w:rPr>
      </w:pPr>
    </w:p>
    <w:p w14:paraId="3F25C85B" w14:textId="77777777" w:rsidR="006D7A0B" w:rsidRDefault="006D7A0B" w:rsidP="007A5DA9">
      <w:pPr>
        <w:spacing w:line="360" w:lineRule="auto"/>
        <w:rPr>
          <w:rFonts w:ascii="Arial" w:hAnsi="Arial" w:cs="Arial"/>
          <w:sz w:val="22"/>
          <w:szCs w:val="22"/>
        </w:rPr>
      </w:pPr>
    </w:p>
    <w:p w14:paraId="134EDFD1" w14:textId="77777777" w:rsidR="006D7A0B" w:rsidRDefault="006D7A0B" w:rsidP="007A5DA9">
      <w:pPr>
        <w:spacing w:line="360" w:lineRule="auto"/>
        <w:rPr>
          <w:rFonts w:ascii="Arial" w:hAnsi="Arial" w:cs="Arial"/>
          <w:sz w:val="22"/>
          <w:szCs w:val="22"/>
        </w:rPr>
      </w:pPr>
    </w:p>
    <w:p w14:paraId="48316009" w14:textId="77777777" w:rsidR="006D7A0B" w:rsidRDefault="006D7A0B" w:rsidP="007A5DA9">
      <w:pPr>
        <w:spacing w:line="360" w:lineRule="auto"/>
        <w:rPr>
          <w:rFonts w:ascii="Arial" w:hAnsi="Arial" w:cs="Arial"/>
          <w:sz w:val="22"/>
          <w:szCs w:val="22"/>
        </w:rPr>
      </w:pPr>
    </w:p>
    <w:p w14:paraId="5021CBCE" w14:textId="77777777" w:rsidR="006D7A0B" w:rsidRDefault="006D7A0B" w:rsidP="007A5DA9">
      <w:pPr>
        <w:spacing w:line="360" w:lineRule="auto"/>
        <w:rPr>
          <w:rFonts w:ascii="Arial" w:hAnsi="Arial" w:cs="Arial"/>
          <w:sz w:val="22"/>
          <w:szCs w:val="22"/>
        </w:rPr>
      </w:pPr>
    </w:p>
    <w:p w14:paraId="4AF0ABD0" w14:textId="77777777" w:rsidR="006D7A0B" w:rsidRDefault="006D7A0B" w:rsidP="007A5DA9">
      <w:pPr>
        <w:spacing w:line="360" w:lineRule="auto"/>
        <w:rPr>
          <w:rFonts w:ascii="Arial" w:hAnsi="Arial" w:cs="Arial"/>
          <w:sz w:val="22"/>
          <w:szCs w:val="22"/>
        </w:rPr>
      </w:pPr>
    </w:p>
    <w:p w14:paraId="1AC2EF7A" w14:textId="77777777" w:rsidR="006D7A0B" w:rsidRDefault="006D7A0B" w:rsidP="007A5DA9">
      <w:pPr>
        <w:spacing w:line="360" w:lineRule="auto"/>
        <w:rPr>
          <w:rFonts w:ascii="Arial" w:hAnsi="Arial" w:cs="Arial"/>
          <w:sz w:val="22"/>
          <w:szCs w:val="22"/>
        </w:rPr>
      </w:pPr>
    </w:p>
    <w:p w14:paraId="4C9F803F" w14:textId="77777777" w:rsidR="006D7A0B" w:rsidRDefault="006D7A0B" w:rsidP="007A5DA9">
      <w:pPr>
        <w:spacing w:line="360" w:lineRule="auto"/>
        <w:rPr>
          <w:rFonts w:ascii="Arial" w:hAnsi="Arial" w:cs="Arial"/>
          <w:sz w:val="22"/>
          <w:szCs w:val="22"/>
        </w:rPr>
      </w:pPr>
    </w:p>
    <w:p w14:paraId="2E09FB73" w14:textId="77777777" w:rsidR="006D7A0B" w:rsidRDefault="006D7A0B" w:rsidP="007A5DA9">
      <w:pPr>
        <w:spacing w:line="360" w:lineRule="auto"/>
        <w:rPr>
          <w:rFonts w:ascii="Arial" w:hAnsi="Arial" w:cs="Arial"/>
          <w:sz w:val="22"/>
          <w:szCs w:val="22"/>
        </w:rPr>
      </w:pPr>
    </w:p>
    <w:p w14:paraId="30DD268B" w14:textId="77777777" w:rsidR="006D7A0B" w:rsidRDefault="006D7A0B" w:rsidP="007A5DA9">
      <w:pPr>
        <w:spacing w:line="360" w:lineRule="auto"/>
        <w:rPr>
          <w:rFonts w:ascii="Arial" w:hAnsi="Arial" w:cs="Arial"/>
          <w:sz w:val="22"/>
          <w:szCs w:val="22"/>
        </w:rPr>
      </w:pPr>
    </w:p>
    <w:p w14:paraId="715F51FB" w14:textId="77777777" w:rsidR="006D7A0B" w:rsidRDefault="006D7A0B" w:rsidP="007A5DA9">
      <w:pPr>
        <w:spacing w:line="360" w:lineRule="auto"/>
        <w:rPr>
          <w:rFonts w:ascii="Arial" w:hAnsi="Arial" w:cs="Arial"/>
          <w:sz w:val="22"/>
          <w:szCs w:val="22"/>
        </w:rPr>
      </w:pPr>
    </w:p>
    <w:p w14:paraId="24AE7318" w14:textId="77777777" w:rsidR="006F2E89" w:rsidRDefault="006F2E89" w:rsidP="007A5DA9">
      <w:pPr>
        <w:spacing w:line="360" w:lineRule="auto"/>
        <w:rPr>
          <w:rFonts w:ascii="Arial" w:hAnsi="Arial" w:cs="Arial"/>
          <w:sz w:val="22"/>
          <w:szCs w:val="22"/>
        </w:rPr>
      </w:pPr>
    </w:p>
    <w:p w14:paraId="6D7B29FC" w14:textId="77777777" w:rsidR="00B713D7" w:rsidRPr="00CF68AF" w:rsidRDefault="00B713D7" w:rsidP="007A5DA9">
      <w:pPr>
        <w:spacing w:line="360" w:lineRule="auto"/>
        <w:rPr>
          <w:rFonts w:ascii="Arial" w:hAnsi="Arial" w:cs="Arial"/>
          <w:sz w:val="22"/>
          <w:szCs w:val="22"/>
        </w:rPr>
      </w:pPr>
    </w:p>
    <w:p w14:paraId="1D23716C" w14:textId="4A5F7E57" w:rsidR="006476A2" w:rsidRDefault="006476A2" w:rsidP="006476A2">
      <w:pPr>
        <w:spacing w:line="360" w:lineRule="auto"/>
        <w:jc w:val="center"/>
        <w:rPr>
          <w:rFonts w:ascii="Arial" w:hAnsi="Arial" w:cs="Arial"/>
          <w:b/>
          <w:bCs/>
          <w:sz w:val="22"/>
          <w:szCs w:val="22"/>
        </w:rPr>
      </w:pPr>
      <w:r>
        <w:rPr>
          <w:rFonts w:ascii="Arial" w:hAnsi="Arial" w:cs="Arial"/>
          <w:b/>
          <w:bCs/>
          <w:sz w:val="22"/>
          <w:szCs w:val="22"/>
        </w:rPr>
        <w:lastRenderedPageBreak/>
        <w:t>References –</w:t>
      </w:r>
    </w:p>
    <w:p w14:paraId="353E7324" w14:textId="77777777" w:rsidR="00932750" w:rsidRDefault="00932750" w:rsidP="009F318A">
      <w:pPr>
        <w:spacing w:line="360" w:lineRule="auto"/>
        <w:rPr>
          <w:rFonts w:ascii="Arial" w:hAnsi="Arial" w:cs="Arial"/>
          <w:sz w:val="22"/>
          <w:szCs w:val="22"/>
        </w:rPr>
      </w:pPr>
      <w:r w:rsidRPr="00546E0D">
        <w:rPr>
          <w:rFonts w:ascii="Arial" w:hAnsi="Arial" w:cs="Arial"/>
          <w:sz w:val="22"/>
          <w:szCs w:val="22"/>
        </w:rPr>
        <w:t>Beauchamp, T.L. and Childress, J.F. (2019) </w:t>
      </w:r>
      <w:r w:rsidRPr="00546E0D">
        <w:rPr>
          <w:rFonts w:ascii="Arial" w:hAnsi="Arial" w:cs="Arial"/>
          <w:i/>
          <w:iCs/>
          <w:sz w:val="22"/>
          <w:szCs w:val="22"/>
        </w:rPr>
        <w:t>Principles of Biomedical Ethics</w:t>
      </w:r>
      <w:r w:rsidRPr="00546E0D">
        <w:rPr>
          <w:rFonts w:ascii="Arial" w:hAnsi="Arial" w:cs="Arial"/>
          <w:sz w:val="22"/>
          <w:szCs w:val="22"/>
        </w:rPr>
        <w:t xml:space="preserve">. 8th </w:t>
      </w:r>
      <w:proofErr w:type="spellStart"/>
      <w:r w:rsidRPr="00546E0D">
        <w:rPr>
          <w:rFonts w:ascii="Arial" w:hAnsi="Arial" w:cs="Arial"/>
          <w:sz w:val="22"/>
          <w:szCs w:val="22"/>
        </w:rPr>
        <w:t>edn</w:t>
      </w:r>
      <w:proofErr w:type="spellEnd"/>
      <w:r w:rsidRPr="00546E0D">
        <w:rPr>
          <w:rFonts w:ascii="Arial" w:hAnsi="Arial" w:cs="Arial"/>
          <w:sz w:val="22"/>
          <w:szCs w:val="22"/>
        </w:rPr>
        <w:t>. New York: Oxford University Press. Available at: </w:t>
      </w:r>
      <w:hyperlink r:id="rId5" w:tgtFrame="_blank" w:history="1">
        <w:r w:rsidRPr="00546E0D">
          <w:rPr>
            <w:rStyle w:val="Hyperlink"/>
            <w:rFonts w:ascii="Arial" w:hAnsi="Arial" w:cs="Arial"/>
            <w:sz w:val="22"/>
            <w:szCs w:val="22"/>
          </w:rPr>
          <w:t>https://global.oup.com/ukhe/product/principles-of-biomedical-ethics-9780190640873</w:t>
        </w:r>
      </w:hyperlink>
      <w:r w:rsidRPr="00546E0D">
        <w:rPr>
          <w:rFonts w:ascii="Arial" w:hAnsi="Arial" w:cs="Arial"/>
          <w:sz w:val="22"/>
          <w:szCs w:val="22"/>
        </w:rPr>
        <w:t> (Accessed: 2</w:t>
      </w:r>
      <w:r>
        <w:rPr>
          <w:rFonts w:ascii="Arial" w:hAnsi="Arial" w:cs="Arial"/>
          <w:sz w:val="22"/>
          <w:szCs w:val="22"/>
        </w:rPr>
        <w:t>4</w:t>
      </w:r>
      <w:r w:rsidRPr="00546E0D">
        <w:rPr>
          <w:rFonts w:ascii="Arial" w:hAnsi="Arial" w:cs="Arial"/>
          <w:sz w:val="22"/>
          <w:szCs w:val="22"/>
        </w:rPr>
        <w:t xml:space="preserve"> March 2026).</w:t>
      </w:r>
    </w:p>
    <w:p w14:paraId="37D3F941" w14:textId="77777777" w:rsidR="00932750" w:rsidRPr="00D03533" w:rsidRDefault="00932750" w:rsidP="00D03533">
      <w:pPr>
        <w:spacing w:line="360" w:lineRule="auto"/>
        <w:rPr>
          <w:rFonts w:ascii="Arial" w:hAnsi="Arial" w:cs="Arial"/>
          <w:sz w:val="22"/>
          <w:szCs w:val="22"/>
        </w:rPr>
      </w:pPr>
      <w:r w:rsidRPr="00D03533">
        <w:rPr>
          <w:rFonts w:ascii="Arial" w:hAnsi="Arial" w:cs="Arial"/>
          <w:sz w:val="22"/>
          <w:szCs w:val="22"/>
        </w:rPr>
        <w:t>Department of Health (2012) </w:t>
      </w:r>
      <w:r w:rsidRPr="00D03533">
        <w:rPr>
          <w:rFonts w:ascii="Arial" w:hAnsi="Arial" w:cs="Arial"/>
          <w:i/>
          <w:iCs/>
          <w:sz w:val="22"/>
          <w:szCs w:val="22"/>
        </w:rPr>
        <w:t>Health and Social Care Act 2012: Factsheet</w:t>
      </w:r>
      <w:r w:rsidRPr="00D03533">
        <w:rPr>
          <w:rFonts w:ascii="Arial" w:hAnsi="Arial" w:cs="Arial"/>
          <w:sz w:val="22"/>
          <w:szCs w:val="22"/>
        </w:rPr>
        <w:t>. London: HMSO. Available at: </w:t>
      </w:r>
      <w:hyperlink r:id="rId6" w:tgtFrame="_blank" w:history="1">
        <w:r w:rsidRPr="00D03533">
          <w:rPr>
            <w:rStyle w:val="Hyperlink"/>
            <w:rFonts w:ascii="Arial" w:hAnsi="Arial" w:cs="Arial"/>
            <w:sz w:val="22"/>
            <w:szCs w:val="22"/>
          </w:rPr>
          <w:t>https://www.gov.uk/government/publications/health-and-social-care-act-2012-fact-sheets</w:t>
        </w:r>
      </w:hyperlink>
      <w:r w:rsidRPr="00D03533">
        <w:rPr>
          <w:rFonts w:ascii="Arial" w:hAnsi="Arial" w:cs="Arial"/>
          <w:sz w:val="22"/>
          <w:szCs w:val="22"/>
        </w:rPr>
        <w:t> (Accessed: 27 March 2026).</w:t>
      </w:r>
    </w:p>
    <w:p w14:paraId="5A0E0FE6" w14:textId="77777777" w:rsidR="00932750" w:rsidRPr="002A4556" w:rsidRDefault="00932750" w:rsidP="002A4556">
      <w:pPr>
        <w:spacing w:line="360" w:lineRule="auto"/>
        <w:rPr>
          <w:rFonts w:ascii="Arial" w:hAnsi="Arial" w:cs="Arial"/>
          <w:sz w:val="22"/>
          <w:szCs w:val="22"/>
        </w:rPr>
      </w:pPr>
      <w:r w:rsidRPr="002A4556">
        <w:rPr>
          <w:rFonts w:ascii="Arial" w:hAnsi="Arial" w:cs="Arial"/>
          <w:sz w:val="22"/>
          <w:szCs w:val="22"/>
        </w:rPr>
        <w:t>Department of Health and Social Care (2022) </w:t>
      </w:r>
      <w:r w:rsidRPr="002A4556">
        <w:rPr>
          <w:rFonts w:ascii="Arial" w:hAnsi="Arial" w:cs="Arial"/>
          <w:i/>
          <w:iCs/>
          <w:sz w:val="22"/>
          <w:szCs w:val="22"/>
        </w:rPr>
        <w:t>Health and Care Act 2022: Factsheet</w:t>
      </w:r>
      <w:r w:rsidRPr="002A4556">
        <w:rPr>
          <w:rFonts w:ascii="Arial" w:hAnsi="Arial" w:cs="Arial"/>
          <w:sz w:val="22"/>
          <w:szCs w:val="22"/>
        </w:rPr>
        <w:t>. London: HMSO. Available at: </w:t>
      </w:r>
      <w:hyperlink r:id="rId7" w:history="1">
        <w:r w:rsidRPr="002A4556">
          <w:rPr>
            <w:rStyle w:val="Hyperlink"/>
            <w:rFonts w:ascii="Arial" w:hAnsi="Arial" w:cs="Arial"/>
            <w:sz w:val="22"/>
            <w:szCs w:val="22"/>
          </w:rPr>
          <w:t>https://www.gov.uk/government/publications/health-and-care-act-2022-factsheets</w:t>
        </w:r>
        <w:r w:rsidRPr="001855B8">
          <w:rPr>
            <w:rStyle w:val="Hyperlink"/>
            <w:rFonts w:ascii="Arial" w:hAnsi="Arial" w:cs="Arial"/>
            <w:sz w:val="22"/>
            <w:szCs w:val="22"/>
          </w:rPr>
          <w:t>/</w:t>
        </w:r>
      </w:hyperlink>
      <w:r>
        <w:rPr>
          <w:rFonts w:ascii="Arial" w:hAnsi="Arial" w:cs="Arial"/>
          <w:sz w:val="22"/>
          <w:szCs w:val="22"/>
        </w:rPr>
        <w:t xml:space="preserve"> </w:t>
      </w:r>
      <w:r w:rsidRPr="002A4556">
        <w:rPr>
          <w:rFonts w:ascii="Arial" w:hAnsi="Arial" w:cs="Arial"/>
          <w:sz w:val="22"/>
          <w:szCs w:val="22"/>
        </w:rPr>
        <w:t>(Accessed: 2</w:t>
      </w:r>
      <w:r>
        <w:rPr>
          <w:rFonts w:ascii="Arial" w:hAnsi="Arial" w:cs="Arial"/>
          <w:sz w:val="22"/>
          <w:szCs w:val="22"/>
        </w:rPr>
        <w:t>6</w:t>
      </w:r>
      <w:r w:rsidRPr="002A4556">
        <w:rPr>
          <w:rFonts w:ascii="Arial" w:hAnsi="Arial" w:cs="Arial"/>
          <w:sz w:val="22"/>
          <w:szCs w:val="22"/>
        </w:rPr>
        <w:t xml:space="preserve"> March 2026).</w:t>
      </w:r>
    </w:p>
    <w:p w14:paraId="4940FEEC" w14:textId="1474C647" w:rsidR="00932750" w:rsidRPr="00D03533" w:rsidRDefault="00932750" w:rsidP="00D03533">
      <w:pPr>
        <w:spacing w:line="360" w:lineRule="auto"/>
        <w:rPr>
          <w:rFonts w:ascii="Arial" w:hAnsi="Arial" w:cs="Arial"/>
          <w:sz w:val="22"/>
          <w:szCs w:val="22"/>
        </w:rPr>
      </w:pPr>
      <w:r w:rsidRPr="00D03533">
        <w:rPr>
          <w:rFonts w:ascii="Arial" w:hAnsi="Arial" w:cs="Arial"/>
          <w:sz w:val="22"/>
          <w:szCs w:val="22"/>
        </w:rPr>
        <w:t>Equality and Human Rights Commission (2011) </w:t>
      </w:r>
      <w:r w:rsidRPr="00D03533">
        <w:rPr>
          <w:rFonts w:ascii="Arial" w:hAnsi="Arial" w:cs="Arial"/>
          <w:i/>
          <w:iCs/>
          <w:sz w:val="22"/>
          <w:szCs w:val="22"/>
        </w:rPr>
        <w:t>The Equality Act 2010 and the Public Sector Equality Duty</w:t>
      </w:r>
      <w:r w:rsidRPr="00D03533">
        <w:rPr>
          <w:rFonts w:ascii="Arial" w:hAnsi="Arial" w:cs="Arial"/>
          <w:sz w:val="22"/>
          <w:szCs w:val="22"/>
        </w:rPr>
        <w:t>. Available at: </w:t>
      </w:r>
      <w:hyperlink r:id="rId8" w:history="1">
        <w:r w:rsidRPr="00D03533">
          <w:rPr>
            <w:rStyle w:val="Hyperlink"/>
            <w:rFonts w:ascii="Arial" w:hAnsi="Arial" w:cs="Arial"/>
            <w:sz w:val="22"/>
            <w:szCs w:val="22"/>
          </w:rPr>
          <w:t>https://www.equalityhumanrights.com/legal-and-policy-guidance/equality-act-2010</w:t>
        </w:r>
        <w:r w:rsidRPr="001855B8">
          <w:rPr>
            <w:rStyle w:val="Hyperlink"/>
            <w:rFonts w:ascii="Arial" w:hAnsi="Arial" w:cs="Arial"/>
            <w:sz w:val="22"/>
            <w:szCs w:val="22"/>
          </w:rPr>
          <w:t>/</w:t>
        </w:r>
      </w:hyperlink>
      <w:r>
        <w:rPr>
          <w:rFonts w:ascii="Arial" w:hAnsi="Arial" w:cs="Arial"/>
          <w:sz w:val="22"/>
          <w:szCs w:val="22"/>
        </w:rPr>
        <w:t xml:space="preserve"> </w:t>
      </w:r>
      <w:r w:rsidRPr="00D03533">
        <w:rPr>
          <w:rFonts w:ascii="Arial" w:hAnsi="Arial" w:cs="Arial"/>
          <w:sz w:val="22"/>
          <w:szCs w:val="22"/>
        </w:rPr>
        <w:t> (Accessed: 27 March 2026).</w:t>
      </w:r>
    </w:p>
    <w:p w14:paraId="5D808331" w14:textId="77777777" w:rsidR="00932750" w:rsidRDefault="00932750" w:rsidP="009F318A">
      <w:pPr>
        <w:spacing w:line="360" w:lineRule="auto"/>
        <w:rPr>
          <w:rFonts w:ascii="Arial" w:hAnsi="Arial" w:cs="Arial"/>
          <w:sz w:val="22"/>
          <w:szCs w:val="22"/>
        </w:rPr>
      </w:pPr>
      <w:r w:rsidRPr="009F318A">
        <w:rPr>
          <w:rFonts w:ascii="Arial" w:hAnsi="Arial" w:cs="Arial"/>
          <w:sz w:val="22"/>
          <w:szCs w:val="22"/>
        </w:rPr>
        <w:t>Feo, R., Kitson, A. and Conroy, T. (2017) 'How fundamental aspects of nursing care are defined in the literature: A scoping review', </w:t>
      </w:r>
      <w:r w:rsidRPr="009F318A">
        <w:rPr>
          <w:rFonts w:ascii="Arial" w:hAnsi="Arial" w:cs="Arial"/>
          <w:i/>
          <w:iCs/>
          <w:sz w:val="22"/>
          <w:szCs w:val="22"/>
        </w:rPr>
        <w:t>Journal of Clinical Nursing</w:t>
      </w:r>
      <w:r w:rsidRPr="009F318A">
        <w:rPr>
          <w:rFonts w:ascii="Arial" w:hAnsi="Arial" w:cs="Arial"/>
          <w:sz w:val="22"/>
          <w:szCs w:val="22"/>
        </w:rPr>
        <w:t>, 27(11-12), pp. 2189-2229. Available at: </w:t>
      </w:r>
      <w:hyperlink r:id="rId9" w:history="1">
        <w:r w:rsidRPr="009F318A">
          <w:rPr>
            <w:rStyle w:val="Hyperlink"/>
            <w:rFonts w:ascii="Arial" w:hAnsi="Arial" w:cs="Arial"/>
            <w:sz w:val="22"/>
            <w:szCs w:val="22"/>
          </w:rPr>
          <w:t>https://doi.org/10.1111/jocn.14313</w:t>
        </w:r>
        <w:r w:rsidRPr="001855B8">
          <w:rPr>
            <w:rStyle w:val="Hyperlink"/>
            <w:rFonts w:ascii="Arial" w:hAnsi="Arial" w:cs="Arial"/>
            <w:sz w:val="22"/>
            <w:szCs w:val="22"/>
          </w:rPr>
          <w:t>//</w:t>
        </w:r>
      </w:hyperlink>
      <w:r>
        <w:rPr>
          <w:rFonts w:ascii="Arial" w:hAnsi="Arial" w:cs="Arial"/>
          <w:sz w:val="22"/>
          <w:szCs w:val="22"/>
        </w:rPr>
        <w:t xml:space="preserve"> </w:t>
      </w:r>
      <w:r w:rsidRPr="009F318A">
        <w:rPr>
          <w:rFonts w:ascii="Arial" w:hAnsi="Arial" w:cs="Arial"/>
          <w:sz w:val="22"/>
          <w:szCs w:val="22"/>
        </w:rPr>
        <w:t> (Accessed: 2</w:t>
      </w:r>
      <w:r>
        <w:rPr>
          <w:rFonts w:ascii="Arial" w:hAnsi="Arial" w:cs="Arial"/>
          <w:sz w:val="22"/>
          <w:szCs w:val="22"/>
        </w:rPr>
        <w:t>4</w:t>
      </w:r>
      <w:r w:rsidRPr="009F318A">
        <w:rPr>
          <w:rFonts w:ascii="Arial" w:hAnsi="Arial" w:cs="Arial"/>
          <w:sz w:val="22"/>
          <w:szCs w:val="22"/>
        </w:rPr>
        <w:t xml:space="preserve"> March 2026).</w:t>
      </w:r>
    </w:p>
    <w:p w14:paraId="7DBA187E" w14:textId="65F4A43C" w:rsidR="001E3CE7" w:rsidRPr="009F318A" w:rsidRDefault="001E3CE7" w:rsidP="009F318A">
      <w:pPr>
        <w:spacing w:line="360" w:lineRule="auto"/>
        <w:rPr>
          <w:rFonts w:ascii="Arial" w:hAnsi="Arial" w:cs="Arial"/>
          <w:sz w:val="22"/>
          <w:szCs w:val="22"/>
        </w:rPr>
      </w:pPr>
      <w:r w:rsidRPr="001E3CE7">
        <w:rPr>
          <w:rFonts w:ascii="Arial" w:hAnsi="Arial" w:cs="Arial"/>
          <w:sz w:val="22"/>
          <w:szCs w:val="22"/>
        </w:rPr>
        <w:t xml:space="preserve">Glasby, J. (2017) </w:t>
      </w:r>
      <w:r>
        <w:rPr>
          <w:rFonts w:ascii="Arial" w:hAnsi="Arial" w:cs="Arial"/>
          <w:sz w:val="22"/>
          <w:szCs w:val="22"/>
        </w:rPr>
        <w:t>‘</w:t>
      </w:r>
      <w:r w:rsidRPr="001E3CE7">
        <w:rPr>
          <w:rFonts w:ascii="Arial" w:hAnsi="Arial" w:cs="Arial"/>
          <w:i/>
          <w:iCs/>
          <w:sz w:val="22"/>
          <w:szCs w:val="22"/>
        </w:rPr>
        <w:t>Understanding Health and Social Care</w:t>
      </w:r>
      <w:r>
        <w:rPr>
          <w:rFonts w:ascii="Arial" w:hAnsi="Arial" w:cs="Arial"/>
          <w:sz w:val="22"/>
          <w:szCs w:val="22"/>
        </w:rPr>
        <w:t xml:space="preserve">’. Available </w:t>
      </w:r>
      <w:r w:rsidRPr="001E3CE7">
        <w:rPr>
          <w:rFonts w:ascii="Arial" w:hAnsi="Arial" w:cs="Arial"/>
          <w:sz w:val="22"/>
          <w:szCs w:val="22"/>
        </w:rPr>
        <w:t xml:space="preserve">at: </w:t>
      </w:r>
      <w:hyperlink r:id="rId10" w:history="1">
        <w:r w:rsidRPr="001855B8">
          <w:rPr>
            <w:rStyle w:val="Hyperlink"/>
            <w:rFonts w:ascii="Arial" w:hAnsi="Arial" w:cs="Arial"/>
            <w:sz w:val="22"/>
            <w:szCs w:val="22"/>
          </w:rPr>
          <w:t>https://policy.bristoluniversitypress.co.uk/understanding-health-and-social-care-1</w:t>
        </w:r>
        <w:r w:rsidRPr="001855B8">
          <w:rPr>
            <w:rStyle w:val="Hyperlink"/>
            <w:rFonts w:ascii="Arial" w:hAnsi="Arial" w:cs="Arial"/>
            <w:sz w:val="22"/>
            <w:szCs w:val="22"/>
          </w:rPr>
          <w:t>/</w:t>
        </w:r>
      </w:hyperlink>
      <w:r>
        <w:rPr>
          <w:rFonts w:ascii="Arial" w:hAnsi="Arial" w:cs="Arial"/>
          <w:sz w:val="22"/>
          <w:szCs w:val="22"/>
        </w:rPr>
        <w:t xml:space="preserve"> </w:t>
      </w:r>
      <w:r w:rsidRPr="001E3CE7">
        <w:rPr>
          <w:rFonts w:ascii="Arial" w:hAnsi="Arial" w:cs="Arial"/>
          <w:sz w:val="22"/>
          <w:szCs w:val="22"/>
        </w:rPr>
        <w:t xml:space="preserve"> (Accessed: 26 March 2026).</w:t>
      </w:r>
    </w:p>
    <w:p w14:paraId="66585348" w14:textId="56269CC6" w:rsidR="00403822" w:rsidRPr="00D03533" w:rsidRDefault="00403822" w:rsidP="00D03533">
      <w:pPr>
        <w:spacing w:line="360" w:lineRule="auto"/>
        <w:rPr>
          <w:rFonts w:ascii="Arial" w:hAnsi="Arial" w:cs="Arial"/>
          <w:sz w:val="22"/>
          <w:szCs w:val="22"/>
        </w:rPr>
      </w:pPr>
      <w:r w:rsidRPr="00403822">
        <w:rPr>
          <w:rFonts w:ascii="Arial" w:hAnsi="Arial" w:cs="Arial"/>
          <w:sz w:val="22"/>
          <w:szCs w:val="22"/>
        </w:rPr>
        <w:t xml:space="preserve">Glasby, J. and Dickinson, H. (2014) </w:t>
      </w:r>
      <w:r>
        <w:rPr>
          <w:rFonts w:ascii="Arial" w:hAnsi="Arial" w:cs="Arial"/>
          <w:sz w:val="22"/>
          <w:szCs w:val="22"/>
        </w:rPr>
        <w:t>‘</w:t>
      </w:r>
      <w:r w:rsidRPr="00403822">
        <w:rPr>
          <w:rFonts w:ascii="Arial" w:hAnsi="Arial" w:cs="Arial"/>
          <w:i/>
          <w:iCs/>
          <w:sz w:val="22"/>
          <w:szCs w:val="22"/>
        </w:rPr>
        <w:t>Partnership Working in Health and Social Care: What is Integrated Care and How Can We Deliver It?</w:t>
      </w:r>
      <w:r>
        <w:rPr>
          <w:rFonts w:ascii="Arial" w:hAnsi="Arial" w:cs="Arial"/>
          <w:sz w:val="22"/>
          <w:szCs w:val="22"/>
        </w:rPr>
        <w:t>. ‘</w:t>
      </w:r>
      <w:r w:rsidRPr="00403822">
        <w:rPr>
          <w:rFonts w:ascii="Arial" w:hAnsi="Arial" w:cs="Arial"/>
          <w:sz w:val="22"/>
          <w:szCs w:val="22"/>
        </w:rPr>
        <w:t xml:space="preserve">Available at: </w:t>
      </w:r>
      <w:hyperlink r:id="rId11" w:history="1">
        <w:r w:rsidRPr="001855B8">
          <w:rPr>
            <w:rStyle w:val="Hyperlink"/>
            <w:rFonts w:ascii="Arial" w:hAnsi="Arial" w:cs="Arial"/>
            <w:sz w:val="22"/>
            <w:szCs w:val="22"/>
          </w:rPr>
          <w:t>https://policy.bristoluniversitypress.co.uk/partnership-working-in-health-and-social-care-second-edition</w:t>
        </w:r>
        <w:r w:rsidRPr="001855B8">
          <w:rPr>
            <w:rStyle w:val="Hyperlink"/>
            <w:rFonts w:ascii="Arial" w:hAnsi="Arial" w:cs="Arial"/>
            <w:sz w:val="22"/>
            <w:szCs w:val="22"/>
          </w:rPr>
          <w:t>/</w:t>
        </w:r>
      </w:hyperlink>
      <w:r>
        <w:rPr>
          <w:rFonts w:ascii="Arial" w:hAnsi="Arial" w:cs="Arial"/>
          <w:sz w:val="22"/>
          <w:szCs w:val="22"/>
        </w:rPr>
        <w:t xml:space="preserve"> </w:t>
      </w:r>
      <w:r w:rsidRPr="00403822">
        <w:rPr>
          <w:rFonts w:ascii="Arial" w:hAnsi="Arial" w:cs="Arial"/>
          <w:sz w:val="22"/>
          <w:szCs w:val="22"/>
        </w:rPr>
        <w:t xml:space="preserve"> (Accessed: 26 March 2026). </w:t>
      </w:r>
    </w:p>
    <w:p w14:paraId="2C6AA3F3" w14:textId="184AE59D" w:rsidR="00932750" w:rsidRDefault="00932750" w:rsidP="00D03533">
      <w:pPr>
        <w:spacing w:line="360" w:lineRule="auto"/>
        <w:rPr>
          <w:rFonts w:ascii="Arial" w:hAnsi="Arial" w:cs="Arial"/>
          <w:sz w:val="22"/>
          <w:szCs w:val="22"/>
        </w:rPr>
      </w:pPr>
      <w:r w:rsidRPr="00D03533">
        <w:rPr>
          <w:rFonts w:ascii="Arial" w:hAnsi="Arial" w:cs="Arial"/>
          <w:sz w:val="22"/>
          <w:szCs w:val="22"/>
        </w:rPr>
        <w:t>HM Government (2014) </w:t>
      </w:r>
      <w:r w:rsidRPr="00D03533">
        <w:rPr>
          <w:rFonts w:ascii="Arial" w:hAnsi="Arial" w:cs="Arial"/>
          <w:i/>
          <w:iCs/>
          <w:sz w:val="22"/>
          <w:szCs w:val="22"/>
        </w:rPr>
        <w:t>Care Act 2014</w:t>
      </w:r>
      <w:r w:rsidRPr="00D03533">
        <w:rPr>
          <w:rFonts w:ascii="Arial" w:hAnsi="Arial" w:cs="Arial"/>
          <w:sz w:val="22"/>
          <w:szCs w:val="22"/>
        </w:rPr>
        <w:t>. London:</w:t>
      </w:r>
      <w:r w:rsidR="00230FE7">
        <w:rPr>
          <w:rFonts w:ascii="Arial" w:hAnsi="Arial" w:cs="Arial"/>
          <w:sz w:val="22"/>
          <w:szCs w:val="22"/>
        </w:rPr>
        <w:t xml:space="preserve"> </w:t>
      </w:r>
      <w:r w:rsidRPr="00D03533">
        <w:rPr>
          <w:rFonts w:ascii="Arial" w:hAnsi="Arial" w:cs="Arial"/>
          <w:sz w:val="22"/>
          <w:szCs w:val="22"/>
        </w:rPr>
        <w:t>Available at: </w:t>
      </w:r>
      <w:hyperlink r:id="rId12" w:history="1">
        <w:r w:rsidR="008016FC" w:rsidRPr="00D03533">
          <w:rPr>
            <w:rStyle w:val="Hyperlink"/>
            <w:rFonts w:ascii="Arial" w:hAnsi="Arial" w:cs="Arial"/>
            <w:sz w:val="22"/>
            <w:szCs w:val="22"/>
          </w:rPr>
          <w:t>https://www.legislation.gov.uk/ukpga/2014/23/contents/enacted</w:t>
        </w:r>
        <w:r w:rsidR="008016FC" w:rsidRPr="001855B8">
          <w:rPr>
            <w:rStyle w:val="Hyperlink"/>
            <w:rFonts w:ascii="Arial" w:hAnsi="Arial" w:cs="Arial"/>
            <w:sz w:val="22"/>
            <w:szCs w:val="22"/>
          </w:rPr>
          <w:t>/</w:t>
        </w:r>
      </w:hyperlink>
      <w:r w:rsidR="008016FC">
        <w:rPr>
          <w:rFonts w:ascii="Arial" w:hAnsi="Arial" w:cs="Arial"/>
          <w:sz w:val="22"/>
          <w:szCs w:val="22"/>
        </w:rPr>
        <w:t xml:space="preserve"> </w:t>
      </w:r>
      <w:r w:rsidRPr="00D03533">
        <w:rPr>
          <w:rFonts w:ascii="Arial" w:hAnsi="Arial" w:cs="Arial"/>
          <w:sz w:val="22"/>
          <w:szCs w:val="22"/>
        </w:rPr>
        <w:t> (Accessed: 27 March 2026).</w:t>
      </w:r>
    </w:p>
    <w:p w14:paraId="12207114" w14:textId="24033DF9" w:rsidR="00932750" w:rsidRDefault="00932750" w:rsidP="009F318A">
      <w:pPr>
        <w:spacing w:line="360" w:lineRule="auto"/>
        <w:rPr>
          <w:rFonts w:ascii="Arial" w:hAnsi="Arial" w:cs="Arial"/>
          <w:sz w:val="22"/>
          <w:szCs w:val="22"/>
        </w:rPr>
      </w:pPr>
      <w:r w:rsidRPr="009F318A">
        <w:rPr>
          <w:rFonts w:ascii="Arial" w:hAnsi="Arial" w:cs="Arial"/>
          <w:sz w:val="22"/>
          <w:szCs w:val="22"/>
        </w:rPr>
        <w:t xml:space="preserve">Kitson, A.L., Dow, C., Calabrese, J.D., </w:t>
      </w:r>
      <w:proofErr w:type="spellStart"/>
      <w:r w:rsidRPr="009F318A">
        <w:rPr>
          <w:rFonts w:ascii="Arial" w:hAnsi="Arial" w:cs="Arial"/>
          <w:sz w:val="22"/>
          <w:szCs w:val="22"/>
        </w:rPr>
        <w:t>Locock</w:t>
      </w:r>
      <w:proofErr w:type="spellEnd"/>
      <w:r w:rsidRPr="009F318A">
        <w:rPr>
          <w:rFonts w:ascii="Arial" w:hAnsi="Arial" w:cs="Arial"/>
          <w:sz w:val="22"/>
          <w:szCs w:val="22"/>
        </w:rPr>
        <w:t>, L. and Maben, J. (2013) 'The fundamentals of care framework: a framework for the future', </w:t>
      </w:r>
      <w:r w:rsidRPr="009F318A">
        <w:rPr>
          <w:rFonts w:ascii="Arial" w:hAnsi="Arial" w:cs="Arial"/>
          <w:i/>
          <w:iCs/>
          <w:sz w:val="22"/>
          <w:szCs w:val="22"/>
        </w:rPr>
        <w:t>International Journal of Nursing Practice</w:t>
      </w:r>
      <w:r w:rsidRPr="009F318A">
        <w:rPr>
          <w:rFonts w:ascii="Arial" w:hAnsi="Arial" w:cs="Arial"/>
          <w:sz w:val="22"/>
          <w:szCs w:val="22"/>
        </w:rPr>
        <w:t>, 19(2), pp. 111-120. Available at: </w:t>
      </w:r>
      <w:hyperlink r:id="rId13" w:history="1">
        <w:r w:rsidR="00CA0916" w:rsidRPr="009F318A">
          <w:rPr>
            <w:rStyle w:val="Hyperlink"/>
            <w:rFonts w:ascii="Arial" w:hAnsi="Arial" w:cs="Arial"/>
            <w:sz w:val="22"/>
            <w:szCs w:val="22"/>
          </w:rPr>
          <w:t>https://doi.org/10.1111/ijn.12048</w:t>
        </w:r>
        <w:r w:rsidR="00CA0916" w:rsidRPr="001855B8">
          <w:rPr>
            <w:rStyle w:val="Hyperlink"/>
            <w:rFonts w:ascii="Arial" w:hAnsi="Arial" w:cs="Arial"/>
            <w:sz w:val="22"/>
            <w:szCs w:val="22"/>
          </w:rPr>
          <w:t>/</w:t>
        </w:r>
      </w:hyperlink>
      <w:r w:rsidR="00CA0916">
        <w:rPr>
          <w:rFonts w:ascii="Arial" w:hAnsi="Arial" w:cs="Arial"/>
          <w:sz w:val="22"/>
          <w:szCs w:val="22"/>
        </w:rPr>
        <w:t xml:space="preserve"> </w:t>
      </w:r>
      <w:r w:rsidRPr="009F318A">
        <w:rPr>
          <w:rFonts w:ascii="Arial" w:hAnsi="Arial" w:cs="Arial"/>
          <w:sz w:val="22"/>
          <w:szCs w:val="22"/>
        </w:rPr>
        <w:t> (Accessed: 2</w:t>
      </w:r>
      <w:r>
        <w:rPr>
          <w:rFonts w:ascii="Arial" w:hAnsi="Arial" w:cs="Arial"/>
          <w:sz w:val="22"/>
          <w:szCs w:val="22"/>
        </w:rPr>
        <w:t>4</w:t>
      </w:r>
      <w:r w:rsidRPr="009F318A">
        <w:rPr>
          <w:rFonts w:ascii="Arial" w:hAnsi="Arial" w:cs="Arial"/>
          <w:sz w:val="22"/>
          <w:szCs w:val="22"/>
        </w:rPr>
        <w:t xml:space="preserve"> March 2026).</w:t>
      </w:r>
    </w:p>
    <w:p w14:paraId="019ED0E7" w14:textId="5258BB27" w:rsidR="00932750" w:rsidRPr="002D3E8E" w:rsidRDefault="00CA0916" w:rsidP="002D3E8E">
      <w:pPr>
        <w:spacing w:line="360" w:lineRule="auto"/>
        <w:rPr>
          <w:rFonts w:ascii="Arial" w:hAnsi="Arial" w:cs="Arial"/>
          <w:sz w:val="22"/>
          <w:szCs w:val="22"/>
        </w:rPr>
      </w:pPr>
      <w:r w:rsidRPr="00CA0916">
        <w:rPr>
          <w:rFonts w:ascii="Arial" w:hAnsi="Arial" w:cs="Arial"/>
          <w:sz w:val="22"/>
          <w:szCs w:val="22"/>
        </w:rPr>
        <w:t xml:space="preserve">McCormack, B. and McCance, T. (2017) </w:t>
      </w:r>
      <w:r w:rsidRPr="00CA0916">
        <w:rPr>
          <w:rFonts w:ascii="Arial" w:hAnsi="Arial" w:cs="Arial"/>
          <w:i/>
          <w:iCs/>
          <w:sz w:val="22"/>
          <w:szCs w:val="22"/>
        </w:rPr>
        <w:t>Person</w:t>
      </w:r>
      <w:r w:rsidRPr="00CA0916">
        <w:rPr>
          <w:rFonts w:ascii="Arial" w:hAnsi="Arial" w:cs="Arial"/>
          <w:i/>
          <w:iCs/>
          <w:sz w:val="22"/>
          <w:szCs w:val="22"/>
        </w:rPr>
        <w:noBreakHyphen/>
        <w:t>Centred Practice in Nursing and Health Care: Theory and Practice</w:t>
      </w:r>
      <w:r w:rsidRPr="00CA0916">
        <w:rPr>
          <w:rFonts w:ascii="Arial" w:hAnsi="Arial" w:cs="Arial"/>
          <w:sz w:val="22"/>
          <w:szCs w:val="22"/>
        </w:rPr>
        <w:t xml:space="preserve">, 2nd </w:t>
      </w:r>
      <w:proofErr w:type="spellStart"/>
      <w:r w:rsidRPr="00CA0916">
        <w:rPr>
          <w:rFonts w:ascii="Arial" w:hAnsi="Arial" w:cs="Arial"/>
          <w:sz w:val="22"/>
          <w:szCs w:val="22"/>
        </w:rPr>
        <w:t>edn</w:t>
      </w:r>
      <w:proofErr w:type="spellEnd"/>
      <w:r w:rsidRPr="00CA0916">
        <w:rPr>
          <w:rFonts w:ascii="Arial" w:hAnsi="Arial" w:cs="Arial"/>
          <w:sz w:val="22"/>
          <w:szCs w:val="22"/>
        </w:rPr>
        <w:t>. Chichester: Wiley</w:t>
      </w:r>
      <w:r w:rsidRPr="00CA0916">
        <w:rPr>
          <w:rFonts w:ascii="Arial" w:hAnsi="Arial" w:cs="Arial"/>
          <w:sz w:val="22"/>
          <w:szCs w:val="22"/>
        </w:rPr>
        <w:noBreakHyphen/>
        <w:t xml:space="preserve">Blackwell. Available at: </w:t>
      </w:r>
      <w:hyperlink r:id="rId14" w:history="1">
        <w:r w:rsidRPr="001855B8">
          <w:rPr>
            <w:rStyle w:val="Hyperlink"/>
            <w:rFonts w:ascii="Arial" w:hAnsi="Arial" w:cs="Arial"/>
            <w:sz w:val="22"/>
            <w:szCs w:val="22"/>
          </w:rPr>
          <w:t>https://www.vitalsource.com/en-uk/products/person-centred-practice-in-nursing-and-health-brendan-mccormack-tanya-v9781118990582</w:t>
        </w:r>
        <w:r w:rsidRPr="001855B8">
          <w:rPr>
            <w:rStyle w:val="Hyperlink"/>
            <w:rFonts w:ascii="Arial" w:hAnsi="Arial" w:cs="Arial"/>
            <w:sz w:val="22"/>
            <w:szCs w:val="22"/>
          </w:rPr>
          <w:t>/</w:t>
        </w:r>
      </w:hyperlink>
      <w:r>
        <w:rPr>
          <w:rFonts w:ascii="Arial" w:hAnsi="Arial" w:cs="Arial"/>
          <w:sz w:val="22"/>
          <w:szCs w:val="22"/>
        </w:rPr>
        <w:t xml:space="preserve"> </w:t>
      </w:r>
      <w:r w:rsidRPr="00CA0916">
        <w:rPr>
          <w:rFonts w:ascii="Arial" w:hAnsi="Arial" w:cs="Arial"/>
          <w:sz w:val="22"/>
          <w:szCs w:val="22"/>
        </w:rPr>
        <w:t xml:space="preserve"> (Accessed: 23 March 2026).</w:t>
      </w:r>
    </w:p>
    <w:p w14:paraId="44C0F014" w14:textId="3A2ADE2D" w:rsidR="00932750" w:rsidRPr="006476A2" w:rsidRDefault="00932750" w:rsidP="006476A2">
      <w:pPr>
        <w:spacing w:line="360" w:lineRule="auto"/>
        <w:rPr>
          <w:rFonts w:ascii="Arial" w:hAnsi="Arial" w:cs="Arial"/>
          <w:sz w:val="22"/>
          <w:szCs w:val="22"/>
        </w:rPr>
      </w:pPr>
      <w:r w:rsidRPr="006476A2">
        <w:rPr>
          <w:rFonts w:ascii="Arial" w:hAnsi="Arial" w:cs="Arial"/>
          <w:sz w:val="22"/>
          <w:szCs w:val="22"/>
        </w:rPr>
        <w:t xml:space="preserve">NHS England (2016) </w:t>
      </w:r>
      <w:r w:rsidRPr="006476A2">
        <w:rPr>
          <w:rFonts w:ascii="Arial" w:hAnsi="Arial" w:cs="Arial"/>
          <w:i/>
          <w:iCs/>
          <w:sz w:val="22"/>
          <w:szCs w:val="22"/>
        </w:rPr>
        <w:t>Person-centred care</w:t>
      </w:r>
      <w:r w:rsidRPr="006476A2">
        <w:rPr>
          <w:rFonts w:ascii="Arial" w:hAnsi="Arial" w:cs="Arial"/>
          <w:sz w:val="22"/>
          <w:szCs w:val="22"/>
        </w:rPr>
        <w:t xml:space="preserve">. Available at: </w:t>
      </w:r>
      <w:hyperlink r:id="rId15" w:history="1">
        <w:r w:rsidRPr="006476A2">
          <w:rPr>
            <w:rStyle w:val="Hyperlink"/>
            <w:rFonts w:ascii="Arial" w:hAnsi="Arial" w:cs="Arial"/>
            <w:sz w:val="22"/>
            <w:szCs w:val="22"/>
          </w:rPr>
          <w:t>https://www.england.n</w:t>
        </w:r>
        <w:r w:rsidRPr="006476A2">
          <w:rPr>
            <w:rStyle w:val="Hyperlink"/>
            <w:rFonts w:ascii="Arial" w:hAnsi="Arial" w:cs="Arial"/>
            <w:sz w:val="22"/>
            <w:szCs w:val="22"/>
          </w:rPr>
          <w:t>h</w:t>
        </w:r>
        <w:r w:rsidRPr="006476A2">
          <w:rPr>
            <w:rStyle w:val="Hyperlink"/>
            <w:rFonts w:ascii="Arial" w:hAnsi="Arial" w:cs="Arial"/>
            <w:sz w:val="22"/>
            <w:szCs w:val="22"/>
          </w:rPr>
          <w:t>s.uk</w:t>
        </w:r>
        <w:r w:rsidRPr="001855B8">
          <w:rPr>
            <w:rStyle w:val="Hyperlink"/>
            <w:rFonts w:ascii="Arial" w:hAnsi="Arial" w:cs="Arial"/>
            <w:sz w:val="22"/>
            <w:szCs w:val="22"/>
          </w:rPr>
          <w:t>/</w:t>
        </w:r>
      </w:hyperlink>
      <w:r>
        <w:rPr>
          <w:rFonts w:ascii="Arial" w:hAnsi="Arial" w:cs="Arial"/>
          <w:sz w:val="22"/>
          <w:szCs w:val="22"/>
        </w:rPr>
        <w:t xml:space="preserve"> </w:t>
      </w:r>
      <w:r w:rsidRPr="006476A2">
        <w:rPr>
          <w:rFonts w:ascii="Arial" w:hAnsi="Arial" w:cs="Arial"/>
          <w:sz w:val="22"/>
          <w:szCs w:val="22"/>
        </w:rPr>
        <w:t xml:space="preserve">(Accessed: </w:t>
      </w:r>
      <w:r>
        <w:rPr>
          <w:rFonts w:ascii="Arial" w:hAnsi="Arial" w:cs="Arial"/>
          <w:sz w:val="22"/>
          <w:szCs w:val="22"/>
        </w:rPr>
        <w:t xml:space="preserve">20 </w:t>
      </w:r>
      <w:r w:rsidRPr="006476A2">
        <w:rPr>
          <w:rFonts w:ascii="Arial" w:hAnsi="Arial" w:cs="Arial"/>
          <w:sz w:val="22"/>
          <w:szCs w:val="22"/>
        </w:rPr>
        <w:t>March 2026).</w:t>
      </w:r>
    </w:p>
    <w:p w14:paraId="38C71804" w14:textId="77777777" w:rsidR="00932750" w:rsidRDefault="00932750" w:rsidP="002A4556">
      <w:pPr>
        <w:spacing w:line="360" w:lineRule="auto"/>
        <w:rPr>
          <w:rFonts w:ascii="Arial" w:hAnsi="Arial" w:cs="Arial"/>
          <w:sz w:val="22"/>
          <w:szCs w:val="22"/>
        </w:rPr>
      </w:pPr>
      <w:r w:rsidRPr="002A4556">
        <w:rPr>
          <w:rFonts w:ascii="Arial" w:hAnsi="Arial" w:cs="Arial"/>
          <w:sz w:val="22"/>
          <w:szCs w:val="22"/>
        </w:rPr>
        <w:t>NHS England (2019) </w:t>
      </w:r>
      <w:r w:rsidRPr="002A4556">
        <w:rPr>
          <w:rFonts w:ascii="Arial" w:hAnsi="Arial" w:cs="Arial"/>
          <w:i/>
          <w:iCs/>
          <w:sz w:val="22"/>
          <w:szCs w:val="22"/>
        </w:rPr>
        <w:t>The NHS Long Term Plan</w:t>
      </w:r>
      <w:r w:rsidRPr="002A4556">
        <w:rPr>
          <w:rFonts w:ascii="Arial" w:hAnsi="Arial" w:cs="Arial"/>
          <w:sz w:val="22"/>
          <w:szCs w:val="22"/>
        </w:rPr>
        <w:t>. London: NHS England. Available at: </w:t>
      </w:r>
      <w:hyperlink r:id="rId16" w:tgtFrame="_blank" w:history="1">
        <w:r w:rsidRPr="002A4556">
          <w:rPr>
            <w:rStyle w:val="Hyperlink"/>
            <w:rFonts w:ascii="Arial" w:hAnsi="Arial" w:cs="Arial"/>
            <w:sz w:val="22"/>
            <w:szCs w:val="22"/>
          </w:rPr>
          <w:t>https://www.longtermplan.nhs.uk/</w:t>
        </w:r>
      </w:hyperlink>
      <w:r w:rsidRPr="002A4556">
        <w:rPr>
          <w:rFonts w:ascii="Arial" w:hAnsi="Arial" w:cs="Arial"/>
          <w:sz w:val="22"/>
          <w:szCs w:val="22"/>
        </w:rPr>
        <w:t> (Accessed: 2</w:t>
      </w:r>
      <w:r>
        <w:rPr>
          <w:rFonts w:ascii="Arial" w:hAnsi="Arial" w:cs="Arial"/>
          <w:sz w:val="22"/>
          <w:szCs w:val="22"/>
        </w:rPr>
        <w:t xml:space="preserve">6 </w:t>
      </w:r>
      <w:r w:rsidRPr="002A4556">
        <w:rPr>
          <w:rFonts w:ascii="Arial" w:hAnsi="Arial" w:cs="Arial"/>
          <w:sz w:val="22"/>
          <w:szCs w:val="22"/>
        </w:rPr>
        <w:t>March 2026).</w:t>
      </w:r>
    </w:p>
    <w:p w14:paraId="686CBE87" w14:textId="77777777" w:rsidR="00932750" w:rsidRDefault="00932750" w:rsidP="009F318A">
      <w:pPr>
        <w:spacing w:line="360" w:lineRule="auto"/>
        <w:rPr>
          <w:rFonts w:ascii="Arial" w:hAnsi="Arial" w:cs="Arial"/>
          <w:sz w:val="22"/>
          <w:szCs w:val="22"/>
        </w:rPr>
      </w:pPr>
      <w:r w:rsidRPr="006F2E89">
        <w:rPr>
          <w:rFonts w:ascii="Arial" w:hAnsi="Arial" w:cs="Arial"/>
          <w:sz w:val="22"/>
          <w:szCs w:val="22"/>
        </w:rPr>
        <w:t>Nursing and Midwifery Council (NMC) (2018) </w:t>
      </w:r>
      <w:r w:rsidRPr="006F2E89">
        <w:rPr>
          <w:rFonts w:ascii="Arial" w:hAnsi="Arial" w:cs="Arial"/>
          <w:i/>
          <w:iCs/>
          <w:sz w:val="22"/>
          <w:szCs w:val="22"/>
        </w:rPr>
        <w:t>The Code: Professional Standards of Practice and Behaviour for Nurses, Midwives and Nursing Associates</w:t>
      </w:r>
      <w:r w:rsidRPr="006F2E89">
        <w:rPr>
          <w:rFonts w:ascii="Arial" w:hAnsi="Arial" w:cs="Arial"/>
          <w:sz w:val="22"/>
          <w:szCs w:val="22"/>
        </w:rPr>
        <w:t>. London: NMC. Available at: </w:t>
      </w:r>
      <w:hyperlink r:id="rId17" w:tgtFrame="_blank" w:history="1">
        <w:r w:rsidRPr="006F2E89">
          <w:rPr>
            <w:rStyle w:val="Hyperlink"/>
            <w:rFonts w:ascii="Arial" w:hAnsi="Arial" w:cs="Arial"/>
            <w:sz w:val="22"/>
            <w:szCs w:val="22"/>
          </w:rPr>
          <w:t>https://www.nmc.org.uk/standards/code/</w:t>
        </w:r>
      </w:hyperlink>
      <w:r w:rsidRPr="006F2E89">
        <w:rPr>
          <w:rFonts w:ascii="Arial" w:hAnsi="Arial" w:cs="Arial"/>
          <w:sz w:val="22"/>
          <w:szCs w:val="22"/>
        </w:rPr>
        <w:t> (Accessed: 2</w:t>
      </w:r>
      <w:r>
        <w:rPr>
          <w:rFonts w:ascii="Arial" w:hAnsi="Arial" w:cs="Arial"/>
          <w:sz w:val="22"/>
          <w:szCs w:val="22"/>
        </w:rPr>
        <w:t xml:space="preserve">6 </w:t>
      </w:r>
      <w:r w:rsidRPr="006F2E89">
        <w:rPr>
          <w:rFonts w:ascii="Arial" w:hAnsi="Arial" w:cs="Arial"/>
          <w:sz w:val="22"/>
          <w:szCs w:val="22"/>
        </w:rPr>
        <w:t>March 2026).</w:t>
      </w:r>
    </w:p>
    <w:p w14:paraId="2ED622C0" w14:textId="77777777" w:rsidR="00932750" w:rsidRDefault="00932750" w:rsidP="006D7A0B">
      <w:pPr>
        <w:spacing w:line="360" w:lineRule="auto"/>
        <w:rPr>
          <w:rFonts w:ascii="Arial" w:hAnsi="Arial" w:cs="Arial"/>
          <w:sz w:val="22"/>
          <w:szCs w:val="22"/>
        </w:rPr>
      </w:pPr>
      <w:r w:rsidRPr="00A25885">
        <w:rPr>
          <w:rFonts w:ascii="Arial" w:hAnsi="Arial" w:cs="Arial"/>
          <w:sz w:val="22"/>
          <w:szCs w:val="22"/>
        </w:rPr>
        <w:t xml:space="preserve">Olsson, L.-E., Jakobsson Ung, E., Swedberg, K. and Ekman, I. (2013) </w:t>
      </w:r>
      <w:r w:rsidRPr="00A25885">
        <w:rPr>
          <w:rFonts w:ascii="Arial" w:hAnsi="Arial" w:cs="Arial"/>
          <w:i/>
          <w:iCs/>
          <w:sz w:val="22"/>
          <w:szCs w:val="22"/>
        </w:rPr>
        <w:t>Efficacy of person-centred care as an intervention in controlled trials: a systematic review</w:t>
      </w:r>
      <w:r w:rsidRPr="00A25885">
        <w:rPr>
          <w:rFonts w:ascii="Arial" w:hAnsi="Arial" w:cs="Arial"/>
          <w:sz w:val="22"/>
          <w:szCs w:val="22"/>
        </w:rPr>
        <w:t xml:space="preserve">. </w:t>
      </w:r>
      <w:r w:rsidRPr="00A25885">
        <w:rPr>
          <w:rFonts w:ascii="Arial" w:hAnsi="Arial" w:cs="Arial"/>
          <w:i/>
          <w:iCs/>
          <w:sz w:val="22"/>
          <w:szCs w:val="22"/>
        </w:rPr>
        <w:t>Journal of Clinical Nursing</w:t>
      </w:r>
      <w:r w:rsidRPr="00A25885">
        <w:rPr>
          <w:rFonts w:ascii="Arial" w:hAnsi="Arial" w:cs="Arial"/>
          <w:sz w:val="22"/>
          <w:szCs w:val="22"/>
        </w:rPr>
        <w:t xml:space="preserve">, 22(3–4), pp. 456–465. Available at: </w:t>
      </w:r>
      <w:hyperlink r:id="rId18" w:history="1">
        <w:r w:rsidRPr="001855B8">
          <w:rPr>
            <w:rStyle w:val="Hyperlink"/>
            <w:rFonts w:ascii="Arial" w:hAnsi="Arial" w:cs="Arial"/>
            <w:sz w:val="22"/>
            <w:szCs w:val="22"/>
          </w:rPr>
          <w:t>https://doi.org/10.1111/jocn.12039</w:t>
        </w:r>
        <w:r w:rsidRPr="001855B8">
          <w:rPr>
            <w:rStyle w:val="Hyperlink"/>
            <w:rFonts w:ascii="Arial" w:hAnsi="Arial" w:cs="Arial"/>
            <w:sz w:val="22"/>
            <w:szCs w:val="22"/>
          </w:rPr>
          <w:t>/</w:t>
        </w:r>
      </w:hyperlink>
      <w:r>
        <w:rPr>
          <w:rFonts w:ascii="Arial" w:hAnsi="Arial" w:cs="Arial"/>
          <w:sz w:val="22"/>
          <w:szCs w:val="22"/>
        </w:rPr>
        <w:t xml:space="preserve"> </w:t>
      </w:r>
      <w:r w:rsidRPr="00A25885">
        <w:rPr>
          <w:rFonts w:ascii="Arial" w:hAnsi="Arial" w:cs="Arial"/>
          <w:sz w:val="22"/>
          <w:szCs w:val="22"/>
        </w:rPr>
        <w:t>(Accessed: 23 March 2026).</w:t>
      </w:r>
    </w:p>
    <w:p w14:paraId="67FFF431" w14:textId="77777777" w:rsidR="00932750" w:rsidRDefault="00932750" w:rsidP="006476A2">
      <w:pPr>
        <w:spacing w:line="360" w:lineRule="auto"/>
        <w:rPr>
          <w:rFonts w:ascii="Arial" w:hAnsi="Arial" w:cs="Arial"/>
          <w:sz w:val="22"/>
          <w:szCs w:val="22"/>
        </w:rPr>
      </w:pPr>
      <w:r w:rsidRPr="006476A2">
        <w:rPr>
          <w:rFonts w:ascii="Arial" w:hAnsi="Arial" w:cs="Arial"/>
          <w:sz w:val="22"/>
          <w:szCs w:val="22"/>
        </w:rPr>
        <w:t xml:space="preserve">The Health Foundation (2014) </w:t>
      </w:r>
      <w:r w:rsidRPr="006476A2">
        <w:rPr>
          <w:rFonts w:ascii="Arial" w:hAnsi="Arial" w:cs="Arial"/>
          <w:i/>
          <w:iCs/>
          <w:sz w:val="22"/>
          <w:szCs w:val="22"/>
        </w:rPr>
        <w:t>Person-centred care made simple</w:t>
      </w:r>
      <w:r w:rsidRPr="006476A2">
        <w:rPr>
          <w:rFonts w:ascii="Arial" w:hAnsi="Arial" w:cs="Arial"/>
          <w:sz w:val="22"/>
          <w:szCs w:val="22"/>
        </w:rPr>
        <w:t xml:space="preserve">. Available at: </w:t>
      </w:r>
      <w:hyperlink r:id="rId19" w:history="1">
        <w:r w:rsidRPr="006476A2">
          <w:rPr>
            <w:rStyle w:val="Hyperlink"/>
            <w:rFonts w:ascii="Arial" w:hAnsi="Arial" w:cs="Arial"/>
            <w:sz w:val="22"/>
            <w:szCs w:val="22"/>
          </w:rPr>
          <w:t>https://www.health.org.uk</w:t>
        </w:r>
        <w:r w:rsidRPr="001855B8">
          <w:rPr>
            <w:rStyle w:val="Hyperlink"/>
            <w:rFonts w:ascii="Arial" w:hAnsi="Arial" w:cs="Arial"/>
            <w:sz w:val="22"/>
            <w:szCs w:val="22"/>
          </w:rPr>
          <w:t>/</w:t>
        </w:r>
      </w:hyperlink>
      <w:r>
        <w:rPr>
          <w:rFonts w:ascii="Arial" w:hAnsi="Arial" w:cs="Arial"/>
          <w:sz w:val="22"/>
          <w:szCs w:val="22"/>
        </w:rPr>
        <w:t xml:space="preserve"> </w:t>
      </w:r>
      <w:r w:rsidRPr="006476A2">
        <w:rPr>
          <w:rFonts w:ascii="Arial" w:hAnsi="Arial" w:cs="Arial"/>
          <w:sz w:val="22"/>
          <w:szCs w:val="22"/>
        </w:rPr>
        <w:t>(Accessed: 2</w:t>
      </w:r>
      <w:r>
        <w:rPr>
          <w:rFonts w:ascii="Arial" w:hAnsi="Arial" w:cs="Arial"/>
          <w:sz w:val="22"/>
          <w:szCs w:val="22"/>
        </w:rPr>
        <w:t>0</w:t>
      </w:r>
      <w:r w:rsidRPr="006476A2">
        <w:rPr>
          <w:rFonts w:ascii="Arial" w:hAnsi="Arial" w:cs="Arial"/>
          <w:sz w:val="22"/>
          <w:szCs w:val="22"/>
        </w:rPr>
        <w:t xml:space="preserve"> March 2026).</w:t>
      </w:r>
    </w:p>
    <w:p w14:paraId="6147F0D6" w14:textId="0A414CED" w:rsidR="00932750" w:rsidRPr="002D3E8E" w:rsidRDefault="00932750" w:rsidP="002D3E8E">
      <w:pPr>
        <w:spacing w:line="360" w:lineRule="auto"/>
        <w:rPr>
          <w:rFonts w:ascii="Arial" w:hAnsi="Arial" w:cs="Arial"/>
          <w:sz w:val="22"/>
          <w:szCs w:val="22"/>
        </w:rPr>
      </w:pPr>
      <w:r w:rsidRPr="002D3E8E">
        <w:rPr>
          <w:rFonts w:ascii="Arial" w:hAnsi="Arial" w:cs="Arial"/>
          <w:sz w:val="22"/>
          <w:szCs w:val="22"/>
        </w:rPr>
        <w:t>The Health Foundation (2021) </w:t>
      </w:r>
      <w:r w:rsidRPr="002D3E8E">
        <w:rPr>
          <w:rFonts w:ascii="Arial" w:hAnsi="Arial" w:cs="Arial"/>
          <w:i/>
          <w:iCs/>
          <w:sz w:val="22"/>
          <w:szCs w:val="22"/>
        </w:rPr>
        <w:t>The Digital Transformation of Health and Social Care</w:t>
      </w:r>
      <w:r w:rsidRPr="002D3E8E">
        <w:rPr>
          <w:rFonts w:ascii="Arial" w:hAnsi="Arial" w:cs="Arial"/>
          <w:sz w:val="22"/>
          <w:szCs w:val="22"/>
        </w:rPr>
        <w:t>. Available at: </w:t>
      </w:r>
      <w:hyperlink r:id="rId20" w:history="1">
        <w:r w:rsidR="00F71B7F" w:rsidRPr="002D3E8E">
          <w:rPr>
            <w:rStyle w:val="Hyperlink"/>
            <w:rFonts w:ascii="Arial" w:hAnsi="Arial" w:cs="Arial"/>
            <w:sz w:val="22"/>
            <w:szCs w:val="22"/>
          </w:rPr>
          <w:t>https://www.health.org.uk/publications/reports/the-digital-transformation-of-health-and-social-care</w:t>
        </w:r>
        <w:r w:rsidR="00F71B7F" w:rsidRPr="001855B8">
          <w:rPr>
            <w:rStyle w:val="Hyperlink"/>
            <w:rFonts w:ascii="Arial" w:hAnsi="Arial" w:cs="Arial"/>
            <w:sz w:val="22"/>
            <w:szCs w:val="22"/>
          </w:rPr>
          <w:t>/</w:t>
        </w:r>
      </w:hyperlink>
      <w:r w:rsidR="00F71B7F">
        <w:rPr>
          <w:rFonts w:ascii="Arial" w:hAnsi="Arial" w:cs="Arial"/>
          <w:sz w:val="22"/>
          <w:szCs w:val="22"/>
        </w:rPr>
        <w:t xml:space="preserve"> </w:t>
      </w:r>
      <w:r w:rsidRPr="002D3E8E">
        <w:rPr>
          <w:rFonts w:ascii="Arial" w:hAnsi="Arial" w:cs="Arial"/>
          <w:sz w:val="22"/>
          <w:szCs w:val="22"/>
        </w:rPr>
        <w:t> (Accessed: 27 March 2026).</w:t>
      </w:r>
    </w:p>
    <w:p w14:paraId="1FEF374F" w14:textId="77777777" w:rsidR="00932750" w:rsidRDefault="00932750" w:rsidP="006D7A0B">
      <w:pPr>
        <w:spacing w:line="360" w:lineRule="auto"/>
        <w:rPr>
          <w:rFonts w:ascii="Arial" w:hAnsi="Arial" w:cs="Arial"/>
          <w:sz w:val="22"/>
          <w:szCs w:val="22"/>
        </w:rPr>
      </w:pPr>
      <w:r w:rsidRPr="00590089">
        <w:rPr>
          <w:rFonts w:ascii="Arial" w:hAnsi="Arial" w:cs="Arial"/>
          <w:sz w:val="22"/>
          <w:szCs w:val="22"/>
        </w:rPr>
        <w:t xml:space="preserve">West, E., Barron, D.N. and Reeves, R. (2005) ‘Overcoming the barriers to patient-centred care: time, tools and training’, </w:t>
      </w:r>
      <w:r w:rsidRPr="00590089">
        <w:rPr>
          <w:rFonts w:ascii="Arial" w:hAnsi="Arial" w:cs="Arial"/>
          <w:i/>
          <w:iCs/>
          <w:sz w:val="22"/>
          <w:szCs w:val="22"/>
        </w:rPr>
        <w:t>Journal of Clinical Nursing</w:t>
      </w:r>
      <w:r w:rsidRPr="00590089">
        <w:rPr>
          <w:rFonts w:ascii="Arial" w:hAnsi="Arial" w:cs="Arial"/>
          <w:sz w:val="22"/>
          <w:szCs w:val="22"/>
        </w:rPr>
        <w:t xml:space="preserve">, 14(4), pp. 435–443. </w:t>
      </w:r>
      <w:proofErr w:type="spellStart"/>
      <w:r w:rsidRPr="00590089">
        <w:rPr>
          <w:rFonts w:ascii="Arial" w:hAnsi="Arial" w:cs="Arial"/>
          <w:sz w:val="22"/>
          <w:szCs w:val="22"/>
        </w:rPr>
        <w:t>doi</w:t>
      </w:r>
      <w:proofErr w:type="spellEnd"/>
      <w:r w:rsidRPr="00590089">
        <w:rPr>
          <w:rFonts w:ascii="Arial" w:hAnsi="Arial" w:cs="Arial"/>
          <w:sz w:val="22"/>
          <w:szCs w:val="22"/>
        </w:rPr>
        <w:t>: 10.1111/j.1365-2702.2004.01091.x. Available at:</w:t>
      </w:r>
      <w:r>
        <w:rPr>
          <w:rFonts w:ascii="Arial" w:hAnsi="Arial" w:cs="Arial"/>
          <w:sz w:val="22"/>
          <w:szCs w:val="22"/>
        </w:rPr>
        <w:t xml:space="preserve"> </w:t>
      </w:r>
      <w:hyperlink r:id="rId21" w:history="1">
        <w:r w:rsidRPr="001855B8">
          <w:rPr>
            <w:rStyle w:val="Hyperlink"/>
            <w:rFonts w:ascii="Arial" w:hAnsi="Arial" w:cs="Arial"/>
            <w:sz w:val="22"/>
            <w:szCs w:val="22"/>
          </w:rPr>
          <w:t>https://researchonline.lshtm.ac.uk/id/eprint/13854/</w:t>
        </w:r>
      </w:hyperlink>
      <w:r>
        <w:rPr>
          <w:rFonts w:ascii="Arial" w:hAnsi="Arial" w:cs="Arial"/>
          <w:sz w:val="22"/>
          <w:szCs w:val="22"/>
        </w:rPr>
        <w:t xml:space="preserve"> (Accessed: 23 March 2026).</w:t>
      </w:r>
    </w:p>
    <w:p w14:paraId="68ED7D69" w14:textId="77777777" w:rsidR="002D3E8E" w:rsidRPr="00D03533" w:rsidRDefault="002D3E8E" w:rsidP="00D03533">
      <w:pPr>
        <w:spacing w:line="360" w:lineRule="auto"/>
        <w:rPr>
          <w:rFonts w:ascii="Arial" w:hAnsi="Arial" w:cs="Arial"/>
          <w:sz w:val="22"/>
          <w:szCs w:val="22"/>
        </w:rPr>
      </w:pPr>
    </w:p>
    <w:p w14:paraId="4D93E2BD" w14:textId="77777777" w:rsidR="00D03533" w:rsidRPr="002A4556" w:rsidRDefault="00D03533" w:rsidP="002A4556">
      <w:pPr>
        <w:spacing w:line="360" w:lineRule="auto"/>
        <w:rPr>
          <w:rFonts w:ascii="Arial" w:hAnsi="Arial" w:cs="Arial"/>
          <w:sz w:val="22"/>
          <w:szCs w:val="22"/>
        </w:rPr>
      </w:pPr>
    </w:p>
    <w:p w14:paraId="150FCAFA" w14:textId="77777777" w:rsidR="002A4556" w:rsidRPr="009F318A" w:rsidRDefault="002A4556" w:rsidP="009F318A">
      <w:pPr>
        <w:spacing w:line="360" w:lineRule="auto"/>
        <w:rPr>
          <w:rFonts w:ascii="Arial" w:hAnsi="Arial" w:cs="Arial"/>
          <w:sz w:val="22"/>
          <w:szCs w:val="22"/>
        </w:rPr>
      </w:pPr>
    </w:p>
    <w:p w14:paraId="76F849AA" w14:textId="77777777" w:rsidR="00D33FF0" w:rsidRPr="006D7A0B" w:rsidRDefault="00D33FF0" w:rsidP="006D7A0B">
      <w:pPr>
        <w:spacing w:line="360" w:lineRule="auto"/>
        <w:rPr>
          <w:rFonts w:ascii="Arial" w:hAnsi="Arial" w:cs="Arial"/>
          <w:sz w:val="22"/>
          <w:szCs w:val="22"/>
        </w:rPr>
      </w:pPr>
    </w:p>
    <w:p w14:paraId="3B1398C2" w14:textId="77777777" w:rsidR="006D7A0B" w:rsidRPr="006476A2" w:rsidRDefault="006D7A0B" w:rsidP="006476A2">
      <w:pPr>
        <w:spacing w:line="360" w:lineRule="auto"/>
        <w:rPr>
          <w:rFonts w:ascii="Arial" w:hAnsi="Arial" w:cs="Arial"/>
          <w:sz w:val="22"/>
          <w:szCs w:val="22"/>
        </w:rPr>
      </w:pPr>
    </w:p>
    <w:p w14:paraId="541B201A" w14:textId="77777777" w:rsidR="006476A2" w:rsidRDefault="006476A2" w:rsidP="006476A2">
      <w:pPr>
        <w:spacing w:line="360" w:lineRule="auto"/>
        <w:rPr>
          <w:rFonts w:ascii="Arial" w:hAnsi="Arial" w:cs="Arial"/>
          <w:b/>
          <w:bCs/>
          <w:sz w:val="22"/>
          <w:szCs w:val="22"/>
        </w:rPr>
      </w:pPr>
    </w:p>
    <w:p w14:paraId="3CBBFBF8" w14:textId="77777777" w:rsidR="007A5DA9" w:rsidRPr="007A5DA9" w:rsidRDefault="007A5DA9" w:rsidP="007A5DA9">
      <w:pPr>
        <w:spacing w:line="360" w:lineRule="auto"/>
        <w:rPr>
          <w:rFonts w:ascii="Arial" w:hAnsi="Arial" w:cs="Arial"/>
          <w:bCs/>
          <w:sz w:val="22"/>
          <w:szCs w:val="22"/>
        </w:rPr>
      </w:pPr>
    </w:p>
    <w:p w14:paraId="035F4169" w14:textId="77777777" w:rsidR="007A5DA9" w:rsidRDefault="007A5DA9" w:rsidP="00E853C9">
      <w:pPr>
        <w:spacing w:line="360" w:lineRule="auto"/>
        <w:rPr>
          <w:rFonts w:ascii="Arial" w:hAnsi="Arial" w:cs="Arial"/>
          <w:bCs/>
          <w:sz w:val="22"/>
          <w:szCs w:val="22"/>
        </w:rPr>
      </w:pPr>
    </w:p>
    <w:p w14:paraId="7AE872D9" w14:textId="77777777" w:rsidR="0055775C" w:rsidRDefault="0055775C" w:rsidP="0055775C">
      <w:pPr>
        <w:spacing w:line="360" w:lineRule="auto"/>
        <w:jc w:val="center"/>
        <w:rPr>
          <w:rFonts w:ascii="Arial" w:hAnsi="Arial" w:cs="Arial"/>
          <w:bCs/>
          <w:sz w:val="22"/>
          <w:szCs w:val="22"/>
        </w:rPr>
      </w:pPr>
    </w:p>
    <w:p w14:paraId="6DDA1645" w14:textId="77777777" w:rsidR="0055775C" w:rsidRDefault="0055775C" w:rsidP="0055775C">
      <w:pPr>
        <w:spacing w:line="360" w:lineRule="auto"/>
        <w:jc w:val="center"/>
        <w:rPr>
          <w:rFonts w:ascii="Arial" w:hAnsi="Arial" w:cs="Arial"/>
          <w:bCs/>
          <w:sz w:val="22"/>
          <w:szCs w:val="22"/>
        </w:rPr>
      </w:pPr>
    </w:p>
    <w:p w14:paraId="1196DC33" w14:textId="77777777" w:rsidR="0055775C" w:rsidRDefault="0055775C" w:rsidP="0055775C">
      <w:pPr>
        <w:spacing w:line="360" w:lineRule="auto"/>
        <w:rPr>
          <w:rFonts w:ascii="Arial" w:hAnsi="Arial" w:cs="Arial"/>
          <w:sz w:val="22"/>
          <w:szCs w:val="22"/>
        </w:rPr>
      </w:pPr>
    </w:p>
    <w:p w14:paraId="4FB8528F" w14:textId="77777777" w:rsidR="0055775C" w:rsidRDefault="0055775C"/>
    <w:sectPr w:rsidR="00557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23F3B"/>
    <w:multiLevelType w:val="hybridMultilevel"/>
    <w:tmpl w:val="341A496A"/>
    <w:lvl w:ilvl="0" w:tplc="B8DAF9AC">
      <w:start w:val="1"/>
      <w:numFmt w:val="lowerLetter"/>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33005971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75C"/>
    <w:rsid w:val="000C3888"/>
    <w:rsid w:val="00121E25"/>
    <w:rsid w:val="00123ED6"/>
    <w:rsid w:val="0017440E"/>
    <w:rsid w:val="0019397B"/>
    <w:rsid w:val="001C4965"/>
    <w:rsid w:val="001E3CE7"/>
    <w:rsid w:val="001F05C6"/>
    <w:rsid w:val="00230FE7"/>
    <w:rsid w:val="0025204C"/>
    <w:rsid w:val="00265D7D"/>
    <w:rsid w:val="00270E7E"/>
    <w:rsid w:val="002A4556"/>
    <w:rsid w:val="002D3E8E"/>
    <w:rsid w:val="00321C59"/>
    <w:rsid w:val="00374B8A"/>
    <w:rsid w:val="0039113A"/>
    <w:rsid w:val="003F602A"/>
    <w:rsid w:val="00403822"/>
    <w:rsid w:val="00463C52"/>
    <w:rsid w:val="004F1E93"/>
    <w:rsid w:val="0054086F"/>
    <w:rsid w:val="00546E0D"/>
    <w:rsid w:val="0055775C"/>
    <w:rsid w:val="00562DF8"/>
    <w:rsid w:val="00590089"/>
    <w:rsid w:val="005B4140"/>
    <w:rsid w:val="006476A2"/>
    <w:rsid w:val="00656A4D"/>
    <w:rsid w:val="006C221D"/>
    <w:rsid w:val="006C4380"/>
    <w:rsid w:val="006D7A0B"/>
    <w:rsid w:val="006E25EE"/>
    <w:rsid w:val="006F2E89"/>
    <w:rsid w:val="00764CA8"/>
    <w:rsid w:val="0077488B"/>
    <w:rsid w:val="007A5DA9"/>
    <w:rsid w:val="007B6201"/>
    <w:rsid w:val="008016FC"/>
    <w:rsid w:val="0082693E"/>
    <w:rsid w:val="008A3D2D"/>
    <w:rsid w:val="008E480D"/>
    <w:rsid w:val="00925AD6"/>
    <w:rsid w:val="00932750"/>
    <w:rsid w:val="009410E8"/>
    <w:rsid w:val="009F318A"/>
    <w:rsid w:val="00A25885"/>
    <w:rsid w:val="00A80116"/>
    <w:rsid w:val="00B34D8A"/>
    <w:rsid w:val="00B6253A"/>
    <w:rsid w:val="00B713D7"/>
    <w:rsid w:val="00B74E4B"/>
    <w:rsid w:val="00C07F0A"/>
    <w:rsid w:val="00C234E7"/>
    <w:rsid w:val="00C7101E"/>
    <w:rsid w:val="00C82A31"/>
    <w:rsid w:val="00C91058"/>
    <w:rsid w:val="00CA0916"/>
    <w:rsid w:val="00CD4394"/>
    <w:rsid w:val="00CF68AF"/>
    <w:rsid w:val="00D0067D"/>
    <w:rsid w:val="00D03533"/>
    <w:rsid w:val="00D10A15"/>
    <w:rsid w:val="00D33FF0"/>
    <w:rsid w:val="00D7225D"/>
    <w:rsid w:val="00DA2CDA"/>
    <w:rsid w:val="00DB0A0A"/>
    <w:rsid w:val="00E853C9"/>
    <w:rsid w:val="00EE1095"/>
    <w:rsid w:val="00F34E7F"/>
    <w:rsid w:val="00F63AA0"/>
    <w:rsid w:val="00F71B7F"/>
    <w:rsid w:val="00F97D38"/>
    <w:rsid w:val="00FD5660"/>
    <w:rsid w:val="00FD67F6"/>
    <w:rsid w:val="00FE5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2F0D"/>
  <w15:chartTrackingRefBased/>
  <w15:docId w15:val="{A1CB2BDC-1524-48E9-8B17-ED9EB93F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75C"/>
  </w:style>
  <w:style w:type="paragraph" w:styleId="Heading1">
    <w:name w:val="heading 1"/>
    <w:basedOn w:val="Normal"/>
    <w:next w:val="Normal"/>
    <w:link w:val="Heading1Char"/>
    <w:uiPriority w:val="9"/>
    <w:qFormat/>
    <w:rsid w:val="00557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7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7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75C"/>
    <w:rPr>
      <w:rFonts w:eastAsiaTheme="majorEastAsia" w:cstheme="majorBidi"/>
      <w:color w:val="272727" w:themeColor="text1" w:themeTint="D8"/>
    </w:rPr>
  </w:style>
  <w:style w:type="paragraph" w:styleId="Title">
    <w:name w:val="Title"/>
    <w:basedOn w:val="Normal"/>
    <w:next w:val="Normal"/>
    <w:link w:val="TitleChar"/>
    <w:uiPriority w:val="10"/>
    <w:qFormat/>
    <w:rsid w:val="00557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75C"/>
    <w:pPr>
      <w:spacing w:before="160"/>
      <w:jc w:val="center"/>
    </w:pPr>
    <w:rPr>
      <w:i/>
      <w:iCs/>
      <w:color w:val="404040" w:themeColor="text1" w:themeTint="BF"/>
    </w:rPr>
  </w:style>
  <w:style w:type="character" w:customStyle="1" w:styleId="QuoteChar">
    <w:name w:val="Quote Char"/>
    <w:basedOn w:val="DefaultParagraphFont"/>
    <w:link w:val="Quote"/>
    <w:uiPriority w:val="29"/>
    <w:rsid w:val="0055775C"/>
    <w:rPr>
      <w:i/>
      <w:iCs/>
      <w:color w:val="404040" w:themeColor="text1" w:themeTint="BF"/>
    </w:rPr>
  </w:style>
  <w:style w:type="paragraph" w:styleId="ListParagraph">
    <w:name w:val="List Paragraph"/>
    <w:basedOn w:val="Normal"/>
    <w:uiPriority w:val="34"/>
    <w:qFormat/>
    <w:rsid w:val="0055775C"/>
    <w:pPr>
      <w:ind w:left="720"/>
      <w:contextualSpacing/>
    </w:pPr>
  </w:style>
  <w:style w:type="character" w:styleId="IntenseEmphasis">
    <w:name w:val="Intense Emphasis"/>
    <w:basedOn w:val="DefaultParagraphFont"/>
    <w:uiPriority w:val="21"/>
    <w:qFormat/>
    <w:rsid w:val="0055775C"/>
    <w:rPr>
      <w:i/>
      <w:iCs/>
      <w:color w:val="0F4761" w:themeColor="accent1" w:themeShade="BF"/>
    </w:rPr>
  </w:style>
  <w:style w:type="paragraph" w:styleId="IntenseQuote">
    <w:name w:val="Intense Quote"/>
    <w:basedOn w:val="Normal"/>
    <w:next w:val="Normal"/>
    <w:link w:val="IntenseQuoteChar"/>
    <w:uiPriority w:val="30"/>
    <w:qFormat/>
    <w:rsid w:val="00557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75C"/>
    <w:rPr>
      <w:i/>
      <w:iCs/>
      <w:color w:val="0F4761" w:themeColor="accent1" w:themeShade="BF"/>
    </w:rPr>
  </w:style>
  <w:style w:type="character" w:styleId="IntenseReference">
    <w:name w:val="Intense Reference"/>
    <w:basedOn w:val="DefaultParagraphFont"/>
    <w:uiPriority w:val="32"/>
    <w:qFormat/>
    <w:rsid w:val="0055775C"/>
    <w:rPr>
      <w:b/>
      <w:bCs/>
      <w:smallCaps/>
      <w:color w:val="0F4761" w:themeColor="accent1" w:themeShade="BF"/>
      <w:spacing w:val="5"/>
    </w:rPr>
  </w:style>
  <w:style w:type="character" w:styleId="Hyperlink">
    <w:name w:val="Hyperlink"/>
    <w:basedOn w:val="DefaultParagraphFont"/>
    <w:uiPriority w:val="99"/>
    <w:unhideWhenUsed/>
    <w:rsid w:val="006476A2"/>
    <w:rPr>
      <w:color w:val="467886" w:themeColor="hyperlink"/>
      <w:u w:val="single"/>
    </w:rPr>
  </w:style>
  <w:style w:type="character" w:styleId="UnresolvedMention">
    <w:name w:val="Unresolved Mention"/>
    <w:basedOn w:val="DefaultParagraphFont"/>
    <w:uiPriority w:val="99"/>
    <w:semiHidden/>
    <w:unhideWhenUsed/>
    <w:rsid w:val="006476A2"/>
    <w:rPr>
      <w:color w:val="605E5C"/>
      <w:shd w:val="clear" w:color="auto" w:fill="E1DFDD"/>
    </w:rPr>
  </w:style>
  <w:style w:type="character" w:styleId="FollowedHyperlink">
    <w:name w:val="FollowedHyperlink"/>
    <w:basedOn w:val="DefaultParagraphFont"/>
    <w:uiPriority w:val="99"/>
    <w:semiHidden/>
    <w:unhideWhenUsed/>
    <w:rsid w:val="004F1E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legal-and-policy-guidance/equality-act-2010/" TargetMode="External"/><Relationship Id="rId13" Type="http://schemas.openxmlformats.org/officeDocument/2006/relationships/hyperlink" Target="https://doi.org/10.1111/ijn.12048/" TargetMode="External"/><Relationship Id="rId18" Type="http://schemas.openxmlformats.org/officeDocument/2006/relationships/hyperlink" Target="https://doi.org/10.1111/jocn.12039/" TargetMode="External"/><Relationship Id="rId3" Type="http://schemas.openxmlformats.org/officeDocument/2006/relationships/settings" Target="settings.xml"/><Relationship Id="rId21" Type="http://schemas.openxmlformats.org/officeDocument/2006/relationships/hyperlink" Target="https://researchonline.lshtm.ac.uk/id/eprint/13854/" TargetMode="External"/><Relationship Id="rId7" Type="http://schemas.openxmlformats.org/officeDocument/2006/relationships/hyperlink" Target="https://www.gov.uk/government/publications/health-and-care-act-2022-factsheets/" TargetMode="External"/><Relationship Id="rId12" Type="http://schemas.openxmlformats.org/officeDocument/2006/relationships/hyperlink" Target="https://www.legislation.gov.uk/ukpga/2014/23/contents/enacted/" TargetMode="External"/><Relationship Id="rId17" Type="http://schemas.openxmlformats.org/officeDocument/2006/relationships/hyperlink" Target="https://www.nmc.org.uk/standards/code/" TargetMode="External"/><Relationship Id="rId2" Type="http://schemas.openxmlformats.org/officeDocument/2006/relationships/styles" Target="styles.xml"/><Relationship Id="rId16" Type="http://schemas.openxmlformats.org/officeDocument/2006/relationships/hyperlink" Target="https://www.longtermplan.nhs.uk/" TargetMode="External"/><Relationship Id="rId20" Type="http://schemas.openxmlformats.org/officeDocument/2006/relationships/hyperlink" Target="https://www.health.org.uk/publications/reports/the-digital-transformation-of-health-and-social-care/" TargetMode="External"/><Relationship Id="rId1" Type="http://schemas.openxmlformats.org/officeDocument/2006/relationships/numbering" Target="numbering.xml"/><Relationship Id="rId6" Type="http://schemas.openxmlformats.org/officeDocument/2006/relationships/hyperlink" Target="https://www.gov.uk/government/publications/health-and-social-care-act-2012-fact-sheets" TargetMode="External"/><Relationship Id="rId11" Type="http://schemas.openxmlformats.org/officeDocument/2006/relationships/hyperlink" Target="https://policy.bristoluniversitypress.co.uk/partnership-working-in-health-and-social-care-second-edition/" TargetMode="External"/><Relationship Id="rId5" Type="http://schemas.openxmlformats.org/officeDocument/2006/relationships/hyperlink" Target="https://global.oup.com/ukhe/product/principles-of-biomedical-ethics-9780190640873" TargetMode="External"/><Relationship Id="rId15" Type="http://schemas.openxmlformats.org/officeDocument/2006/relationships/hyperlink" Target="https://www.england.nhs.uk/" TargetMode="External"/><Relationship Id="rId23" Type="http://schemas.openxmlformats.org/officeDocument/2006/relationships/theme" Target="theme/theme1.xml"/><Relationship Id="rId10" Type="http://schemas.openxmlformats.org/officeDocument/2006/relationships/hyperlink" Target="https://policy.bristoluniversitypress.co.uk/understanding-health-and-social-care-1/" TargetMode="External"/><Relationship Id="rId19" Type="http://schemas.openxmlformats.org/officeDocument/2006/relationships/hyperlink" Target="https://www.health.org.uk/" TargetMode="External"/><Relationship Id="rId4" Type="http://schemas.openxmlformats.org/officeDocument/2006/relationships/webSettings" Target="webSettings.xml"/><Relationship Id="rId9" Type="http://schemas.openxmlformats.org/officeDocument/2006/relationships/hyperlink" Target="https://doi.org/10.1111/jocn.14313//" TargetMode="External"/><Relationship Id="rId14" Type="http://schemas.openxmlformats.org/officeDocument/2006/relationships/hyperlink" Target="https://www.vitalsource.com/en-uk/products/person-centred-practice-in-nursing-and-health-brendan-mccormack-tanya-v978111899058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244</TotalTime>
  <Pages>10</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Khan</dc:creator>
  <cp:keywords/>
  <dc:description/>
  <cp:lastModifiedBy>Areeba Khan</cp:lastModifiedBy>
  <cp:revision>67</cp:revision>
  <dcterms:created xsi:type="dcterms:W3CDTF">2026-03-27T18:41:00Z</dcterms:created>
  <dcterms:modified xsi:type="dcterms:W3CDTF">2026-03-27T23:51:00Z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f5509c39-4d08-4ad2-9be7-9cb9fde99509</vt:lpwstr>
  </property>
</Properties>
</file>