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4B065" w14:textId="77777777" w:rsidR="00B74C5C" w:rsidRDefault="00B74C5C" w:rsidP="00B74C5C">
      <w:pPr>
        <w:jc w:val="center"/>
        <w:rPr>
          <w:b/>
          <w:bCs/>
          <w:sz w:val="28"/>
          <w:szCs w:val="28"/>
        </w:rPr>
      </w:pPr>
    </w:p>
    <w:p w14:paraId="098A0C3D" w14:textId="77777777" w:rsidR="00B74C5C" w:rsidRDefault="00B74C5C" w:rsidP="00B74C5C">
      <w:pPr>
        <w:jc w:val="center"/>
        <w:rPr>
          <w:b/>
          <w:bCs/>
          <w:sz w:val="28"/>
          <w:szCs w:val="28"/>
        </w:rPr>
      </w:pPr>
    </w:p>
    <w:p w14:paraId="0D3231E4" w14:textId="004C96CE" w:rsidR="00B74C5C" w:rsidRDefault="00B74C5C" w:rsidP="00B74C5C">
      <w:pPr>
        <w:jc w:val="center"/>
        <w:rPr>
          <w:b/>
          <w:bCs/>
          <w:sz w:val="28"/>
          <w:szCs w:val="28"/>
        </w:rPr>
      </w:pPr>
      <w:r>
        <w:rPr>
          <w:b/>
          <w:bCs/>
          <w:noProof/>
          <w:sz w:val="28"/>
          <w:szCs w:val="28"/>
        </w:rPr>
        <w:drawing>
          <wp:inline distT="0" distB="0" distL="0" distR="0" wp14:anchorId="15420A52" wp14:editId="09742C2A">
            <wp:extent cx="2743200" cy="1219200"/>
            <wp:effectExtent l="0" t="0" r="0" b="0"/>
            <wp:docPr id="67573316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733166" name="Picture 1"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1219200"/>
                    </a:xfrm>
                    <a:prstGeom prst="rect">
                      <a:avLst/>
                    </a:prstGeom>
                    <a:noFill/>
                    <a:ln>
                      <a:noFill/>
                    </a:ln>
                  </pic:spPr>
                </pic:pic>
              </a:graphicData>
            </a:graphic>
          </wp:inline>
        </w:drawing>
      </w:r>
    </w:p>
    <w:p w14:paraId="6AF1C233" w14:textId="77777777" w:rsidR="00B74C5C" w:rsidRDefault="00B74C5C" w:rsidP="00B74C5C">
      <w:pPr>
        <w:jc w:val="center"/>
        <w:rPr>
          <w:b/>
          <w:bCs/>
          <w:sz w:val="28"/>
          <w:szCs w:val="28"/>
        </w:rPr>
      </w:pPr>
    </w:p>
    <w:p w14:paraId="2F62D347" w14:textId="77777777" w:rsidR="00B74C5C" w:rsidRDefault="00B74C5C" w:rsidP="00B74C5C">
      <w:pPr>
        <w:jc w:val="center"/>
        <w:rPr>
          <w:b/>
          <w:bCs/>
          <w:sz w:val="28"/>
          <w:szCs w:val="28"/>
        </w:rPr>
      </w:pPr>
    </w:p>
    <w:p w14:paraId="041EE91C" w14:textId="77777777" w:rsidR="00B74C5C" w:rsidRDefault="00B74C5C" w:rsidP="00B74C5C">
      <w:pPr>
        <w:jc w:val="center"/>
        <w:rPr>
          <w:b/>
          <w:bCs/>
          <w:sz w:val="28"/>
          <w:szCs w:val="28"/>
        </w:rPr>
      </w:pPr>
    </w:p>
    <w:p w14:paraId="525D59C3" w14:textId="7D501412" w:rsidR="00B74C5C" w:rsidRPr="00B74C5C" w:rsidRDefault="00B74C5C" w:rsidP="00B74C5C">
      <w:pPr>
        <w:jc w:val="center"/>
        <w:rPr>
          <w:b/>
          <w:bCs/>
          <w:sz w:val="28"/>
          <w:szCs w:val="28"/>
        </w:rPr>
      </w:pPr>
      <w:r w:rsidRPr="00B74C5C">
        <w:rPr>
          <w:b/>
          <w:bCs/>
          <w:sz w:val="28"/>
          <w:szCs w:val="28"/>
        </w:rPr>
        <w:t>Assignment 1</w:t>
      </w:r>
    </w:p>
    <w:p w14:paraId="62497B29" w14:textId="77777777" w:rsidR="00B74C5C" w:rsidRPr="00B74C5C" w:rsidRDefault="00B74C5C" w:rsidP="00B74C5C">
      <w:pPr>
        <w:jc w:val="center"/>
        <w:rPr>
          <w:b/>
          <w:bCs/>
          <w:sz w:val="28"/>
          <w:szCs w:val="28"/>
        </w:rPr>
      </w:pPr>
      <w:r w:rsidRPr="00B74C5C">
        <w:rPr>
          <w:b/>
          <w:bCs/>
          <w:sz w:val="28"/>
          <w:szCs w:val="28"/>
        </w:rPr>
        <w:t xml:space="preserve"> </w:t>
      </w:r>
    </w:p>
    <w:p w14:paraId="3806AE42" w14:textId="60593520" w:rsidR="00B74C5C" w:rsidRPr="00B74C5C" w:rsidRDefault="00B74C5C" w:rsidP="00B74C5C">
      <w:pPr>
        <w:jc w:val="center"/>
        <w:rPr>
          <w:b/>
          <w:bCs/>
          <w:sz w:val="28"/>
          <w:szCs w:val="28"/>
        </w:rPr>
      </w:pPr>
      <w:r w:rsidRPr="00B74C5C">
        <w:rPr>
          <w:b/>
          <w:bCs/>
          <w:sz w:val="28"/>
          <w:szCs w:val="28"/>
        </w:rPr>
        <w:t>Module: Accounting Fundamentals (LCBB4001)</w:t>
      </w:r>
    </w:p>
    <w:p w14:paraId="7357F610" w14:textId="232B52E5" w:rsidR="00B74C5C" w:rsidRPr="00B74C5C" w:rsidRDefault="00B74C5C" w:rsidP="00B74C5C">
      <w:pPr>
        <w:jc w:val="center"/>
        <w:rPr>
          <w:b/>
          <w:bCs/>
          <w:sz w:val="28"/>
          <w:szCs w:val="28"/>
        </w:rPr>
      </w:pPr>
      <w:r w:rsidRPr="00B74C5C">
        <w:rPr>
          <w:b/>
          <w:bCs/>
          <w:sz w:val="28"/>
          <w:szCs w:val="28"/>
        </w:rPr>
        <w:t>Lecturer:   Konstantina Mari</w:t>
      </w:r>
    </w:p>
    <w:p w14:paraId="1087A6B9" w14:textId="77777777" w:rsidR="00B74C5C" w:rsidRPr="00B74C5C" w:rsidRDefault="00B74C5C" w:rsidP="00B74C5C">
      <w:pPr>
        <w:jc w:val="center"/>
        <w:rPr>
          <w:b/>
          <w:bCs/>
          <w:sz w:val="28"/>
          <w:szCs w:val="28"/>
        </w:rPr>
      </w:pPr>
      <w:r w:rsidRPr="00B74C5C">
        <w:rPr>
          <w:b/>
          <w:bCs/>
          <w:sz w:val="28"/>
          <w:szCs w:val="28"/>
        </w:rPr>
        <w:t>Student Name:  Ionut Agrigoroaei</w:t>
      </w:r>
    </w:p>
    <w:p w14:paraId="15384063" w14:textId="3F13B1B1" w:rsidR="00B74C5C" w:rsidRDefault="00B74C5C" w:rsidP="00B74C5C">
      <w:pPr>
        <w:jc w:val="center"/>
        <w:rPr>
          <w:b/>
          <w:bCs/>
          <w:sz w:val="28"/>
          <w:szCs w:val="28"/>
        </w:rPr>
      </w:pPr>
      <w:r w:rsidRPr="00B74C5C">
        <w:rPr>
          <w:b/>
          <w:bCs/>
          <w:sz w:val="28"/>
          <w:szCs w:val="28"/>
        </w:rPr>
        <w:t>Student ID:</w:t>
      </w:r>
      <w:r w:rsidRPr="00B74C5C">
        <w:rPr>
          <w:b/>
          <w:bCs/>
          <w:sz w:val="28"/>
          <w:szCs w:val="28"/>
        </w:rPr>
        <w:tab/>
        <w:t>2247225</w:t>
      </w:r>
    </w:p>
    <w:p w14:paraId="0F2516BA" w14:textId="77777777" w:rsidR="00B74C5C" w:rsidRDefault="00B74C5C">
      <w:pPr>
        <w:rPr>
          <w:b/>
          <w:bCs/>
          <w:sz w:val="28"/>
          <w:szCs w:val="28"/>
        </w:rPr>
      </w:pPr>
      <w:r>
        <w:rPr>
          <w:b/>
          <w:bCs/>
          <w:sz w:val="28"/>
          <w:szCs w:val="28"/>
        </w:rPr>
        <w:br w:type="page"/>
      </w:r>
    </w:p>
    <w:p w14:paraId="7F4B9192" w14:textId="77777777" w:rsidR="00B74C5C" w:rsidRDefault="00B74C5C" w:rsidP="00CA6196">
      <w:pPr>
        <w:jc w:val="center"/>
        <w:rPr>
          <w:b/>
          <w:bCs/>
          <w:sz w:val="28"/>
          <w:szCs w:val="28"/>
        </w:rPr>
      </w:pPr>
    </w:p>
    <w:sdt>
      <w:sdtPr>
        <w:id w:val="-164372604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B293346" w14:textId="77777777" w:rsidR="00B74C5C" w:rsidRDefault="00B74C5C" w:rsidP="00B74C5C">
          <w:pPr>
            <w:pStyle w:val="TOCHeading"/>
          </w:pPr>
          <w:r>
            <w:t>Contents</w:t>
          </w:r>
        </w:p>
        <w:p w14:paraId="52E96A75" w14:textId="77777777" w:rsidR="00B74C5C" w:rsidRDefault="00B74C5C" w:rsidP="00B74C5C">
          <w:pPr>
            <w:rPr>
              <w:b/>
              <w:bCs/>
              <w:noProof/>
              <w:lang w:val="en-US"/>
            </w:rPr>
          </w:pPr>
          <w:r>
            <w:fldChar w:fldCharType="begin"/>
          </w:r>
          <w:r>
            <w:instrText xml:space="preserve"> TOC \o "1-3" \h \z \u </w:instrText>
          </w:r>
          <w:r>
            <w:fldChar w:fldCharType="separate"/>
          </w:r>
          <w:r>
            <w:rPr>
              <w:b/>
              <w:bCs/>
              <w:noProof/>
              <w:lang w:val="en-US"/>
            </w:rPr>
            <w:t>Question 1…………………………………………………………………………………………………………………………………..2</w:t>
          </w:r>
        </w:p>
        <w:p w14:paraId="6B2652AE" w14:textId="77777777" w:rsidR="00D06FB1" w:rsidRDefault="00B74C5C" w:rsidP="00B74C5C">
          <w:pPr>
            <w:rPr>
              <w:b/>
              <w:bCs/>
              <w:noProof/>
            </w:rPr>
          </w:pPr>
          <w:r>
            <w:rPr>
              <w:b/>
              <w:bCs/>
              <w:noProof/>
              <w:lang w:val="en-US"/>
            </w:rPr>
            <w:t>Question 2</w:t>
          </w:r>
          <w:r>
            <w:rPr>
              <w:b/>
              <w:bCs/>
              <w:noProof/>
            </w:rPr>
            <w:fldChar w:fldCharType="end"/>
          </w:r>
          <w:r>
            <w:rPr>
              <w:b/>
              <w:bCs/>
              <w:noProof/>
            </w:rPr>
            <w:t>…………………………………………………………………………………………………………………………………..</w:t>
          </w:r>
          <w:r w:rsidR="00D06FB1">
            <w:rPr>
              <w:b/>
              <w:bCs/>
              <w:noProof/>
            </w:rPr>
            <w:t>5</w:t>
          </w:r>
        </w:p>
        <w:p w14:paraId="74892470" w14:textId="77777777" w:rsidR="00D06FB1" w:rsidRDefault="00D06FB1" w:rsidP="00B74C5C">
          <w:pPr>
            <w:rPr>
              <w:b/>
              <w:bCs/>
              <w:noProof/>
            </w:rPr>
          </w:pPr>
          <w:r>
            <w:rPr>
              <w:b/>
              <w:bCs/>
              <w:noProof/>
            </w:rPr>
            <w:t>Question 3…………………………………………………………………………………………………………………………………..5</w:t>
          </w:r>
        </w:p>
        <w:p w14:paraId="16A0B596" w14:textId="249D3257" w:rsidR="00B74C5C" w:rsidRPr="00B74C5C" w:rsidRDefault="00D06FB1" w:rsidP="00B74C5C">
          <w:pPr>
            <w:rPr>
              <w:b/>
              <w:bCs/>
              <w:noProof/>
            </w:rPr>
          </w:pPr>
          <w:r>
            <w:rPr>
              <w:b/>
              <w:bCs/>
              <w:noProof/>
            </w:rPr>
            <w:t>References………………………………………………………………………………………………………………………………….7</w:t>
          </w:r>
        </w:p>
      </w:sdtContent>
    </w:sdt>
    <w:p w14:paraId="1ACD2433" w14:textId="77777777" w:rsidR="00B74C5C" w:rsidRDefault="00B74C5C">
      <w:pPr>
        <w:rPr>
          <w:b/>
          <w:bCs/>
          <w:sz w:val="28"/>
          <w:szCs w:val="28"/>
        </w:rPr>
      </w:pPr>
      <w:r>
        <w:rPr>
          <w:b/>
          <w:bCs/>
          <w:sz w:val="28"/>
          <w:szCs w:val="28"/>
        </w:rPr>
        <w:br w:type="page"/>
      </w:r>
    </w:p>
    <w:p w14:paraId="7A7A2A3F" w14:textId="1144E335" w:rsidR="00B74C5C" w:rsidRDefault="00B74C5C">
      <w:pPr>
        <w:rPr>
          <w:b/>
          <w:bCs/>
          <w:sz w:val="28"/>
          <w:szCs w:val="28"/>
        </w:rPr>
      </w:pPr>
    </w:p>
    <w:p w14:paraId="0EE2C8E4" w14:textId="2A0AC6D2" w:rsidR="00CA6196" w:rsidRPr="00CA6196" w:rsidRDefault="00CA6196" w:rsidP="00CA6196">
      <w:pPr>
        <w:jc w:val="center"/>
        <w:rPr>
          <w:b/>
          <w:bCs/>
          <w:sz w:val="28"/>
          <w:szCs w:val="28"/>
        </w:rPr>
      </w:pPr>
      <w:r w:rsidRPr="00CA6196">
        <w:rPr>
          <w:b/>
          <w:bCs/>
          <w:sz w:val="28"/>
          <w:szCs w:val="28"/>
        </w:rPr>
        <w:t>Assignment 1</w:t>
      </w:r>
    </w:p>
    <w:p w14:paraId="45A7B18F" w14:textId="77777777" w:rsidR="00CA6196" w:rsidRDefault="00CA6196" w:rsidP="00A66B36">
      <w:pPr>
        <w:rPr>
          <w:b/>
          <w:bCs/>
          <w:sz w:val="24"/>
          <w:szCs w:val="24"/>
        </w:rPr>
      </w:pPr>
    </w:p>
    <w:p w14:paraId="095269C2" w14:textId="2D418568" w:rsidR="00A66B36" w:rsidRPr="003F758C" w:rsidRDefault="00A66B36" w:rsidP="00A66B36">
      <w:pPr>
        <w:rPr>
          <w:b/>
          <w:bCs/>
        </w:rPr>
      </w:pPr>
      <w:r w:rsidRPr="003F758C">
        <w:rPr>
          <w:b/>
          <w:bCs/>
          <w:sz w:val="24"/>
          <w:szCs w:val="24"/>
        </w:rPr>
        <w:t xml:space="preserve">Question 1 </w:t>
      </w:r>
    </w:p>
    <w:p w14:paraId="1A769977" w14:textId="51487491" w:rsidR="003E303E" w:rsidRPr="00CA6196" w:rsidRDefault="003E303E" w:rsidP="00802850">
      <w:pPr>
        <w:pStyle w:val="ListParagraph"/>
        <w:numPr>
          <w:ilvl w:val="0"/>
          <w:numId w:val="5"/>
        </w:numPr>
        <w:ind w:left="0"/>
        <w:jc w:val="both"/>
        <w:rPr>
          <w:sz w:val="24"/>
          <w:szCs w:val="24"/>
        </w:rPr>
      </w:pPr>
      <w:r w:rsidRPr="00CA6196">
        <w:rPr>
          <w:sz w:val="24"/>
          <w:szCs w:val="24"/>
        </w:rPr>
        <w:t>False. The statement of financial position, also known as the balance sheet, provides information about a company's assets, liabilities, and equity at a specific point in time. It does not directly show the cash inflows and outflows that occurred during the accounting period. The statement of cash flows is the financial statement that specifically reports cash inflows and outflows. According to the International Financial Reporting Standards (IFRS) framework, the statement of financial position</w:t>
      </w:r>
      <w:r w:rsidR="00AA212B" w:rsidRPr="00CA6196">
        <w:rPr>
          <w:sz w:val="24"/>
          <w:szCs w:val="24"/>
        </w:rPr>
        <w:t xml:space="preserve"> illustrates the profitability of an </w:t>
      </w:r>
      <w:r w:rsidR="00F92CC0" w:rsidRPr="00CA6196">
        <w:rPr>
          <w:sz w:val="24"/>
          <w:szCs w:val="24"/>
        </w:rPr>
        <w:t>organisation</w:t>
      </w:r>
      <w:r w:rsidR="00AA212B" w:rsidRPr="00CA6196">
        <w:rPr>
          <w:sz w:val="24"/>
          <w:szCs w:val="24"/>
        </w:rPr>
        <w:t>.</w:t>
      </w:r>
      <w:r w:rsidRPr="00CA6196">
        <w:rPr>
          <w:sz w:val="24"/>
          <w:szCs w:val="24"/>
        </w:rPr>
        <w:t xml:space="preserve"> (IFRS</w:t>
      </w:r>
      <w:r w:rsidR="00F92CC0" w:rsidRPr="00CA6196">
        <w:rPr>
          <w:sz w:val="24"/>
          <w:szCs w:val="24"/>
        </w:rPr>
        <w:t>, 2018</w:t>
      </w:r>
      <w:r w:rsidRPr="00CA6196">
        <w:rPr>
          <w:sz w:val="24"/>
          <w:szCs w:val="24"/>
        </w:rPr>
        <w:t xml:space="preserve">). </w:t>
      </w:r>
    </w:p>
    <w:p w14:paraId="76461991" w14:textId="77777777" w:rsidR="00CA6196" w:rsidRPr="00CA6196" w:rsidRDefault="00CA6196" w:rsidP="00CA6196">
      <w:pPr>
        <w:pStyle w:val="ListParagraph"/>
        <w:ind w:left="0"/>
        <w:jc w:val="both"/>
        <w:rPr>
          <w:sz w:val="24"/>
          <w:szCs w:val="24"/>
        </w:rPr>
      </w:pPr>
    </w:p>
    <w:p w14:paraId="6511FFC2" w14:textId="632E34D8" w:rsidR="00B74C5C" w:rsidRPr="00B74C5C" w:rsidRDefault="003E303E" w:rsidP="00B74C5C">
      <w:pPr>
        <w:pStyle w:val="ListParagraph"/>
        <w:numPr>
          <w:ilvl w:val="0"/>
          <w:numId w:val="5"/>
        </w:numPr>
        <w:ind w:left="0"/>
        <w:jc w:val="both"/>
        <w:rPr>
          <w:sz w:val="24"/>
          <w:szCs w:val="24"/>
        </w:rPr>
      </w:pPr>
      <w:r w:rsidRPr="00CA6196">
        <w:rPr>
          <w:sz w:val="24"/>
          <w:szCs w:val="24"/>
        </w:rPr>
        <w:t>False. Non-current assets are long-term assets that are expected to benefit the company over multiple accounting periods. They include assets such as property, plant, and equipment, intangible assets, and long-term investments. The term "non-current" refers to the time horizon over which these assets are expected to generate economic benefits, rather than their physical mobility. In fact, many non-current assets, such as machinery or vehicles, can be physically moved.</w:t>
      </w:r>
    </w:p>
    <w:p w14:paraId="0159F1BE" w14:textId="3B1FBC99" w:rsidR="003E303E" w:rsidRDefault="003E303E" w:rsidP="00B74C5C">
      <w:pPr>
        <w:pStyle w:val="ListParagraph"/>
        <w:ind w:left="0"/>
        <w:jc w:val="both"/>
        <w:rPr>
          <w:sz w:val="24"/>
          <w:szCs w:val="24"/>
        </w:rPr>
      </w:pPr>
      <w:r w:rsidRPr="00B74C5C">
        <w:rPr>
          <w:sz w:val="24"/>
          <w:szCs w:val="24"/>
        </w:rPr>
        <w:t>According to the International Financial Reporting Standards (IFRS), non-current assets are defined as "assets that are expected to be recovered or settled more than twelve months after the reporting period." (IFRS, IAS 1, paragraph 66). This definition focuses on the time horizon of economic benefit rather than the mobility of assets.</w:t>
      </w:r>
    </w:p>
    <w:p w14:paraId="76988557" w14:textId="77777777" w:rsidR="00B74C5C" w:rsidRPr="00B74C5C" w:rsidRDefault="00B74C5C" w:rsidP="00B74C5C">
      <w:pPr>
        <w:pStyle w:val="ListParagraph"/>
        <w:ind w:left="0"/>
        <w:jc w:val="both"/>
        <w:rPr>
          <w:sz w:val="24"/>
          <w:szCs w:val="24"/>
        </w:rPr>
      </w:pPr>
    </w:p>
    <w:p w14:paraId="2D8804BF" w14:textId="77777777" w:rsidR="00B74C5C" w:rsidRDefault="003E303E" w:rsidP="00802850">
      <w:pPr>
        <w:pStyle w:val="ListParagraph"/>
        <w:numPr>
          <w:ilvl w:val="0"/>
          <w:numId w:val="5"/>
        </w:numPr>
        <w:ind w:left="0"/>
        <w:jc w:val="both"/>
        <w:rPr>
          <w:sz w:val="24"/>
          <w:szCs w:val="24"/>
        </w:rPr>
      </w:pPr>
      <w:r w:rsidRPr="00CA6196">
        <w:rPr>
          <w:sz w:val="24"/>
          <w:szCs w:val="24"/>
        </w:rPr>
        <w:t>False. Managers have a responsibility to provide financial information to all stakeholders, not just the "current" shareholders. Shareholders, both current and potential, rely on accurate and timely financial information to make informed decisions about investing in or holding shares in a company. However, financial information is also crucial for other stakeholders, such as creditors, employees, government authorities, and potential business partners, who need to assess the financial health and performance of the company.</w:t>
      </w:r>
    </w:p>
    <w:p w14:paraId="2E48829B" w14:textId="5C93CF64" w:rsidR="003E303E" w:rsidRPr="00B74C5C" w:rsidRDefault="003E303E" w:rsidP="00B74C5C">
      <w:pPr>
        <w:pStyle w:val="ListParagraph"/>
        <w:ind w:left="0"/>
        <w:jc w:val="both"/>
        <w:rPr>
          <w:sz w:val="24"/>
          <w:szCs w:val="24"/>
        </w:rPr>
      </w:pPr>
      <w:r w:rsidRPr="00B74C5C">
        <w:rPr>
          <w:sz w:val="24"/>
          <w:szCs w:val="24"/>
        </w:rPr>
        <w:t xml:space="preserve">According to the International Financial Reporting Standards (IFRS), the objective of financial reporting is to provide information about the financial position, performance, and cash flows of an entity that is useful to a wide range of users for making economic decisions. These users include shareholders, investors, lenders, employees, suppliers, customers, and the </w:t>
      </w:r>
      <w:proofErr w:type="gramStart"/>
      <w:r w:rsidRPr="00B74C5C">
        <w:rPr>
          <w:sz w:val="24"/>
          <w:szCs w:val="24"/>
        </w:rPr>
        <w:t>general public</w:t>
      </w:r>
      <w:proofErr w:type="gramEnd"/>
      <w:r w:rsidRPr="00B74C5C">
        <w:rPr>
          <w:sz w:val="24"/>
          <w:szCs w:val="24"/>
        </w:rPr>
        <w:t xml:space="preserve">. (IFRS Framework, </w:t>
      </w:r>
      <w:r w:rsidR="00CA6196" w:rsidRPr="00B74C5C">
        <w:rPr>
          <w:sz w:val="24"/>
          <w:szCs w:val="24"/>
        </w:rPr>
        <w:t>2018)</w:t>
      </w:r>
      <w:r w:rsidRPr="00B74C5C">
        <w:rPr>
          <w:sz w:val="24"/>
          <w:szCs w:val="24"/>
        </w:rPr>
        <w:t>.</w:t>
      </w:r>
    </w:p>
    <w:p w14:paraId="2EC7374C" w14:textId="77777777" w:rsidR="003E303E" w:rsidRPr="00CA6196" w:rsidRDefault="003E303E" w:rsidP="00802850">
      <w:pPr>
        <w:jc w:val="both"/>
        <w:rPr>
          <w:sz w:val="24"/>
          <w:szCs w:val="24"/>
        </w:rPr>
      </w:pPr>
    </w:p>
    <w:p w14:paraId="436D369F" w14:textId="77777777" w:rsidR="00B74C5C" w:rsidRDefault="003E303E" w:rsidP="00802850">
      <w:pPr>
        <w:pStyle w:val="ListParagraph"/>
        <w:numPr>
          <w:ilvl w:val="0"/>
          <w:numId w:val="5"/>
        </w:numPr>
        <w:ind w:left="0"/>
        <w:jc w:val="both"/>
        <w:rPr>
          <w:sz w:val="24"/>
          <w:szCs w:val="24"/>
        </w:rPr>
      </w:pPr>
      <w:r w:rsidRPr="00CA6196">
        <w:rPr>
          <w:sz w:val="24"/>
          <w:szCs w:val="24"/>
        </w:rPr>
        <w:t>False. Prepayments and accruals need to be included on the statement of financial position. Prepayments represent the advance payment made by a company for goods or services that will be received in the future accounting periods. Accruals, on the other hand, are expenses or revenues that have been incurred or earned but have not yet been recorded in the financial statements.</w:t>
      </w:r>
    </w:p>
    <w:p w14:paraId="72223C8C" w14:textId="78DB6C49" w:rsidR="00CA6196" w:rsidRDefault="003E303E" w:rsidP="00B74C5C">
      <w:pPr>
        <w:pStyle w:val="ListParagraph"/>
        <w:ind w:left="0"/>
        <w:jc w:val="both"/>
        <w:rPr>
          <w:sz w:val="24"/>
          <w:szCs w:val="24"/>
        </w:rPr>
      </w:pPr>
      <w:r w:rsidRPr="00B74C5C">
        <w:rPr>
          <w:sz w:val="24"/>
          <w:szCs w:val="24"/>
        </w:rPr>
        <w:lastRenderedPageBreak/>
        <w:t>According to the International Financial Reporting Standards (IFRS), both prepayments and accruals are recognized as assets or liabilities, depending on their nature, and are included in the statement of financial position. For example, prepayments are reported as current assets if they will be consumed within one year, while accruals are reported as current liabilities if they will be settled within one year.</w:t>
      </w:r>
    </w:p>
    <w:p w14:paraId="7611774D" w14:textId="77777777" w:rsidR="00B74C5C" w:rsidRPr="00CA6196" w:rsidRDefault="00B74C5C" w:rsidP="00B74C5C">
      <w:pPr>
        <w:pStyle w:val="ListParagraph"/>
        <w:ind w:left="0"/>
        <w:jc w:val="both"/>
        <w:rPr>
          <w:sz w:val="24"/>
          <w:szCs w:val="24"/>
        </w:rPr>
      </w:pPr>
    </w:p>
    <w:p w14:paraId="3CA1106D" w14:textId="77777777" w:rsidR="00B74C5C" w:rsidRDefault="003E303E" w:rsidP="00802850">
      <w:pPr>
        <w:pStyle w:val="ListParagraph"/>
        <w:numPr>
          <w:ilvl w:val="0"/>
          <w:numId w:val="5"/>
        </w:numPr>
        <w:ind w:left="0"/>
        <w:jc w:val="both"/>
        <w:rPr>
          <w:sz w:val="24"/>
          <w:szCs w:val="24"/>
        </w:rPr>
      </w:pPr>
      <w:r w:rsidRPr="00CA6196">
        <w:rPr>
          <w:sz w:val="24"/>
          <w:szCs w:val="24"/>
        </w:rPr>
        <w:t xml:space="preserve">False. There is a clear need for regulation over financial accounts. Financial regulation plays a vital role in ensuring transparency, accountability, and the stability of financial markets. It establishes rules and standards that govern the preparation, presentation, and disclosure of financial information. These regulations are necessary to protect investors, maintain public trust, and facilitate economic growth. </w:t>
      </w:r>
    </w:p>
    <w:p w14:paraId="0D6E0F49" w14:textId="77777777" w:rsidR="00B74C5C" w:rsidRDefault="003E303E" w:rsidP="00B74C5C">
      <w:pPr>
        <w:pStyle w:val="ListParagraph"/>
        <w:ind w:left="0"/>
        <w:jc w:val="both"/>
        <w:rPr>
          <w:sz w:val="24"/>
          <w:szCs w:val="24"/>
        </w:rPr>
      </w:pPr>
      <w:r w:rsidRPr="00B74C5C">
        <w:rPr>
          <w:sz w:val="24"/>
          <w:szCs w:val="24"/>
        </w:rPr>
        <w:t>Financial accounts provide crucial information for decision-making by investors, creditors, and other stakeholders. Without regulations, there would be a higher risk of misleading or fraudulent financial reporting, which can lead to financial crises, market failures, and damage to the economy. Regulation helps to prevent such occurrences by setting guidelines for the recording, measurement, and reporting of financial transactions.</w:t>
      </w:r>
    </w:p>
    <w:p w14:paraId="3C3A1265" w14:textId="77777777" w:rsidR="00B74C5C" w:rsidRDefault="003E303E" w:rsidP="00B74C5C">
      <w:pPr>
        <w:pStyle w:val="ListParagraph"/>
        <w:ind w:left="0"/>
        <w:jc w:val="both"/>
        <w:rPr>
          <w:sz w:val="24"/>
          <w:szCs w:val="24"/>
        </w:rPr>
      </w:pPr>
      <w:r w:rsidRPr="00CA6196">
        <w:rPr>
          <w:sz w:val="24"/>
          <w:szCs w:val="24"/>
        </w:rPr>
        <w:t>Moreover, financial accounts are used by governments to assess tax liabilities, monitor compliance with regulatory requirements, and formulate economic policies. Without regulation, it would be difficult to ensure fairness, consistency, and comparability in accounting practices, hindering effective governance and economic planning.</w:t>
      </w:r>
    </w:p>
    <w:p w14:paraId="597F9789" w14:textId="1AE0863C" w:rsidR="00CA6196" w:rsidRDefault="003E303E" w:rsidP="00B74C5C">
      <w:pPr>
        <w:pStyle w:val="ListParagraph"/>
        <w:ind w:left="0"/>
        <w:jc w:val="both"/>
        <w:rPr>
          <w:sz w:val="24"/>
          <w:szCs w:val="24"/>
        </w:rPr>
      </w:pPr>
      <w:r w:rsidRPr="00CA6196">
        <w:rPr>
          <w:sz w:val="24"/>
          <w:szCs w:val="24"/>
        </w:rPr>
        <w:t>Financial regulations are typically enforced by regulatory bodies such as the Securities and Exchange Commission (SEC) in the United States or the Financial Conduct Authority (FCA) in the United Kingdom. These bodies oversee compliance with accounting standards, disclosure requirements, and ethical conduct in financial reporting.</w:t>
      </w:r>
    </w:p>
    <w:p w14:paraId="01CEEE19" w14:textId="77777777" w:rsidR="00B74C5C" w:rsidRPr="00CA6196" w:rsidRDefault="00B74C5C" w:rsidP="00B74C5C">
      <w:pPr>
        <w:pStyle w:val="ListParagraph"/>
        <w:ind w:left="0"/>
        <w:jc w:val="both"/>
        <w:rPr>
          <w:sz w:val="24"/>
          <w:szCs w:val="24"/>
        </w:rPr>
      </w:pPr>
    </w:p>
    <w:p w14:paraId="3639F598" w14:textId="77777777" w:rsidR="00B74C5C" w:rsidRDefault="003E303E" w:rsidP="00802850">
      <w:pPr>
        <w:pStyle w:val="ListParagraph"/>
        <w:numPr>
          <w:ilvl w:val="0"/>
          <w:numId w:val="5"/>
        </w:numPr>
        <w:ind w:left="0"/>
        <w:jc w:val="both"/>
        <w:rPr>
          <w:sz w:val="24"/>
          <w:szCs w:val="24"/>
        </w:rPr>
      </w:pPr>
      <w:r w:rsidRPr="00CA6196">
        <w:rPr>
          <w:sz w:val="24"/>
          <w:szCs w:val="24"/>
        </w:rPr>
        <w:t>True. It is crucial to balance ledger accounts and the trial balance before preparing financial statements. Balancing ensures the accuracy and integrity of financial information, which is vital for making informed business decisions and complying with accounting principles.</w:t>
      </w:r>
    </w:p>
    <w:p w14:paraId="1D417595" w14:textId="77777777" w:rsidR="00B74C5C" w:rsidRDefault="003E303E" w:rsidP="00B74C5C">
      <w:pPr>
        <w:pStyle w:val="ListParagraph"/>
        <w:ind w:left="0"/>
        <w:jc w:val="both"/>
        <w:rPr>
          <w:sz w:val="24"/>
          <w:szCs w:val="24"/>
        </w:rPr>
      </w:pPr>
      <w:r w:rsidRPr="00B74C5C">
        <w:rPr>
          <w:sz w:val="24"/>
          <w:szCs w:val="24"/>
        </w:rPr>
        <w:t>When preparing financial statements, ledger accounts are used to record and track individual transactions. Each transaction affects at least two accounts, resulting in debit and credit entries. Balancing ledger accounts involves ensuring that the total debits equal the total credits for each account. This process helps identify errors, omissions, or inconsistencies in recording transactions.</w:t>
      </w:r>
    </w:p>
    <w:p w14:paraId="1779FFDF" w14:textId="77777777" w:rsidR="00B74C5C" w:rsidRDefault="003E303E" w:rsidP="00B74C5C">
      <w:pPr>
        <w:pStyle w:val="ListParagraph"/>
        <w:ind w:left="0"/>
        <w:jc w:val="both"/>
        <w:rPr>
          <w:sz w:val="24"/>
          <w:szCs w:val="24"/>
        </w:rPr>
      </w:pPr>
      <w:r w:rsidRPr="00CA6196">
        <w:rPr>
          <w:sz w:val="24"/>
          <w:szCs w:val="24"/>
        </w:rPr>
        <w:t>The trial balance is a summary of all ledger accounts, showing the total debits and credits for each account. It serves as a preliminary check to verify if the accounts are correctly balanced. The total debits and credits in the trial balance should be equal, reflecting the fundamental double-entry bookkeeping principle.</w:t>
      </w:r>
    </w:p>
    <w:p w14:paraId="20F18C6C" w14:textId="45959B77" w:rsidR="003E303E" w:rsidRPr="00CA6196" w:rsidRDefault="003E303E" w:rsidP="00B74C5C">
      <w:pPr>
        <w:pStyle w:val="ListParagraph"/>
        <w:ind w:left="0"/>
        <w:jc w:val="both"/>
        <w:rPr>
          <w:sz w:val="24"/>
          <w:szCs w:val="24"/>
        </w:rPr>
      </w:pPr>
      <w:r w:rsidRPr="00CA6196">
        <w:rPr>
          <w:sz w:val="24"/>
          <w:szCs w:val="24"/>
        </w:rPr>
        <w:t>By balancing ledger accounts and the trial balance, errors or discrepancies can be identified and corrected before preparing the financial statements. If the accounts are not balanced, it indicates that errors have occurred during the recording process, such as mathematical mistakes, incorrect postings, or omitted entries. Resolving these discrepancies ensures the accuracy and reliability of the financial statements.</w:t>
      </w:r>
    </w:p>
    <w:p w14:paraId="37835576" w14:textId="4D539F6D" w:rsidR="00D00A5D" w:rsidRPr="00CA6196" w:rsidRDefault="003E303E">
      <w:pPr>
        <w:rPr>
          <w:b/>
          <w:bCs/>
          <w:sz w:val="24"/>
          <w:szCs w:val="24"/>
        </w:rPr>
      </w:pPr>
      <w:r w:rsidRPr="00CA6196">
        <w:rPr>
          <w:sz w:val="24"/>
          <w:szCs w:val="24"/>
        </w:rPr>
        <w:br w:type="page"/>
      </w:r>
      <w:r w:rsidR="00A66B36" w:rsidRPr="00CA6196">
        <w:rPr>
          <w:b/>
          <w:bCs/>
          <w:sz w:val="24"/>
          <w:szCs w:val="24"/>
        </w:rPr>
        <w:lastRenderedPageBreak/>
        <w:t>Question 2</w:t>
      </w:r>
    </w:p>
    <w:p w14:paraId="35E86150" w14:textId="77777777" w:rsidR="00A66B36" w:rsidRDefault="00A66B36"/>
    <w:tbl>
      <w:tblPr>
        <w:tblStyle w:val="LightList-Accent3"/>
        <w:tblW w:w="9629" w:type="dxa"/>
        <w:tblLook w:val="0620" w:firstRow="1" w:lastRow="0" w:firstColumn="0" w:lastColumn="0" w:noHBand="1" w:noVBand="1"/>
      </w:tblPr>
      <w:tblGrid>
        <w:gridCol w:w="7503"/>
        <w:gridCol w:w="2126"/>
      </w:tblGrid>
      <w:tr w:rsidR="00A66B36" w14:paraId="2D2DC0B7" w14:textId="77777777" w:rsidTr="00A66B36">
        <w:trPr>
          <w:cnfStyle w:val="100000000000" w:firstRow="1" w:lastRow="0" w:firstColumn="0" w:lastColumn="0" w:oddVBand="0" w:evenVBand="0" w:oddHBand="0" w:evenHBand="0" w:firstRowFirstColumn="0" w:firstRowLastColumn="0" w:lastRowFirstColumn="0" w:lastRowLastColumn="0"/>
          <w:trHeight w:val="262"/>
        </w:trPr>
        <w:tc>
          <w:tcPr>
            <w:tcW w:w="7503" w:type="dxa"/>
          </w:tcPr>
          <w:p w14:paraId="0F495BA9" w14:textId="4585D35A" w:rsidR="00A66B36" w:rsidRPr="00A66B36" w:rsidRDefault="00A66B36">
            <w:pPr>
              <w:rPr>
                <w:sz w:val="24"/>
                <w:szCs w:val="24"/>
              </w:rPr>
            </w:pPr>
          </w:p>
        </w:tc>
        <w:tc>
          <w:tcPr>
            <w:tcW w:w="2126" w:type="dxa"/>
          </w:tcPr>
          <w:p w14:paraId="0C4E26A8" w14:textId="55C91D98" w:rsidR="00A66B36" w:rsidRPr="00A66B36" w:rsidRDefault="00A66B36">
            <w:pPr>
              <w:rPr>
                <w:b w:val="0"/>
                <w:bCs w:val="0"/>
                <w:sz w:val="24"/>
                <w:szCs w:val="24"/>
              </w:rPr>
            </w:pPr>
            <w:r w:rsidRPr="00A66B36">
              <w:rPr>
                <w:b w:val="0"/>
                <w:bCs w:val="0"/>
                <w:sz w:val="24"/>
                <w:szCs w:val="24"/>
              </w:rPr>
              <w:t>£’000</w:t>
            </w:r>
          </w:p>
        </w:tc>
      </w:tr>
      <w:tr w:rsidR="00A66B36" w14:paraId="76FD5569" w14:textId="77777777" w:rsidTr="00A66B36">
        <w:trPr>
          <w:trHeight w:val="262"/>
        </w:trPr>
        <w:tc>
          <w:tcPr>
            <w:tcW w:w="7503" w:type="dxa"/>
          </w:tcPr>
          <w:p w14:paraId="4F470379" w14:textId="459B8773" w:rsidR="00A66B36" w:rsidRPr="00A66B36" w:rsidRDefault="00A66B36" w:rsidP="00A66B36">
            <w:pPr>
              <w:rPr>
                <w:sz w:val="24"/>
                <w:szCs w:val="24"/>
              </w:rPr>
            </w:pPr>
            <w:r w:rsidRPr="00A66B36">
              <w:rPr>
                <w:sz w:val="24"/>
                <w:szCs w:val="24"/>
              </w:rPr>
              <w:t>Revenue = £900,000(sales of goods) + £1000 (sales of goods with payment in Feb 2023)</w:t>
            </w:r>
          </w:p>
        </w:tc>
        <w:tc>
          <w:tcPr>
            <w:tcW w:w="2126" w:type="dxa"/>
          </w:tcPr>
          <w:p w14:paraId="725D0E5F" w14:textId="6CE159A0" w:rsidR="00A66B36" w:rsidRPr="00A66B36" w:rsidRDefault="00A66B36" w:rsidP="00A66B36">
            <w:pPr>
              <w:jc w:val="center"/>
              <w:rPr>
                <w:sz w:val="24"/>
                <w:szCs w:val="24"/>
              </w:rPr>
            </w:pPr>
            <w:r w:rsidRPr="00A66B36">
              <w:rPr>
                <w:sz w:val="24"/>
                <w:szCs w:val="24"/>
              </w:rPr>
              <w:t>901,000</w:t>
            </w:r>
          </w:p>
        </w:tc>
      </w:tr>
      <w:tr w:rsidR="00A66B36" w14:paraId="37986250" w14:textId="77777777" w:rsidTr="00A66B36">
        <w:trPr>
          <w:trHeight w:val="273"/>
        </w:trPr>
        <w:tc>
          <w:tcPr>
            <w:tcW w:w="7503" w:type="dxa"/>
          </w:tcPr>
          <w:p w14:paraId="6FC28392" w14:textId="06AB0F39" w:rsidR="00A66B36" w:rsidRPr="00A66B36" w:rsidRDefault="00A66B36" w:rsidP="00A66B36">
            <w:pPr>
              <w:rPr>
                <w:sz w:val="24"/>
                <w:szCs w:val="24"/>
              </w:rPr>
            </w:pPr>
            <w:r w:rsidRPr="00A66B36">
              <w:rPr>
                <w:sz w:val="24"/>
                <w:szCs w:val="24"/>
              </w:rPr>
              <w:t xml:space="preserve">Cost of sales(total) = </w:t>
            </w:r>
            <w:r w:rsidRPr="00A66B36">
              <w:rPr>
                <w:sz w:val="24"/>
                <w:szCs w:val="24"/>
              </w:rPr>
              <w:t>£</w:t>
            </w:r>
            <w:r w:rsidRPr="00A66B36">
              <w:rPr>
                <w:sz w:val="24"/>
                <w:szCs w:val="24"/>
              </w:rPr>
              <w:t xml:space="preserve">578,650 (initial COS) + </w:t>
            </w:r>
            <w:r w:rsidRPr="00A66B36">
              <w:rPr>
                <w:sz w:val="24"/>
                <w:szCs w:val="24"/>
              </w:rPr>
              <w:t>£</w:t>
            </w:r>
            <w:r w:rsidRPr="00A66B36">
              <w:rPr>
                <w:sz w:val="24"/>
                <w:szCs w:val="24"/>
              </w:rPr>
              <w:t xml:space="preserve">650,000/10 years (depreciation of equipment) </w:t>
            </w:r>
          </w:p>
        </w:tc>
        <w:tc>
          <w:tcPr>
            <w:tcW w:w="2126" w:type="dxa"/>
          </w:tcPr>
          <w:p w14:paraId="143E5D92" w14:textId="6E2571F3" w:rsidR="00A66B36" w:rsidRPr="00A66B36" w:rsidRDefault="00A66B36" w:rsidP="00A66B36">
            <w:pPr>
              <w:jc w:val="center"/>
              <w:rPr>
                <w:sz w:val="24"/>
                <w:szCs w:val="24"/>
              </w:rPr>
            </w:pPr>
            <w:r w:rsidRPr="00A66B36">
              <w:rPr>
                <w:sz w:val="24"/>
                <w:szCs w:val="24"/>
                <w:u w:val="single"/>
              </w:rPr>
              <w:t>(643,650)</w:t>
            </w:r>
          </w:p>
        </w:tc>
      </w:tr>
      <w:tr w:rsidR="00A66B36" w14:paraId="0C163C3C" w14:textId="77777777" w:rsidTr="00A66B36">
        <w:trPr>
          <w:trHeight w:val="262"/>
        </w:trPr>
        <w:tc>
          <w:tcPr>
            <w:tcW w:w="7503" w:type="dxa"/>
          </w:tcPr>
          <w:p w14:paraId="6C005A59" w14:textId="652A0671" w:rsidR="00A66B36" w:rsidRPr="00A66B36" w:rsidRDefault="00A66B36" w:rsidP="00A66B36">
            <w:pPr>
              <w:rPr>
                <w:sz w:val="24"/>
                <w:szCs w:val="24"/>
              </w:rPr>
            </w:pPr>
            <w:r w:rsidRPr="00A66B36">
              <w:rPr>
                <w:sz w:val="24"/>
                <w:szCs w:val="24"/>
              </w:rPr>
              <w:t xml:space="preserve">Gross profit = </w:t>
            </w:r>
            <w:r w:rsidRPr="00A66B36">
              <w:rPr>
                <w:sz w:val="24"/>
                <w:szCs w:val="24"/>
              </w:rPr>
              <w:t>£</w:t>
            </w:r>
            <w:r w:rsidRPr="00A66B36">
              <w:rPr>
                <w:sz w:val="24"/>
                <w:szCs w:val="24"/>
              </w:rPr>
              <w:t>901,000</w:t>
            </w:r>
            <w:r w:rsidRPr="00A66B36">
              <w:rPr>
                <w:sz w:val="24"/>
                <w:szCs w:val="24"/>
              </w:rPr>
              <w:t xml:space="preserve"> </w:t>
            </w:r>
            <w:r w:rsidRPr="00A66B36">
              <w:rPr>
                <w:sz w:val="24"/>
                <w:szCs w:val="24"/>
              </w:rPr>
              <w:t>-</w:t>
            </w:r>
            <w:r w:rsidRPr="00A66B36">
              <w:rPr>
                <w:sz w:val="24"/>
                <w:szCs w:val="24"/>
              </w:rPr>
              <w:t xml:space="preserve"> £</w:t>
            </w:r>
            <w:r w:rsidRPr="00A66B36">
              <w:rPr>
                <w:sz w:val="24"/>
                <w:szCs w:val="24"/>
              </w:rPr>
              <w:t>643,650</w:t>
            </w:r>
          </w:p>
        </w:tc>
        <w:tc>
          <w:tcPr>
            <w:tcW w:w="2126" w:type="dxa"/>
          </w:tcPr>
          <w:p w14:paraId="6496E684" w14:textId="5BDB9B3E" w:rsidR="00A66B36" w:rsidRPr="00A66B36" w:rsidRDefault="00A66B36" w:rsidP="00A66B36">
            <w:pPr>
              <w:jc w:val="center"/>
              <w:rPr>
                <w:sz w:val="24"/>
                <w:szCs w:val="24"/>
              </w:rPr>
            </w:pPr>
            <w:r w:rsidRPr="00A66B36">
              <w:rPr>
                <w:sz w:val="24"/>
                <w:szCs w:val="24"/>
              </w:rPr>
              <w:t>257,350</w:t>
            </w:r>
          </w:p>
        </w:tc>
      </w:tr>
      <w:tr w:rsidR="00A66B36" w14:paraId="73BFC439" w14:textId="77777777" w:rsidTr="00A66B36">
        <w:trPr>
          <w:trHeight w:val="273"/>
        </w:trPr>
        <w:tc>
          <w:tcPr>
            <w:tcW w:w="7503" w:type="dxa"/>
          </w:tcPr>
          <w:p w14:paraId="4C117AF3" w14:textId="6A8882CB" w:rsidR="00A66B36" w:rsidRPr="00A66B36" w:rsidRDefault="00A66B36" w:rsidP="00A66B36">
            <w:pPr>
              <w:rPr>
                <w:sz w:val="24"/>
                <w:szCs w:val="24"/>
              </w:rPr>
            </w:pPr>
            <w:r w:rsidRPr="00A66B36">
              <w:rPr>
                <w:sz w:val="24"/>
                <w:szCs w:val="24"/>
              </w:rPr>
              <w:t>Other income</w:t>
            </w:r>
          </w:p>
        </w:tc>
        <w:tc>
          <w:tcPr>
            <w:tcW w:w="2126" w:type="dxa"/>
          </w:tcPr>
          <w:p w14:paraId="55A69C1C" w14:textId="2D916BCB" w:rsidR="00A66B36" w:rsidRPr="00A66B36" w:rsidRDefault="00A66B36" w:rsidP="00A66B36">
            <w:pPr>
              <w:jc w:val="center"/>
              <w:rPr>
                <w:sz w:val="24"/>
                <w:szCs w:val="24"/>
              </w:rPr>
            </w:pPr>
          </w:p>
        </w:tc>
      </w:tr>
      <w:tr w:rsidR="00A66B36" w14:paraId="48C11C95" w14:textId="77777777" w:rsidTr="00A66B36">
        <w:trPr>
          <w:trHeight w:val="262"/>
        </w:trPr>
        <w:tc>
          <w:tcPr>
            <w:tcW w:w="7503" w:type="dxa"/>
          </w:tcPr>
          <w:p w14:paraId="1ED7A7AF" w14:textId="54D3860A" w:rsidR="00A66B36" w:rsidRPr="00A66B36" w:rsidRDefault="00A66B36" w:rsidP="00A66B36">
            <w:pPr>
              <w:rPr>
                <w:sz w:val="24"/>
                <w:szCs w:val="24"/>
              </w:rPr>
            </w:pPr>
            <w:r w:rsidRPr="00A66B36">
              <w:rPr>
                <w:sz w:val="24"/>
                <w:szCs w:val="24"/>
              </w:rPr>
              <w:t>Distribution costs (given in the requirements)</w:t>
            </w:r>
          </w:p>
        </w:tc>
        <w:tc>
          <w:tcPr>
            <w:tcW w:w="2126" w:type="dxa"/>
          </w:tcPr>
          <w:p w14:paraId="5248AA7B" w14:textId="3B48034B" w:rsidR="00A66B36" w:rsidRPr="00A66B36" w:rsidRDefault="00A66B36" w:rsidP="00A66B36">
            <w:pPr>
              <w:jc w:val="center"/>
              <w:rPr>
                <w:sz w:val="24"/>
                <w:szCs w:val="24"/>
              </w:rPr>
            </w:pPr>
            <w:r w:rsidRPr="00A66B36">
              <w:rPr>
                <w:sz w:val="24"/>
                <w:szCs w:val="24"/>
              </w:rPr>
              <w:t>(28,000)</w:t>
            </w:r>
          </w:p>
        </w:tc>
      </w:tr>
      <w:tr w:rsidR="00A66B36" w14:paraId="2174A116" w14:textId="77777777" w:rsidTr="00A66B36">
        <w:trPr>
          <w:trHeight w:val="262"/>
        </w:trPr>
        <w:tc>
          <w:tcPr>
            <w:tcW w:w="7503" w:type="dxa"/>
          </w:tcPr>
          <w:p w14:paraId="3372492F" w14:textId="11DC2B5D" w:rsidR="00A66B36" w:rsidRPr="00A66B36" w:rsidRDefault="00A66B36" w:rsidP="00A66B36">
            <w:pPr>
              <w:rPr>
                <w:sz w:val="24"/>
                <w:szCs w:val="24"/>
              </w:rPr>
            </w:pPr>
            <w:r w:rsidRPr="00A66B36">
              <w:rPr>
                <w:sz w:val="24"/>
                <w:szCs w:val="24"/>
              </w:rPr>
              <w:t xml:space="preserve">Administration expenses = </w:t>
            </w:r>
            <w:r w:rsidRPr="00A66B36">
              <w:rPr>
                <w:sz w:val="24"/>
                <w:szCs w:val="24"/>
              </w:rPr>
              <w:t>£</w:t>
            </w:r>
            <w:r w:rsidRPr="00A66B36">
              <w:rPr>
                <w:sz w:val="24"/>
                <w:szCs w:val="24"/>
              </w:rPr>
              <w:t>160,000(initial amount) + £10,000 (salaries</w:t>
            </w:r>
            <w:r w:rsidR="003E303E">
              <w:rPr>
                <w:sz w:val="24"/>
                <w:szCs w:val="24"/>
              </w:rPr>
              <w:t>*</w:t>
            </w:r>
            <w:r w:rsidRPr="00A66B36">
              <w:rPr>
                <w:sz w:val="24"/>
                <w:szCs w:val="24"/>
              </w:rPr>
              <w:t>) + £2000 (commission) + £5000 (director)</w:t>
            </w:r>
          </w:p>
        </w:tc>
        <w:tc>
          <w:tcPr>
            <w:tcW w:w="2126" w:type="dxa"/>
          </w:tcPr>
          <w:p w14:paraId="426E6DBC" w14:textId="788BB8B4" w:rsidR="00A66B36" w:rsidRPr="00A66B36" w:rsidRDefault="00A66B36" w:rsidP="00A66B36">
            <w:pPr>
              <w:jc w:val="center"/>
              <w:rPr>
                <w:sz w:val="24"/>
                <w:szCs w:val="24"/>
              </w:rPr>
            </w:pPr>
            <w:r w:rsidRPr="00A66B36">
              <w:rPr>
                <w:sz w:val="24"/>
                <w:szCs w:val="24"/>
                <w:u w:val="single"/>
              </w:rPr>
              <w:t>(177,000)</w:t>
            </w:r>
          </w:p>
        </w:tc>
      </w:tr>
      <w:tr w:rsidR="00A66B36" w14:paraId="3D60D48E" w14:textId="77777777" w:rsidTr="00A66B36">
        <w:trPr>
          <w:trHeight w:val="273"/>
        </w:trPr>
        <w:tc>
          <w:tcPr>
            <w:tcW w:w="7503" w:type="dxa"/>
          </w:tcPr>
          <w:p w14:paraId="12549007" w14:textId="7775571E" w:rsidR="00A66B36" w:rsidRPr="00A66B36" w:rsidRDefault="00A66B36" w:rsidP="00A66B36">
            <w:pPr>
              <w:rPr>
                <w:sz w:val="24"/>
                <w:szCs w:val="24"/>
              </w:rPr>
            </w:pPr>
            <w:r w:rsidRPr="00A66B36">
              <w:rPr>
                <w:sz w:val="24"/>
                <w:szCs w:val="24"/>
              </w:rPr>
              <w:t>Operating profit = £257,350(gross profit) - £28,000(distribution cost) - £177,000(Administration expenses)</w:t>
            </w:r>
          </w:p>
        </w:tc>
        <w:tc>
          <w:tcPr>
            <w:tcW w:w="2126" w:type="dxa"/>
          </w:tcPr>
          <w:p w14:paraId="51261783" w14:textId="7D301A45" w:rsidR="00A66B36" w:rsidRPr="00A66B36" w:rsidRDefault="00A66B36" w:rsidP="00A66B36">
            <w:pPr>
              <w:jc w:val="center"/>
              <w:rPr>
                <w:sz w:val="24"/>
                <w:szCs w:val="24"/>
              </w:rPr>
            </w:pPr>
            <w:r w:rsidRPr="00A66B36">
              <w:rPr>
                <w:sz w:val="24"/>
                <w:szCs w:val="24"/>
              </w:rPr>
              <w:t>52,350</w:t>
            </w:r>
          </w:p>
        </w:tc>
      </w:tr>
      <w:tr w:rsidR="00A66B36" w14:paraId="42CD86AE" w14:textId="77777777" w:rsidTr="00A66B36">
        <w:trPr>
          <w:trHeight w:val="262"/>
        </w:trPr>
        <w:tc>
          <w:tcPr>
            <w:tcW w:w="7503" w:type="dxa"/>
          </w:tcPr>
          <w:p w14:paraId="46C72EDE" w14:textId="5CF8BC55" w:rsidR="00A66B36" w:rsidRPr="00A66B36" w:rsidRDefault="00A66B36" w:rsidP="00A66B36">
            <w:pPr>
              <w:rPr>
                <w:sz w:val="24"/>
                <w:szCs w:val="24"/>
              </w:rPr>
            </w:pPr>
            <w:r w:rsidRPr="00A66B36">
              <w:rPr>
                <w:sz w:val="24"/>
                <w:szCs w:val="24"/>
              </w:rPr>
              <w:t>Finance costs = 4% of £100,000 debentures</w:t>
            </w:r>
          </w:p>
        </w:tc>
        <w:tc>
          <w:tcPr>
            <w:tcW w:w="2126" w:type="dxa"/>
          </w:tcPr>
          <w:p w14:paraId="625DC7F9" w14:textId="1B0269F4" w:rsidR="00A66B36" w:rsidRPr="00A66B36" w:rsidRDefault="00A66B36" w:rsidP="00A66B36">
            <w:pPr>
              <w:jc w:val="center"/>
              <w:rPr>
                <w:sz w:val="24"/>
                <w:szCs w:val="24"/>
              </w:rPr>
            </w:pPr>
            <w:r w:rsidRPr="00A66B36">
              <w:rPr>
                <w:sz w:val="24"/>
                <w:szCs w:val="24"/>
                <w:u w:val="single"/>
              </w:rPr>
              <w:t>(4000)</w:t>
            </w:r>
          </w:p>
        </w:tc>
      </w:tr>
      <w:tr w:rsidR="00A66B36" w14:paraId="388B0915" w14:textId="77777777" w:rsidTr="00A66B36">
        <w:trPr>
          <w:trHeight w:val="262"/>
        </w:trPr>
        <w:tc>
          <w:tcPr>
            <w:tcW w:w="7503" w:type="dxa"/>
          </w:tcPr>
          <w:p w14:paraId="1431F6CE" w14:textId="4D5DE56A" w:rsidR="00A66B36" w:rsidRPr="00A66B36" w:rsidRDefault="00A66B36" w:rsidP="00A66B36">
            <w:pPr>
              <w:rPr>
                <w:sz w:val="24"/>
                <w:szCs w:val="24"/>
              </w:rPr>
            </w:pPr>
            <w:r w:rsidRPr="00A66B36">
              <w:rPr>
                <w:sz w:val="24"/>
                <w:szCs w:val="24"/>
              </w:rPr>
              <w:t>Profit before tax = £52,350 (Operating cost) - £4000(Finance costs)</w:t>
            </w:r>
          </w:p>
        </w:tc>
        <w:tc>
          <w:tcPr>
            <w:tcW w:w="2126" w:type="dxa"/>
          </w:tcPr>
          <w:p w14:paraId="5BD5EA51" w14:textId="46A78284" w:rsidR="00A66B36" w:rsidRPr="00A66B36" w:rsidRDefault="00A66B36" w:rsidP="00A66B36">
            <w:pPr>
              <w:jc w:val="center"/>
              <w:rPr>
                <w:sz w:val="24"/>
                <w:szCs w:val="24"/>
              </w:rPr>
            </w:pPr>
            <w:r w:rsidRPr="00A66B36">
              <w:rPr>
                <w:sz w:val="24"/>
                <w:szCs w:val="24"/>
              </w:rPr>
              <w:t>48,350</w:t>
            </w:r>
          </w:p>
        </w:tc>
      </w:tr>
      <w:tr w:rsidR="00A66B36" w14:paraId="4D6A627D" w14:textId="77777777" w:rsidTr="00A66B36">
        <w:trPr>
          <w:trHeight w:val="273"/>
        </w:trPr>
        <w:tc>
          <w:tcPr>
            <w:tcW w:w="7503" w:type="dxa"/>
          </w:tcPr>
          <w:p w14:paraId="48E8346F" w14:textId="2636F9DD" w:rsidR="00A66B36" w:rsidRPr="00A66B36" w:rsidRDefault="00A66B36" w:rsidP="00A66B36">
            <w:pPr>
              <w:rPr>
                <w:sz w:val="24"/>
                <w:szCs w:val="24"/>
              </w:rPr>
            </w:pPr>
            <w:r w:rsidRPr="00A66B36">
              <w:rPr>
                <w:sz w:val="24"/>
                <w:szCs w:val="24"/>
              </w:rPr>
              <w:t>Taxation (provided in the requirements)</w:t>
            </w:r>
          </w:p>
        </w:tc>
        <w:tc>
          <w:tcPr>
            <w:tcW w:w="2126" w:type="dxa"/>
          </w:tcPr>
          <w:p w14:paraId="0F305CF2" w14:textId="2346E9BB" w:rsidR="00A66B36" w:rsidRPr="00A66B36" w:rsidRDefault="00A66B36" w:rsidP="00A66B36">
            <w:pPr>
              <w:jc w:val="center"/>
              <w:rPr>
                <w:sz w:val="24"/>
                <w:szCs w:val="24"/>
              </w:rPr>
            </w:pPr>
            <w:r w:rsidRPr="00A66B36">
              <w:rPr>
                <w:sz w:val="24"/>
                <w:szCs w:val="24"/>
                <w:u w:val="single"/>
              </w:rPr>
              <w:t>(15,000)</w:t>
            </w:r>
          </w:p>
        </w:tc>
      </w:tr>
      <w:tr w:rsidR="00A66B36" w14:paraId="6ABF8A1E" w14:textId="77777777" w:rsidTr="00A66B36">
        <w:trPr>
          <w:trHeight w:val="262"/>
        </w:trPr>
        <w:tc>
          <w:tcPr>
            <w:tcW w:w="7503" w:type="dxa"/>
          </w:tcPr>
          <w:p w14:paraId="0551468E" w14:textId="261C4B69" w:rsidR="00A66B36" w:rsidRPr="00A66B36" w:rsidRDefault="00A66B36" w:rsidP="00A66B36">
            <w:pPr>
              <w:rPr>
                <w:sz w:val="24"/>
                <w:szCs w:val="24"/>
              </w:rPr>
            </w:pPr>
            <w:r w:rsidRPr="00A66B36">
              <w:rPr>
                <w:sz w:val="24"/>
                <w:szCs w:val="24"/>
              </w:rPr>
              <w:t>Profit for the period</w:t>
            </w:r>
            <w:r w:rsidRPr="00A66B36">
              <w:rPr>
                <w:sz w:val="24"/>
                <w:szCs w:val="24"/>
              </w:rPr>
              <w:tab/>
              <w:t xml:space="preserve"> (sum of all the amounts) </w:t>
            </w:r>
          </w:p>
        </w:tc>
        <w:tc>
          <w:tcPr>
            <w:tcW w:w="2126" w:type="dxa"/>
          </w:tcPr>
          <w:p w14:paraId="1A0C73B4" w14:textId="5B208460" w:rsidR="00A66B36" w:rsidRPr="00A66B36" w:rsidRDefault="00A66B36" w:rsidP="00A66B36">
            <w:pPr>
              <w:jc w:val="center"/>
              <w:rPr>
                <w:sz w:val="24"/>
                <w:szCs w:val="24"/>
              </w:rPr>
            </w:pPr>
            <w:r w:rsidRPr="00A66B36">
              <w:rPr>
                <w:sz w:val="24"/>
                <w:szCs w:val="24"/>
                <w:u w:val="double"/>
              </w:rPr>
              <w:t>33,350</w:t>
            </w:r>
          </w:p>
        </w:tc>
      </w:tr>
    </w:tbl>
    <w:p w14:paraId="6646885D" w14:textId="77777777" w:rsidR="00A66B36" w:rsidRDefault="00A66B36"/>
    <w:p w14:paraId="1164558E" w14:textId="70D8F9B3" w:rsidR="003E303E" w:rsidRDefault="003E303E" w:rsidP="003E303E">
      <w:r>
        <w:t>*</w:t>
      </w:r>
      <w:r w:rsidR="003A2B49">
        <w:t>The</w:t>
      </w:r>
      <w:r>
        <w:t xml:space="preserve"> requirements provided might have had a typo on the dates. Judging by the other requirements, the assumption that the salaries </w:t>
      </w:r>
      <w:r w:rsidR="003A2B49">
        <w:t>are paid in January 2023 has been adopted.</w:t>
      </w:r>
    </w:p>
    <w:p w14:paraId="753FF31A" w14:textId="77777777" w:rsidR="003E303E" w:rsidRDefault="003E303E"/>
    <w:p w14:paraId="4B182806" w14:textId="4E67A5C5" w:rsidR="003E303E" w:rsidRPr="00802850" w:rsidRDefault="00802850">
      <w:pPr>
        <w:rPr>
          <w:b/>
          <w:bCs/>
        </w:rPr>
      </w:pPr>
      <w:r w:rsidRPr="00802850">
        <w:rPr>
          <w:b/>
          <w:bCs/>
          <w:sz w:val="24"/>
          <w:szCs w:val="24"/>
        </w:rPr>
        <w:t>Q</w:t>
      </w:r>
      <w:r w:rsidR="00D06FB1" w:rsidRPr="00802850">
        <w:rPr>
          <w:b/>
          <w:bCs/>
          <w:sz w:val="24"/>
          <w:szCs w:val="24"/>
        </w:rPr>
        <w:t>uestion</w:t>
      </w:r>
      <w:r w:rsidRPr="00802850">
        <w:rPr>
          <w:b/>
          <w:bCs/>
          <w:sz w:val="24"/>
          <w:szCs w:val="24"/>
        </w:rPr>
        <w:t xml:space="preserve"> 3</w:t>
      </w:r>
    </w:p>
    <w:p w14:paraId="691BC673" w14:textId="77777777" w:rsidR="003E303E" w:rsidRDefault="003E303E"/>
    <w:p w14:paraId="2FC7A394" w14:textId="65A8A559" w:rsidR="003E303E" w:rsidRPr="003F758C" w:rsidRDefault="003E303E" w:rsidP="003E303E">
      <w:pPr>
        <w:pStyle w:val="ListParagraph"/>
        <w:numPr>
          <w:ilvl w:val="0"/>
          <w:numId w:val="1"/>
        </w:numPr>
        <w:rPr>
          <w:b/>
          <w:bCs/>
        </w:rPr>
      </w:pPr>
      <w:r w:rsidRPr="003F758C">
        <w:rPr>
          <w:b/>
          <w:bCs/>
        </w:rPr>
        <w:t xml:space="preserve">Ratios for </w:t>
      </w:r>
      <w:r w:rsidRPr="003F758C">
        <w:rPr>
          <w:b/>
          <w:bCs/>
        </w:rPr>
        <w:t>Sweets plc for 2022 and 2021</w:t>
      </w:r>
    </w:p>
    <w:p w14:paraId="710A6875" w14:textId="06A22CCF" w:rsidR="003A2B49" w:rsidRDefault="003A2B49" w:rsidP="003A2B49">
      <w:proofErr w:type="gramStart"/>
      <w:r>
        <w:t>In order to</w:t>
      </w:r>
      <w:proofErr w:type="gramEnd"/>
      <w:r>
        <w:t xml:space="preserve"> calculate the ratios, the income statements must be observed and simplified. Therefore, </w:t>
      </w:r>
      <w:r w:rsidRPr="003A2B49">
        <w:t>Marketing and selling costs</w:t>
      </w:r>
      <w:r>
        <w:t xml:space="preserve"> can be added to </w:t>
      </w:r>
      <w:r w:rsidR="00B74C5C" w:rsidRPr="003A2B49">
        <w:t>administrative</w:t>
      </w:r>
      <w:r w:rsidRPr="003A2B49">
        <w:t xml:space="preserve"> expenses</w:t>
      </w:r>
      <w:r w:rsidR="00CC4FD5">
        <w:t>.</w:t>
      </w:r>
    </w:p>
    <w:p w14:paraId="6897A737" w14:textId="77777777" w:rsidR="00CC4FD5" w:rsidRPr="00E43E24" w:rsidRDefault="00CC4FD5" w:rsidP="003A2B49">
      <w:pPr>
        <w:rPr>
          <w:b/>
          <w:bCs/>
        </w:rPr>
      </w:pPr>
    </w:p>
    <w:p w14:paraId="4282B99D" w14:textId="2528DB9B" w:rsidR="00CC4FD5" w:rsidRPr="00E43E24" w:rsidRDefault="00E43E24" w:rsidP="00E43E24">
      <w:pPr>
        <w:pStyle w:val="ListParagraph"/>
        <w:numPr>
          <w:ilvl w:val="0"/>
          <w:numId w:val="3"/>
        </w:numPr>
        <w:rPr>
          <w:rFonts w:eastAsiaTheme="minorEastAsia"/>
        </w:rPr>
      </w:pPr>
      <m:oMath>
        <m:r>
          <m:rPr>
            <m:sty m:val="bi"/>
          </m:rPr>
          <w:rPr>
            <w:rFonts w:ascii="Cambria Math" w:hAnsi="Cambria Math"/>
          </w:rPr>
          <m:t>R</m:t>
        </m:r>
        <m:r>
          <m:rPr>
            <m:sty m:val="bi"/>
          </m:rPr>
          <w:rPr>
            <w:rFonts w:ascii="Cambria Math" w:hAnsi="Cambria Math"/>
          </w:rPr>
          <m:t xml:space="preserve">OCE </m:t>
        </m:r>
        <m:d>
          <m:dPr>
            <m:ctrlPr>
              <w:rPr>
                <w:rFonts w:ascii="Cambria Math" w:hAnsi="Cambria Math"/>
                <w:b/>
                <w:bCs/>
                <w:i/>
              </w:rPr>
            </m:ctrlPr>
          </m:dPr>
          <m:e>
            <m:r>
              <m:rPr>
                <m:sty m:val="bi"/>
              </m:rPr>
              <w:rPr>
                <w:rFonts w:ascii="Cambria Math" w:hAnsi="Cambria Math"/>
              </w:rPr>
              <m:t>Return on Capital Employed</m:t>
            </m:r>
          </m:e>
        </m:d>
        <m:r>
          <m:rPr>
            <m:sty m:val="bi"/>
          </m:rPr>
          <w:rPr>
            <w:rFonts w:ascii="Cambria Math" w:hAnsi="Cambria Math"/>
          </w:rPr>
          <m:t xml:space="preserve">= </m:t>
        </m:r>
        <m:f>
          <m:fPr>
            <m:ctrlPr>
              <w:rPr>
                <w:rFonts w:ascii="Cambria Math" w:eastAsiaTheme="minorEastAsia" w:hAnsi="Cambria Math"/>
                <w:b/>
                <w:bCs/>
                <w:i/>
              </w:rPr>
            </m:ctrlPr>
          </m:fPr>
          <m:num>
            <m:r>
              <m:rPr>
                <m:sty m:val="bi"/>
              </m:rPr>
              <w:rPr>
                <w:rFonts w:ascii="Cambria Math" w:eastAsiaTheme="minorEastAsia" w:hAnsi="Cambria Math"/>
              </w:rPr>
              <m:t>Profit Before Interest</m:t>
            </m:r>
          </m:num>
          <m:den>
            <m:r>
              <m:rPr>
                <m:sty m:val="bi"/>
              </m:rPr>
              <w:rPr>
                <w:rFonts w:ascii="Cambria Math" w:eastAsiaTheme="minorEastAsia" w:hAnsi="Cambria Math"/>
              </w:rPr>
              <m:t>Capital Employed</m:t>
            </m:r>
          </m:den>
        </m:f>
        <m:r>
          <m:rPr>
            <m:sty m:val="bi"/>
          </m:rPr>
          <w:rPr>
            <w:rFonts w:ascii="Cambria Math" w:eastAsiaTheme="minorEastAsia" w:hAnsi="Cambria Math"/>
          </w:rPr>
          <m:t>*100%</m:t>
        </m:r>
      </m:oMath>
      <w:r w:rsidR="00CC4FD5">
        <w:tab/>
      </w:r>
      <w:r w:rsidR="00CC4FD5">
        <w:tab/>
      </w:r>
      <w:r w:rsidR="00623810">
        <w:t>Capital Employed = Total Assets – Current Liabilities</w:t>
      </w:r>
      <w:r w:rsidR="00CC4FD5">
        <w:tab/>
      </w:r>
      <w:r w:rsidR="00CC4FD5">
        <w:tab/>
      </w:r>
    </w:p>
    <w:p w14:paraId="6B86BA16" w14:textId="66EF2D4A" w:rsidR="00E43E24" w:rsidRDefault="00E43E24" w:rsidP="00CC4FD5">
      <w:r>
        <w:t>ROCE</w:t>
      </w:r>
      <w:r w:rsidRPr="00E43E24">
        <w:rPr>
          <w:vertAlign w:val="subscript"/>
        </w:rPr>
        <w:t>2022</w:t>
      </w:r>
      <w:r>
        <w:t xml:space="preserve"> = (805/ </w:t>
      </w:r>
      <w:r w:rsidRPr="00E43E24">
        <w:t>7,225</w:t>
      </w:r>
      <w:r>
        <w:t xml:space="preserve">) * 100% = </w:t>
      </w:r>
      <w:r w:rsidR="007E5242">
        <w:t>11.14%</w:t>
      </w:r>
    </w:p>
    <w:p w14:paraId="1C80B7F8" w14:textId="676F4E52" w:rsidR="00E43E24" w:rsidRDefault="00E43E24" w:rsidP="00CC4FD5">
      <w:r>
        <w:t>ROCE</w:t>
      </w:r>
      <w:r w:rsidRPr="00E43E24">
        <w:rPr>
          <w:vertAlign w:val="subscript"/>
        </w:rPr>
        <w:t>2021</w:t>
      </w:r>
      <w:r>
        <w:t xml:space="preserve"> = (</w:t>
      </w:r>
      <w:r w:rsidR="007E5242">
        <w:t xml:space="preserve">699/ </w:t>
      </w:r>
      <w:r w:rsidR="007E5242" w:rsidRPr="007E5242">
        <w:t>7,041</w:t>
      </w:r>
      <w:r>
        <w:t xml:space="preserve">) * 100% = </w:t>
      </w:r>
      <w:r w:rsidR="007E5242">
        <w:t>9.93%</w:t>
      </w:r>
    </w:p>
    <w:p w14:paraId="1C8CC51D" w14:textId="27197BD2" w:rsidR="00E43E24" w:rsidRPr="007E5242" w:rsidRDefault="007E5242" w:rsidP="00E43E24">
      <w:pPr>
        <w:pStyle w:val="ListParagraph"/>
        <w:numPr>
          <w:ilvl w:val="0"/>
          <w:numId w:val="3"/>
        </w:numPr>
        <w:rPr>
          <w:b/>
          <w:bCs/>
        </w:rPr>
      </w:pPr>
      <m:oMath>
        <m:r>
          <m:rPr>
            <m:sty m:val="bi"/>
          </m:rPr>
          <w:rPr>
            <w:rFonts w:ascii="Cambria Math" w:hAnsi="Cambria Math"/>
          </w:rPr>
          <m:t xml:space="preserve">ROE </m:t>
        </m:r>
        <m:d>
          <m:dPr>
            <m:ctrlPr>
              <w:rPr>
                <w:rFonts w:ascii="Cambria Math" w:hAnsi="Cambria Math"/>
                <w:b/>
                <w:bCs/>
                <w:i/>
              </w:rPr>
            </m:ctrlPr>
          </m:dPr>
          <m:e>
            <m:r>
              <m:rPr>
                <m:sty m:val="bi"/>
              </m:rPr>
              <w:rPr>
                <w:rFonts w:ascii="Cambria Math" w:hAnsi="Cambria Math"/>
              </w:rPr>
              <m:t>Return on Equity</m:t>
            </m:r>
          </m:e>
        </m:d>
        <m:r>
          <m:rPr>
            <m:sty m:val="bi"/>
          </m:rPr>
          <w:rPr>
            <w:rFonts w:ascii="Cambria Math" w:hAnsi="Cambria Math"/>
          </w:rPr>
          <m:t>=</m:t>
        </m:r>
        <m:f>
          <m:fPr>
            <m:ctrlPr>
              <w:rPr>
                <w:rFonts w:ascii="Cambria Math" w:hAnsi="Cambria Math"/>
                <w:b/>
                <w:bCs/>
                <w:i/>
              </w:rPr>
            </m:ctrlPr>
          </m:fPr>
          <m:num>
            <m:r>
              <m:rPr>
                <m:sty m:val="bi"/>
              </m:rPr>
              <w:rPr>
                <w:rFonts w:ascii="Cambria Math" w:hAnsi="Cambria Math"/>
              </w:rPr>
              <m:t>Earnings</m:t>
            </m:r>
          </m:num>
          <m:den>
            <m:r>
              <m:rPr>
                <m:sty m:val="bi"/>
              </m:rPr>
              <w:rPr>
                <w:rFonts w:ascii="Cambria Math" w:hAnsi="Cambria Math"/>
              </w:rPr>
              <m:t>Equity</m:t>
            </m:r>
          </m:den>
        </m:f>
        <m:r>
          <m:rPr>
            <m:sty m:val="bi"/>
          </m:rPr>
          <w:rPr>
            <w:rFonts w:ascii="Cambria Math" w:hAnsi="Cambria Math"/>
          </w:rPr>
          <m:t>*100%</m:t>
        </m:r>
      </m:oMath>
    </w:p>
    <w:p w14:paraId="7CDC6914" w14:textId="543A5590" w:rsidR="007E5242" w:rsidRDefault="007E5242" w:rsidP="007E5242">
      <w:pPr>
        <w:rPr>
          <w:rFonts w:eastAsiaTheme="minorEastAsia"/>
        </w:rPr>
      </w:pPr>
      <w:r>
        <w:rPr>
          <w:rFonts w:eastAsiaTheme="minorEastAsia"/>
        </w:rPr>
        <w:t>ROE</w:t>
      </w:r>
      <w:r w:rsidRPr="007E5242">
        <w:rPr>
          <w:rFonts w:eastAsiaTheme="minorEastAsia"/>
        </w:rPr>
        <w:t xml:space="preserve"> </w:t>
      </w:r>
      <w:r w:rsidRPr="007E5242">
        <w:rPr>
          <w:rFonts w:eastAsiaTheme="minorEastAsia"/>
          <w:vertAlign w:val="subscript"/>
        </w:rPr>
        <w:t>2022</w:t>
      </w:r>
      <w:r w:rsidRPr="007E5242">
        <w:rPr>
          <w:rFonts w:eastAsiaTheme="minorEastAsia"/>
        </w:rPr>
        <w:t xml:space="preserve"> = 432/3088 = 13.96%</w:t>
      </w:r>
    </w:p>
    <w:p w14:paraId="649B39DC" w14:textId="39BE69DA" w:rsidR="007E5242" w:rsidRPr="0023340B" w:rsidRDefault="007E5242" w:rsidP="007E5242">
      <w:r w:rsidRPr="007E5242">
        <w:t>R</w:t>
      </w:r>
      <w:r>
        <w:t>OE</w:t>
      </w:r>
      <w:r w:rsidRPr="007E5242">
        <w:t xml:space="preserve"> </w:t>
      </w:r>
      <w:r w:rsidRPr="007E5242">
        <w:rPr>
          <w:vertAlign w:val="subscript"/>
        </w:rPr>
        <w:t>202</w:t>
      </w:r>
      <w:r w:rsidRPr="007E5242">
        <w:rPr>
          <w:vertAlign w:val="subscript"/>
        </w:rPr>
        <w:t>1</w:t>
      </w:r>
      <w:r w:rsidRPr="007E5242">
        <w:t xml:space="preserve"> = </w:t>
      </w:r>
      <w:r>
        <w:t>366</w:t>
      </w:r>
      <w:r w:rsidRPr="007E5242">
        <w:t>/</w:t>
      </w:r>
      <w:r>
        <w:t>2912</w:t>
      </w:r>
      <w:r w:rsidRPr="007E5242">
        <w:t xml:space="preserve"> = 1</w:t>
      </w:r>
      <w:r>
        <w:t>2.57</w:t>
      </w:r>
      <w:r w:rsidRPr="007E5242">
        <w:t>%</w:t>
      </w:r>
    </w:p>
    <w:p w14:paraId="72ADCA7E" w14:textId="77777777" w:rsidR="0023340B" w:rsidRDefault="0023340B" w:rsidP="0023340B">
      <w:pPr>
        <w:pStyle w:val="ListParagraph"/>
      </w:pPr>
    </w:p>
    <w:p w14:paraId="16B3E80E" w14:textId="39E3CCD5" w:rsidR="0023340B" w:rsidRPr="00670CD2" w:rsidRDefault="007E5242" w:rsidP="00670CD2">
      <w:pPr>
        <w:pStyle w:val="ListParagraph"/>
        <w:numPr>
          <w:ilvl w:val="0"/>
          <w:numId w:val="3"/>
        </w:numPr>
        <w:rPr>
          <w:b/>
          <w:bCs/>
        </w:rPr>
      </w:pPr>
      <m:oMath>
        <m:r>
          <m:rPr>
            <m:sty m:val="bi"/>
          </m:rPr>
          <w:rPr>
            <w:rFonts w:ascii="Cambria Math" w:hAnsi="Cambria Math"/>
          </w:rPr>
          <w:lastRenderedPageBreak/>
          <m:t xml:space="preserve">EPS </m:t>
        </m:r>
        <m:d>
          <m:dPr>
            <m:ctrlPr>
              <w:rPr>
                <w:rFonts w:ascii="Cambria Math" w:hAnsi="Cambria Math"/>
                <w:b/>
                <w:bCs/>
                <w:i/>
              </w:rPr>
            </m:ctrlPr>
          </m:dPr>
          <m:e>
            <m:r>
              <m:rPr>
                <m:sty m:val="bi"/>
              </m:rPr>
              <w:rPr>
                <w:rFonts w:ascii="Cambria Math" w:hAnsi="Cambria Math"/>
              </w:rPr>
              <m:t>Earnings per Share</m:t>
            </m:r>
          </m:e>
        </m:d>
        <m:r>
          <m:rPr>
            <m:sty m:val="bi"/>
          </m:rPr>
          <w:rPr>
            <w:rFonts w:ascii="Cambria Math" w:hAnsi="Cambria Math"/>
          </w:rPr>
          <m:t>=</m:t>
        </m:r>
        <m:f>
          <m:fPr>
            <m:ctrlPr>
              <w:rPr>
                <w:rFonts w:ascii="Cambria Math" w:hAnsi="Cambria Math"/>
                <w:b/>
                <w:bCs/>
                <w:i/>
              </w:rPr>
            </m:ctrlPr>
          </m:fPr>
          <m:num>
            <m:r>
              <m:rPr>
                <m:sty m:val="bi"/>
              </m:rPr>
              <w:rPr>
                <w:rFonts w:ascii="Cambria Math" w:hAnsi="Cambria Math"/>
              </w:rPr>
              <m:t>Earnings</m:t>
            </m:r>
          </m:num>
          <m:den>
            <m:r>
              <m:rPr>
                <m:sty m:val="bi"/>
              </m:rPr>
              <w:rPr>
                <w:rFonts w:ascii="Cambria Math" w:hAnsi="Cambria Math"/>
              </w:rPr>
              <m:t>Number of ordinary shares</m:t>
            </m:r>
          </m:den>
        </m:f>
      </m:oMath>
      <w:r w:rsidR="00670CD2">
        <w:rPr>
          <w:rFonts w:eastAsiaTheme="minorEastAsia"/>
          <w:b/>
          <w:bCs/>
        </w:rPr>
        <w:t xml:space="preserve"> £</w:t>
      </w:r>
    </w:p>
    <w:p w14:paraId="3FC57F5D" w14:textId="0F532021" w:rsidR="0023340B" w:rsidRDefault="007E5242" w:rsidP="007E5242">
      <w:r>
        <w:t xml:space="preserve">EPS </w:t>
      </w:r>
      <w:r w:rsidRPr="007E5242">
        <w:rPr>
          <w:vertAlign w:val="subscript"/>
        </w:rPr>
        <w:t>2022</w:t>
      </w:r>
      <w:r>
        <w:t xml:space="preserve"> = 431</w:t>
      </w:r>
      <w:proofErr w:type="gramStart"/>
      <w:r>
        <w:t>/(</w:t>
      </w:r>
      <w:proofErr w:type="gramEnd"/>
      <w:r>
        <w:t>300*2) =</w:t>
      </w:r>
      <w:r w:rsidR="00670CD2">
        <w:t xml:space="preserve"> £0.72</w:t>
      </w:r>
    </w:p>
    <w:p w14:paraId="26BB0F44" w14:textId="02C8F834" w:rsidR="007E5242" w:rsidRPr="0023340B" w:rsidRDefault="007E5242" w:rsidP="007E5242">
      <w:r>
        <w:t xml:space="preserve">EPS </w:t>
      </w:r>
      <w:r w:rsidRPr="007E5242">
        <w:rPr>
          <w:vertAlign w:val="subscript"/>
        </w:rPr>
        <w:t>2021</w:t>
      </w:r>
      <w:r>
        <w:t xml:space="preserve"> = 366</w:t>
      </w:r>
      <w:proofErr w:type="gramStart"/>
      <w:r w:rsidRPr="007E5242">
        <w:t>/(</w:t>
      </w:r>
      <w:proofErr w:type="gramEnd"/>
      <w:r w:rsidRPr="007E5242">
        <w:t>300*2)</w:t>
      </w:r>
      <w:r>
        <w:t xml:space="preserve"> = </w:t>
      </w:r>
      <w:r w:rsidR="00670CD2">
        <w:t>£0.61</w:t>
      </w:r>
    </w:p>
    <w:p w14:paraId="01934981" w14:textId="56604EDD" w:rsidR="0023340B" w:rsidRPr="00670CD2" w:rsidRDefault="00670CD2" w:rsidP="0023340B">
      <w:pPr>
        <w:pStyle w:val="ListParagraph"/>
        <w:numPr>
          <w:ilvl w:val="0"/>
          <w:numId w:val="3"/>
        </w:numPr>
        <w:rPr>
          <w:b/>
          <w:bCs/>
        </w:rPr>
      </w:pPr>
      <m:oMath>
        <m:r>
          <m:rPr>
            <m:sty m:val="bi"/>
          </m:rPr>
          <w:rPr>
            <w:rFonts w:ascii="Cambria Math" w:hAnsi="Cambria Math"/>
          </w:rPr>
          <m:t>Net Profit Margin=</m:t>
        </m:r>
        <m:f>
          <m:fPr>
            <m:ctrlPr>
              <w:rPr>
                <w:rFonts w:ascii="Cambria Math" w:hAnsi="Cambria Math"/>
                <w:b/>
                <w:bCs/>
                <w:i/>
              </w:rPr>
            </m:ctrlPr>
          </m:fPr>
          <m:num>
            <m:r>
              <m:rPr>
                <m:sty m:val="bi"/>
              </m:rPr>
              <w:rPr>
                <w:rFonts w:ascii="Cambria Math" w:hAnsi="Cambria Math"/>
              </w:rPr>
              <m:t>Operating profit</m:t>
            </m:r>
          </m:num>
          <m:den>
            <m:r>
              <m:rPr>
                <m:sty m:val="bi"/>
              </m:rPr>
              <w:rPr>
                <w:rFonts w:ascii="Cambria Math" w:hAnsi="Cambria Math"/>
              </w:rPr>
              <m:t>Sales</m:t>
            </m:r>
          </m:den>
        </m:f>
        <m:r>
          <m:rPr>
            <m:sty m:val="bi"/>
          </m:rPr>
          <w:rPr>
            <w:rFonts w:ascii="Cambria Math" w:hAnsi="Cambria Math"/>
          </w:rPr>
          <m:t>*100%</m:t>
        </m:r>
      </m:oMath>
    </w:p>
    <w:p w14:paraId="73A3C34F" w14:textId="4B3BBB61" w:rsidR="00670CD2" w:rsidRPr="00670CD2" w:rsidRDefault="00670CD2" w:rsidP="00670CD2">
      <w:r w:rsidRPr="00670CD2">
        <w:t>Net Profit Margin</w:t>
      </w:r>
      <w:r w:rsidRPr="00670CD2">
        <w:rPr>
          <w:vertAlign w:val="subscript"/>
        </w:rPr>
        <w:t>2022</w:t>
      </w:r>
      <w:r w:rsidRPr="00670CD2">
        <w:t xml:space="preserve"> </w:t>
      </w:r>
      <w:r w:rsidRPr="00670CD2">
        <w:t>=</w:t>
      </w:r>
      <w:r w:rsidRPr="00670CD2">
        <w:t xml:space="preserve"> 805</w:t>
      </w:r>
      <w:r w:rsidRPr="00670CD2">
        <w:t>/</w:t>
      </w:r>
      <w:r w:rsidRPr="00670CD2">
        <w:t xml:space="preserve">6,738 </w:t>
      </w:r>
      <w:r w:rsidRPr="00670CD2">
        <w:t>*</w:t>
      </w:r>
      <w:r w:rsidRPr="00670CD2">
        <w:t xml:space="preserve"> </w:t>
      </w:r>
      <w:r w:rsidRPr="00670CD2">
        <w:t>100%</w:t>
      </w:r>
      <w:r w:rsidRPr="00670CD2">
        <w:t xml:space="preserve"> = 11.95%</w:t>
      </w:r>
    </w:p>
    <w:p w14:paraId="60E6F776" w14:textId="4320AAF0" w:rsidR="00670CD2" w:rsidRPr="00670CD2" w:rsidRDefault="00670CD2" w:rsidP="00670CD2">
      <w:pPr>
        <w:rPr>
          <w:b/>
          <w:bCs/>
        </w:rPr>
      </w:pPr>
      <w:r w:rsidRPr="00670CD2">
        <w:t>Net Profit Margin</w:t>
      </w:r>
      <w:r w:rsidRPr="00670CD2">
        <w:rPr>
          <w:vertAlign w:val="subscript"/>
        </w:rPr>
        <w:t xml:space="preserve">2021 </w:t>
      </w:r>
      <w:r w:rsidRPr="00670CD2">
        <w:t>=</w:t>
      </w:r>
      <w:r w:rsidRPr="00670CD2">
        <w:t xml:space="preserve"> 699</w:t>
      </w:r>
      <w:r w:rsidRPr="00670CD2">
        <w:t>/</w:t>
      </w:r>
      <w:r w:rsidRPr="00670CD2">
        <w:t xml:space="preserve">6,441 </w:t>
      </w:r>
      <w:r w:rsidRPr="00670CD2">
        <w:t>*</w:t>
      </w:r>
      <w:r w:rsidRPr="00670CD2">
        <w:t xml:space="preserve"> </w:t>
      </w:r>
      <w:r w:rsidRPr="00670CD2">
        <w:t>100%</w:t>
      </w:r>
      <w:r w:rsidRPr="00670CD2">
        <w:t xml:space="preserve"> = 10.85%</w:t>
      </w:r>
    </w:p>
    <w:p w14:paraId="5A56D361" w14:textId="77777777" w:rsidR="0023340B" w:rsidRPr="0023340B" w:rsidRDefault="0023340B" w:rsidP="0023340B">
      <w:pPr>
        <w:pStyle w:val="ListParagraph"/>
      </w:pPr>
    </w:p>
    <w:p w14:paraId="64DF9CE2" w14:textId="258F4264" w:rsidR="0023340B" w:rsidRPr="00670CD2" w:rsidRDefault="00670CD2" w:rsidP="0023340B">
      <w:pPr>
        <w:pStyle w:val="ListParagraph"/>
        <w:numPr>
          <w:ilvl w:val="0"/>
          <w:numId w:val="3"/>
        </w:numPr>
        <w:rPr>
          <w:rFonts w:eastAsiaTheme="minorEastAsia"/>
          <w:b/>
          <w:bCs/>
        </w:rPr>
      </w:pPr>
      <m:oMath>
        <m:r>
          <m:rPr>
            <m:sty m:val="bi"/>
          </m:rPr>
          <w:rPr>
            <w:rFonts w:ascii="Cambria Math" w:hAnsi="Cambria Math"/>
          </w:rPr>
          <m:t>Assets Turnover=</m:t>
        </m:r>
        <m:f>
          <m:fPr>
            <m:ctrlPr>
              <w:rPr>
                <w:rFonts w:ascii="Cambria Math" w:hAnsi="Cambria Math"/>
                <w:b/>
                <w:bCs/>
                <w:i/>
              </w:rPr>
            </m:ctrlPr>
          </m:fPr>
          <m:num>
            <m:r>
              <m:rPr>
                <m:sty m:val="bi"/>
              </m:rPr>
              <w:rPr>
                <w:rFonts w:ascii="Cambria Math" w:hAnsi="Cambria Math"/>
              </w:rPr>
              <m:t>Revenue</m:t>
            </m:r>
          </m:num>
          <m:den>
            <m:r>
              <m:rPr>
                <m:sty m:val="bi"/>
              </m:rPr>
              <w:rPr>
                <w:rFonts w:ascii="Cambria Math" w:hAnsi="Cambria Math"/>
              </w:rPr>
              <m:t xml:space="preserve">Capital employed </m:t>
            </m:r>
          </m:den>
        </m:f>
        <m:r>
          <m:rPr>
            <m:sty m:val="bi"/>
          </m:rPr>
          <w:rPr>
            <w:rFonts w:ascii="Cambria Math" w:hAnsi="Cambria Math"/>
          </w:rPr>
          <m:t>(times)</m:t>
        </m:r>
      </m:oMath>
    </w:p>
    <w:p w14:paraId="5EE51DED" w14:textId="2A17DA9F" w:rsidR="00623810" w:rsidRDefault="00670CD2" w:rsidP="00670CD2">
      <w:pPr>
        <w:ind w:left="360"/>
        <w:rPr>
          <w:rFonts w:eastAsiaTheme="minorEastAsia"/>
        </w:rPr>
      </w:pPr>
      <w:r w:rsidRPr="00670CD2">
        <w:rPr>
          <w:rFonts w:eastAsiaTheme="minorEastAsia"/>
        </w:rPr>
        <w:t>Assets Turnover</w:t>
      </w:r>
      <w:r>
        <w:rPr>
          <w:rFonts w:eastAsiaTheme="minorEastAsia"/>
        </w:rPr>
        <w:t xml:space="preserve">2022 </w:t>
      </w:r>
      <w:r w:rsidRPr="00670CD2">
        <w:rPr>
          <w:rFonts w:eastAsiaTheme="minorEastAsia"/>
        </w:rPr>
        <w:t>=</w:t>
      </w:r>
      <w:r w:rsidR="00802850">
        <w:rPr>
          <w:rFonts w:eastAsiaTheme="minorEastAsia"/>
        </w:rPr>
        <w:t xml:space="preserve"> 6738</w:t>
      </w:r>
      <w:r w:rsidRPr="00670CD2">
        <w:rPr>
          <w:rFonts w:eastAsiaTheme="minorEastAsia"/>
        </w:rPr>
        <w:t>/</w:t>
      </w:r>
      <w:r w:rsidR="00802850">
        <w:rPr>
          <w:rFonts w:eastAsiaTheme="minorEastAsia"/>
        </w:rPr>
        <w:t>7,225</w:t>
      </w:r>
      <w:r>
        <w:rPr>
          <w:rFonts w:eastAsiaTheme="minorEastAsia"/>
        </w:rPr>
        <w:t xml:space="preserve"> =</w:t>
      </w:r>
      <w:r w:rsidR="00802850">
        <w:rPr>
          <w:rFonts w:eastAsiaTheme="minorEastAsia"/>
        </w:rPr>
        <w:t xml:space="preserve"> 0.93</w:t>
      </w:r>
      <w:r>
        <w:rPr>
          <w:rFonts w:eastAsiaTheme="minorEastAsia"/>
        </w:rPr>
        <w:t xml:space="preserve"> </w:t>
      </w:r>
      <w:r w:rsidRPr="00670CD2">
        <w:rPr>
          <w:rFonts w:eastAsiaTheme="minorEastAsia"/>
        </w:rPr>
        <w:t>(times)</w:t>
      </w:r>
    </w:p>
    <w:p w14:paraId="5851F306" w14:textId="6AB79368" w:rsidR="00670CD2" w:rsidRPr="00670CD2" w:rsidRDefault="00670CD2" w:rsidP="00670CD2">
      <w:pPr>
        <w:ind w:left="360"/>
        <w:rPr>
          <w:rFonts w:eastAsiaTheme="minorEastAsia"/>
        </w:rPr>
      </w:pPr>
      <w:r w:rsidRPr="00670CD2">
        <w:rPr>
          <w:rFonts w:eastAsiaTheme="minorEastAsia"/>
        </w:rPr>
        <w:t>Assets Turnover</w:t>
      </w:r>
      <w:r>
        <w:rPr>
          <w:rFonts w:eastAsiaTheme="minorEastAsia"/>
        </w:rPr>
        <w:t xml:space="preserve">2021 </w:t>
      </w:r>
      <w:r w:rsidRPr="00670CD2">
        <w:rPr>
          <w:rFonts w:eastAsiaTheme="minorEastAsia"/>
        </w:rPr>
        <w:t>=</w:t>
      </w:r>
      <w:r w:rsidR="00802850">
        <w:rPr>
          <w:rFonts w:eastAsiaTheme="minorEastAsia"/>
        </w:rPr>
        <w:t xml:space="preserve"> 6441</w:t>
      </w:r>
      <w:r w:rsidRPr="00670CD2">
        <w:rPr>
          <w:rFonts w:eastAsiaTheme="minorEastAsia"/>
        </w:rPr>
        <w:t>/</w:t>
      </w:r>
      <w:r w:rsidR="00802850">
        <w:rPr>
          <w:rFonts w:eastAsiaTheme="minorEastAsia"/>
        </w:rPr>
        <w:t>7,041</w:t>
      </w:r>
      <w:r>
        <w:rPr>
          <w:rFonts w:eastAsiaTheme="minorEastAsia"/>
        </w:rPr>
        <w:t xml:space="preserve"> =</w:t>
      </w:r>
      <w:r w:rsidR="00802850">
        <w:rPr>
          <w:rFonts w:eastAsiaTheme="minorEastAsia"/>
        </w:rPr>
        <w:t xml:space="preserve"> 0.91</w:t>
      </w:r>
      <w:r>
        <w:rPr>
          <w:rFonts w:eastAsiaTheme="minorEastAsia"/>
        </w:rPr>
        <w:t xml:space="preserve"> </w:t>
      </w:r>
      <w:r w:rsidRPr="00670CD2">
        <w:rPr>
          <w:rFonts w:eastAsiaTheme="minorEastAsia"/>
        </w:rPr>
        <w:t>(times)</w:t>
      </w:r>
    </w:p>
    <w:p w14:paraId="078D9DA3" w14:textId="77777777" w:rsidR="00623810" w:rsidRPr="0023340B" w:rsidRDefault="00623810" w:rsidP="00623810">
      <w:pPr>
        <w:pStyle w:val="ListParagraph"/>
        <w:rPr>
          <w:rFonts w:eastAsiaTheme="minorEastAsia"/>
        </w:rPr>
      </w:pPr>
    </w:p>
    <w:p w14:paraId="0E9A50D2" w14:textId="5C72A94B" w:rsidR="0023340B" w:rsidRPr="00802850" w:rsidRDefault="00802850" w:rsidP="0023340B">
      <w:pPr>
        <w:pStyle w:val="ListParagraph"/>
        <w:numPr>
          <w:ilvl w:val="0"/>
          <w:numId w:val="3"/>
        </w:numPr>
        <w:rPr>
          <w:rFonts w:eastAsiaTheme="minorEastAsia"/>
          <w:b/>
          <w:bCs/>
        </w:rPr>
      </w:pPr>
      <m:oMath>
        <m:r>
          <m:rPr>
            <m:sty m:val="bi"/>
          </m:rPr>
          <w:rPr>
            <w:rFonts w:ascii="Cambria Math" w:hAnsi="Cambria Math"/>
          </w:rPr>
          <m:t>Stock Holding Days=</m:t>
        </m:r>
        <m:f>
          <m:fPr>
            <m:ctrlPr>
              <w:rPr>
                <w:rFonts w:ascii="Cambria Math" w:hAnsi="Cambria Math"/>
                <w:b/>
                <w:bCs/>
                <w:i/>
              </w:rPr>
            </m:ctrlPr>
          </m:fPr>
          <m:num>
            <m:r>
              <m:rPr>
                <m:sty m:val="bi"/>
              </m:rPr>
              <w:rPr>
                <w:rFonts w:ascii="Cambria Math" w:hAnsi="Cambria Math"/>
              </w:rPr>
              <m:t>Inventory</m:t>
            </m:r>
          </m:num>
          <m:den>
            <m:r>
              <m:rPr>
                <m:sty m:val="bi"/>
              </m:rPr>
              <w:rPr>
                <w:rFonts w:ascii="Cambria Math" w:hAnsi="Cambria Math"/>
              </w:rPr>
              <m:t>Cost of sales</m:t>
            </m:r>
          </m:den>
        </m:f>
        <m:r>
          <m:rPr>
            <m:sty m:val="bi"/>
          </m:rPr>
          <w:rPr>
            <w:rFonts w:ascii="Cambria Math" w:hAnsi="Cambria Math"/>
          </w:rPr>
          <m:t>*365(days)</m:t>
        </m:r>
      </m:oMath>
    </w:p>
    <w:p w14:paraId="314AE1FF" w14:textId="7C878099" w:rsidR="00802850" w:rsidRDefault="00802850" w:rsidP="00802850">
      <w:pPr>
        <w:ind w:left="360"/>
        <w:rPr>
          <w:rFonts w:eastAsiaTheme="minorEastAsia"/>
        </w:rPr>
      </w:pPr>
      <w:r w:rsidRPr="00802850">
        <w:rPr>
          <w:rFonts w:eastAsiaTheme="minorEastAsia"/>
        </w:rPr>
        <w:t>Stock Holding Days</w:t>
      </w:r>
      <w:r>
        <w:rPr>
          <w:rFonts w:eastAsiaTheme="minorEastAsia"/>
        </w:rPr>
        <w:t xml:space="preserve">2022 </w:t>
      </w:r>
      <w:r w:rsidRPr="00802850">
        <w:rPr>
          <w:rFonts w:eastAsiaTheme="minorEastAsia"/>
        </w:rPr>
        <w:t>=</w:t>
      </w:r>
      <w:r>
        <w:rPr>
          <w:rFonts w:eastAsiaTheme="minorEastAsia"/>
        </w:rPr>
        <w:t xml:space="preserve"> 708</w:t>
      </w:r>
      <w:r w:rsidRPr="00802850">
        <w:rPr>
          <w:rFonts w:eastAsiaTheme="minorEastAsia"/>
        </w:rPr>
        <w:t>/</w:t>
      </w:r>
      <w:r>
        <w:rPr>
          <w:rFonts w:eastAsiaTheme="minorEastAsia"/>
        </w:rPr>
        <w:t xml:space="preserve">3,235 </w:t>
      </w:r>
      <w:r w:rsidRPr="00802850">
        <w:rPr>
          <w:rFonts w:eastAsiaTheme="minorEastAsia"/>
        </w:rPr>
        <w:t>*</w:t>
      </w:r>
      <w:r>
        <w:rPr>
          <w:rFonts w:eastAsiaTheme="minorEastAsia"/>
        </w:rPr>
        <w:t xml:space="preserve"> </w:t>
      </w:r>
      <w:r w:rsidRPr="00802850">
        <w:rPr>
          <w:rFonts w:eastAsiaTheme="minorEastAsia"/>
        </w:rPr>
        <w:t>365(days)</w:t>
      </w:r>
      <w:r>
        <w:rPr>
          <w:rFonts w:eastAsiaTheme="minorEastAsia"/>
        </w:rPr>
        <w:t xml:space="preserve"> = 80 days</w:t>
      </w:r>
    </w:p>
    <w:p w14:paraId="3CC846B2" w14:textId="4AF84283" w:rsidR="00802850" w:rsidRPr="00802850" w:rsidRDefault="00802850" w:rsidP="00802850">
      <w:pPr>
        <w:ind w:left="360"/>
        <w:rPr>
          <w:rFonts w:eastAsiaTheme="minorEastAsia"/>
        </w:rPr>
      </w:pPr>
      <w:r w:rsidRPr="00802850">
        <w:rPr>
          <w:rFonts w:eastAsiaTheme="minorEastAsia"/>
        </w:rPr>
        <w:t>Stock Holding Days</w:t>
      </w:r>
      <w:r>
        <w:rPr>
          <w:rFonts w:eastAsiaTheme="minorEastAsia"/>
        </w:rPr>
        <w:t xml:space="preserve">2021 </w:t>
      </w:r>
      <w:r w:rsidRPr="00802850">
        <w:rPr>
          <w:rFonts w:eastAsiaTheme="minorEastAsia"/>
        </w:rPr>
        <w:t>=</w:t>
      </w:r>
      <w:r>
        <w:rPr>
          <w:rFonts w:eastAsiaTheme="minorEastAsia"/>
        </w:rPr>
        <w:t xml:space="preserve"> 659</w:t>
      </w:r>
      <w:r w:rsidRPr="00802850">
        <w:rPr>
          <w:rFonts w:eastAsiaTheme="minorEastAsia"/>
        </w:rPr>
        <w:t>/</w:t>
      </w:r>
      <w:r>
        <w:rPr>
          <w:rFonts w:eastAsiaTheme="minorEastAsia"/>
        </w:rPr>
        <w:t xml:space="preserve">3,096 </w:t>
      </w:r>
      <w:r w:rsidRPr="00802850">
        <w:rPr>
          <w:rFonts w:eastAsiaTheme="minorEastAsia"/>
        </w:rPr>
        <w:t>*</w:t>
      </w:r>
      <w:r>
        <w:rPr>
          <w:rFonts w:eastAsiaTheme="minorEastAsia"/>
        </w:rPr>
        <w:t xml:space="preserve"> </w:t>
      </w:r>
      <w:r w:rsidRPr="00802850">
        <w:rPr>
          <w:rFonts w:eastAsiaTheme="minorEastAsia"/>
        </w:rPr>
        <w:t>365(days)</w:t>
      </w:r>
      <w:r>
        <w:rPr>
          <w:rFonts w:eastAsiaTheme="minorEastAsia"/>
        </w:rPr>
        <w:t xml:space="preserve"> = 78 days</w:t>
      </w:r>
    </w:p>
    <w:p w14:paraId="2F1639EB" w14:textId="77777777" w:rsidR="0023340B" w:rsidRPr="0023340B" w:rsidRDefault="0023340B" w:rsidP="0023340B">
      <w:pPr>
        <w:pStyle w:val="ListParagraph"/>
        <w:rPr>
          <w:rFonts w:eastAsiaTheme="minorEastAsia"/>
        </w:rPr>
      </w:pPr>
    </w:p>
    <w:p w14:paraId="406EF4F7" w14:textId="0AE18757" w:rsidR="0023340B" w:rsidRPr="00802850" w:rsidRDefault="00802850" w:rsidP="0023340B">
      <w:pPr>
        <w:pStyle w:val="ListParagraph"/>
        <w:numPr>
          <w:ilvl w:val="0"/>
          <w:numId w:val="3"/>
        </w:numPr>
        <w:rPr>
          <w:rFonts w:eastAsiaTheme="minorEastAsia"/>
          <w:b/>
          <w:bCs/>
        </w:rPr>
      </w:pPr>
      <m:oMath>
        <m:r>
          <m:rPr>
            <m:sty m:val="bi"/>
          </m:rPr>
          <w:rPr>
            <w:rFonts w:ascii="Cambria Math" w:hAnsi="Cambria Math"/>
          </w:rPr>
          <m:t>Debtor</m:t>
        </m:r>
        <m:sSup>
          <m:sSupPr>
            <m:ctrlPr>
              <w:rPr>
                <w:rFonts w:ascii="Cambria Math" w:hAnsi="Cambria Math"/>
                <w:b/>
                <w:bCs/>
                <w:i/>
              </w:rPr>
            </m:ctrlPr>
          </m:sSupPr>
          <m:e>
            <m:r>
              <m:rPr>
                <m:sty m:val="bi"/>
              </m:rPr>
              <w:rPr>
                <w:rFonts w:ascii="Cambria Math" w:hAnsi="Cambria Math"/>
              </w:rPr>
              <m:t>s</m:t>
            </m:r>
          </m:e>
          <m:sup>
            <m:r>
              <m:rPr>
                <m:sty m:val="bi"/>
              </m:rPr>
              <w:rPr>
                <w:rFonts w:ascii="Cambria Math" w:hAnsi="Cambria Math"/>
              </w:rPr>
              <m:t>'</m:t>
            </m:r>
          </m:sup>
        </m:sSup>
        <m:r>
          <m:rPr>
            <m:sty m:val="bi"/>
          </m:rPr>
          <w:rPr>
            <w:rFonts w:ascii="Cambria Math" w:hAnsi="Cambria Math"/>
          </w:rPr>
          <m:t>Collection Period=</m:t>
        </m:r>
        <m:f>
          <m:fPr>
            <m:ctrlPr>
              <w:rPr>
                <w:rFonts w:ascii="Cambria Math" w:hAnsi="Cambria Math"/>
                <w:b/>
                <w:bCs/>
                <w:i/>
              </w:rPr>
            </m:ctrlPr>
          </m:fPr>
          <m:num>
            <m:r>
              <m:rPr>
                <m:sty m:val="bi"/>
              </m:rPr>
              <w:rPr>
                <w:rFonts w:ascii="Cambria Math" w:hAnsi="Cambria Math"/>
              </w:rPr>
              <m:t>Trade Receivables</m:t>
            </m:r>
          </m:num>
          <m:den>
            <m:r>
              <m:rPr>
                <m:sty m:val="bi"/>
              </m:rPr>
              <w:rPr>
                <w:rFonts w:ascii="Cambria Math" w:hAnsi="Cambria Math"/>
              </w:rPr>
              <m:t xml:space="preserve">Credit sales </m:t>
            </m:r>
            <m:d>
              <m:dPr>
                <m:ctrlPr>
                  <w:rPr>
                    <w:rFonts w:ascii="Cambria Math" w:hAnsi="Cambria Math"/>
                    <w:b/>
                    <w:bCs/>
                    <w:i/>
                  </w:rPr>
                </m:ctrlPr>
              </m:dPr>
              <m:e>
                <m:r>
                  <m:rPr>
                    <m:sty m:val="bi"/>
                  </m:rPr>
                  <w:rPr>
                    <w:rFonts w:ascii="Cambria Math" w:hAnsi="Cambria Math"/>
                  </w:rPr>
                  <m:t>or Revenue</m:t>
                </m:r>
              </m:e>
            </m:d>
          </m:den>
        </m:f>
        <m:r>
          <m:rPr>
            <m:sty m:val="bi"/>
          </m:rPr>
          <w:rPr>
            <w:rFonts w:ascii="Cambria Math" w:hAnsi="Cambria Math"/>
          </w:rPr>
          <m:t>*365 (days)</m:t>
        </m:r>
      </m:oMath>
    </w:p>
    <w:p w14:paraId="57B9A45E" w14:textId="6894F603" w:rsidR="00623810" w:rsidRDefault="00802850" w:rsidP="00802850">
      <w:pPr>
        <w:ind w:left="360"/>
        <w:rPr>
          <w:rFonts w:eastAsiaTheme="minorEastAsia"/>
        </w:rPr>
      </w:pPr>
      <w:r w:rsidRPr="00802850">
        <w:rPr>
          <w:rFonts w:eastAsiaTheme="minorEastAsia"/>
        </w:rPr>
        <w:t>Debtors' Collection Period</w:t>
      </w:r>
      <w:r>
        <w:rPr>
          <w:rFonts w:eastAsiaTheme="minorEastAsia"/>
        </w:rPr>
        <w:t xml:space="preserve">2022 </w:t>
      </w:r>
      <w:r w:rsidRPr="00802850">
        <w:rPr>
          <w:rFonts w:eastAsiaTheme="minorEastAsia"/>
        </w:rPr>
        <w:t>=</w:t>
      </w:r>
      <w:r>
        <w:rPr>
          <w:rFonts w:eastAsiaTheme="minorEastAsia"/>
        </w:rPr>
        <w:t xml:space="preserve"> </w:t>
      </w:r>
      <w:r w:rsidR="00143907">
        <w:rPr>
          <w:rFonts w:eastAsiaTheme="minorEastAsia"/>
        </w:rPr>
        <w:t>(</w:t>
      </w:r>
      <w:r>
        <w:rPr>
          <w:rFonts w:eastAsiaTheme="minorEastAsia"/>
        </w:rPr>
        <w:t>1249/</w:t>
      </w:r>
      <w:r w:rsidRPr="00802850">
        <w:rPr>
          <w:rFonts w:eastAsiaTheme="minorEastAsia"/>
        </w:rPr>
        <w:t xml:space="preserve"> </w:t>
      </w:r>
      <w:proofErr w:type="gramStart"/>
      <w:r w:rsidR="00143907">
        <w:rPr>
          <w:rFonts w:eastAsiaTheme="minorEastAsia"/>
        </w:rPr>
        <w:t>6738</w:t>
      </w:r>
      <w:r w:rsidRPr="00802850">
        <w:rPr>
          <w:rFonts w:eastAsiaTheme="minorEastAsia"/>
        </w:rPr>
        <w:t xml:space="preserve"> )</w:t>
      </w:r>
      <w:proofErr w:type="gramEnd"/>
      <w:r w:rsidR="00143907">
        <w:rPr>
          <w:rFonts w:eastAsiaTheme="minorEastAsia"/>
        </w:rPr>
        <w:t xml:space="preserve"> </w:t>
      </w:r>
      <w:r w:rsidRPr="00802850">
        <w:rPr>
          <w:rFonts w:eastAsiaTheme="minorEastAsia"/>
        </w:rPr>
        <w:t>*</w:t>
      </w:r>
      <w:r w:rsidR="00143907">
        <w:rPr>
          <w:rFonts w:eastAsiaTheme="minorEastAsia"/>
        </w:rPr>
        <w:t xml:space="preserve"> </w:t>
      </w:r>
      <w:r w:rsidRPr="00802850">
        <w:rPr>
          <w:rFonts w:eastAsiaTheme="minorEastAsia"/>
        </w:rPr>
        <w:t>365 (days)</w:t>
      </w:r>
      <w:r w:rsidR="00143907">
        <w:rPr>
          <w:rFonts w:eastAsiaTheme="minorEastAsia"/>
        </w:rPr>
        <w:t xml:space="preserve"> = 68 days</w:t>
      </w:r>
    </w:p>
    <w:p w14:paraId="1E399C8E" w14:textId="4ABD2E8B" w:rsidR="00802850" w:rsidRPr="00802850" w:rsidRDefault="00802850" w:rsidP="00802850">
      <w:pPr>
        <w:ind w:left="360"/>
        <w:rPr>
          <w:rFonts w:eastAsiaTheme="minorEastAsia"/>
        </w:rPr>
      </w:pPr>
      <w:r w:rsidRPr="00802850">
        <w:rPr>
          <w:rFonts w:eastAsiaTheme="minorEastAsia"/>
        </w:rPr>
        <w:t>Debtors' Collection Period</w:t>
      </w:r>
      <w:r>
        <w:rPr>
          <w:rFonts w:eastAsiaTheme="minorEastAsia"/>
        </w:rPr>
        <w:t xml:space="preserve">2021 </w:t>
      </w:r>
      <w:r w:rsidRPr="00802850">
        <w:rPr>
          <w:rFonts w:eastAsiaTheme="minorEastAsia"/>
        </w:rPr>
        <w:t>=</w:t>
      </w:r>
      <w:r w:rsidR="00143907">
        <w:rPr>
          <w:rFonts w:eastAsiaTheme="minorEastAsia"/>
        </w:rPr>
        <w:t xml:space="preserve"> (1287/ 6441</w:t>
      </w:r>
      <w:r w:rsidRPr="00802850">
        <w:rPr>
          <w:rFonts w:eastAsiaTheme="minorEastAsia"/>
        </w:rPr>
        <w:t>)</w:t>
      </w:r>
      <w:r w:rsidR="00143907">
        <w:rPr>
          <w:rFonts w:eastAsiaTheme="minorEastAsia"/>
        </w:rPr>
        <w:t xml:space="preserve"> </w:t>
      </w:r>
      <w:r w:rsidRPr="00802850">
        <w:rPr>
          <w:rFonts w:eastAsiaTheme="minorEastAsia"/>
        </w:rPr>
        <w:t>*</w:t>
      </w:r>
      <w:r w:rsidR="00143907">
        <w:rPr>
          <w:rFonts w:eastAsiaTheme="minorEastAsia"/>
        </w:rPr>
        <w:t xml:space="preserve"> </w:t>
      </w:r>
      <w:r w:rsidRPr="00802850">
        <w:rPr>
          <w:rFonts w:eastAsiaTheme="minorEastAsia"/>
        </w:rPr>
        <w:t>365 (days)</w:t>
      </w:r>
      <w:r w:rsidR="00143907">
        <w:rPr>
          <w:rFonts w:eastAsiaTheme="minorEastAsia"/>
        </w:rPr>
        <w:t xml:space="preserve"> = 73 days</w:t>
      </w:r>
    </w:p>
    <w:p w14:paraId="7A883DD9" w14:textId="77777777" w:rsidR="00623810" w:rsidRPr="0023340B" w:rsidRDefault="00623810" w:rsidP="00623810">
      <w:pPr>
        <w:pStyle w:val="ListParagraph"/>
        <w:rPr>
          <w:rFonts w:eastAsiaTheme="minorEastAsia"/>
        </w:rPr>
      </w:pPr>
    </w:p>
    <w:p w14:paraId="36090363" w14:textId="472084A0" w:rsidR="0023340B" w:rsidRPr="00143907" w:rsidRDefault="00143907" w:rsidP="0023340B">
      <w:pPr>
        <w:pStyle w:val="ListParagraph"/>
        <w:numPr>
          <w:ilvl w:val="0"/>
          <w:numId w:val="3"/>
        </w:numPr>
        <w:rPr>
          <w:rFonts w:eastAsiaTheme="minorEastAsia"/>
          <w:b/>
          <w:bCs/>
        </w:rPr>
      </w:pPr>
      <m:oMath>
        <m:r>
          <m:rPr>
            <m:sty m:val="bi"/>
          </m:rPr>
          <w:rPr>
            <w:rFonts w:ascii="Cambria Math" w:hAnsi="Cambria Math"/>
          </w:rPr>
          <m:t>Current Ratio=</m:t>
        </m:r>
        <m:f>
          <m:fPr>
            <m:ctrlPr>
              <w:rPr>
                <w:rFonts w:ascii="Cambria Math" w:hAnsi="Cambria Math"/>
                <w:b/>
                <w:bCs/>
                <w:i/>
              </w:rPr>
            </m:ctrlPr>
          </m:fPr>
          <m:num>
            <m:r>
              <m:rPr>
                <m:sty m:val="bi"/>
              </m:rPr>
              <w:rPr>
                <w:rFonts w:ascii="Cambria Math" w:hAnsi="Cambria Math"/>
              </w:rPr>
              <m:t>Current Assets</m:t>
            </m:r>
          </m:num>
          <m:den>
            <m:r>
              <m:rPr>
                <m:sty m:val="bi"/>
              </m:rPr>
              <w:rPr>
                <w:rFonts w:ascii="Cambria Math" w:hAnsi="Cambria Math"/>
              </w:rPr>
              <m:t>Current Liabilities</m:t>
            </m:r>
          </m:den>
        </m:f>
        <m:r>
          <m:rPr>
            <m:sty m:val="bi"/>
          </m:rPr>
          <w:rPr>
            <w:rFonts w:ascii="Cambria Math" w:hAnsi="Cambria Math"/>
          </w:rPr>
          <m:t xml:space="preserve"> (*:1)</m:t>
        </m:r>
      </m:oMath>
    </w:p>
    <w:p w14:paraId="43DD6C0B" w14:textId="28A2B1E5" w:rsidR="00143907" w:rsidRDefault="00143907" w:rsidP="00143907">
      <w:pPr>
        <w:ind w:left="360"/>
        <w:rPr>
          <w:rFonts w:eastAsiaTheme="minorEastAsia"/>
        </w:rPr>
      </w:pPr>
      <w:r w:rsidRPr="00143907">
        <w:rPr>
          <w:rFonts w:eastAsiaTheme="minorEastAsia"/>
        </w:rPr>
        <w:t>Current Ratio</w:t>
      </w:r>
      <w:r>
        <w:rPr>
          <w:rFonts w:eastAsiaTheme="minorEastAsia"/>
        </w:rPr>
        <w:t xml:space="preserve"> 2022 </w:t>
      </w:r>
      <w:r w:rsidRPr="00143907">
        <w:rPr>
          <w:rFonts w:eastAsiaTheme="minorEastAsia"/>
        </w:rPr>
        <w:t>=</w:t>
      </w:r>
      <w:r>
        <w:rPr>
          <w:rFonts w:eastAsiaTheme="minorEastAsia"/>
        </w:rPr>
        <w:t xml:space="preserve"> 2,303</w:t>
      </w:r>
      <w:r w:rsidRPr="00143907">
        <w:rPr>
          <w:rFonts w:eastAsiaTheme="minorEastAsia"/>
        </w:rPr>
        <w:t>/</w:t>
      </w:r>
      <w:r>
        <w:rPr>
          <w:rFonts w:eastAsiaTheme="minorEastAsia"/>
        </w:rPr>
        <w:t>2,511</w:t>
      </w:r>
      <w:r w:rsidRPr="00143907">
        <w:rPr>
          <w:rFonts w:eastAsiaTheme="minorEastAsia"/>
        </w:rPr>
        <w:t xml:space="preserve"> </w:t>
      </w:r>
      <w:r>
        <w:rPr>
          <w:rFonts w:eastAsiaTheme="minorEastAsia"/>
        </w:rPr>
        <w:t xml:space="preserve">= 0.9 </w:t>
      </w:r>
      <w:r w:rsidRPr="00143907">
        <w:rPr>
          <w:rFonts w:eastAsiaTheme="minorEastAsia"/>
        </w:rPr>
        <w:t>:1</w:t>
      </w:r>
    </w:p>
    <w:p w14:paraId="71920285" w14:textId="499F076D" w:rsidR="00143907" w:rsidRDefault="00143907" w:rsidP="00143907">
      <w:pPr>
        <w:ind w:left="360"/>
        <w:rPr>
          <w:rFonts w:eastAsiaTheme="minorEastAsia"/>
        </w:rPr>
      </w:pPr>
      <w:r w:rsidRPr="00143907">
        <w:rPr>
          <w:rFonts w:eastAsiaTheme="minorEastAsia"/>
        </w:rPr>
        <w:t>Current Ratio</w:t>
      </w:r>
      <w:r>
        <w:rPr>
          <w:rFonts w:eastAsiaTheme="minorEastAsia"/>
        </w:rPr>
        <w:t xml:space="preserve">2021 </w:t>
      </w:r>
      <w:r w:rsidRPr="00143907">
        <w:rPr>
          <w:rFonts w:eastAsiaTheme="minorEastAsia"/>
        </w:rPr>
        <w:t>=</w:t>
      </w:r>
      <w:r>
        <w:rPr>
          <w:rFonts w:eastAsiaTheme="minorEastAsia"/>
        </w:rPr>
        <w:t xml:space="preserve"> 2,355</w:t>
      </w:r>
      <w:r w:rsidRPr="00143907">
        <w:rPr>
          <w:rFonts w:eastAsiaTheme="minorEastAsia"/>
        </w:rPr>
        <w:t>/</w:t>
      </w:r>
      <w:r w:rsidR="00DA7242">
        <w:rPr>
          <w:rFonts w:eastAsiaTheme="minorEastAsia"/>
        </w:rPr>
        <w:t xml:space="preserve">3,096 = </w:t>
      </w:r>
      <w:proofErr w:type="gramStart"/>
      <w:r w:rsidR="00DA7242">
        <w:rPr>
          <w:rFonts w:eastAsiaTheme="minorEastAsia"/>
        </w:rPr>
        <w:t>0.8</w:t>
      </w:r>
      <w:r w:rsidRPr="00143907">
        <w:rPr>
          <w:rFonts w:eastAsiaTheme="minorEastAsia"/>
        </w:rPr>
        <w:t xml:space="preserve">  :</w:t>
      </w:r>
      <w:proofErr w:type="gramEnd"/>
      <w:r w:rsidRPr="00143907">
        <w:rPr>
          <w:rFonts w:eastAsiaTheme="minorEastAsia"/>
        </w:rPr>
        <w:t>1</w:t>
      </w:r>
    </w:p>
    <w:p w14:paraId="67B67A06" w14:textId="77777777" w:rsidR="00143907" w:rsidRPr="00143907" w:rsidRDefault="00143907" w:rsidP="00143907">
      <w:pPr>
        <w:ind w:left="360"/>
        <w:rPr>
          <w:rFonts w:eastAsiaTheme="minorEastAsia"/>
        </w:rPr>
      </w:pPr>
    </w:p>
    <w:p w14:paraId="6C67D87C" w14:textId="42A9C37D" w:rsidR="0023340B" w:rsidRPr="00DA7242" w:rsidRDefault="00DA7242" w:rsidP="0023340B">
      <w:pPr>
        <w:pStyle w:val="ListParagraph"/>
        <w:numPr>
          <w:ilvl w:val="0"/>
          <w:numId w:val="3"/>
        </w:numPr>
        <w:rPr>
          <w:rFonts w:eastAsiaTheme="minorEastAsia"/>
          <w:b/>
          <w:bCs/>
        </w:rPr>
      </w:pPr>
      <m:oMath>
        <m:r>
          <m:rPr>
            <m:sty m:val="bi"/>
          </m:rPr>
          <w:rPr>
            <w:rFonts w:ascii="Cambria Math" w:hAnsi="Cambria Math"/>
          </w:rPr>
          <m:t>Gearing Ratio=</m:t>
        </m:r>
        <m:f>
          <m:fPr>
            <m:ctrlPr>
              <w:rPr>
                <w:rFonts w:ascii="Cambria Math" w:hAnsi="Cambria Math"/>
                <w:b/>
                <w:bCs/>
                <w:i/>
              </w:rPr>
            </m:ctrlPr>
          </m:fPr>
          <m:num>
            <m:r>
              <m:rPr>
                <m:sty m:val="bi"/>
              </m:rPr>
              <w:rPr>
                <w:rFonts w:ascii="Cambria Math" w:hAnsi="Cambria Math"/>
              </w:rPr>
              <m:t>Long Term Debt</m:t>
            </m:r>
          </m:num>
          <m:den>
            <m:r>
              <m:rPr>
                <m:sty m:val="bi"/>
              </m:rPr>
              <w:rPr>
                <w:rFonts w:ascii="Cambria Math" w:hAnsi="Cambria Math"/>
              </w:rPr>
              <m:t>Long Term Debt + Equity</m:t>
            </m:r>
          </m:den>
        </m:f>
        <m:r>
          <m:rPr>
            <m:sty m:val="bi"/>
          </m:rPr>
          <w:rPr>
            <w:rFonts w:ascii="Cambria Math" w:hAnsi="Cambria Math"/>
          </w:rPr>
          <m:t>*100%</m:t>
        </m:r>
      </m:oMath>
    </w:p>
    <w:p w14:paraId="755D8DBC" w14:textId="0DAF241A" w:rsidR="00623810" w:rsidRDefault="00DA7242" w:rsidP="00DA7242">
      <w:pPr>
        <w:rPr>
          <w:rFonts w:eastAsiaTheme="minorEastAsia"/>
        </w:rPr>
      </w:pPr>
      <w:r w:rsidRPr="00DA7242">
        <w:rPr>
          <w:rFonts w:eastAsiaTheme="minorEastAsia"/>
        </w:rPr>
        <w:t>Gearing Ratio</w:t>
      </w:r>
      <w:r>
        <w:rPr>
          <w:rFonts w:eastAsiaTheme="minorEastAsia"/>
        </w:rPr>
        <w:t xml:space="preserve">2022 </w:t>
      </w:r>
      <w:r w:rsidRPr="00DA7242">
        <w:rPr>
          <w:rFonts w:eastAsiaTheme="minorEastAsia"/>
        </w:rPr>
        <w:t>=</w:t>
      </w:r>
      <w:r>
        <w:rPr>
          <w:rFonts w:eastAsiaTheme="minorEastAsia"/>
        </w:rPr>
        <w:t xml:space="preserve"> 4,137</w:t>
      </w:r>
      <w:proofErr w:type="gramStart"/>
      <w:r w:rsidRPr="00DA7242">
        <w:rPr>
          <w:rFonts w:eastAsiaTheme="minorEastAsia"/>
        </w:rPr>
        <w:t>/(</w:t>
      </w:r>
      <w:proofErr w:type="gramEnd"/>
      <w:r w:rsidR="00C56544">
        <w:rPr>
          <w:rFonts w:eastAsiaTheme="minorEastAsia"/>
        </w:rPr>
        <w:t>4,127+3,088</w:t>
      </w:r>
      <w:r w:rsidRPr="00DA7242">
        <w:rPr>
          <w:rFonts w:eastAsiaTheme="minorEastAsia"/>
        </w:rPr>
        <w:t>)</w:t>
      </w:r>
      <w:r>
        <w:rPr>
          <w:rFonts w:eastAsiaTheme="minorEastAsia"/>
        </w:rPr>
        <w:t xml:space="preserve"> </w:t>
      </w:r>
      <w:r w:rsidRPr="00DA7242">
        <w:rPr>
          <w:rFonts w:eastAsiaTheme="minorEastAsia"/>
        </w:rPr>
        <w:t>*</w:t>
      </w:r>
      <w:r>
        <w:rPr>
          <w:rFonts w:eastAsiaTheme="minorEastAsia"/>
        </w:rPr>
        <w:t xml:space="preserve"> </w:t>
      </w:r>
      <w:r w:rsidRPr="00DA7242">
        <w:rPr>
          <w:rFonts w:eastAsiaTheme="minorEastAsia"/>
        </w:rPr>
        <w:t>100%</w:t>
      </w:r>
      <w:r w:rsidR="00C56544">
        <w:rPr>
          <w:rFonts w:eastAsiaTheme="minorEastAsia"/>
        </w:rPr>
        <w:t xml:space="preserve"> = 57%</w:t>
      </w:r>
    </w:p>
    <w:p w14:paraId="55E30B74" w14:textId="1F1C79D9" w:rsidR="00DA7242" w:rsidRPr="00DA7242" w:rsidRDefault="00DA7242" w:rsidP="00DA7242">
      <w:pPr>
        <w:rPr>
          <w:rFonts w:eastAsiaTheme="minorEastAsia"/>
        </w:rPr>
      </w:pPr>
      <w:r w:rsidRPr="00DA7242">
        <w:rPr>
          <w:rFonts w:eastAsiaTheme="minorEastAsia"/>
        </w:rPr>
        <w:t>Gearing Ratio</w:t>
      </w:r>
      <w:r>
        <w:rPr>
          <w:rFonts w:eastAsiaTheme="minorEastAsia"/>
        </w:rPr>
        <w:t xml:space="preserve">2021 </w:t>
      </w:r>
      <w:r w:rsidRPr="00DA7242">
        <w:rPr>
          <w:rFonts w:eastAsiaTheme="minorEastAsia"/>
        </w:rPr>
        <w:t>=</w:t>
      </w:r>
      <w:r w:rsidR="00C56544">
        <w:rPr>
          <w:rFonts w:eastAsiaTheme="minorEastAsia"/>
        </w:rPr>
        <w:t>4,129</w:t>
      </w:r>
      <w:proofErr w:type="gramStart"/>
      <w:r w:rsidRPr="00DA7242">
        <w:rPr>
          <w:rFonts w:eastAsiaTheme="minorEastAsia"/>
        </w:rPr>
        <w:t>/(</w:t>
      </w:r>
      <w:proofErr w:type="gramEnd"/>
      <w:r w:rsidR="00C56544">
        <w:rPr>
          <w:rFonts w:eastAsiaTheme="minorEastAsia"/>
        </w:rPr>
        <w:t>4,129</w:t>
      </w:r>
      <w:r w:rsidRPr="00DA7242">
        <w:rPr>
          <w:rFonts w:eastAsiaTheme="minorEastAsia"/>
        </w:rPr>
        <w:t xml:space="preserve">+ </w:t>
      </w:r>
      <w:r w:rsidR="00C56544">
        <w:rPr>
          <w:rFonts w:eastAsiaTheme="minorEastAsia"/>
        </w:rPr>
        <w:t>2,912</w:t>
      </w:r>
      <w:r w:rsidRPr="00DA7242">
        <w:rPr>
          <w:rFonts w:eastAsiaTheme="minorEastAsia"/>
        </w:rPr>
        <w:t>)</w:t>
      </w:r>
      <w:r w:rsidR="00C56544">
        <w:rPr>
          <w:rFonts w:eastAsiaTheme="minorEastAsia"/>
        </w:rPr>
        <w:t xml:space="preserve"> </w:t>
      </w:r>
      <w:r w:rsidRPr="00DA7242">
        <w:rPr>
          <w:rFonts w:eastAsiaTheme="minorEastAsia"/>
        </w:rPr>
        <w:t>*</w:t>
      </w:r>
      <w:r w:rsidR="00C56544">
        <w:rPr>
          <w:rFonts w:eastAsiaTheme="minorEastAsia"/>
        </w:rPr>
        <w:t xml:space="preserve"> </w:t>
      </w:r>
      <w:r w:rsidRPr="00DA7242">
        <w:rPr>
          <w:rFonts w:eastAsiaTheme="minorEastAsia"/>
        </w:rPr>
        <w:t>100%</w:t>
      </w:r>
      <w:r w:rsidR="00C56544">
        <w:rPr>
          <w:rFonts w:eastAsiaTheme="minorEastAsia"/>
        </w:rPr>
        <w:t xml:space="preserve"> = 59%</w:t>
      </w:r>
    </w:p>
    <w:p w14:paraId="632DF6AF" w14:textId="77777777" w:rsidR="00623810" w:rsidRPr="0023340B" w:rsidRDefault="00623810" w:rsidP="00623810">
      <w:pPr>
        <w:pStyle w:val="ListParagraph"/>
        <w:rPr>
          <w:rFonts w:eastAsiaTheme="minorEastAsia"/>
        </w:rPr>
      </w:pPr>
    </w:p>
    <w:p w14:paraId="0900522D" w14:textId="243261EE" w:rsidR="0023340B" w:rsidRPr="0023340B" w:rsidRDefault="00C56544" w:rsidP="0023340B">
      <w:pPr>
        <w:pStyle w:val="ListParagraph"/>
        <w:numPr>
          <w:ilvl w:val="0"/>
          <w:numId w:val="3"/>
        </w:numPr>
        <w:rPr>
          <w:rFonts w:eastAsiaTheme="minorEastAsia"/>
        </w:rPr>
      </w:pPr>
      <m:oMath>
        <m:r>
          <m:rPr>
            <m:sty m:val="bi"/>
          </m:rPr>
          <w:rPr>
            <w:rFonts w:ascii="Cambria Math" w:hAnsi="Cambria Math"/>
          </w:rPr>
          <m:t>Interest Cover=</m:t>
        </m:r>
        <m:f>
          <m:fPr>
            <m:ctrlPr>
              <w:rPr>
                <w:rFonts w:ascii="Cambria Math" w:hAnsi="Cambria Math"/>
                <w:b/>
                <w:bCs/>
                <w:i/>
              </w:rPr>
            </m:ctrlPr>
          </m:fPr>
          <m:num>
            <m:r>
              <m:rPr>
                <m:sty m:val="bi"/>
              </m:rPr>
              <w:rPr>
                <w:rFonts w:ascii="Cambria Math" w:hAnsi="Cambria Math"/>
              </w:rPr>
              <m:t>Profit Before Interest</m:t>
            </m:r>
          </m:num>
          <m:den>
            <m:r>
              <m:rPr>
                <m:sty m:val="bi"/>
              </m:rPr>
              <w:rPr>
                <w:rFonts w:ascii="Cambria Math" w:hAnsi="Cambria Math"/>
              </w:rPr>
              <m:t xml:space="preserve">Interest Charges </m:t>
            </m:r>
          </m:den>
        </m:f>
        <m:r>
          <m:rPr>
            <m:sty m:val="bi"/>
          </m:rPr>
          <w:rPr>
            <w:rFonts w:ascii="Cambria Math" w:hAnsi="Cambria Math"/>
          </w:rPr>
          <m:t xml:space="preserve"> (times)</m:t>
        </m:r>
      </m:oMath>
    </w:p>
    <w:p w14:paraId="08BD495F" w14:textId="53E42585" w:rsidR="0023340B" w:rsidRPr="00C56544" w:rsidRDefault="00C56544" w:rsidP="00C56544">
      <w:pPr>
        <w:rPr>
          <w:rFonts w:eastAsiaTheme="minorEastAsia"/>
        </w:rPr>
      </w:pPr>
      <w:r w:rsidRPr="00C56544">
        <w:rPr>
          <w:rFonts w:eastAsiaTheme="minorEastAsia"/>
        </w:rPr>
        <w:t>Interest Cover</w:t>
      </w:r>
      <w:r>
        <w:rPr>
          <w:rFonts w:eastAsiaTheme="minorEastAsia"/>
        </w:rPr>
        <w:t xml:space="preserve"> </w:t>
      </w:r>
      <w:r w:rsidRPr="00C56544">
        <w:rPr>
          <w:rFonts w:eastAsiaTheme="minorEastAsia"/>
        </w:rPr>
        <w:t>=</w:t>
      </w:r>
      <w:r>
        <w:rPr>
          <w:rFonts w:eastAsiaTheme="minorEastAsia"/>
        </w:rPr>
        <w:t xml:space="preserve"> 805</w:t>
      </w:r>
      <w:r w:rsidRPr="00C56544">
        <w:rPr>
          <w:rFonts w:eastAsiaTheme="minorEastAsia"/>
        </w:rPr>
        <w:t>/</w:t>
      </w:r>
      <w:r>
        <w:rPr>
          <w:rFonts w:eastAsiaTheme="minorEastAsia"/>
        </w:rPr>
        <w:t xml:space="preserve">185 = 4.4 </w:t>
      </w:r>
      <w:r w:rsidRPr="00C56544">
        <w:rPr>
          <w:rFonts w:eastAsiaTheme="minorEastAsia"/>
        </w:rPr>
        <w:t>(times)</w:t>
      </w:r>
    </w:p>
    <w:p w14:paraId="5DF0A519" w14:textId="73FA8CEA" w:rsidR="003F758C" w:rsidRPr="003F758C" w:rsidRDefault="00C56544" w:rsidP="00C56544">
      <w:pPr>
        <w:rPr>
          <w:rFonts w:eastAsiaTheme="minorEastAsia"/>
          <w:b/>
          <w:bCs/>
        </w:rPr>
      </w:pPr>
      <w:r w:rsidRPr="00C56544">
        <w:rPr>
          <w:rFonts w:eastAsiaTheme="minorEastAsia"/>
        </w:rPr>
        <w:t>Interest Cover</w:t>
      </w:r>
      <w:r>
        <w:rPr>
          <w:rFonts w:eastAsiaTheme="minorEastAsia"/>
        </w:rPr>
        <w:t xml:space="preserve"> </w:t>
      </w:r>
      <w:r w:rsidRPr="00C56544">
        <w:rPr>
          <w:rFonts w:eastAsiaTheme="minorEastAsia"/>
        </w:rPr>
        <w:t>=</w:t>
      </w:r>
      <w:r>
        <w:rPr>
          <w:rFonts w:eastAsiaTheme="minorEastAsia"/>
        </w:rPr>
        <w:t xml:space="preserve"> 699</w:t>
      </w:r>
      <w:r w:rsidRPr="00C56544">
        <w:rPr>
          <w:rFonts w:eastAsiaTheme="minorEastAsia"/>
        </w:rPr>
        <w:t>/</w:t>
      </w:r>
      <w:r>
        <w:rPr>
          <w:rFonts w:eastAsiaTheme="minorEastAsia"/>
        </w:rPr>
        <w:t xml:space="preserve">160 = </w:t>
      </w:r>
      <w:proofErr w:type="gramStart"/>
      <w:r>
        <w:rPr>
          <w:rFonts w:eastAsiaTheme="minorEastAsia"/>
        </w:rPr>
        <w:t>4.4</w:t>
      </w:r>
      <w:r w:rsidRPr="00C56544">
        <w:rPr>
          <w:rFonts w:eastAsiaTheme="minorEastAsia"/>
        </w:rPr>
        <w:t xml:space="preserve">  (</w:t>
      </w:r>
      <w:proofErr w:type="gramEnd"/>
      <w:r w:rsidRPr="00C56544">
        <w:rPr>
          <w:rFonts w:eastAsiaTheme="minorEastAsia"/>
        </w:rPr>
        <w:t>times)</w:t>
      </w:r>
    </w:p>
    <w:p w14:paraId="1B729EF3" w14:textId="19161E88" w:rsidR="003F758C" w:rsidRPr="00CA6196" w:rsidRDefault="003F758C" w:rsidP="003F758C">
      <w:pPr>
        <w:pStyle w:val="ListParagraph"/>
        <w:numPr>
          <w:ilvl w:val="0"/>
          <w:numId w:val="1"/>
        </w:numPr>
        <w:rPr>
          <w:rFonts w:eastAsiaTheme="minorEastAsia"/>
          <w:b/>
          <w:bCs/>
        </w:rPr>
      </w:pPr>
      <w:r w:rsidRPr="00CA6196">
        <w:rPr>
          <w:rFonts w:eastAsiaTheme="minorEastAsia"/>
          <w:b/>
          <w:bCs/>
        </w:rPr>
        <w:lastRenderedPageBreak/>
        <w:t>Analysis</w:t>
      </w:r>
    </w:p>
    <w:p w14:paraId="47892374" w14:textId="77777777" w:rsidR="003F758C" w:rsidRDefault="003F758C" w:rsidP="003F758C">
      <w:pPr>
        <w:rPr>
          <w:rFonts w:eastAsiaTheme="minorEastAsia"/>
        </w:rPr>
      </w:pPr>
    </w:p>
    <w:p w14:paraId="398C5C5D" w14:textId="73D7CB6C" w:rsidR="003F758C" w:rsidRPr="003F758C" w:rsidRDefault="003F758C" w:rsidP="003F758C">
      <w:pPr>
        <w:rPr>
          <w:rFonts w:eastAsiaTheme="minorEastAsia"/>
        </w:rPr>
      </w:pPr>
      <w:r w:rsidRPr="003F758C">
        <w:rPr>
          <w:rFonts w:eastAsiaTheme="minorEastAsia"/>
        </w:rPr>
        <w:t>Analysing</w:t>
      </w:r>
      <w:r w:rsidRPr="003F758C">
        <w:rPr>
          <w:rFonts w:eastAsiaTheme="minorEastAsia"/>
        </w:rPr>
        <w:t xml:space="preserve"> the financial performance and position of Sweets </w:t>
      </w:r>
      <w:r w:rsidR="00D06FB1">
        <w:rPr>
          <w:rFonts w:eastAsiaTheme="minorEastAsia"/>
        </w:rPr>
        <w:t>P</w:t>
      </w:r>
      <w:r w:rsidRPr="003F758C">
        <w:rPr>
          <w:rFonts w:eastAsiaTheme="minorEastAsia"/>
        </w:rPr>
        <w:t>lc using the provided information, we can make the following observations:</w:t>
      </w:r>
    </w:p>
    <w:p w14:paraId="58C01BC6" w14:textId="77777777" w:rsidR="003F758C" w:rsidRPr="003F758C" w:rsidRDefault="003F758C" w:rsidP="003F758C">
      <w:pPr>
        <w:rPr>
          <w:rFonts w:eastAsiaTheme="minorEastAsia"/>
        </w:rPr>
      </w:pPr>
      <w:r w:rsidRPr="003F758C">
        <w:rPr>
          <w:rFonts w:eastAsiaTheme="minorEastAsia"/>
        </w:rPr>
        <w:t>1. Revenue and Gross Profit: Sweets plc experienced revenue growth from £6.441 million in 2021 to £6.738 million in 2022. The gross profit also increased from £3.345 million to £3.503 million over the same period. This indicates that the company has been able to generate higher sales and maintain a decent level of profitability.</w:t>
      </w:r>
    </w:p>
    <w:p w14:paraId="5CF6706A" w14:textId="77777777" w:rsidR="003F758C" w:rsidRPr="003F758C" w:rsidRDefault="003F758C" w:rsidP="003F758C">
      <w:pPr>
        <w:rPr>
          <w:rFonts w:eastAsiaTheme="minorEastAsia"/>
        </w:rPr>
      </w:pPr>
      <w:r w:rsidRPr="003F758C">
        <w:rPr>
          <w:rFonts w:eastAsiaTheme="minorEastAsia"/>
        </w:rPr>
        <w:t>2. Operating Profit: Sweets plc's operating profit improved from £699 million in 2021 to £805 million in 2022. This indicates effective cost management and operational efficiency, which contributed positively to the company's profitability.</w:t>
      </w:r>
    </w:p>
    <w:p w14:paraId="75438B84" w14:textId="4FBBE40D" w:rsidR="003F758C" w:rsidRPr="003F758C" w:rsidRDefault="003F758C" w:rsidP="003F758C">
      <w:pPr>
        <w:rPr>
          <w:rFonts w:eastAsiaTheme="minorEastAsia"/>
        </w:rPr>
      </w:pPr>
      <w:r w:rsidRPr="003F758C">
        <w:rPr>
          <w:rFonts w:eastAsiaTheme="minorEastAsia"/>
        </w:rPr>
        <w:t xml:space="preserve">3. Return on Capital Employed (ROCE): Sweets plc's ROCE increased from 9.93% in 2021 to 11.14% in 2022. This suggests that the company has been successful in generating higher returns from the capital invested, indicating improved efficiency in utilizing </w:t>
      </w:r>
      <w:proofErr w:type="gramStart"/>
      <w:r w:rsidRPr="003F758C">
        <w:rPr>
          <w:rFonts w:eastAsiaTheme="minorEastAsia"/>
        </w:rPr>
        <w:t xml:space="preserve">its </w:t>
      </w:r>
      <w:r>
        <w:rPr>
          <w:rFonts w:eastAsiaTheme="minorEastAsia"/>
        </w:rPr>
        <w:t>.</w:t>
      </w:r>
      <w:proofErr w:type="gramEnd"/>
    </w:p>
    <w:p w14:paraId="3B4C2E34" w14:textId="200A3991" w:rsidR="003F758C" w:rsidRPr="003F758C" w:rsidRDefault="003F758C" w:rsidP="003F758C">
      <w:pPr>
        <w:rPr>
          <w:rFonts w:eastAsiaTheme="minorEastAsia"/>
        </w:rPr>
      </w:pPr>
      <w:r w:rsidRPr="003F758C">
        <w:rPr>
          <w:rFonts w:eastAsiaTheme="minorEastAsia"/>
        </w:rPr>
        <w:t>4. Return on Equity (ROE): Sweets plc's ROE also increased from 12.57% in 2021 to 13.96% in 2022. This signifies that the company has been able to generate higher profits relative to its shareholders' equity, indicating improved profitability and shareholder</w:t>
      </w:r>
      <w:r>
        <w:rPr>
          <w:rFonts w:eastAsiaTheme="minorEastAsia"/>
        </w:rPr>
        <w:t>.</w:t>
      </w:r>
    </w:p>
    <w:p w14:paraId="7495666A" w14:textId="2C77F8EC" w:rsidR="003F758C" w:rsidRPr="003F758C" w:rsidRDefault="003F758C" w:rsidP="003F758C">
      <w:pPr>
        <w:rPr>
          <w:rFonts w:eastAsiaTheme="minorEastAsia"/>
        </w:rPr>
      </w:pPr>
      <w:r w:rsidRPr="003F758C">
        <w:rPr>
          <w:rFonts w:eastAsiaTheme="minorEastAsia"/>
        </w:rPr>
        <w:t xml:space="preserve">5. Earnings per Share (EPS): The EPS of Sweets plc increased from £0.61 in 2021 to £0.72 in 2022. This indicates improved profitability on a per-share basis, potentially attracting investors and indicating </w:t>
      </w:r>
      <w:proofErr w:type="gramStart"/>
      <w:r w:rsidRPr="003F758C">
        <w:rPr>
          <w:rFonts w:eastAsiaTheme="minorEastAsia"/>
        </w:rPr>
        <w:t>positive growth</w:t>
      </w:r>
      <w:proofErr w:type="gramEnd"/>
      <w:r w:rsidRPr="003F758C">
        <w:rPr>
          <w:rFonts w:eastAsiaTheme="minorEastAsia"/>
        </w:rPr>
        <w:t xml:space="preserve"> prospects</w:t>
      </w:r>
      <w:r>
        <w:rPr>
          <w:rFonts w:eastAsiaTheme="minorEastAsia"/>
        </w:rPr>
        <w:t>.</w:t>
      </w:r>
    </w:p>
    <w:p w14:paraId="2286F56F" w14:textId="29692891" w:rsidR="003F758C" w:rsidRPr="003F758C" w:rsidRDefault="003F758C" w:rsidP="003F758C">
      <w:pPr>
        <w:rPr>
          <w:rFonts w:eastAsiaTheme="minorEastAsia"/>
        </w:rPr>
      </w:pPr>
      <w:r w:rsidRPr="003F758C">
        <w:rPr>
          <w:rFonts w:eastAsiaTheme="minorEastAsia"/>
        </w:rPr>
        <w:t xml:space="preserve">6. Net Profit Margin: The net profit margin increased from 10.85% in 2021 to 11.95% in 2022. This indicates that </w:t>
      </w:r>
      <w:proofErr w:type="gramStart"/>
      <w:r w:rsidRPr="003F758C">
        <w:rPr>
          <w:rFonts w:eastAsiaTheme="minorEastAsia"/>
        </w:rPr>
        <w:t>Sweets</w:t>
      </w:r>
      <w:proofErr w:type="gramEnd"/>
      <w:r w:rsidRPr="003F758C">
        <w:rPr>
          <w:rFonts w:eastAsiaTheme="minorEastAsia"/>
        </w:rPr>
        <w:t xml:space="preserve"> plc has been able to effectively manage its costs and increase profitability as a percentage of revenue</w:t>
      </w:r>
      <w:r>
        <w:rPr>
          <w:rFonts w:eastAsiaTheme="minorEastAsia"/>
        </w:rPr>
        <w:t>.</w:t>
      </w:r>
    </w:p>
    <w:p w14:paraId="2E825FCB" w14:textId="5DE17E6F" w:rsidR="003F758C" w:rsidRPr="003F758C" w:rsidRDefault="003F758C" w:rsidP="003F758C">
      <w:pPr>
        <w:rPr>
          <w:rFonts w:eastAsiaTheme="minorEastAsia"/>
        </w:rPr>
      </w:pPr>
      <w:r w:rsidRPr="003F758C">
        <w:rPr>
          <w:rFonts w:eastAsiaTheme="minorEastAsia"/>
        </w:rPr>
        <w:t>7. Stock Holding Days: Sweets plc experienced a slight increase in stock holding days from 78 days in 2021 to 80 days in 2022. This may suggest that the company has been holding inventory for a slightly longer period, potentially indicating a need for inventory management improvement</w:t>
      </w:r>
      <w:r>
        <w:rPr>
          <w:rFonts w:eastAsiaTheme="minorEastAsia"/>
        </w:rPr>
        <w:t>.</w:t>
      </w:r>
    </w:p>
    <w:p w14:paraId="4F4C51D9" w14:textId="0FE347D3" w:rsidR="003F758C" w:rsidRDefault="003F758C" w:rsidP="003F758C">
      <w:pPr>
        <w:rPr>
          <w:rFonts w:eastAsiaTheme="minorEastAsia"/>
        </w:rPr>
      </w:pPr>
      <w:r w:rsidRPr="003F758C">
        <w:rPr>
          <w:rFonts w:eastAsiaTheme="minorEastAsia"/>
        </w:rPr>
        <w:t xml:space="preserve">Overall, </w:t>
      </w:r>
      <w:proofErr w:type="gramStart"/>
      <w:r w:rsidRPr="003F758C">
        <w:rPr>
          <w:rFonts w:eastAsiaTheme="minorEastAsia"/>
        </w:rPr>
        <w:t>Sweets</w:t>
      </w:r>
      <w:proofErr w:type="gramEnd"/>
      <w:r w:rsidRPr="003F758C">
        <w:rPr>
          <w:rFonts w:eastAsiaTheme="minorEastAsia"/>
        </w:rPr>
        <w:t xml:space="preserve"> plc has demonstrated positive financial performance and improved position, with growing revenue, increased profitability, and efficient utilization of resources. However, the company should continue to monitor and manage inventory levels effectively to optimize working capital and maintain competitiveness in a competitive market.</w:t>
      </w:r>
    </w:p>
    <w:p w14:paraId="58E64024" w14:textId="77777777" w:rsidR="00F92CC0" w:rsidRDefault="00F92CC0" w:rsidP="003F758C">
      <w:pPr>
        <w:rPr>
          <w:rFonts w:eastAsiaTheme="minorEastAsia"/>
        </w:rPr>
      </w:pPr>
    </w:p>
    <w:p w14:paraId="5EA8C539" w14:textId="77777777" w:rsidR="00D06FB1" w:rsidRDefault="00D06FB1">
      <w:pPr>
        <w:rPr>
          <w:rFonts w:eastAsiaTheme="minorEastAsia"/>
          <w:b/>
          <w:bCs/>
          <w:sz w:val="24"/>
          <w:szCs w:val="24"/>
        </w:rPr>
      </w:pPr>
      <w:r>
        <w:rPr>
          <w:rFonts w:eastAsiaTheme="minorEastAsia"/>
          <w:b/>
          <w:bCs/>
          <w:sz w:val="24"/>
          <w:szCs w:val="24"/>
        </w:rPr>
        <w:br w:type="page"/>
      </w:r>
    </w:p>
    <w:p w14:paraId="3276D33D" w14:textId="0A28EA14" w:rsidR="00F92CC0" w:rsidRPr="00D06FB1" w:rsidRDefault="00F92CC0" w:rsidP="003F758C">
      <w:pPr>
        <w:rPr>
          <w:rFonts w:eastAsiaTheme="minorEastAsia"/>
          <w:b/>
          <w:bCs/>
          <w:sz w:val="24"/>
          <w:szCs w:val="24"/>
        </w:rPr>
      </w:pPr>
      <w:r w:rsidRPr="00D06FB1">
        <w:rPr>
          <w:rFonts w:eastAsiaTheme="minorEastAsia"/>
          <w:b/>
          <w:bCs/>
          <w:sz w:val="24"/>
          <w:szCs w:val="24"/>
        </w:rPr>
        <w:lastRenderedPageBreak/>
        <w:t>References:</w:t>
      </w:r>
    </w:p>
    <w:p w14:paraId="0E6CED48" w14:textId="77777777" w:rsidR="00F92CC0" w:rsidRDefault="00F92CC0" w:rsidP="003F758C">
      <w:pPr>
        <w:rPr>
          <w:rFonts w:eastAsiaTheme="minorEastAsia"/>
        </w:rPr>
      </w:pPr>
    </w:p>
    <w:p w14:paraId="012AB17C" w14:textId="2870B270" w:rsidR="00F92CC0" w:rsidRDefault="00F92CC0" w:rsidP="003F758C">
      <w:pPr>
        <w:rPr>
          <w:rFonts w:eastAsiaTheme="minorEastAsia"/>
        </w:rPr>
      </w:pPr>
      <w:r w:rsidRPr="00F92CC0">
        <w:rPr>
          <w:rFonts w:eastAsiaTheme="minorEastAsia"/>
        </w:rPr>
        <w:t>International Financial Reporting Standards (</w:t>
      </w:r>
      <w:proofErr w:type="gramStart"/>
      <w:r w:rsidRPr="00F92CC0">
        <w:rPr>
          <w:rFonts w:eastAsiaTheme="minorEastAsia"/>
        </w:rPr>
        <w:t>IFRS)  (</w:t>
      </w:r>
      <w:proofErr w:type="gramEnd"/>
      <w:r w:rsidRPr="00F92CC0">
        <w:rPr>
          <w:rFonts w:eastAsiaTheme="minorEastAsia"/>
        </w:rPr>
        <w:t xml:space="preserve">2018) </w:t>
      </w:r>
      <w:r w:rsidRPr="00CA6196">
        <w:rPr>
          <w:rFonts w:eastAsiaTheme="minorEastAsia"/>
          <w:i/>
          <w:iCs/>
        </w:rPr>
        <w:t>Conceptual Framework for Financial Reporting.</w:t>
      </w:r>
      <w:r w:rsidRPr="00F92CC0">
        <w:rPr>
          <w:rFonts w:eastAsiaTheme="minorEastAsia"/>
        </w:rPr>
        <w:t xml:space="preserve">  Available at: https://www.ifrs.org/content/dam/ifrs/publications/pdf-standards/english/2021/issued/part-a/conceptual-framework-for-financial-reporting.pdf (Accessed: 20 December </w:t>
      </w:r>
      <w:proofErr w:type="gramStart"/>
      <w:r w:rsidRPr="00F92CC0">
        <w:rPr>
          <w:rFonts w:eastAsiaTheme="minorEastAsia"/>
        </w:rPr>
        <w:t>2023 )</w:t>
      </w:r>
      <w:proofErr w:type="gramEnd"/>
      <w:r w:rsidRPr="00F92CC0">
        <w:rPr>
          <w:rFonts w:eastAsiaTheme="minorEastAsia"/>
        </w:rPr>
        <w:t>.</w:t>
      </w:r>
    </w:p>
    <w:p w14:paraId="309A59F2" w14:textId="77777777" w:rsidR="00CA6196" w:rsidRDefault="00CA6196" w:rsidP="003F758C">
      <w:pPr>
        <w:rPr>
          <w:rFonts w:eastAsiaTheme="minorEastAsia"/>
        </w:rPr>
      </w:pPr>
    </w:p>
    <w:p w14:paraId="4870DC17" w14:textId="29494F77" w:rsidR="00CA6196" w:rsidRPr="003F758C" w:rsidRDefault="00CA6196" w:rsidP="00CA6196">
      <w:pPr>
        <w:rPr>
          <w:rFonts w:eastAsiaTheme="minorEastAsia"/>
        </w:rPr>
      </w:pPr>
      <w:r w:rsidRPr="00CA6196">
        <w:rPr>
          <w:rFonts w:eastAsiaTheme="minorEastAsia"/>
        </w:rPr>
        <w:t>International Financial Reporting Standards (</w:t>
      </w:r>
      <w:proofErr w:type="gramStart"/>
      <w:r w:rsidRPr="00CA6196">
        <w:rPr>
          <w:rFonts w:eastAsiaTheme="minorEastAsia"/>
        </w:rPr>
        <w:t>IFRS)  (</w:t>
      </w:r>
      <w:proofErr w:type="gramEnd"/>
      <w:r w:rsidRPr="00CA6196">
        <w:rPr>
          <w:rFonts w:eastAsiaTheme="minorEastAsia"/>
        </w:rPr>
        <w:t>2</w:t>
      </w:r>
      <w:r>
        <w:rPr>
          <w:rFonts w:eastAsiaTheme="minorEastAsia"/>
        </w:rPr>
        <w:t>021</w:t>
      </w:r>
      <w:r w:rsidRPr="00CA6196">
        <w:rPr>
          <w:rFonts w:eastAsiaTheme="minorEastAsia"/>
        </w:rPr>
        <w:t xml:space="preserve">) </w:t>
      </w:r>
      <w:r w:rsidRPr="00CA6196">
        <w:rPr>
          <w:rFonts w:eastAsiaTheme="minorEastAsia"/>
          <w:i/>
          <w:iCs/>
        </w:rPr>
        <w:t>IAS 1</w:t>
      </w:r>
      <w:r w:rsidRPr="00CA6196">
        <w:rPr>
          <w:rFonts w:eastAsiaTheme="minorEastAsia"/>
          <w:i/>
          <w:iCs/>
        </w:rPr>
        <w:t xml:space="preserve"> </w:t>
      </w:r>
      <w:r w:rsidRPr="00CA6196">
        <w:rPr>
          <w:rFonts w:eastAsiaTheme="minorEastAsia"/>
          <w:i/>
          <w:iCs/>
        </w:rPr>
        <w:t>Presentation of Financial Statements</w:t>
      </w:r>
      <w:r w:rsidRPr="00CA6196">
        <w:rPr>
          <w:rFonts w:eastAsiaTheme="minorEastAsia"/>
        </w:rPr>
        <w:t>.  Available at: https://www.ifrs.org/content/dam/ifrs/publications/pdf-standards/english/2022/issued/part-a/ias-1-presentation-of-financial-statements.pdf?bypass=on</w:t>
      </w:r>
      <w:r w:rsidRPr="00CA6196">
        <w:rPr>
          <w:rFonts w:eastAsiaTheme="minorEastAsia"/>
        </w:rPr>
        <w:t xml:space="preserve"> </w:t>
      </w:r>
      <w:r w:rsidRPr="00CA6196">
        <w:rPr>
          <w:rFonts w:eastAsiaTheme="minorEastAsia"/>
        </w:rPr>
        <w:t xml:space="preserve">(Accessed: 20 December </w:t>
      </w:r>
      <w:proofErr w:type="gramStart"/>
      <w:r w:rsidRPr="00CA6196">
        <w:rPr>
          <w:rFonts w:eastAsiaTheme="minorEastAsia"/>
        </w:rPr>
        <w:t>2023 )</w:t>
      </w:r>
      <w:proofErr w:type="gramEnd"/>
      <w:r w:rsidRPr="00CA6196">
        <w:rPr>
          <w:rFonts w:eastAsiaTheme="minorEastAsia"/>
        </w:rPr>
        <w:t>.</w:t>
      </w:r>
    </w:p>
    <w:sectPr w:rsidR="00CA6196" w:rsidRPr="003F75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C1415" w14:textId="77777777" w:rsidR="00CA6196" w:rsidRDefault="00CA6196" w:rsidP="00CA6196">
      <w:pPr>
        <w:spacing w:after="0" w:line="240" w:lineRule="auto"/>
      </w:pPr>
      <w:r>
        <w:separator/>
      </w:r>
    </w:p>
  </w:endnote>
  <w:endnote w:type="continuationSeparator" w:id="0">
    <w:p w14:paraId="1ACC5288" w14:textId="77777777" w:rsidR="00CA6196" w:rsidRDefault="00CA6196" w:rsidP="00CA6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3180133"/>
      <w:docPartObj>
        <w:docPartGallery w:val="Page Numbers (Bottom of Page)"/>
        <w:docPartUnique/>
      </w:docPartObj>
    </w:sdtPr>
    <w:sdtEndPr>
      <w:rPr>
        <w:noProof/>
      </w:rPr>
    </w:sdtEndPr>
    <w:sdtContent>
      <w:p w14:paraId="6DB018B0" w14:textId="2E890E39" w:rsidR="00CA6196" w:rsidRDefault="00CA61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B12AC6" w14:textId="77777777" w:rsidR="00CA6196" w:rsidRDefault="00CA6196">
    <w:pPr>
      <w:pStyle w:val="Footer"/>
    </w:pPr>
  </w:p>
  <w:p w14:paraId="05703D24" w14:textId="77777777" w:rsidR="00D06FB1" w:rsidRDefault="00D06FB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28EFE" w14:textId="77777777" w:rsidR="00CA6196" w:rsidRDefault="00CA6196" w:rsidP="00CA6196">
      <w:pPr>
        <w:spacing w:after="0" w:line="240" w:lineRule="auto"/>
      </w:pPr>
      <w:r>
        <w:separator/>
      </w:r>
    </w:p>
  </w:footnote>
  <w:footnote w:type="continuationSeparator" w:id="0">
    <w:p w14:paraId="7066BA07" w14:textId="77777777" w:rsidR="00CA6196" w:rsidRDefault="00CA6196" w:rsidP="00CA61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E327E"/>
    <w:multiLevelType w:val="hybridMultilevel"/>
    <w:tmpl w:val="45565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1E40F4"/>
    <w:multiLevelType w:val="hybridMultilevel"/>
    <w:tmpl w:val="645A47D8"/>
    <w:lvl w:ilvl="0" w:tplc="DD906F5A">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320A3F"/>
    <w:multiLevelType w:val="hybridMultilevel"/>
    <w:tmpl w:val="A5A2D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977BFE"/>
    <w:multiLevelType w:val="hybridMultilevel"/>
    <w:tmpl w:val="390ABBC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A923E68"/>
    <w:multiLevelType w:val="hybridMultilevel"/>
    <w:tmpl w:val="223243BE"/>
    <w:lvl w:ilvl="0" w:tplc="4D286D12">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7543942">
    <w:abstractNumId w:val="3"/>
  </w:num>
  <w:num w:numId="2" w16cid:durableId="1769277566">
    <w:abstractNumId w:val="1"/>
  </w:num>
  <w:num w:numId="3" w16cid:durableId="1309742721">
    <w:abstractNumId w:val="4"/>
  </w:num>
  <w:num w:numId="4" w16cid:durableId="1456489618">
    <w:abstractNumId w:val="2"/>
  </w:num>
  <w:num w:numId="5" w16cid:durableId="732195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B36"/>
    <w:rsid w:val="00143907"/>
    <w:rsid w:val="0023340B"/>
    <w:rsid w:val="003A2B49"/>
    <w:rsid w:val="003E303E"/>
    <w:rsid w:val="003F758C"/>
    <w:rsid w:val="00623810"/>
    <w:rsid w:val="00670CD2"/>
    <w:rsid w:val="007E5242"/>
    <w:rsid w:val="00802850"/>
    <w:rsid w:val="00A66B36"/>
    <w:rsid w:val="00AA212B"/>
    <w:rsid w:val="00B74C5C"/>
    <w:rsid w:val="00C56544"/>
    <w:rsid w:val="00CA6196"/>
    <w:rsid w:val="00CC4FD5"/>
    <w:rsid w:val="00D00A5D"/>
    <w:rsid w:val="00D06FB1"/>
    <w:rsid w:val="00DA7242"/>
    <w:rsid w:val="00E43E24"/>
    <w:rsid w:val="00F92C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26293"/>
  <w15:chartTrackingRefBased/>
  <w15:docId w15:val="{2E6BA106-586E-47EE-A88B-03C3CC2EB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4C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3">
    <w:name w:val="Light List Accent 3"/>
    <w:basedOn w:val="TableNormal"/>
    <w:uiPriority w:val="61"/>
    <w:rsid w:val="00A66B36"/>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styleId="ListParagraph">
    <w:name w:val="List Paragraph"/>
    <w:basedOn w:val="Normal"/>
    <w:uiPriority w:val="34"/>
    <w:qFormat/>
    <w:rsid w:val="003E303E"/>
    <w:pPr>
      <w:ind w:left="720"/>
      <w:contextualSpacing/>
    </w:pPr>
  </w:style>
  <w:style w:type="character" w:styleId="PlaceholderText">
    <w:name w:val="Placeholder Text"/>
    <w:basedOn w:val="DefaultParagraphFont"/>
    <w:uiPriority w:val="99"/>
    <w:semiHidden/>
    <w:rsid w:val="00CC4FD5"/>
    <w:rPr>
      <w:color w:val="666666"/>
    </w:rPr>
  </w:style>
  <w:style w:type="paragraph" w:styleId="Header">
    <w:name w:val="header"/>
    <w:basedOn w:val="Normal"/>
    <w:link w:val="HeaderChar"/>
    <w:uiPriority w:val="99"/>
    <w:unhideWhenUsed/>
    <w:rsid w:val="00CA61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196"/>
  </w:style>
  <w:style w:type="paragraph" w:styleId="Footer">
    <w:name w:val="footer"/>
    <w:basedOn w:val="Normal"/>
    <w:link w:val="FooterChar"/>
    <w:uiPriority w:val="99"/>
    <w:unhideWhenUsed/>
    <w:rsid w:val="00CA61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196"/>
  </w:style>
  <w:style w:type="paragraph" w:styleId="NoSpacing">
    <w:name w:val="No Spacing"/>
    <w:link w:val="NoSpacingChar"/>
    <w:uiPriority w:val="1"/>
    <w:qFormat/>
    <w:rsid w:val="00B74C5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74C5C"/>
    <w:rPr>
      <w:rFonts w:eastAsiaTheme="minorEastAsia"/>
      <w:lang w:val="en-US"/>
    </w:rPr>
  </w:style>
  <w:style w:type="character" w:customStyle="1" w:styleId="Heading1Char">
    <w:name w:val="Heading 1 Char"/>
    <w:basedOn w:val="DefaultParagraphFont"/>
    <w:link w:val="Heading1"/>
    <w:uiPriority w:val="9"/>
    <w:rsid w:val="00B74C5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74C5C"/>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991486">
      <w:bodyDiv w:val="1"/>
      <w:marLeft w:val="0"/>
      <w:marRight w:val="0"/>
      <w:marTop w:val="0"/>
      <w:marBottom w:val="0"/>
      <w:divBdr>
        <w:top w:val="none" w:sz="0" w:space="0" w:color="auto"/>
        <w:left w:val="none" w:sz="0" w:space="0" w:color="auto"/>
        <w:bottom w:val="none" w:sz="0" w:space="0" w:color="auto"/>
        <w:right w:val="none" w:sz="0" w:space="0" w:color="auto"/>
      </w:divBdr>
    </w:div>
    <w:div w:id="849754015">
      <w:bodyDiv w:val="1"/>
      <w:marLeft w:val="0"/>
      <w:marRight w:val="0"/>
      <w:marTop w:val="0"/>
      <w:marBottom w:val="0"/>
      <w:divBdr>
        <w:top w:val="none" w:sz="0" w:space="0" w:color="auto"/>
        <w:left w:val="none" w:sz="0" w:space="0" w:color="auto"/>
        <w:bottom w:val="none" w:sz="0" w:space="0" w:color="auto"/>
        <w:right w:val="none" w:sz="0" w:space="0" w:color="auto"/>
      </w:divBdr>
    </w:div>
    <w:div w:id="1590770767">
      <w:bodyDiv w:val="1"/>
      <w:marLeft w:val="0"/>
      <w:marRight w:val="0"/>
      <w:marTop w:val="0"/>
      <w:marBottom w:val="0"/>
      <w:divBdr>
        <w:top w:val="none" w:sz="0" w:space="0" w:color="auto"/>
        <w:left w:val="none" w:sz="0" w:space="0" w:color="auto"/>
        <w:bottom w:val="none" w:sz="0" w:space="0" w:color="auto"/>
        <w:right w:val="none" w:sz="0" w:space="0" w:color="auto"/>
      </w:divBdr>
      <w:divsChild>
        <w:div w:id="525364639">
          <w:marLeft w:val="0"/>
          <w:marRight w:val="0"/>
          <w:marTop w:val="0"/>
          <w:marBottom w:val="0"/>
          <w:divBdr>
            <w:top w:val="none" w:sz="0" w:space="0" w:color="auto"/>
            <w:left w:val="none" w:sz="0" w:space="0" w:color="auto"/>
            <w:bottom w:val="none" w:sz="0" w:space="0" w:color="auto"/>
            <w:right w:val="none" w:sz="0" w:space="0" w:color="auto"/>
          </w:divBdr>
          <w:divsChild>
            <w:div w:id="1130781293">
              <w:marLeft w:val="0"/>
              <w:marRight w:val="0"/>
              <w:marTop w:val="0"/>
              <w:marBottom w:val="0"/>
              <w:divBdr>
                <w:top w:val="none" w:sz="0" w:space="0" w:color="auto"/>
                <w:left w:val="none" w:sz="0" w:space="0" w:color="auto"/>
                <w:bottom w:val="none" w:sz="0" w:space="0" w:color="auto"/>
                <w:right w:val="none" w:sz="0" w:space="0" w:color="auto"/>
              </w:divBdr>
              <w:divsChild>
                <w:div w:id="363678133">
                  <w:marLeft w:val="0"/>
                  <w:marRight w:val="0"/>
                  <w:marTop w:val="0"/>
                  <w:marBottom w:val="0"/>
                  <w:divBdr>
                    <w:top w:val="none" w:sz="0" w:space="0" w:color="auto"/>
                    <w:left w:val="single" w:sz="12" w:space="0" w:color="auto"/>
                    <w:bottom w:val="none" w:sz="0" w:space="0" w:color="auto"/>
                    <w:right w:val="single" w:sz="12" w:space="0" w:color="auto"/>
                  </w:divBdr>
                  <w:divsChild>
                    <w:div w:id="1349868221">
                      <w:marLeft w:val="0"/>
                      <w:marRight w:val="0"/>
                      <w:marTop w:val="0"/>
                      <w:marBottom w:val="0"/>
                      <w:divBdr>
                        <w:top w:val="none" w:sz="0" w:space="0" w:color="auto"/>
                        <w:left w:val="none" w:sz="0" w:space="0" w:color="auto"/>
                        <w:bottom w:val="none" w:sz="0" w:space="0" w:color="auto"/>
                        <w:right w:val="none" w:sz="0" w:space="0" w:color="auto"/>
                      </w:divBdr>
                      <w:divsChild>
                        <w:div w:id="1118136359">
                          <w:marLeft w:val="0"/>
                          <w:marRight w:val="0"/>
                          <w:marTop w:val="0"/>
                          <w:marBottom w:val="0"/>
                          <w:divBdr>
                            <w:top w:val="none" w:sz="0" w:space="0" w:color="auto"/>
                            <w:left w:val="none" w:sz="0" w:space="0" w:color="auto"/>
                            <w:bottom w:val="none" w:sz="0" w:space="0" w:color="auto"/>
                            <w:right w:val="none" w:sz="0" w:space="0" w:color="auto"/>
                          </w:divBdr>
                          <w:divsChild>
                            <w:div w:id="856504833">
                              <w:marLeft w:val="0"/>
                              <w:marRight w:val="0"/>
                              <w:marTop w:val="0"/>
                              <w:marBottom w:val="0"/>
                              <w:divBdr>
                                <w:top w:val="none" w:sz="0" w:space="0" w:color="auto"/>
                                <w:left w:val="none" w:sz="0" w:space="0" w:color="auto"/>
                                <w:bottom w:val="none" w:sz="0" w:space="0" w:color="auto"/>
                                <w:right w:val="none" w:sz="0" w:space="0" w:color="auto"/>
                              </w:divBdr>
                              <w:divsChild>
                                <w:div w:id="873998870">
                                  <w:marLeft w:val="0"/>
                                  <w:marRight w:val="0"/>
                                  <w:marTop w:val="0"/>
                                  <w:marBottom w:val="0"/>
                                  <w:divBdr>
                                    <w:top w:val="none" w:sz="0" w:space="0" w:color="auto"/>
                                    <w:left w:val="none" w:sz="0" w:space="0" w:color="auto"/>
                                    <w:bottom w:val="none" w:sz="0" w:space="0" w:color="auto"/>
                                    <w:right w:val="none" w:sz="0" w:space="0" w:color="auto"/>
                                  </w:divBdr>
                                  <w:divsChild>
                                    <w:div w:id="322197828">
                                      <w:marLeft w:val="0"/>
                                      <w:marRight w:val="0"/>
                                      <w:marTop w:val="0"/>
                                      <w:marBottom w:val="0"/>
                                      <w:divBdr>
                                        <w:top w:val="none" w:sz="0" w:space="0" w:color="auto"/>
                                        <w:left w:val="none" w:sz="0" w:space="0" w:color="auto"/>
                                        <w:bottom w:val="none" w:sz="0" w:space="0" w:color="auto"/>
                                        <w:right w:val="none" w:sz="0" w:space="0" w:color="auto"/>
                                      </w:divBdr>
                                      <w:divsChild>
                                        <w:div w:id="930427875">
                                          <w:marLeft w:val="0"/>
                                          <w:marRight w:val="0"/>
                                          <w:marTop w:val="0"/>
                                          <w:marBottom w:val="0"/>
                                          <w:divBdr>
                                            <w:top w:val="none" w:sz="0" w:space="0" w:color="auto"/>
                                            <w:left w:val="none" w:sz="0" w:space="0" w:color="auto"/>
                                            <w:bottom w:val="none" w:sz="0" w:space="0" w:color="auto"/>
                                            <w:right w:val="none" w:sz="0" w:space="0" w:color="auto"/>
                                          </w:divBdr>
                                          <w:divsChild>
                                            <w:div w:id="83500159">
                                              <w:marLeft w:val="0"/>
                                              <w:marRight w:val="0"/>
                                              <w:marTop w:val="0"/>
                                              <w:marBottom w:val="0"/>
                                              <w:divBdr>
                                                <w:top w:val="none" w:sz="0" w:space="0" w:color="auto"/>
                                                <w:left w:val="none" w:sz="0" w:space="0" w:color="auto"/>
                                                <w:bottom w:val="none" w:sz="0" w:space="0" w:color="auto"/>
                                                <w:right w:val="none" w:sz="0" w:space="0" w:color="auto"/>
                                              </w:divBdr>
                                              <w:divsChild>
                                                <w:div w:id="734863493">
                                                  <w:marLeft w:val="0"/>
                                                  <w:marRight w:val="0"/>
                                                  <w:marTop w:val="0"/>
                                                  <w:marBottom w:val="0"/>
                                                  <w:divBdr>
                                                    <w:top w:val="none" w:sz="0" w:space="0" w:color="auto"/>
                                                    <w:left w:val="none" w:sz="0" w:space="0" w:color="auto"/>
                                                    <w:bottom w:val="none" w:sz="0" w:space="0" w:color="auto"/>
                                                    <w:right w:val="none" w:sz="0" w:space="0" w:color="auto"/>
                                                  </w:divBdr>
                                                  <w:divsChild>
                                                    <w:div w:id="1109352569">
                                                      <w:marLeft w:val="0"/>
                                                      <w:marRight w:val="0"/>
                                                      <w:marTop w:val="0"/>
                                                      <w:marBottom w:val="0"/>
                                                      <w:divBdr>
                                                        <w:top w:val="none" w:sz="0" w:space="0" w:color="auto"/>
                                                        <w:left w:val="none" w:sz="0" w:space="0" w:color="auto"/>
                                                        <w:bottom w:val="none" w:sz="0" w:space="0" w:color="auto"/>
                                                        <w:right w:val="none" w:sz="0" w:space="0" w:color="auto"/>
                                                      </w:divBdr>
                                                      <w:divsChild>
                                                        <w:div w:id="2046327892">
                                                          <w:marLeft w:val="0"/>
                                                          <w:marRight w:val="0"/>
                                                          <w:marTop w:val="0"/>
                                                          <w:marBottom w:val="0"/>
                                                          <w:divBdr>
                                                            <w:top w:val="none" w:sz="0" w:space="0" w:color="auto"/>
                                                            <w:left w:val="none" w:sz="0" w:space="0" w:color="auto"/>
                                                            <w:bottom w:val="none" w:sz="0" w:space="0" w:color="auto"/>
                                                            <w:right w:val="none" w:sz="0" w:space="0" w:color="auto"/>
                                                          </w:divBdr>
                                                          <w:divsChild>
                                                            <w:div w:id="1816677651">
                                                              <w:marLeft w:val="0"/>
                                                              <w:marRight w:val="0"/>
                                                              <w:marTop w:val="0"/>
                                                              <w:marBottom w:val="0"/>
                                                              <w:divBdr>
                                                                <w:top w:val="none" w:sz="0" w:space="0" w:color="auto"/>
                                                                <w:left w:val="none" w:sz="0" w:space="0" w:color="auto"/>
                                                                <w:bottom w:val="none" w:sz="0" w:space="0" w:color="auto"/>
                                                                <w:right w:val="none" w:sz="0" w:space="0" w:color="auto"/>
                                                              </w:divBdr>
                                                              <w:divsChild>
                                                                <w:div w:id="286932058">
                                                                  <w:marLeft w:val="0"/>
                                                                  <w:marRight w:val="0"/>
                                                                  <w:marTop w:val="0"/>
                                                                  <w:marBottom w:val="0"/>
                                                                  <w:divBdr>
                                                                    <w:top w:val="none" w:sz="0" w:space="0" w:color="auto"/>
                                                                    <w:left w:val="none" w:sz="0" w:space="0" w:color="auto"/>
                                                                    <w:bottom w:val="none" w:sz="0" w:space="0" w:color="auto"/>
                                                                    <w:right w:val="none" w:sz="0" w:space="0" w:color="auto"/>
                                                                  </w:divBdr>
                                                                  <w:divsChild>
                                                                    <w:div w:id="816343228">
                                                                      <w:marLeft w:val="0"/>
                                                                      <w:marRight w:val="0"/>
                                                                      <w:marTop w:val="0"/>
                                                                      <w:marBottom w:val="0"/>
                                                                      <w:divBdr>
                                                                        <w:top w:val="none" w:sz="0" w:space="0" w:color="auto"/>
                                                                        <w:left w:val="none" w:sz="0" w:space="0" w:color="auto"/>
                                                                        <w:bottom w:val="none" w:sz="0" w:space="0" w:color="auto"/>
                                                                        <w:right w:val="none" w:sz="0" w:space="0" w:color="auto"/>
                                                                      </w:divBdr>
                                                                      <w:divsChild>
                                                                        <w:div w:id="1943145020">
                                                                          <w:marLeft w:val="0"/>
                                                                          <w:marRight w:val="0"/>
                                                                          <w:marTop w:val="0"/>
                                                                          <w:marBottom w:val="0"/>
                                                                          <w:divBdr>
                                                                            <w:top w:val="none" w:sz="0" w:space="0" w:color="auto"/>
                                                                            <w:left w:val="none" w:sz="0" w:space="0" w:color="auto"/>
                                                                            <w:bottom w:val="none" w:sz="0" w:space="0" w:color="auto"/>
                                                                            <w:right w:val="none" w:sz="0" w:space="0" w:color="auto"/>
                                                                          </w:divBdr>
                                                                          <w:divsChild>
                                                                            <w:div w:id="395858325">
                                                                              <w:marLeft w:val="0"/>
                                                                              <w:marRight w:val="0"/>
                                                                              <w:marTop w:val="0"/>
                                                                              <w:marBottom w:val="0"/>
                                                                              <w:divBdr>
                                                                                <w:top w:val="none" w:sz="0" w:space="0" w:color="auto"/>
                                                                                <w:left w:val="none" w:sz="0" w:space="0" w:color="auto"/>
                                                                                <w:bottom w:val="none" w:sz="0" w:space="0" w:color="auto"/>
                                                                                <w:right w:val="none" w:sz="0" w:space="0" w:color="auto"/>
                                                                              </w:divBdr>
                                                                              <w:divsChild>
                                                                                <w:div w:id="1628050744">
                                                                                  <w:marLeft w:val="0"/>
                                                                                  <w:marRight w:val="0"/>
                                                                                  <w:marTop w:val="0"/>
                                                                                  <w:marBottom w:val="0"/>
                                                                                  <w:divBdr>
                                                                                    <w:top w:val="none" w:sz="0" w:space="0" w:color="auto"/>
                                                                                    <w:left w:val="none" w:sz="0" w:space="0" w:color="auto"/>
                                                                                    <w:bottom w:val="none" w:sz="0" w:space="0" w:color="auto"/>
                                                                                    <w:right w:val="none" w:sz="0" w:space="0" w:color="auto"/>
                                                                                  </w:divBdr>
                                                                                  <w:divsChild>
                                                                                    <w:div w:id="2026783047">
                                                                                      <w:marLeft w:val="0"/>
                                                                                      <w:marRight w:val="0"/>
                                                                                      <w:marTop w:val="0"/>
                                                                                      <w:marBottom w:val="0"/>
                                                                                      <w:divBdr>
                                                                                        <w:top w:val="none" w:sz="0" w:space="0" w:color="auto"/>
                                                                                        <w:left w:val="none" w:sz="0" w:space="0" w:color="auto"/>
                                                                                        <w:bottom w:val="none" w:sz="0" w:space="0" w:color="auto"/>
                                                                                        <w:right w:val="none" w:sz="0" w:space="0" w:color="auto"/>
                                                                                      </w:divBdr>
                                                                                      <w:divsChild>
                                                                                        <w:div w:id="47857155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7758424">
                                                  <w:marLeft w:val="0"/>
                                                  <w:marRight w:val="0"/>
                                                  <w:marTop w:val="0"/>
                                                  <w:marBottom w:val="0"/>
                                                  <w:divBdr>
                                                    <w:top w:val="none" w:sz="0" w:space="0" w:color="auto"/>
                                                    <w:left w:val="none" w:sz="0" w:space="0" w:color="auto"/>
                                                    <w:bottom w:val="none" w:sz="0" w:space="0" w:color="auto"/>
                                                    <w:right w:val="none" w:sz="0" w:space="0" w:color="auto"/>
                                                  </w:divBdr>
                                                  <w:divsChild>
                                                    <w:div w:id="1996257197">
                                                      <w:marLeft w:val="0"/>
                                                      <w:marRight w:val="0"/>
                                                      <w:marTop w:val="0"/>
                                                      <w:marBottom w:val="0"/>
                                                      <w:divBdr>
                                                        <w:top w:val="single" w:sz="2" w:space="9" w:color="auto"/>
                                                        <w:left w:val="single" w:sz="2" w:space="9" w:color="auto"/>
                                                        <w:bottom w:val="single" w:sz="2" w:space="9" w:color="auto"/>
                                                        <w:right w:val="single" w:sz="2" w:space="9" w:color="auto"/>
                                                      </w:divBdr>
                                                      <w:divsChild>
                                                        <w:div w:id="894512551">
                                                          <w:marLeft w:val="0"/>
                                                          <w:marRight w:val="0"/>
                                                          <w:marTop w:val="0"/>
                                                          <w:marBottom w:val="0"/>
                                                          <w:divBdr>
                                                            <w:top w:val="none" w:sz="0" w:space="0" w:color="auto"/>
                                                            <w:left w:val="none" w:sz="0" w:space="0" w:color="auto"/>
                                                            <w:bottom w:val="none" w:sz="0" w:space="0" w:color="auto"/>
                                                            <w:right w:val="none" w:sz="0" w:space="0" w:color="auto"/>
                                                          </w:divBdr>
                                                          <w:divsChild>
                                                            <w:div w:id="25914268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86841772">
                                              <w:marLeft w:val="0"/>
                                              <w:marRight w:val="0"/>
                                              <w:marTop w:val="0"/>
                                              <w:marBottom w:val="0"/>
                                              <w:divBdr>
                                                <w:top w:val="none" w:sz="0" w:space="0" w:color="auto"/>
                                                <w:left w:val="none" w:sz="0" w:space="0" w:color="auto"/>
                                                <w:bottom w:val="none" w:sz="0" w:space="0" w:color="auto"/>
                                                <w:right w:val="none" w:sz="0" w:space="0" w:color="auto"/>
                                              </w:divBdr>
                                              <w:divsChild>
                                                <w:div w:id="375080149">
                                                  <w:marLeft w:val="0"/>
                                                  <w:marRight w:val="0"/>
                                                  <w:marTop w:val="0"/>
                                                  <w:marBottom w:val="0"/>
                                                  <w:divBdr>
                                                    <w:top w:val="none" w:sz="0" w:space="0" w:color="auto"/>
                                                    <w:left w:val="none" w:sz="0" w:space="0" w:color="auto"/>
                                                    <w:bottom w:val="none" w:sz="0" w:space="0" w:color="auto"/>
                                                    <w:right w:val="none" w:sz="0" w:space="0" w:color="auto"/>
                                                  </w:divBdr>
                                                  <w:divsChild>
                                                    <w:div w:id="166949196">
                                                      <w:marLeft w:val="0"/>
                                                      <w:marRight w:val="0"/>
                                                      <w:marTop w:val="0"/>
                                                      <w:marBottom w:val="0"/>
                                                      <w:divBdr>
                                                        <w:top w:val="none" w:sz="0" w:space="0" w:color="auto"/>
                                                        <w:left w:val="none" w:sz="0" w:space="0" w:color="auto"/>
                                                        <w:bottom w:val="none" w:sz="0" w:space="0" w:color="auto"/>
                                                        <w:right w:val="none" w:sz="0" w:space="0" w:color="auto"/>
                                                      </w:divBdr>
                                                      <w:divsChild>
                                                        <w:div w:id="1613899763">
                                                          <w:marLeft w:val="0"/>
                                                          <w:marRight w:val="0"/>
                                                          <w:marTop w:val="0"/>
                                                          <w:marBottom w:val="0"/>
                                                          <w:divBdr>
                                                            <w:top w:val="none" w:sz="0" w:space="0" w:color="auto"/>
                                                            <w:left w:val="none" w:sz="0" w:space="0" w:color="auto"/>
                                                            <w:bottom w:val="none" w:sz="0" w:space="0" w:color="auto"/>
                                                            <w:right w:val="none" w:sz="0" w:space="0" w:color="auto"/>
                                                          </w:divBdr>
                                                          <w:divsChild>
                                                            <w:div w:id="891422963">
                                                              <w:marLeft w:val="0"/>
                                                              <w:marRight w:val="0"/>
                                                              <w:marTop w:val="0"/>
                                                              <w:marBottom w:val="0"/>
                                                              <w:divBdr>
                                                                <w:top w:val="none" w:sz="0" w:space="0" w:color="auto"/>
                                                                <w:left w:val="none" w:sz="0" w:space="0" w:color="auto"/>
                                                                <w:bottom w:val="none" w:sz="0" w:space="0" w:color="auto"/>
                                                                <w:right w:val="none" w:sz="0" w:space="0" w:color="auto"/>
                                                              </w:divBdr>
                                                              <w:divsChild>
                                                                <w:div w:id="140903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598304">
                                                          <w:marLeft w:val="0"/>
                                                          <w:marRight w:val="0"/>
                                                          <w:marTop w:val="0"/>
                                                          <w:marBottom w:val="0"/>
                                                          <w:divBdr>
                                                            <w:top w:val="none" w:sz="0" w:space="0" w:color="auto"/>
                                                            <w:left w:val="none" w:sz="0" w:space="0" w:color="auto"/>
                                                            <w:bottom w:val="none" w:sz="0" w:space="0" w:color="auto"/>
                                                            <w:right w:val="none" w:sz="0" w:space="0" w:color="auto"/>
                                                          </w:divBdr>
                                                          <w:divsChild>
                                                            <w:div w:id="1159924067">
                                                              <w:marLeft w:val="0"/>
                                                              <w:marRight w:val="0"/>
                                                              <w:marTop w:val="0"/>
                                                              <w:marBottom w:val="0"/>
                                                              <w:divBdr>
                                                                <w:top w:val="none" w:sz="0" w:space="0" w:color="auto"/>
                                                                <w:left w:val="none" w:sz="0" w:space="0" w:color="auto"/>
                                                                <w:bottom w:val="none" w:sz="0" w:space="0" w:color="auto"/>
                                                                <w:right w:val="none" w:sz="0" w:space="0" w:color="auto"/>
                                                              </w:divBdr>
                                                              <w:divsChild>
                                                                <w:div w:id="712920451">
                                                                  <w:marLeft w:val="0"/>
                                                                  <w:marRight w:val="0"/>
                                                                  <w:marTop w:val="0"/>
                                                                  <w:marBottom w:val="0"/>
                                                                  <w:divBdr>
                                                                    <w:top w:val="none" w:sz="0" w:space="0" w:color="auto"/>
                                                                    <w:left w:val="none" w:sz="0" w:space="0" w:color="auto"/>
                                                                    <w:bottom w:val="none" w:sz="0" w:space="0" w:color="auto"/>
                                                                    <w:right w:val="none" w:sz="0" w:space="0" w:color="auto"/>
                                                                  </w:divBdr>
                                                                  <w:divsChild>
                                                                    <w:div w:id="377702326">
                                                                      <w:marLeft w:val="0"/>
                                                                      <w:marRight w:val="0"/>
                                                                      <w:marTop w:val="0"/>
                                                                      <w:marBottom w:val="0"/>
                                                                      <w:divBdr>
                                                                        <w:top w:val="none" w:sz="0" w:space="0" w:color="auto"/>
                                                                        <w:left w:val="none" w:sz="0" w:space="0" w:color="auto"/>
                                                                        <w:bottom w:val="none" w:sz="0" w:space="0" w:color="auto"/>
                                                                        <w:right w:val="none" w:sz="0" w:space="0" w:color="auto"/>
                                                                      </w:divBdr>
                                                                      <w:divsChild>
                                                                        <w:div w:id="366755892">
                                                                          <w:marLeft w:val="0"/>
                                                                          <w:marRight w:val="0"/>
                                                                          <w:marTop w:val="0"/>
                                                                          <w:marBottom w:val="0"/>
                                                                          <w:divBdr>
                                                                            <w:top w:val="none" w:sz="0" w:space="0" w:color="auto"/>
                                                                            <w:left w:val="none" w:sz="0" w:space="0" w:color="auto"/>
                                                                            <w:bottom w:val="none" w:sz="0" w:space="0" w:color="auto"/>
                                                                            <w:right w:val="none" w:sz="0" w:space="0" w:color="auto"/>
                                                                          </w:divBdr>
                                                                          <w:divsChild>
                                                                            <w:div w:id="1834564693">
                                                                              <w:marLeft w:val="0"/>
                                                                              <w:marRight w:val="0"/>
                                                                              <w:marTop w:val="0"/>
                                                                              <w:marBottom w:val="0"/>
                                                                              <w:divBdr>
                                                                                <w:top w:val="none" w:sz="0" w:space="0" w:color="auto"/>
                                                                                <w:left w:val="none" w:sz="0" w:space="0" w:color="auto"/>
                                                                                <w:bottom w:val="none" w:sz="0" w:space="0" w:color="auto"/>
                                                                                <w:right w:val="none" w:sz="0" w:space="0" w:color="auto"/>
                                                                              </w:divBdr>
                                                                              <w:divsChild>
                                                                                <w:div w:id="363554025">
                                                                                  <w:marLeft w:val="0"/>
                                                                                  <w:marRight w:val="0"/>
                                                                                  <w:marTop w:val="0"/>
                                                                                  <w:marBottom w:val="0"/>
                                                                                  <w:divBdr>
                                                                                    <w:top w:val="none" w:sz="0" w:space="0" w:color="auto"/>
                                                                                    <w:left w:val="none" w:sz="0" w:space="0" w:color="auto"/>
                                                                                    <w:bottom w:val="none" w:sz="0" w:space="0" w:color="auto"/>
                                                                                    <w:right w:val="none" w:sz="0" w:space="0" w:color="auto"/>
                                                                                  </w:divBdr>
                                                                                  <w:divsChild>
                                                                                    <w:div w:id="36518396">
                                                                                      <w:marLeft w:val="0"/>
                                                                                      <w:marRight w:val="0"/>
                                                                                      <w:marTop w:val="0"/>
                                                                                      <w:marBottom w:val="0"/>
                                                                                      <w:divBdr>
                                                                                        <w:top w:val="none" w:sz="0" w:space="0" w:color="auto"/>
                                                                                        <w:left w:val="none" w:sz="0" w:space="0" w:color="auto"/>
                                                                                        <w:bottom w:val="none" w:sz="0" w:space="0" w:color="auto"/>
                                                                                        <w:right w:val="none" w:sz="0" w:space="0" w:color="auto"/>
                                                                                      </w:divBdr>
                                                                                      <w:divsChild>
                                                                                        <w:div w:id="60581529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413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08708">
                                                  <w:marLeft w:val="0"/>
                                                  <w:marRight w:val="0"/>
                                                  <w:marTop w:val="0"/>
                                                  <w:marBottom w:val="0"/>
                                                  <w:divBdr>
                                                    <w:top w:val="none" w:sz="0" w:space="0" w:color="auto"/>
                                                    <w:left w:val="none" w:sz="0" w:space="0" w:color="auto"/>
                                                    <w:bottom w:val="none" w:sz="0" w:space="0" w:color="auto"/>
                                                    <w:right w:val="none" w:sz="0" w:space="0" w:color="auto"/>
                                                  </w:divBdr>
                                                  <w:divsChild>
                                                    <w:div w:id="2082170931">
                                                      <w:marLeft w:val="0"/>
                                                      <w:marRight w:val="0"/>
                                                      <w:marTop w:val="0"/>
                                                      <w:marBottom w:val="0"/>
                                                      <w:divBdr>
                                                        <w:top w:val="single" w:sz="2" w:space="9" w:color="auto"/>
                                                        <w:left w:val="single" w:sz="2" w:space="9" w:color="auto"/>
                                                        <w:bottom w:val="single" w:sz="2" w:space="9" w:color="auto"/>
                                                        <w:right w:val="single" w:sz="2" w:space="9" w:color="auto"/>
                                                      </w:divBdr>
                                                      <w:divsChild>
                                                        <w:div w:id="1910653579">
                                                          <w:marLeft w:val="0"/>
                                                          <w:marRight w:val="0"/>
                                                          <w:marTop w:val="0"/>
                                                          <w:marBottom w:val="0"/>
                                                          <w:divBdr>
                                                            <w:top w:val="none" w:sz="0" w:space="0" w:color="auto"/>
                                                            <w:left w:val="none" w:sz="0" w:space="0" w:color="auto"/>
                                                            <w:bottom w:val="none" w:sz="0" w:space="0" w:color="auto"/>
                                                            <w:right w:val="none" w:sz="0" w:space="0" w:color="auto"/>
                                                          </w:divBdr>
                                                          <w:divsChild>
                                                            <w:div w:id="110608000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91428632">
          <w:marLeft w:val="0"/>
          <w:marRight w:val="0"/>
          <w:marTop w:val="0"/>
          <w:marBottom w:val="0"/>
          <w:divBdr>
            <w:top w:val="none" w:sz="0" w:space="0" w:color="auto"/>
            <w:left w:val="none" w:sz="0" w:space="0" w:color="auto"/>
            <w:bottom w:val="none" w:sz="0" w:space="0" w:color="auto"/>
            <w:right w:val="none" w:sz="0" w:space="0" w:color="auto"/>
          </w:divBdr>
          <w:divsChild>
            <w:div w:id="195311641">
              <w:marLeft w:val="0"/>
              <w:marRight w:val="0"/>
              <w:marTop w:val="0"/>
              <w:marBottom w:val="0"/>
              <w:divBdr>
                <w:top w:val="none" w:sz="0" w:space="0" w:color="auto"/>
                <w:left w:val="none" w:sz="0" w:space="0" w:color="auto"/>
                <w:bottom w:val="none" w:sz="0" w:space="0" w:color="auto"/>
                <w:right w:val="none" w:sz="0" w:space="0" w:color="auto"/>
              </w:divBdr>
              <w:divsChild>
                <w:div w:id="1274745661">
                  <w:marLeft w:val="0"/>
                  <w:marRight w:val="0"/>
                  <w:marTop w:val="0"/>
                  <w:marBottom w:val="0"/>
                  <w:divBdr>
                    <w:top w:val="none" w:sz="0" w:space="0" w:color="auto"/>
                    <w:left w:val="none" w:sz="0" w:space="0" w:color="auto"/>
                    <w:bottom w:val="none" w:sz="0" w:space="0" w:color="auto"/>
                    <w:right w:val="none" w:sz="0" w:space="0" w:color="auto"/>
                  </w:divBdr>
                  <w:divsChild>
                    <w:div w:id="92360982">
                      <w:marLeft w:val="1500"/>
                      <w:marRight w:val="0"/>
                      <w:marTop w:val="0"/>
                      <w:marBottom w:val="0"/>
                      <w:divBdr>
                        <w:top w:val="none" w:sz="0" w:space="0" w:color="auto"/>
                        <w:left w:val="none" w:sz="0" w:space="0" w:color="auto"/>
                        <w:bottom w:val="none" w:sz="0" w:space="0" w:color="auto"/>
                        <w:right w:val="none" w:sz="0" w:space="0" w:color="auto"/>
                      </w:divBdr>
                      <w:divsChild>
                        <w:div w:id="23089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6036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183</TotalTime>
  <Pages>8</Pages>
  <Words>1900</Words>
  <Characters>10831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Agrigoroaei</dc:creator>
  <cp:keywords/>
  <dc:description/>
  <cp:lastModifiedBy>Ionut Agrigoroaei</cp:lastModifiedBy>
  <cp:revision>1</cp:revision>
  <dcterms:created xsi:type="dcterms:W3CDTF">2023-12-20T03:13:00Z</dcterms:created>
  <dcterms:modified xsi:type="dcterms:W3CDTF">2023-12-20T06:47:00Z</dcterms:modified>
</cp:coreProperties>
</file>