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40197" w14:textId="70ADB0F4" w:rsidR="00633A00" w:rsidRDefault="00633A00" w:rsidP="00633A00">
      <w:pPr>
        <w:spacing w:line="360" w:lineRule="auto"/>
        <w:jc w:val="center"/>
        <w:rPr>
          <w:rFonts w:ascii="Arial" w:hAnsi="Arial" w:cs="Arial"/>
          <w:sz w:val="24"/>
        </w:rPr>
      </w:pPr>
      <w:r w:rsidRPr="00633A00">
        <w:rPr>
          <w:rFonts w:ascii="Arial" w:hAnsi="Arial" w:cs="Arial"/>
          <w:b/>
          <w:bCs/>
          <w:sz w:val="24"/>
        </w:rPr>
        <w:t>Evaluate The Success And Limitations Of The Police And Criminal Evidence Act 1984 In Preventing Miscarriages Of Justice.</w:t>
      </w:r>
      <w:r>
        <w:rPr>
          <w:rFonts w:ascii="Arial" w:hAnsi="Arial" w:cs="Arial"/>
          <w:sz w:val="24"/>
        </w:rPr>
        <w:t xml:space="preserve"> </w:t>
      </w:r>
    </w:p>
    <w:p w14:paraId="526A7C32" w14:textId="2328AC30" w:rsidR="00633A00" w:rsidRDefault="00633A00" w:rsidP="00633A00">
      <w:pPr>
        <w:spacing w:line="360" w:lineRule="auto"/>
        <w:jc w:val="center"/>
        <w:rPr>
          <w:rFonts w:ascii="Arial" w:hAnsi="Arial" w:cs="Arial"/>
          <w:sz w:val="24"/>
        </w:rPr>
      </w:pPr>
      <w:r>
        <w:rPr>
          <w:rFonts w:ascii="Arial" w:hAnsi="Arial" w:cs="Arial"/>
          <w:sz w:val="24"/>
        </w:rPr>
        <w:t>Sophia Ivens 1801465</w:t>
      </w:r>
    </w:p>
    <w:p w14:paraId="6A627EE2" w14:textId="5E977756" w:rsidR="00633A00" w:rsidRPr="00633A00" w:rsidRDefault="00633A00" w:rsidP="00633A00">
      <w:pPr>
        <w:spacing w:line="360" w:lineRule="auto"/>
        <w:jc w:val="center"/>
        <w:rPr>
          <w:rFonts w:ascii="Arial" w:hAnsi="Arial" w:cs="Arial"/>
          <w:sz w:val="24"/>
        </w:rPr>
      </w:pPr>
      <w:r w:rsidRPr="00633A00">
        <w:rPr>
          <w:rFonts w:ascii="Arial" w:hAnsi="Arial" w:cs="Arial"/>
          <w:sz w:val="24"/>
        </w:rPr>
        <w:t xml:space="preserve">Word Count: </w:t>
      </w:r>
      <w:r w:rsidR="00A51C13">
        <w:rPr>
          <w:rFonts w:ascii="Arial" w:hAnsi="Arial" w:cs="Arial"/>
          <w:sz w:val="24"/>
        </w:rPr>
        <w:t>25</w:t>
      </w:r>
      <w:r w:rsidR="00800F40">
        <w:rPr>
          <w:rFonts w:ascii="Arial" w:hAnsi="Arial" w:cs="Arial"/>
          <w:sz w:val="24"/>
        </w:rPr>
        <w:t>32</w:t>
      </w:r>
      <w:bookmarkStart w:id="0" w:name="_GoBack"/>
      <w:bookmarkEnd w:id="0"/>
    </w:p>
    <w:p w14:paraId="5407C90D" w14:textId="3D5F25D5" w:rsidR="00F53220" w:rsidRPr="00633A00" w:rsidRDefault="00633A00" w:rsidP="00633A00">
      <w:pPr>
        <w:spacing w:line="360" w:lineRule="auto"/>
        <w:rPr>
          <w:rFonts w:ascii="Arial" w:hAnsi="Arial" w:cs="Arial"/>
          <w:sz w:val="24"/>
          <w:szCs w:val="24"/>
        </w:rPr>
      </w:pPr>
      <w:r>
        <w:rPr>
          <w:rFonts w:ascii="Arial" w:hAnsi="Arial" w:cs="Arial"/>
          <w:sz w:val="24"/>
        </w:rPr>
        <w:br w:type="page"/>
      </w:r>
      <w:r w:rsidRPr="00633A00">
        <w:rPr>
          <w:rFonts w:ascii="Arial" w:hAnsi="Arial" w:cs="Arial"/>
          <w:sz w:val="24"/>
          <w:szCs w:val="24"/>
        </w:rPr>
        <w:lastRenderedPageBreak/>
        <w:t>The Police and C</w:t>
      </w:r>
      <w:r w:rsidR="00860EBD" w:rsidRPr="00633A00">
        <w:rPr>
          <w:rFonts w:ascii="Arial" w:hAnsi="Arial" w:cs="Arial"/>
          <w:sz w:val="24"/>
          <w:szCs w:val="24"/>
        </w:rPr>
        <w:t xml:space="preserve">riminal Evidence Act was </w:t>
      </w:r>
      <w:r w:rsidR="002B63CE" w:rsidRPr="00633A00">
        <w:rPr>
          <w:rFonts w:ascii="Arial" w:hAnsi="Arial" w:cs="Arial"/>
          <w:sz w:val="24"/>
          <w:szCs w:val="24"/>
        </w:rPr>
        <w:t>created</w:t>
      </w:r>
      <w:r w:rsidR="00860EBD" w:rsidRPr="00633A00">
        <w:rPr>
          <w:rFonts w:ascii="Arial" w:hAnsi="Arial" w:cs="Arial"/>
          <w:sz w:val="24"/>
          <w:szCs w:val="24"/>
        </w:rPr>
        <w:t xml:space="preserve"> in 1984</w:t>
      </w:r>
      <w:r w:rsidR="002B63CE" w:rsidRPr="00633A00">
        <w:rPr>
          <w:rFonts w:ascii="Arial" w:hAnsi="Arial" w:cs="Arial"/>
          <w:sz w:val="24"/>
          <w:szCs w:val="24"/>
        </w:rPr>
        <w:t xml:space="preserve"> and is more commonly recognised as PACE. PACE addresses the relationship amid the police and the community and more precisely the rights the public obtain in partnership with the authority of the polic</w:t>
      </w:r>
      <w:r w:rsidR="002400F4" w:rsidRPr="00633A00">
        <w:rPr>
          <w:rFonts w:ascii="Arial" w:hAnsi="Arial" w:cs="Arial"/>
          <w:sz w:val="24"/>
          <w:szCs w:val="24"/>
        </w:rPr>
        <w:t>e and identifies the process the police take in relation to certain duties regarding the community.</w:t>
      </w:r>
      <w:r w:rsidR="002B63CE" w:rsidRPr="00633A00">
        <w:rPr>
          <w:rFonts w:ascii="Arial" w:hAnsi="Arial" w:cs="Arial"/>
          <w:sz w:val="24"/>
          <w:szCs w:val="24"/>
        </w:rPr>
        <w:t xml:space="preserve"> Trying to uphold that affiliation is the crucial purpose of PACE. </w:t>
      </w:r>
      <w:r w:rsidR="00054C3F" w:rsidRPr="00633A00">
        <w:rPr>
          <w:rFonts w:ascii="Arial" w:hAnsi="Arial" w:cs="Arial"/>
          <w:sz w:val="24"/>
          <w:szCs w:val="24"/>
        </w:rPr>
        <w:t xml:space="preserve">The Police and Criminal Evidence Act covers a </w:t>
      </w:r>
      <w:r w:rsidR="00442E68" w:rsidRPr="00633A00">
        <w:rPr>
          <w:rFonts w:ascii="Arial" w:hAnsi="Arial" w:cs="Arial"/>
          <w:sz w:val="24"/>
          <w:szCs w:val="24"/>
        </w:rPr>
        <w:t>disparity</w:t>
      </w:r>
      <w:r w:rsidR="00054C3F" w:rsidRPr="00633A00">
        <w:rPr>
          <w:rFonts w:ascii="Arial" w:hAnsi="Arial" w:cs="Arial"/>
          <w:sz w:val="24"/>
          <w:szCs w:val="24"/>
        </w:rPr>
        <w:t xml:space="preserve"> of practices including </w:t>
      </w:r>
      <w:r w:rsidR="00442E68" w:rsidRPr="00633A00">
        <w:rPr>
          <w:rFonts w:ascii="Arial" w:hAnsi="Arial" w:cs="Arial"/>
          <w:sz w:val="24"/>
          <w:szCs w:val="24"/>
        </w:rPr>
        <w:t>detentions</w:t>
      </w:r>
      <w:r w:rsidR="00054C3F" w:rsidRPr="00633A00">
        <w:rPr>
          <w:rFonts w:ascii="Arial" w:hAnsi="Arial" w:cs="Arial"/>
          <w:sz w:val="24"/>
          <w:szCs w:val="24"/>
        </w:rPr>
        <w:t xml:space="preserve">, </w:t>
      </w:r>
      <w:r w:rsidR="00442E68" w:rsidRPr="00633A00">
        <w:rPr>
          <w:rFonts w:ascii="Arial" w:hAnsi="Arial" w:cs="Arial"/>
          <w:sz w:val="24"/>
          <w:szCs w:val="24"/>
        </w:rPr>
        <w:t>study</w:t>
      </w:r>
      <w:r w:rsidR="00054C3F" w:rsidRPr="00633A00">
        <w:rPr>
          <w:rFonts w:ascii="Arial" w:hAnsi="Arial" w:cs="Arial"/>
          <w:sz w:val="24"/>
          <w:szCs w:val="24"/>
        </w:rPr>
        <w:t xml:space="preserve">, stop and </w:t>
      </w:r>
      <w:r w:rsidR="00442E68" w:rsidRPr="00633A00">
        <w:rPr>
          <w:rFonts w:ascii="Arial" w:hAnsi="Arial" w:cs="Arial"/>
          <w:sz w:val="24"/>
          <w:szCs w:val="24"/>
        </w:rPr>
        <w:t>examinations</w:t>
      </w:r>
      <w:r w:rsidR="00054C3F" w:rsidRPr="00633A00">
        <w:rPr>
          <w:rFonts w:ascii="Arial" w:hAnsi="Arial" w:cs="Arial"/>
          <w:sz w:val="24"/>
          <w:szCs w:val="24"/>
        </w:rPr>
        <w:t xml:space="preserve"> </w:t>
      </w:r>
      <w:r w:rsidR="00442E68" w:rsidRPr="00633A00">
        <w:rPr>
          <w:rFonts w:ascii="Arial" w:hAnsi="Arial" w:cs="Arial"/>
          <w:sz w:val="24"/>
          <w:szCs w:val="24"/>
        </w:rPr>
        <w:t>interrogating</w:t>
      </w:r>
      <w:r w:rsidR="00054C3F" w:rsidRPr="00633A00">
        <w:rPr>
          <w:rFonts w:ascii="Arial" w:hAnsi="Arial" w:cs="Arial"/>
          <w:sz w:val="24"/>
          <w:szCs w:val="24"/>
        </w:rPr>
        <w:t xml:space="preserve"> detainees and identificat</w:t>
      </w:r>
      <w:r w:rsidR="00DA1308" w:rsidRPr="00633A00">
        <w:rPr>
          <w:rFonts w:ascii="Arial" w:hAnsi="Arial" w:cs="Arial"/>
          <w:sz w:val="24"/>
          <w:szCs w:val="24"/>
        </w:rPr>
        <w:t>ion</w:t>
      </w:r>
      <w:r w:rsidR="00277F37" w:rsidRPr="00633A00">
        <w:rPr>
          <w:rFonts w:ascii="Arial" w:hAnsi="Arial" w:cs="Arial"/>
          <w:sz w:val="24"/>
          <w:szCs w:val="24"/>
        </w:rPr>
        <w:t xml:space="preserve"> (</w:t>
      </w:r>
      <w:r w:rsidR="00E07257" w:rsidRPr="00633A00">
        <w:rPr>
          <w:rFonts w:ascii="Arial" w:hAnsi="Arial" w:cs="Arial"/>
          <w:sz w:val="24"/>
          <w:szCs w:val="24"/>
        </w:rPr>
        <w:t>UK Government</w:t>
      </w:r>
      <w:r w:rsidR="00277F37" w:rsidRPr="00633A00">
        <w:rPr>
          <w:rFonts w:ascii="Arial" w:hAnsi="Arial" w:cs="Arial"/>
          <w:sz w:val="24"/>
          <w:szCs w:val="24"/>
        </w:rPr>
        <w:t xml:space="preserve">, 2019). </w:t>
      </w:r>
      <w:r w:rsidR="00F53220" w:rsidRPr="00633A00">
        <w:rPr>
          <w:rFonts w:ascii="Arial" w:hAnsi="Arial" w:cs="Arial"/>
          <w:iCs/>
          <w:sz w:val="24"/>
          <w:szCs w:val="24"/>
        </w:rPr>
        <w:t xml:space="preserve">Many </w:t>
      </w:r>
      <w:r w:rsidR="00F1086D" w:rsidRPr="00633A00">
        <w:rPr>
          <w:rFonts w:ascii="Arial" w:hAnsi="Arial" w:cs="Arial"/>
          <w:iCs/>
          <w:sz w:val="24"/>
          <w:szCs w:val="24"/>
        </w:rPr>
        <w:t xml:space="preserve">question </w:t>
      </w:r>
      <w:r w:rsidR="00F53220" w:rsidRPr="00633A00">
        <w:rPr>
          <w:rFonts w:ascii="Arial" w:hAnsi="Arial" w:cs="Arial"/>
          <w:iCs/>
          <w:sz w:val="24"/>
          <w:szCs w:val="24"/>
        </w:rPr>
        <w:t xml:space="preserve">whether miscarriages of justice will ever be completely abolished in the United Kingdom since when the Police and Criminal Evidence act was introduced a lot of people assumed miscarriages of justice could not take place again due to its code of practices. All interrogation sessions with suspects are obliged to be carried out in a police station and tape recorded according to PACE but this </w:t>
      </w:r>
      <w:r w:rsidR="00AC00F8" w:rsidRPr="00633A00">
        <w:rPr>
          <w:rFonts w:ascii="Arial" w:hAnsi="Arial" w:cs="Arial"/>
          <w:iCs/>
          <w:sz w:val="24"/>
          <w:szCs w:val="24"/>
        </w:rPr>
        <w:t>does not relate</w:t>
      </w:r>
      <w:r w:rsidR="00F53220" w:rsidRPr="00633A00">
        <w:rPr>
          <w:rFonts w:ascii="Arial" w:hAnsi="Arial" w:cs="Arial"/>
          <w:iCs/>
          <w:sz w:val="24"/>
          <w:szCs w:val="24"/>
        </w:rPr>
        <w:t xml:space="preserve"> to conversations had elsewhere. For example, casual interviews and conversations had in the car when the suspect is primarily detained, this is recognized as the car seat confession which is not a new challenge for the police which can become a huge difficulty in trials for officers who have broken the PACE legislature (Kaye, 1997). </w:t>
      </w:r>
      <w:r w:rsidR="00F1086D" w:rsidRPr="00633A00">
        <w:rPr>
          <w:rFonts w:ascii="Arial" w:hAnsi="Arial" w:cs="Arial"/>
          <w:iCs/>
          <w:sz w:val="24"/>
          <w:szCs w:val="24"/>
        </w:rPr>
        <w:t>Additionally,</w:t>
      </w:r>
      <w:r w:rsidR="006F5D03" w:rsidRPr="00633A00">
        <w:rPr>
          <w:rFonts w:ascii="Arial" w:hAnsi="Arial" w:cs="Arial"/>
          <w:iCs/>
          <w:sz w:val="24"/>
          <w:szCs w:val="24"/>
        </w:rPr>
        <w:t xml:space="preserve"> part of this legislature are the Codes of Practice which the police should </w:t>
      </w:r>
      <w:r w:rsidR="00F1086D" w:rsidRPr="00633A00">
        <w:rPr>
          <w:rFonts w:ascii="Arial" w:hAnsi="Arial" w:cs="Arial"/>
          <w:iCs/>
          <w:sz w:val="24"/>
          <w:szCs w:val="24"/>
        </w:rPr>
        <w:t>contemplate</w:t>
      </w:r>
      <w:r w:rsidR="006F5D03" w:rsidRPr="00633A00">
        <w:rPr>
          <w:rFonts w:ascii="Arial" w:hAnsi="Arial" w:cs="Arial"/>
          <w:iCs/>
          <w:sz w:val="24"/>
          <w:szCs w:val="24"/>
        </w:rPr>
        <w:t xml:space="preserve"> while carrying out everyday </w:t>
      </w:r>
      <w:r w:rsidR="00F1086D" w:rsidRPr="00633A00">
        <w:rPr>
          <w:rFonts w:ascii="Arial" w:hAnsi="Arial" w:cs="Arial"/>
          <w:iCs/>
          <w:sz w:val="24"/>
          <w:szCs w:val="24"/>
        </w:rPr>
        <w:t>responsibilities</w:t>
      </w:r>
      <w:r w:rsidR="006F5D03" w:rsidRPr="00633A00">
        <w:rPr>
          <w:rFonts w:ascii="Arial" w:hAnsi="Arial" w:cs="Arial"/>
          <w:iCs/>
          <w:sz w:val="24"/>
          <w:szCs w:val="24"/>
        </w:rPr>
        <w:t xml:space="preserve"> within their role.</w:t>
      </w:r>
      <w:r w:rsidR="003155FD" w:rsidRPr="00633A00">
        <w:rPr>
          <w:rFonts w:ascii="Arial" w:hAnsi="Arial" w:cs="Arial"/>
          <w:iCs/>
          <w:sz w:val="24"/>
          <w:szCs w:val="24"/>
        </w:rPr>
        <w:t xml:space="preserve"> One of the numerous objectives of the Police and Criminal Evidence Act is to prevent miscarriages of justice and create an equal balance and partnership between the human rights of the members of public and the authority the police hold (Trevelyan, </w:t>
      </w:r>
      <w:r w:rsidR="0058318F" w:rsidRPr="00633A00">
        <w:rPr>
          <w:rFonts w:ascii="Arial" w:hAnsi="Arial" w:cs="Arial"/>
          <w:iCs/>
          <w:sz w:val="24"/>
          <w:szCs w:val="24"/>
        </w:rPr>
        <w:t>2019). There are eight codes of practice ranging from A through to H which address diverse fragments of a police officer role</w:t>
      </w:r>
      <w:r w:rsidR="00B929A5" w:rsidRPr="00633A00">
        <w:rPr>
          <w:rFonts w:ascii="Arial" w:hAnsi="Arial" w:cs="Arial"/>
          <w:iCs/>
          <w:sz w:val="24"/>
          <w:szCs w:val="24"/>
        </w:rPr>
        <w:t>. Code A addresses the police’s statuary authority to exercise stop and searches whereas code B is the police’s ability to undertake examinations of properties as well as the removal of any property required, uncovered on the individual or their grounds. Code D is essentially the identification of an individual by a member of the force</w:t>
      </w:r>
      <w:r w:rsidR="006A474E" w:rsidRPr="00633A00">
        <w:rPr>
          <w:rFonts w:ascii="Arial" w:hAnsi="Arial" w:cs="Arial"/>
          <w:iCs/>
          <w:sz w:val="24"/>
          <w:szCs w:val="24"/>
        </w:rPr>
        <w:t xml:space="preserve"> and code G is the statuary supremacy of detention by the police</w:t>
      </w:r>
      <w:r w:rsidR="00B929A5" w:rsidRPr="00633A00">
        <w:rPr>
          <w:rFonts w:ascii="Arial" w:hAnsi="Arial" w:cs="Arial"/>
          <w:iCs/>
          <w:sz w:val="24"/>
          <w:szCs w:val="24"/>
        </w:rPr>
        <w:t xml:space="preserve"> </w:t>
      </w:r>
      <w:r w:rsidR="0058318F" w:rsidRPr="00633A00">
        <w:rPr>
          <w:rFonts w:ascii="Arial" w:hAnsi="Arial" w:cs="Arial"/>
          <w:iCs/>
          <w:sz w:val="24"/>
          <w:szCs w:val="24"/>
        </w:rPr>
        <w:t xml:space="preserve">(Department of Justice, 2019). </w:t>
      </w:r>
      <w:r w:rsidR="00B929A5" w:rsidRPr="00633A00">
        <w:rPr>
          <w:rFonts w:ascii="Arial" w:hAnsi="Arial" w:cs="Arial"/>
          <w:iCs/>
          <w:sz w:val="24"/>
          <w:szCs w:val="24"/>
        </w:rPr>
        <w:t xml:space="preserve">Code C is the code </w:t>
      </w:r>
      <w:r w:rsidR="00D85B32">
        <w:rPr>
          <w:rFonts w:ascii="Arial" w:hAnsi="Arial" w:cs="Arial"/>
          <w:iCs/>
          <w:sz w:val="24"/>
          <w:szCs w:val="24"/>
        </w:rPr>
        <w:t>o</w:t>
      </w:r>
      <w:r w:rsidR="00B929A5" w:rsidRPr="00633A00">
        <w:rPr>
          <w:rFonts w:ascii="Arial" w:hAnsi="Arial" w:cs="Arial"/>
          <w:iCs/>
          <w:sz w:val="24"/>
          <w:szCs w:val="24"/>
        </w:rPr>
        <w:t xml:space="preserve">f practice which correlates to the protection of vulnerable defendants particularly within interviewing circumstances. </w:t>
      </w:r>
      <w:r w:rsidR="006A474E" w:rsidRPr="00633A00">
        <w:rPr>
          <w:rFonts w:ascii="Arial" w:hAnsi="Arial" w:cs="Arial"/>
          <w:iCs/>
          <w:sz w:val="24"/>
          <w:szCs w:val="24"/>
        </w:rPr>
        <w:t>Both code E and F relate to the auditory and visual recordings of interviews and apply to all instances and all offenders. Code F also explicitly states that the police are under no requirement to make a visual video recording</w:t>
      </w:r>
      <w:r w:rsidR="006412CA" w:rsidRPr="00633A00">
        <w:rPr>
          <w:rFonts w:ascii="Arial" w:hAnsi="Arial" w:cs="Arial"/>
          <w:iCs/>
          <w:sz w:val="24"/>
          <w:szCs w:val="24"/>
        </w:rPr>
        <w:t xml:space="preserve">, </w:t>
      </w:r>
      <w:r w:rsidR="000C7436" w:rsidRPr="00633A00">
        <w:rPr>
          <w:rFonts w:ascii="Arial" w:hAnsi="Arial" w:cs="Arial"/>
          <w:iCs/>
          <w:sz w:val="24"/>
          <w:szCs w:val="24"/>
        </w:rPr>
        <w:t>finally</w:t>
      </w:r>
      <w:r w:rsidR="006412CA" w:rsidRPr="00633A00">
        <w:rPr>
          <w:rFonts w:ascii="Arial" w:hAnsi="Arial" w:cs="Arial"/>
          <w:iCs/>
          <w:sz w:val="24"/>
          <w:szCs w:val="24"/>
        </w:rPr>
        <w:t xml:space="preserve"> code H</w:t>
      </w:r>
      <w:r w:rsidR="000C7436" w:rsidRPr="00633A00">
        <w:rPr>
          <w:rFonts w:ascii="Arial" w:hAnsi="Arial" w:cs="Arial"/>
          <w:iCs/>
          <w:sz w:val="24"/>
          <w:szCs w:val="24"/>
        </w:rPr>
        <w:t xml:space="preserve"> is in regard to the detention of accused</w:t>
      </w:r>
      <w:r w:rsidR="002400F4" w:rsidRPr="00633A00">
        <w:rPr>
          <w:rFonts w:ascii="Arial" w:hAnsi="Arial" w:cs="Arial"/>
          <w:iCs/>
          <w:sz w:val="24"/>
          <w:szCs w:val="24"/>
        </w:rPr>
        <w:t xml:space="preserve"> (Cochrane, 2019).</w:t>
      </w:r>
    </w:p>
    <w:p w14:paraId="49B8D515" w14:textId="77777777" w:rsidR="00860EBD" w:rsidRPr="00633A00" w:rsidRDefault="00E717DB" w:rsidP="00633A00">
      <w:pPr>
        <w:spacing w:line="360" w:lineRule="auto"/>
        <w:rPr>
          <w:rFonts w:ascii="Arial" w:hAnsi="Arial" w:cs="Arial"/>
          <w:sz w:val="24"/>
          <w:szCs w:val="24"/>
        </w:rPr>
      </w:pPr>
      <w:r w:rsidRPr="00633A00">
        <w:rPr>
          <w:rFonts w:ascii="Arial" w:hAnsi="Arial" w:cs="Arial"/>
          <w:sz w:val="24"/>
          <w:szCs w:val="24"/>
        </w:rPr>
        <w:lastRenderedPageBreak/>
        <w:t xml:space="preserve">When PACE is not strictly followed it can lead to criminal accountability even for officers working on cases who think they’re doing the moral thing and any evidence that has been uncovered which has not followed the PACE practices can be disallowed when at trial. </w:t>
      </w:r>
      <w:r w:rsidR="00043A5C" w:rsidRPr="00633A00">
        <w:rPr>
          <w:rFonts w:ascii="Arial" w:hAnsi="Arial" w:cs="Arial"/>
          <w:sz w:val="24"/>
          <w:szCs w:val="24"/>
        </w:rPr>
        <w:t>This can be perfectly demonstrated in the case of Sian O’Callaghan and Becky Go</w:t>
      </w:r>
      <w:r w:rsidR="00A8738E" w:rsidRPr="00633A00">
        <w:rPr>
          <w:rFonts w:ascii="Arial" w:hAnsi="Arial" w:cs="Arial"/>
          <w:sz w:val="24"/>
          <w:szCs w:val="24"/>
        </w:rPr>
        <w:t>dden</w:t>
      </w:r>
      <w:r w:rsidR="00043A5C" w:rsidRPr="00633A00">
        <w:rPr>
          <w:rFonts w:ascii="Arial" w:hAnsi="Arial" w:cs="Arial"/>
          <w:sz w:val="24"/>
          <w:szCs w:val="24"/>
        </w:rPr>
        <w:t>-Edwards involving officer Steve Fulcher who breaks code C of the Police and Criminal Evidence Act</w:t>
      </w:r>
      <w:r w:rsidR="00BC083D" w:rsidRPr="00633A00">
        <w:rPr>
          <w:rFonts w:ascii="Arial" w:hAnsi="Arial" w:cs="Arial"/>
          <w:sz w:val="24"/>
          <w:szCs w:val="24"/>
        </w:rPr>
        <w:t xml:space="preserve"> (Mitchell, 2019). </w:t>
      </w:r>
    </w:p>
    <w:p w14:paraId="52D36CE8" w14:textId="428C1E05" w:rsidR="003E6F71" w:rsidRPr="00633A00" w:rsidRDefault="00E11A58" w:rsidP="00633A00">
      <w:pPr>
        <w:spacing w:line="360" w:lineRule="auto"/>
        <w:rPr>
          <w:rFonts w:ascii="Arial" w:hAnsi="Arial" w:cs="Arial"/>
          <w:sz w:val="24"/>
          <w:szCs w:val="24"/>
        </w:rPr>
      </w:pPr>
      <w:r w:rsidRPr="00633A00">
        <w:rPr>
          <w:rFonts w:ascii="Arial" w:hAnsi="Arial" w:cs="Arial"/>
          <w:sz w:val="24"/>
          <w:szCs w:val="24"/>
        </w:rPr>
        <w:t xml:space="preserve">Steve Fulcher lost his career solving the Sian O’Callaghan case in 2011 when found guilty of gross misconduct. Sian O’Callaghan was murdered by taxi driver Christopher Halliwell yet when Steve Fulcher solved the crime he was penalised for his conduct. </w:t>
      </w:r>
      <w:r w:rsidR="00CE017F" w:rsidRPr="00633A00">
        <w:rPr>
          <w:rFonts w:ascii="Arial" w:hAnsi="Arial" w:cs="Arial"/>
          <w:sz w:val="24"/>
          <w:szCs w:val="24"/>
        </w:rPr>
        <w:t>It was later discovered that Fulcher acted upon instinct that Halliwell was accountable for additional murders but when questioning him took him to a field in the Wiltshire countryside to discuss this deprived of access to a lawyer or cautioning him beforehand</w:t>
      </w:r>
      <w:r w:rsidR="009C5B05" w:rsidRPr="00633A00">
        <w:rPr>
          <w:rFonts w:ascii="Arial" w:hAnsi="Arial" w:cs="Arial"/>
          <w:sz w:val="24"/>
          <w:szCs w:val="24"/>
        </w:rPr>
        <w:t xml:space="preserve"> (Martin, 2019). </w:t>
      </w:r>
      <w:r w:rsidR="00AE57D9" w:rsidRPr="00633A00">
        <w:rPr>
          <w:rFonts w:ascii="Arial" w:hAnsi="Arial" w:cs="Arial"/>
          <w:sz w:val="24"/>
          <w:szCs w:val="24"/>
        </w:rPr>
        <w:t>Detective superintendent Steve Fulcher</w:t>
      </w:r>
      <w:r w:rsidR="0058353E" w:rsidRPr="00633A00">
        <w:rPr>
          <w:rFonts w:ascii="Arial" w:hAnsi="Arial" w:cs="Arial"/>
          <w:sz w:val="24"/>
          <w:szCs w:val="24"/>
        </w:rPr>
        <w:t xml:space="preserve">’s extremely informal talk with Halliwell broke code C of PACE which addresses an individual’s right in relation to interviews and custody against the police. </w:t>
      </w:r>
      <w:r w:rsidR="00304857" w:rsidRPr="00633A00">
        <w:rPr>
          <w:rFonts w:ascii="Arial" w:hAnsi="Arial" w:cs="Arial"/>
          <w:sz w:val="24"/>
          <w:szCs w:val="24"/>
        </w:rPr>
        <w:t xml:space="preserve">Three years after Sian’s murder in 2014 the Independent Police Complaints Commission found Fulcher guilty of gross misconduct. Halliwell claimed while on trial in court that Fulcher had threatened his family in order to get his confession hence his confession was provoked under force. </w:t>
      </w:r>
      <w:r w:rsidR="00A8738E" w:rsidRPr="00633A00">
        <w:rPr>
          <w:rFonts w:ascii="Arial" w:hAnsi="Arial" w:cs="Arial"/>
          <w:sz w:val="24"/>
          <w:szCs w:val="24"/>
        </w:rPr>
        <w:t>Consequently, the evidence attained by Fulcher against Halliwell in relation to the second murder of victim Becky Godden-Edwards was considered inadmissible in court</w:t>
      </w:r>
      <w:r w:rsidR="00FC016D" w:rsidRPr="00633A00">
        <w:rPr>
          <w:rFonts w:ascii="Arial" w:hAnsi="Arial" w:cs="Arial"/>
          <w:sz w:val="24"/>
          <w:szCs w:val="24"/>
        </w:rPr>
        <w:t xml:space="preserve"> (Lewis, 2017). </w:t>
      </w:r>
      <w:r w:rsidR="00AC5CED" w:rsidRPr="00633A00">
        <w:rPr>
          <w:rFonts w:ascii="Arial" w:hAnsi="Arial" w:cs="Arial"/>
          <w:sz w:val="24"/>
          <w:szCs w:val="24"/>
        </w:rPr>
        <w:t>Huge controversy surrounded Fulcher’s decision to</w:t>
      </w:r>
      <w:r w:rsidR="00373551" w:rsidRPr="00633A00">
        <w:rPr>
          <w:rFonts w:ascii="Arial" w:hAnsi="Arial" w:cs="Arial"/>
          <w:sz w:val="24"/>
          <w:szCs w:val="24"/>
        </w:rPr>
        <w:t xml:space="preserve"> refrain from telling Halliwell his rights or allowing him access to a solicitor in a police station when arrested. Fulcher decided to have an intimate one-to-one between himself and the suspect Christopher Halliwell as he believed there was a direct threat to life with the supposition that Sian O Callaghan was still alive but possibly not for much longer. </w:t>
      </w:r>
      <w:r w:rsidR="00203F5B" w:rsidRPr="00633A00">
        <w:rPr>
          <w:rFonts w:ascii="Arial" w:hAnsi="Arial" w:cs="Arial"/>
          <w:sz w:val="24"/>
          <w:szCs w:val="24"/>
        </w:rPr>
        <w:t xml:space="preserve">However, Fulcher had not cautioned him which is one of the crucial codes of practice according to the Police and Criminal Evidence Act 1984. </w:t>
      </w:r>
      <w:r w:rsidR="00E86F10" w:rsidRPr="00633A00">
        <w:rPr>
          <w:rFonts w:ascii="Arial" w:hAnsi="Arial" w:cs="Arial"/>
          <w:sz w:val="24"/>
          <w:szCs w:val="24"/>
        </w:rPr>
        <w:t>It has since been deliberated whether Fulcher’s verdicts throughout the investigation of this case was genius policing and totally unlawful</w:t>
      </w:r>
      <w:r w:rsidR="00AD3DEE" w:rsidRPr="00633A00">
        <w:rPr>
          <w:rFonts w:ascii="Arial" w:hAnsi="Arial" w:cs="Arial"/>
          <w:sz w:val="24"/>
          <w:szCs w:val="24"/>
        </w:rPr>
        <w:t xml:space="preserve"> (ITV, 2019). </w:t>
      </w:r>
      <w:r w:rsidR="00290AB1" w:rsidRPr="00633A00">
        <w:rPr>
          <w:rFonts w:ascii="Arial" w:hAnsi="Arial" w:cs="Arial"/>
          <w:sz w:val="24"/>
          <w:szCs w:val="24"/>
        </w:rPr>
        <w:t>Despite this mother of Becky Godden-Edwards has quoted according to Tweedy, 2019;</w:t>
      </w:r>
    </w:p>
    <w:p w14:paraId="5B14FBD1" w14:textId="28872A77" w:rsidR="00290AB1" w:rsidRDefault="00290AB1" w:rsidP="00633A00">
      <w:pPr>
        <w:spacing w:line="360" w:lineRule="auto"/>
        <w:ind w:left="720"/>
        <w:rPr>
          <w:rFonts w:ascii="Arial" w:hAnsi="Arial" w:cs="Arial"/>
          <w:sz w:val="24"/>
          <w:szCs w:val="24"/>
        </w:rPr>
      </w:pPr>
      <w:r w:rsidRPr="00633A00">
        <w:rPr>
          <w:rFonts w:ascii="Arial" w:hAnsi="Arial" w:cs="Arial"/>
          <w:sz w:val="24"/>
          <w:szCs w:val="24"/>
        </w:rPr>
        <w:t>I never blamed him. He brought Becky back to me.</w:t>
      </w:r>
      <w:r w:rsidR="004462F9" w:rsidRPr="00633A00">
        <w:rPr>
          <w:rFonts w:ascii="Arial" w:hAnsi="Arial" w:cs="Arial"/>
          <w:sz w:val="24"/>
          <w:szCs w:val="24"/>
        </w:rPr>
        <w:t xml:space="preserve"> (Accessed 6</w:t>
      </w:r>
      <w:r w:rsidR="004462F9" w:rsidRPr="00633A00">
        <w:rPr>
          <w:rFonts w:ascii="Arial" w:hAnsi="Arial" w:cs="Arial"/>
          <w:sz w:val="24"/>
          <w:szCs w:val="24"/>
          <w:vertAlign w:val="superscript"/>
        </w:rPr>
        <w:t>th</w:t>
      </w:r>
      <w:r w:rsidR="004462F9" w:rsidRPr="00633A00">
        <w:rPr>
          <w:rFonts w:ascii="Arial" w:hAnsi="Arial" w:cs="Arial"/>
          <w:sz w:val="24"/>
          <w:szCs w:val="24"/>
        </w:rPr>
        <w:t xml:space="preserve"> November 2019). </w:t>
      </w:r>
    </w:p>
    <w:p w14:paraId="7625E28A" w14:textId="0AEC387B" w:rsidR="00933864" w:rsidRDefault="008F6CAA" w:rsidP="00933864">
      <w:pPr>
        <w:spacing w:line="360" w:lineRule="auto"/>
        <w:rPr>
          <w:rFonts w:ascii="Arial" w:hAnsi="Arial" w:cs="Arial"/>
          <w:sz w:val="24"/>
          <w:szCs w:val="24"/>
        </w:rPr>
      </w:pPr>
      <w:r>
        <w:rPr>
          <w:rFonts w:ascii="Arial" w:hAnsi="Arial" w:cs="Arial"/>
          <w:sz w:val="24"/>
          <w:szCs w:val="24"/>
        </w:rPr>
        <w:lastRenderedPageBreak/>
        <w:t>An additional illustration of a miscarriage of justice which was before the PACE legislature is S</w:t>
      </w:r>
      <w:r w:rsidR="00933864">
        <w:rPr>
          <w:rFonts w:ascii="Arial" w:hAnsi="Arial" w:cs="Arial"/>
          <w:sz w:val="24"/>
          <w:szCs w:val="24"/>
        </w:rPr>
        <w:t>tefan Kis</w:t>
      </w:r>
      <w:r w:rsidR="007C7594">
        <w:rPr>
          <w:rFonts w:ascii="Arial" w:hAnsi="Arial" w:cs="Arial"/>
          <w:sz w:val="24"/>
          <w:szCs w:val="24"/>
        </w:rPr>
        <w:t xml:space="preserve">zko </w:t>
      </w:r>
      <w:r>
        <w:rPr>
          <w:rFonts w:ascii="Arial" w:hAnsi="Arial" w:cs="Arial"/>
          <w:sz w:val="24"/>
          <w:szCs w:val="24"/>
        </w:rPr>
        <w:t xml:space="preserve">who </w:t>
      </w:r>
      <w:r w:rsidR="007C7594">
        <w:rPr>
          <w:rFonts w:ascii="Arial" w:hAnsi="Arial" w:cs="Arial"/>
          <w:sz w:val="24"/>
          <w:szCs w:val="24"/>
        </w:rPr>
        <w:t xml:space="preserve">spent sixteen years in </w:t>
      </w:r>
      <w:r w:rsidR="00157183">
        <w:rPr>
          <w:rFonts w:ascii="Arial" w:hAnsi="Arial" w:cs="Arial"/>
          <w:sz w:val="24"/>
          <w:szCs w:val="24"/>
        </w:rPr>
        <w:t>detention</w:t>
      </w:r>
      <w:r w:rsidR="007C7594">
        <w:rPr>
          <w:rFonts w:ascii="Arial" w:hAnsi="Arial" w:cs="Arial"/>
          <w:sz w:val="24"/>
          <w:szCs w:val="24"/>
        </w:rPr>
        <w:t xml:space="preserve"> for a crime he did not commit in 1976. He was </w:t>
      </w:r>
      <w:r w:rsidR="00157183">
        <w:rPr>
          <w:rFonts w:ascii="Arial" w:hAnsi="Arial" w:cs="Arial"/>
          <w:sz w:val="24"/>
          <w:szCs w:val="24"/>
        </w:rPr>
        <w:t>depicted</w:t>
      </w:r>
      <w:r w:rsidR="007C7594">
        <w:rPr>
          <w:rFonts w:ascii="Arial" w:hAnsi="Arial" w:cs="Arial"/>
          <w:sz w:val="24"/>
          <w:szCs w:val="24"/>
        </w:rPr>
        <w:t xml:space="preserve"> as a giant of a man at age twenty-three years old who suffered from immaturity due to his testicles not being </w:t>
      </w:r>
      <w:r w:rsidR="00157183">
        <w:rPr>
          <w:rFonts w:ascii="Arial" w:hAnsi="Arial" w:cs="Arial"/>
          <w:sz w:val="24"/>
          <w:szCs w:val="24"/>
        </w:rPr>
        <w:t>completely</w:t>
      </w:r>
      <w:r w:rsidR="007C7594">
        <w:rPr>
          <w:rFonts w:ascii="Arial" w:hAnsi="Arial" w:cs="Arial"/>
          <w:sz w:val="24"/>
          <w:szCs w:val="24"/>
        </w:rPr>
        <w:t xml:space="preserve"> developed. Kiszko </w:t>
      </w:r>
      <w:r w:rsidR="00157183">
        <w:rPr>
          <w:rFonts w:ascii="Arial" w:hAnsi="Arial" w:cs="Arial"/>
          <w:sz w:val="24"/>
          <w:szCs w:val="24"/>
        </w:rPr>
        <w:t>admitted</w:t>
      </w:r>
      <w:r w:rsidR="007C7594">
        <w:rPr>
          <w:rFonts w:ascii="Arial" w:hAnsi="Arial" w:cs="Arial"/>
          <w:sz w:val="24"/>
          <w:szCs w:val="24"/>
        </w:rPr>
        <w:t xml:space="preserve"> to the </w:t>
      </w:r>
      <w:r w:rsidR="00157183">
        <w:rPr>
          <w:rFonts w:ascii="Arial" w:hAnsi="Arial" w:cs="Arial"/>
          <w:sz w:val="24"/>
          <w:szCs w:val="24"/>
        </w:rPr>
        <w:t>paedophilic killing</w:t>
      </w:r>
      <w:r w:rsidR="007C7594">
        <w:rPr>
          <w:rFonts w:ascii="Arial" w:hAnsi="Arial" w:cs="Arial"/>
          <w:sz w:val="24"/>
          <w:szCs w:val="24"/>
        </w:rPr>
        <w:t xml:space="preserve"> of an </w:t>
      </w:r>
      <w:r w:rsidR="00157183">
        <w:rPr>
          <w:rFonts w:ascii="Arial" w:hAnsi="Arial" w:cs="Arial"/>
          <w:sz w:val="24"/>
          <w:szCs w:val="24"/>
        </w:rPr>
        <w:t>eleven-year-old</w:t>
      </w:r>
      <w:r w:rsidR="007C7594">
        <w:rPr>
          <w:rFonts w:ascii="Arial" w:hAnsi="Arial" w:cs="Arial"/>
          <w:sz w:val="24"/>
          <w:szCs w:val="24"/>
        </w:rPr>
        <w:t xml:space="preserve"> girl named Lesley Molseed in 1975</w:t>
      </w:r>
      <w:r w:rsidR="00157183">
        <w:rPr>
          <w:rFonts w:ascii="Arial" w:hAnsi="Arial" w:cs="Arial"/>
          <w:sz w:val="24"/>
          <w:szCs w:val="24"/>
        </w:rPr>
        <w:t xml:space="preserve"> after only two days of interrogation with no lawyer present. He later attempted revoking his confession, but his solicitor David Waddington ran a</w:t>
      </w:r>
      <w:r w:rsidR="00D6494A">
        <w:rPr>
          <w:rFonts w:ascii="Arial" w:hAnsi="Arial" w:cs="Arial"/>
          <w:sz w:val="24"/>
          <w:szCs w:val="24"/>
        </w:rPr>
        <w:t>n</w:t>
      </w:r>
      <w:r w:rsidR="00157183">
        <w:rPr>
          <w:rFonts w:ascii="Arial" w:hAnsi="Arial" w:cs="Arial"/>
          <w:sz w:val="24"/>
          <w:szCs w:val="24"/>
        </w:rPr>
        <w:t xml:space="preserve"> alibi of homicide through diminished responsibility. </w:t>
      </w:r>
      <w:r w:rsidR="00D6494A">
        <w:rPr>
          <w:rFonts w:ascii="Arial" w:hAnsi="Arial" w:cs="Arial"/>
          <w:sz w:val="24"/>
          <w:szCs w:val="24"/>
        </w:rPr>
        <w:t>Coincidently it was Waddington who directed the case to be reopened following a lengthy campaign by Kiszko’s mother in 1990. There was scientific testimony discovered that Kiszko was physically incompetent of leaving sperm at the scene of the crime to which three Appeal Court board of judges invalidated his imprisonment in 1992</w:t>
      </w:r>
      <w:r w:rsidR="000371AF">
        <w:rPr>
          <w:rFonts w:ascii="Arial" w:hAnsi="Arial" w:cs="Arial"/>
          <w:sz w:val="24"/>
          <w:szCs w:val="24"/>
        </w:rPr>
        <w:t xml:space="preserve">. This case is an obvious demonstration of why the Police and Criminal Evidence act was established as now corresponding to code C there must be a lawyer present in relation to all suspects and incidents but notably those who may be deemed a more vulnerable defendant (McSmith, 2007). </w:t>
      </w:r>
    </w:p>
    <w:p w14:paraId="1405D7CD" w14:textId="5FA0E3D3" w:rsidR="006B3E47" w:rsidRPr="00633A00" w:rsidRDefault="0094063B" w:rsidP="00633A00">
      <w:pPr>
        <w:spacing w:line="360" w:lineRule="auto"/>
        <w:rPr>
          <w:rFonts w:ascii="Arial" w:hAnsi="Arial" w:cs="Arial"/>
          <w:sz w:val="24"/>
          <w:szCs w:val="24"/>
        </w:rPr>
      </w:pPr>
      <w:r w:rsidRPr="00633A00">
        <w:rPr>
          <w:rFonts w:ascii="Arial" w:hAnsi="Arial" w:cs="Arial"/>
          <w:sz w:val="24"/>
          <w:szCs w:val="24"/>
        </w:rPr>
        <w:t xml:space="preserve">The Police and Criminal Evidence Act was reviewed in 2007 which had </w:t>
      </w:r>
      <w:r w:rsidR="00AC00F8" w:rsidRPr="00633A00">
        <w:rPr>
          <w:rFonts w:ascii="Arial" w:hAnsi="Arial" w:cs="Arial"/>
          <w:sz w:val="24"/>
          <w:szCs w:val="24"/>
        </w:rPr>
        <w:t>diminutive result</w:t>
      </w:r>
      <w:r w:rsidR="002E1E6C" w:rsidRPr="00633A00">
        <w:rPr>
          <w:rFonts w:ascii="Arial" w:hAnsi="Arial" w:cs="Arial"/>
          <w:sz w:val="24"/>
          <w:szCs w:val="24"/>
        </w:rPr>
        <w:t>,</w:t>
      </w:r>
      <w:r w:rsidRPr="00633A00">
        <w:rPr>
          <w:rFonts w:ascii="Arial" w:hAnsi="Arial" w:cs="Arial"/>
          <w:sz w:val="24"/>
          <w:szCs w:val="24"/>
        </w:rPr>
        <w:t xml:space="preserve"> but the </w:t>
      </w:r>
      <w:r w:rsidR="002E1E6C" w:rsidRPr="00633A00">
        <w:rPr>
          <w:rFonts w:ascii="Arial" w:hAnsi="Arial" w:cs="Arial"/>
          <w:sz w:val="24"/>
          <w:szCs w:val="24"/>
        </w:rPr>
        <w:t>boundaries</w:t>
      </w:r>
      <w:r w:rsidRPr="00633A00">
        <w:rPr>
          <w:rFonts w:ascii="Arial" w:hAnsi="Arial" w:cs="Arial"/>
          <w:sz w:val="24"/>
          <w:szCs w:val="24"/>
        </w:rPr>
        <w:t xml:space="preserve"> and success of PACE can be questioned (Zander, 2011). </w:t>
      </w:r>
      <w:r w:rsidR="00B9606C" w:rsidRPr="00633A00">
        <w:rPr>
          <w:rFonts w:ascii="Arial" w:hAnsi="Arial" w:cs="Arial"/>
          <w:sz w:val="24"/>
          <w:szCs w:val="24"/>
        </w:rPr>
        <w:t xml:space="preserve">After </w:t>
      </w:r>
      <w:r w:rsidR="00ED0957" w:rsidRPr="00633A00">
        <w:rPr>
          <w:rFonts w:ascii="Arial" w:hAnsi="Arial" w:cs="Arial"/>
          <w:sz w:val="24"/>
          <w:szCs w:val="24"/>
        </w:rPr>
        <w:t>several</w:t>
      </w:r>
      <w:r w:rsidR="00B9606C" w:rsidRPr="00633A00">
        <w:rPr>
          <w:rFonts w:ascii="Arial" w:hAnsi="Arial" w:cs="Arial"/>
          <w:sz w:val="24"/>
          <w:szCs w:val="24"/>
        </w:rPr>
        <w:t xml:space="preserve"> reviews </w:t>
      </w:r>
      <w:r w:rsidR="00ED0957" w:rsidRPr="00633A00">
        <w:rPr>
          <w:rFonts w:ascii="Arial" w:hAnsi="Arial" w:cs="Arial"/>
          <w:sz w:val="24"/>
          <w:szCs w:val="24"/>
        </w:rPr>
        <w:t xml:space="preserve">there have been numerous claims in improving the PACE </w:t>
      </w:r>
      <w:r w:rsidR="00622748">
        <w:rPr>
          <w:rFonts w:ascii="Arial" w:hAnsi="Arial" w:cs="Arial"/>
          <w:sz w:val="24"/>
          <w:szCs w:val="24"/>
        </w:rPr>
        <w:t xml:space="preserve">act </w:t>
      </w:r>
      <w:r w:rsidR="00ED0957" w:rsidRPr="00633A00">
        <w:rPr>
          <w:rFonts w:ascii="Arial" w:hAnsi="Arial" w:cs="Arial"/>
          <w:sz w:val="24"/>
          <w:szCs w:val="24"/>
        </w:rPr>
        <w:t xml:space="preserve">including giving the police authority to enter properties to arrest for offences formerly considered arrestable. </w:t>
      </w:r>
      <w:r w:rsidR="006C3AB6" w:rsidRPr="00633A00">
        <w:rPr>
          <w:rFonts w:ascii="Arial" w:hAnsi="Arial" w:cs="Arial"/>
          <w:sz w:val="24"/>
          <w:szCs w:val="24"/>
        </w:rPr>
        <w:t xml:space="preserve">It has </w:t>
      </w:r>
      <w:r w:rsidR="005911F9" w:rsidRPr="00633A00">
        <w:rPr>
          <w:rFonts w:ascii="Arial" w:hAnsi="Arial" w:cs="Arial"/>
          <w:sz w:val="24"/>
          <w:szCs w:val="24"/>
        </w:rPr>
        <w:t>likewise</w:t>
      </w:r>
      <w:r w:rsidR="006C3AB6" w:rsidRPr="00633A00">
        <w:rPr>
          <w:rFonts w:ascii="Arial" w:hAnsi="Arial" w:cs="Arial"/>
          <w:sz w:val="24"/>
          <w:szCs w:val="24"/>
        </w:rPr>
        <w:t xml:space="preserve"> been considered to remove the </w:t>
      </w:r>
      <w:r w:rsidR="005911F9" w:rsidRPr="00633A00">
        <w:rPr>
          <w:rFonts w:ascii="Arial" w:hAnsi="Arial" w:cs="Arial"/>
          <w:sz w:val="24"/>
          <w:szCs w:val="24"/>
        </w:rPr>
        <w:t>necessity</w:t>
      </w:r>
      <w:r w:rsidR="006C3AB6" w:rsidRPr="00633A00">
        <w:rPr>
          <w:rFonts w:ascii="Arial" w:hAnsi="Arial" w:cs="Arial"/>
          <w:sz w:val="24"/>
          <w:szCs w:val="24"/>
        </w:rPr>
        <w:t xml:space="preserve"> for officers to be in uniform when entering the premises for the purpose of an </w:t>
      </w:r>
      <w:r w:rsidR="00AC00F8" w:rsidRPr="00633A00">
        <w:rPr>
          <w:rFonts w:ascii="Arial" w:hAnsi="Arial" w:cs="Arial"/>
          <w:sz w:val="24"/>
          <w:szCs w:val="24"/>
        </w:rPr>
        <w:t>arrest (</w:t>
      </w:r>
      <w:r w:rsidR="0064256E" w:rsidRPr="00633A00">
        <w:rPr>
          <w:rFonts w:ascii="Arial" w:hAnsi="Arial" w:cs="Arial"/>
          <w:sz w:val="24"/>
          <w:szCs w:val="24"/>
        </w:rPr>
        <w:t xml:space="preserve">Criminal Law Solicitors’ Association, 2019). </w:t>
      </w:r>
      <w:r w:rsidR="00B71476" w:rsidRPr="00633A00">
        <w:rPr>
          <w:rFonts w:ascii="Arial" w:hAnsi="Arial" w:cs="Arial"/>
          <w:sz w:val="24"/>
          <w:szCs w:val="24"/>
        </w:rPr>
        <w:t xml:space="preserve">It has </w:t>
      </w:r>
      <w:r w:rsidR="00C42E49" w:rsidRPr="00633A00">
        <w:rPr>
          <w:rFonts w:ascii="Arial" w:hAnsi="Arial" w:cs="Arial"/>
          <w:sz w:val="24"/>
          <w:szCs w:val="24"/>
        </w:rPr>
        <w:t>similarly</w:t>
      </w:r>
      <w:r w:rsidR="00DF0B5A" w:rsidRPr="00633A00">
        <w:rPr>
          <w:rFonts w:ascii="Arial" w:hAnsi="Arial" w:cs="Arial"/>
          <w:sz w:val="24"/>
          <w:szCs w:val="24"/>
        </w:rPr>
        <w:t xml:space="preserve"> </w:t>
      </w:r>
      <w:r w:rsidR="00C42E49" w:rsidRPr="00633A00">
        <w:rPr>
          <w:rFonts w:ascii="Arial" w:hAnsi="Arial" w:cs="Arial"/>
          <w:sz w:val="24"/>
          <w:szCs w:val="24"/>
        </w:rPr>
        <w:t xml:space="preserve">been discovered </w:t>
      </w:r>
      <w:r w:rsidR="002C3058" w:rsidRPr="00633A00">
        <w:rPr>
          <w:rFonts w:ascii="Arial" w:hAnsi="Arial" w:cs="Arial"/>
          <w:sz w:val="24"/>
          <w:szCs w:val="24"/>
        </w:rPr>
        <w:t xml:space="preserve">through analysis of stop and search records </w:t>
      </w:r>
      <w:r w:rsidR="00B30E10" w:rsidRPr="00633A00">
        <w:rPr>
          <w:rFonts w:ascii="Arial" w:hAnsi="Arial" w:cs="Arial"/>
          <w:sz w:val="24"/>
          <w:szCs w:val="24"/>
        </w:rPr>
        <w:t xml:space="preserve">that in England and Wales the police use of their authorities are excessively prejudiced against black and Asian individuals. </w:t>
      </w:r>
      <w:r w:rsidR="00187B58" w:rsidRPr="00633A00">
        <w:rPr>
          <w:rFonts w:ascii="Arial" w:hAnsi="Arial" w:cs="Arial"/>
          <w:sz w:val="24"/>
          <w:szCs w:val="24"/>
        </w:rPr>
        <w:t xml:space="preserve">London produces the majority of needless stops and </w:t>
      </w:r>
      <w:r w:rsidR="00154117" w:rsidRPr="00633A00">
        <w:rPr>
          <w:rFonts w:ascii="Arial" w:hAnsi="Arial" w:cs="Arial"/>
          <w:sz w:val="24"/>
          <w:szCs w:val="24"/>
        </w:rPr>
        <w:t>searches,</w:t>
      </w:r>
      <w:r w:rsidR="00187B58" w:rsidRPr="00633A00">
        <w:rPr>
          <w:rFonts w:ascii="Arial" w:hAnsi="Arial" w:cs="Arial"/>
          <w:sz w:val="24"/>
          <w:szCs w:val="24"/>
        </w:rPr>
        <w:t xml:space="preserve"> yet other areas still </w:t>
      </w:r>
      <w:r w:rsidR="00154117" w:rsidRPr="00633A00">
        <w:rPr>
          <w:rFonts w:ascii="Arial" w:hAnsi="Arial" w:cs="Arial"/>
          <w:sz w:val="24"/>
          <w:szCs w:val="24"/>
        </w:rPr>
        <w:t xml:space="preserve">misuse their powers in regard to stop and searches against Asian and black people. Areas in the UK such as Dorset, Hampshire and Leicestershire all have high black/white disproportionality proportions. </w:t>
      </w:r>
      <w:r w:rsidR="009F3748" w:rsidRPr="00633A00">
        <w:rPr>
          <w:rFonts w:ascii="Arial" w:hAnsi="Arial" w:cs="Arial"/>
          <w:sz w:val="24"/>
          <w:szCs w:val="24"/>
        </w:rPr>
        <w:t xml:space="preserve">The Commission moving onward aim to monitor the police thoroughly in relation to stop and searches. </w:t>
      </w:r>
      <w:r w:rsidR="006B3E47" w:rsidRPr="00633A00">
        <w:rPr>
          <w:rFonts w:ascii="Arial" w:hAnsi="Arial" w:cs="Arial"/>
          <w:sz w:val="24"/>
          <w:szCs w:val="24"/>
        </w:rPr>
        <w:t>The Commission aim to see a clear decrease in race prejudice in the use of stop and searches nationally as well as a drop in the number of unnecessary stop and searches carried out on black and Asian individuals</w:t>
      </w:r>
      <w:r w:rsidR="00DC64FC" w:rsidRPr="00633A00">
        <w:rPr>
          <w:rFonts w:ascii="Arial" w:hAnsi="Arial" w:cs="Arial"/>
          <w:sz w:val="24"/>
          <w:szCs w:val="24"/>
        </w:rPr>
        <w:t xml:space="preserve"> this can </w:t>
      </w:r>
      <w:r w:rsidR="00914D53" w:rsidRPr="00633A00">
        <w:rPr>
          <w:rFonts w:ascii="Arial" w:hAnsi="Arial" w:cs="Arial"/>
          <w:sz w:val="24"/>
          <w:szCs w:val="24"/>
        </w:rPr>
        <w:t xml:space="preserve">therefore lead to miscarriages of justice involving prejudice </w:t>
      </w:r>
      <w:r w:rsidR="00914D53" w:rsidRPr="00633A00">
        <w:rPr>
          <w:rFonts w:ascii="Arial" w:hAnsi="Arial" w:cs="Arial"/>
          <w:sz w:val="24"/>
          <w:szCs w:val="24"/>
        </w:rPr>
        <w:lastRenderedPageBreak/>
        <w:t>(</w:t>
      </w:r>
      <w:r w:rsidR="006B3E47" w:rsidRPr="00633A00">
        <w:rPr>
          <w:rFonts w:ascii="Arial" w:hAnsi="Arial" w:cs="Arial"/>
          <w:sz w:val="24"/>
          <w:szCs w:val="24"/>
        </w:rPr>
        <w:t xml:space="preserve">Woolley and Van Bueren, 2019). </w:t>
      </w:r>
      <w:r w:rsidR="002D59DF" w:rsidRPr="00633A00">
        <w:rPr>
          <w:rFonts w:ascii="Arial" w:hAnsi="Arial" w:cs="Arial"/>
          <w:sz w:val="24"/>
          <w:szCs w:val="24"/>
        </w:rPr>
        <w:t xml:space="preserve">The investigative </w:t>
      </w:r>
      <w:r w:rsidR="008D092C" w:rsidRPr="00633A00">
        <w:rPr>
          <w:rFonts w:ascii="Arial" w:hAnsi="Arial" w:cs="Arial"/>
          <w:sz w:val="24"/>
          <w:szCs w:val="24"/>
        </w:rPr>
        <w:t>functions</w:t>
      </w:r>
      <w:r w:rsidR="002D59DF" w:rsidRPr="00633A00">
        <w:rPr>
          <w:rFonts w:ascii="Arial" w:hAnsi="Arial" w:cs="Arial"/>
          <w:sz w:val="24"/>
          <w:szCs w:val="24"/>
        </w:rPr>
        <w:t xml:space="preserve"> </w:t>
      </w:r>
      <w:r w:rsidR="005B6DA7" w:rsidRPr="00633A00">
        <w:rPr>
          <w:rFonts w:ascii="Arial" w:hAnsi="Arial" w:cs="Arial"/>
          <w:sz w:val="24"/>
          <w:szCs w:val="24"/>
        </w:rPr>
        <w:t>of the police</w:t>
      </w:r>
      <w:r w:rsidR="00227C4C" w:rsidRPr="00633A00">
        <w:rPr>
          <w:rFonts w:ascii="Arial" w:hAnsi="Arial" w:cs="Arial"/>
          <w:sz w:val="24"/>
          <w:szCs w:val="24"/>
        </w:rPr>
        <w:t xml:space="preserve"> such as </w:t>
      </w:r>
      <w:r w:rsidR="008D092C" w:rsidRPr="00633A00">
        <w:rPr>
          <w:rFonts w:ascii="Arial" w:hAnsi="Arial" w:cs="Arial"/>
          <w:sz w:val="24"/>
          <w:szCs w:val="24"/>
        </w:rPr>
        <w:t>imprisonment</w:t>
      </w:r>
      <w:r w:rsidR="00862DD3" w:rsidRPr="00633A00">
        <w:rPr>
          <w:rFonts w:ascii="Arial" w:hAnsi="Arial" w:cs="Arial"/>
          <w:sz w:val="24"/>
          <w:szCs w:val="24"/>
        </w:rPr>
        <w:t xml:space="preserve">, </w:t>
      </w:r>
      <w:r w:rsidR="008D092C" w:rsidRPr="00633A00">
        <w:rPr>
          <w:rFonts w:ascii="Arial" w:hAnsi="Arial" w:cs="Arial"/>
          <w:sz w:val="24"/>
          <w:szCs w:val="24"/>
        </w:rPr>
        <w:t>detention</w:t>
      </w:r>
      <w:r w:rsidR="0099189C" w:rsidRPr="00633A00">
        <w:rPr>
          <w:rFonts w:ascii="Arial" w:hAnsi="Arial" w:cs="Arial"/>
          <w:sz w:val="24"/>
          <w:szCs w:val="24"/>
        </w:rPr>
        <w:t xml:space="preserve"> and stop and search will interfere </w:t>
      </w:r>
      <w:r w:rsidR="008B57BA" w:rsidRPr="00633A00">
        <w:rPr>
          <w:rFonts w:ascii="Arial" w:hAnsi="Arial" w:cs="Arial"/>
          <w:sz w:val="24"/>
          <w:szCs w:val="24"/>
        </w:rPr>
        <w:t xml:space="preserve">with the </w:t>
      </w:r>
      <w:r w:rsidR="00F9400D" w:rsidRPr="00633A00">
        <w:rPr>
          <w:rFonts w:ascii="Arial" w:hAnsi="Arial" w:cs="Arial"/>
          <w:sz w:val="24"/>
          <w:szCs w:val="24"/>
        </w:rPr>
        <w:t>community’s</w:t>
      </w:r>
      <w:r w:rsidR="008D092C" w:rsidRPr="00633A00">
        <w:rPr>
          <w:rFonts w:ascii="Arial" w:hAnsi="Arial" w:cs="Arial"/>
          <w:sz w:val="24"/>
          <w:szCs w:val="24"/>
        </w:rPr>
        <w:t xml:space="preserve"> civil </w:t>
      </w:r>
      <w:r w:rsidR="002409D2" w:rsidRPr="00633A00">
        <w:rPr>
          <w:rFonts w:ascii="Arial" w:hAnsi="Arial" w:cs="Arial"/>
          <w:sz w:val="24"/>
          <w:szCs w:val="24"/>
        </w:rPr>
        <w:t>authorities</w:t>
      </w:r>
      <w:r w:rsidR="008D092C" w:rsidRPr="00633A00">
        <w:rPr>
          <w:rFonts w:ascii="Arial" w:hAnsi="Arial" w:cs="Arial"/>
          <w:sz w:val="24"/>
          <w:szCs w:val="24"/>
        </w:rPr>
        <w:t xml:space="preserve">. </w:t>
      </w:r>
      <w:r w:rsidR="00F9400D" w:rsidRPr="00633A00">
        <w:rPr>
          <w:rFonts w:ascii="Arial" w:hAnsi="Arial" w:cs="Arial"/>
          <w:sz w:val="24"/>
          <w:szCs w:val="24"/>
        </w:rPr>
        <w:t>To attain this stability among the people and the police the PACE act allowed the police to know their limitations and powers required to operate effectively</w:t>
      </w:r>
      <w:r w:rsidR="00725236" w:rsidRPr="00633A00">
        <w:rPr>
          <w:rFonts w:ascii="Arial" w:hAnsi="Arial" w:cs="Arial"/>
          <w:sz w:val="24"/>
          <w:szCs w:val="24"/>
        </w:rPr>
        <w:t xml:space="preserve"> while keeping the encroachment of an individual’s human rights to a bare minimum. </w:t>
      </w:r>
      <w:r w:rsidR="00C3006E" w:rsidRPr="00633A00">
        <w:rPr>
          <w:rFonts w:ascii="Arial" w:hAnsi="Arial" w:cs="Arial"/>
          <w:sz w:val="24"/>
          <w:szCs w:val="24"/>
        </w:rPr>
        <w:t>The Police and Criminal Evidence Act 1984 was created to deal with these basic challenges.</w:t>
      </w:r>
      <w:r w:rsidR="000C5FAD" w:rsidRPr="00633A00">
        <w:rPr>
          <w:rFonts w:ascii="Arial" w:hAnsi="Arial" w:cs="Arial"/>
          <w:sz w:val="24"/>
          <w:szCs w:val="24"/>
        </w:rPr>
        <w:t xml:space="preserve"> PACE is a substantial portion of the criminal justice system for the victim, defendant and police. Despite this there are still issues </w:t>
      </w:r>
      <w:r w:rsidR="00B41CE3" w:rsidRPr="00633A00">
        <w:rPr>
          <w:rFonts w:ascii="Arial" w:hAnsi="Arial" w:cs="Arial"/>
          <w:sz w:val="24"/>
          <w:szCs w:val="24"/>
        </w:rPr>
        <w:t xml:space="preserve">regarding the legislature in relation to the powers the police obtain particularly in light of current political and social developments. </w:t>
      </w:r>
      <w:r w:rsidR="002341FE" w:rsidRPr="00633A00">
        <w:rPr>
          <w:rFonts w:ascii="Arial" w:hAnsi="Arial" w:cs="Arial"/>
          <w:sz w:val="24"/>
          <w:szCs w:val="24"/>
        </w:rPr>
        <w:t>Numerous</w:t>
      </w:r>
      <w:r w:rsidR="00DC140A">
        <w:rPr>
          <w:rFonts w:ascii="Arial" w:hAnsi="Arial" w:cs="Arial"/>
          <w:sz w:val="24"/>
          <w:szCs w:val="24"/>
        </w:rPr>
        <w:t xml:space="preserve"> people</w:t>
      </w:r>
      <w:r w:rsidR="002341FE" w:rsidRPr="00633A00">
        <w:rPr>
          <w:rFonts w:ascii="Arial" w:hAnsi="Arial" w:cs="Arial"/>
          <w:sz w:val="24"/>
          <w:szCs w:val="24"/>
        </w:rPr>
        <w:t xml:space="preserve"> additionally question whether or not the </w:t>
      </w:r>
      <w:r w:rsidR="002377C7" w:rsidRPr="00633A00">
        <w:rPr>
          <w:rFonts w:ascii="Arial" w:hAnsi="Arial" w:cs="Arial"/>
          <w:sz w:val="24"/>
          <w:szCs w:val="24"/>
        </w:rPr>
        <w:t>victim’s</w:t>
      </w:r>
      <w:r w:rsidR="002341FE" w:rsidRPr="00633A00">
        <w:rPr>
          <w:rFonts w:ascii="Arial" w:hAnsi="Arial" w:cs="Arial"/>
          <w:sz w:val="24"/>
          <w:szCs w:val="24"/>
        </w:rPr>
        <w:t xml:space="preserve"> interests are reassured by the PACE act</w:t>
      </w:r>
      <w:r w:rsidR="0014249A" w:rsidRPr="00633A00">
        <w:rPr>
          <w:rFonts w:ascii="Arial" w:hAnsi="Arial" w:cs="Arial"/>
          <w:sz w:val="24"/>
          <w:szCs w:val="24"/>
        </w:rPr>
        <w:t xml:space="preserve"> (Benz, 2012).</w:t>
      </w:r>
    </w:p>
    <w:p w14:paraId="3F348CF1" w14:textId="4EE5ECC2" w:rsidR="00F708B0" w:rsidRPr="00633A00" w:rsidRDefault="00F708B0" w:rsidP="00633A00">
      <w:pPr>
        <w:spacing w:line="360" w:lineRule="auto"/>
        <w:rPr>
          <w:rFonts w:ascii="Arial" w:hAnsi="Arial" w:cs="Arial"/>
          <w:sz w:val="24"/>
          <w:szCs w:val="24"/>
        </w:rPr>
      </w:pPr>
      <w:r w:rsidRPr="00633A00">
        <w:rPr>
          <w:rFonts w:ascii="Arial" w:hAnsi="Arial" w:cs="Arial"/>
          <w:sz w:val="24"/>
          <w:szCs w:val="24"/>
        </w:rPr>
        <w:t xml:space="preserve">On the other hand, various members of the community have </w:t>
      </w:r>
      <w:r w:rsidR="00AC00F8" w:rsidRPr="00633A00">
        <w:rPr>
          <w:rFonts w:ascii="Arial" w:hAnsi="Arial" w:cs="Arial"/>
          <w:sz w:val="24"/>
          <w:szCs w:val="24"/>
        </w:rPr>
        <w:t>an</w:t>
      </w:r>
      <w:r w:rsidRPr="00633A00">
        <w:rPr>
          <w:rFonts w:ascii="Arial" w:hAnsi="Arial" w:cs="Arial"/>
          <w:sz w:val="24"/>
          <w:szCs w:val="24"/>
        </w:rPr>
        <w:t xml:space="preserve"> enormous amount of appreciation and respect for the PACE act as it stands and believe it does prevent miscarriages of justice. Nonetheless, others argue that the framework and arrangement of the act could be amended to some extent. There was acknowledgment that particular police powers could be improved</w:t>
      </w:r>
      <w:r w:rsidR="008F6EA1" w:rsidRPr="00633A00">
        <w:rPr>
          <w:rFonts w:ascii="Arial" w:hAnsi="Arial" w:cs="Arial"/>
          <w:sz w:val="24"/>
          <w:szCs w:val="24"/>
        </w:rPr>
        <w:t xml:space="preserve"> (Home Office, 2008). </w:t>
      </w:r>
      <w:r w:rsidR="004F4CEA" w:rsidRPr="00633A00">
        <w:rPr>
          <w:rFonts w:ascii="Arial" w:hAnsi="Arial" w:cs="Arial"/>
          <w:sz w:val="24"/>
          <w:szCs w:val="24"/>
        </w:rPr>
        <w:t>In section one hundred and seventeen of PACE it offers the assigned criminal investigative officers with the power to use sufficient force if exercising a power authorized by PACE such as a detention or a stop and search. This could be seen as an advantage of the Police and Criminal Evidence act since it can lessen the challenge for police officers carrying out these tasks when dealing with problematic individuals</w:t>
      </w:r>
      <w:r w:rsidR="00D15B6E" w:rsidRPr="00633A00">
        <w:rPr>
          <w:rFonts w:ascii="Arial" w:hAnsi="Arial" w:cs="Arial"/>
          <w:sz w:val="24"/>
          <w:szCs w:val="24"/>
        </w:rPr>
        <w:t xml:space="preserve"> (Home Office, 2017). </w:t>
      </w:r>
    </w:p>
    <w:p w14:paraId="5E0FDF9A" w14:textId="1BD2A768" w:rsidR="006C1C3F" w:rsidRPr="00633A00" w:rsidRDefault="00DC6D7A" w:rsidP="00633A00">
      <w:pPr>
        <w:spacing w:line="360" w:lineRule="auto"/>
        <w:rPr>
          <w:rFonts w:ascii="Arial" w:hAnsi="Arial" w:cs="Arial"/>
          <w:iCs/>
          <w:sz w:val="24"/>
          <w:szCs w:val="24"/>
        </w:rPr>
      </w:pPr>
      <w:r w:rsidRPr="00633A00">
        <w:rPr>
          <w:rFonts w:ascii="Arial" w:hAnsi="Arial" w:cs="Arial"/>
          <w:sz w:val="24"/>
          <w:szCs w:val="24"/>
        </w:rPr>
        <w:t xml:space="preserve">A miscarriage of justice can be a direct consequence </w:t>
      </w:r>
      <w:r w:rsidR="00042BE0" w:rsidRPr="00633A00">
        <w:rPr>
          <w:rFonts w:ascii="Arial" w:hAnsi="Arial" w:cs="Arial"/>
          <w:sz w:val="24"/>
          <w:szCs w:val="24"/>
        </w:rPr>
        <w:t>of numerous things such as fabrication of evidence, poor identification, non-disclosure of evidence</w:t>
      </w:r>
      <w:r w:rsidR="00A05B98" w:rsidRPr="00633A00">
        <w:rPr>
          <w:rFonts w:ascii="Arial" w:hAnsi="Arial" w:cs="Arial"/>
          <w:sz w:val="24"/>
          <w:szCs w:val="24"/>
        </w:rPr>
        <w:t xml:space="preserve">, unreliable admissions from defendants through force by police, psychological uncertainty or misdirection during trial by a judge. The Police and Criminal Evidence Act gave the police force guidelines in accordance to dealing with victims and suspects </w:t>
      </w:r>
      <w:r w:rsidR="00A05B98" w:rsidRPr="00633A00">
        <w:rPr>
          <w:rFonts w:ascii="Arial" w:hAnsi="Arial" w:cs="Arial"/>
          <w:iCs/>
          <w:sz w:val="24"/>
          <w:szCs w:val="24"/>
        </w:rPr>
        <w:t xml:space="preserve">(BBC, 2019). </w:t>
      </w:r>
      <w:r w:rsidR="00297B31" w:rsidRPr="00633A00">
        <w:rPr>
          <w:rFonts w:ascii="Arial" w:hAnsi="Arial" w:cs="Arial"/>
          <w:iCs/>
          <w:sz w:val="24"/>
          <w:szCs w:val="24"/>
        </w:rPr>
        <w:t xml:space="preserve">PACE has been formerly notorious to criticism by public libertarians but has been at the forefront of withstanding the contemporary values of equality between the police and the community. Prior to the Police and Criminal Evidence act the legislation in place to protect defendants were disjointed and inaccurate which led to countless mistakes being made resulting in a bigger risk of unjust convictions classically </w:t>
      </w:r>
      <w:r w:rsidR="00FE59CF" w:rsidRPr="00633A00">
        <w:rPr>
          <w:rFonts w:ascii="Arial" w:hAnsi="Arial" w:cs="Arial"/>
          <w:iCs/>
          <w:sz w:val="24"/>
          <w:szCs w:val="24"/>
        </w:rPr>
        <w:t xml:space="preserve">based upon forced confessions (Elks, 2008). </w:t>
      </w:r>
      <w:r w:rsidR="006C1C3F" w:rsidRPr="00633A00">
        <w:rPr>
          <w:rFonts w:ascii="Arial" w:hAnsi="Arial" w:cs="Arial"/>
          <w:iCs/>
          <w:sz w:val="24"/>
          <w:szCs w:val="24"/>
        </w:rPr>
        <w:t xml:space="preserve">There have been a range of </w:t>
      </w:r>
      <w:r w:rsidR="006C1C3F" w:rsidRPr="00633A00">
        <w:rPr>
          <w:rFonts w:ascii="Arial" w:hAnsi="Arial" w:cs="Arial"/>
          <w:iCs/>
          <w:sz w:val="24"/>
          <w:szCs w:val="24"/>
        </w:rPr>
        <w:lastRenderedPageBreak/>
        <w:t>broadly publicised miscarriages of justice cases such as The Guildford</w:t>
      </w:r>
      <w:r w:rsidR="0023599D" w:rsidRPr="00633A00">
        <w:rPr>
          <w:rFonts w:ascii="Arial" w:hAnsi="Arial" w:cs="Arial"/>
          <w:iCs/>
          <w:sz w:val="24"/>
          <w:szCs w:val="24"/>
        </w:rPr>
        <w:t xml:space="preserve"> </w:t>
      </w:r>
      <w:r w:rsidR="00D8600A" w:rsidRPr="00633A00">
        <w:rPr>
          <w:rFonts w:ascii="Arial" w:hAnsi="Arial" w:cs="Arial"/>
          <w:iCs/>
          <w:sz w:val="24"/>
          <w:szCs w:val="24"/>
        </w:rPr>
        <w:t>Four, Birmingham Six and the Mag</w:t>
      </w:r>
      <w:r w:rsidR="006C1C3F" w:rsidRPr="00633A00">
        <w:rPr>
          <w:rFonts w:ascii="Arial" w:hAnsi="Arial" w:cs="Arial"/>
          <w:iCs/>
          <w:sz w:val="24"/>
          <w:szCs w:val="24"/>
        </w:rPr>
        <w:t xml:space="preserve">uire Seven. Many people consider a pre-PACE world to be the </w:t>
      </w:r>
      <w:r w:rsidR="004741D0" w:rsidRPr="00633A00">
        <w:rPr>
          <w:rFonts w:ascii="Arial" w:hAnsi="Arial" w:cs="Arial"/>
          <w:iCs/>
          <w:sz w:val="24"/>
          <w:szCs w:val="24"/>
        </w:rPr>
        <w:t>grounds</w:t>
      </w:r>
      <w:r w:rsidR="006C1C3F" w:rsidRPr="00633A00">
        <w:rPr>
          <w:rFonts w:ascii="Arial" w:hAnsi="Arial" w:cs="Arial"/>
          <w:iCs/>
          <w:sz w:val="24"/>
          <w:szCs w:val="24"/>
        </w:rPr>
        <w:t xml:space="preserve"> behind these miscarriages of </w:t>
      </w:r>
      <w:r w:rsidR="00AC00F8" w:rsidRPr="00633A00">
        <w:rPr>
          <w:rFonts w:ascii="Arial" w:hAnsi="Arial" w:cs="Arial"/>
          <w:iCs/>
          <w:sz w:val="24"/>
          <w:szCs w:val="24"/>
        </w:rPr>
        <w:t>justice,</w:t>
      </w:r>
      <w:r w:rsidR="006C1C3F" w:rsidRPr="00633A00">
        <w:rPr>
          <w:rFonts w:ascii="Arial" w:hAnsi="Arial" w:cs="Arial"/>
          <w:iCs/>
          <w:sz w:val="24"/>
          <w:szCs w:val="24"/>
        </w:rPr>
        <w:t xml:space="preserve"> but others argue this is too </w:t>
      </w:r>
      <w:r w:rsidR="004741D0" w:rsidRPr="00633A00">
        <w:rPr>
          <w:rFonts w:ascii="Arial" w:hAnsi="Arial" w:cs="Arial"/>
          <w:iCs/>
          <w:sz w:val="24"/>
          <w:szCs w:val="24"/>
        </w:rPr>
        <w:t xml:space="preserve">straightforward as the investigation of a crime is </w:t>
      </w:r>
      <w:r w:rsidR="00AB56A5" w:rsidRPr="00633A00">
        <w:rPr>
          <w:rFonts w:ascii="Arial" w:hAnsi="Arial" w:cs="Arial"/>
          <w:iCs/>
          <w:sz w:val="24"/>
          <w:szCs w:val="24"/>
        </w:rPr>
        <w:t>merely</w:t>
      </w:r>
      <w:r w:rsidR="004741D0" w:rsidRPr="00633A00">
        <w:rPr>
          <w:rFonts w:ascii="Arial" w:hAnsi="Arial" w:cs="Arial"/>
          <w:iCs/>
          <w:sz w:val="24"/>
          <w:szCs w:val="24"/>
        </w:rPr>
        <w:t xml:space="preserve"> one small </w:t>
      </w:r>
      <w:r w:rsidR="00AB56A5" w:rsidRPr="00633A00">
        <w:rPr>
          <w:rFonts w:ascii="Arial" w:hAnsi="Arial" w:cs="Arial"/>
          <w:iCs/>
          <w:sz w:val="24"/>
          <w:szCs w:val="24"/>
        </w:rPr>
        <w:t>piece</w:t>
      </w:r>
      <w:r w:rsidR="004741D0" w:rsidRPr="00633A00">
        <w:rPr>
          <w:rFonts w:ascii="Arial" w:hAnsi="Arial" w:cs="Arial"/>
          <w:iCs/>
          <w:sz w:val="24"/>
          <w:szCs w:val="24"/>
        </w:rPr>
        <w:t xml:space="preserve"> of the criminal justice </w:t>
      </w:r>
      <w:r w:rsidR="00AB56A5" w:rsidRPr="00633A00">
        <w:rPr>
          <w:rFonts w:ascii="Arial" w:hAnsi="Arial" w:cs="Arial"/>
          <w:iCs/>
          <w:sz w:val="24"/>
          <w:szCs w:val="24"/>
        </w:rPr>
        <w:t xml:space="preserve">structure (Evans, 1993). </w:t>
      </w:r>
    </w:p>
    <w:p w14:paraId="2201FFEC" w14:textId="1F5BE8B6" w:rsidR="00D8600A" w:rsidRPr="00633A00" w:rsidRDefault="00D8600A" w:rsidP="00633A00">
      <w:pPr>
        <w:spacing w:line="360" w:lineRule="auto"/>
        <w:rPr>
          <w:rFonts w:ascii="Arial" w:hAnsi="Arial" w:cs="Arial"/>
          <w:iCs/>
          <w:sz w:val="24"/>
          <w:szCs w:val="24"/>
        </w:rPr>
      </w:pPr>
      <w:r w:rsidRPr="00633A00">
        <w:rPr>
          <w:rFonts w:ascii="Arial" w:hAnsi="Arial" w:cs="Arial"/>
          <w:iCs/>
          <w:sz w:val="24"/>
          <w:szCs w:val="24"/>
        </w:rPr>
        <w:t xml:space="preserve">The Maguire family were a family of four who were mistakenly convicted for two IRA bombings in 1974. The family consisted of parents Annie and Patrick and two sons named Vincent and Patrick aged sixteen and thirteen, all of whom were arrested in suspicion of association in the Guildford attacks. </w:t>
      </w:r>
      <w:r w:rsidR="00EC66F3" w:rsidRPr="00633A00">
        <w:rPr>
          <w:rFonts w:ascii="Arial" w:hAnsi="Arial" w:cs="Arial"/>
          <w:iCs/>
          <w:sz w:val="24"/>
          <w:szCs w:val="24"/>
        </w:rPr>
        <w:t xml:space="preserve">Seven individuals were convicted as well as Annie and her husband who were sentenced to fourteen years each, their children who were jailed for five years, Anne Maguire’s brother named Sean Smyth, a family </w:t>
      </w:r>
      <w:r w:rsidR="00676297" w:rsidRPr="00633A00">
        <w:rPr>
          <w:rFonts w:ascii="Arial" w:hAnsi="Arial" w:cs="Arial"/>
          <w:iCs/>
          <w:sz w:val="24"/>
          <w:szCs w:val="24"/>
        </w:rPr>
        <w:t>acquaintance</w:t>
      </w:r>
      <w:r w:rsidR="00EC66F3" w:rsidRPr="00633A00">
        <w:rPr>
          <w:rFonts w:ascii="Arial" w:hAnsi="Arial" w:cs="Arial"/>
          <w:iCs/>
          <w:sz w:val="24"/>
          <w:szCs w:val="24"/>
        </w:rPr>
        <w:t xml:space="preserve"> and her brother in law Guiseppe Conlon were all impris</w:t>
      </w:r>
      <w:r w:rsidR="007F4B69" w:rsidRPr="00633A00">
        <w:rPr>
          <w:rFonts w:ascii="Arial" w:hAnsi="Arial" w:cs="Arial"/>
          <w:iCs/>
          <w:sz w:val="24"/>
          <w:szCs w:val="24"/>
        </w:rPr>
        <w:t xml:space="preserve">oned for </w:t>
      </w:r>
      <w:r w:rsidR="00AC00F8" w:rsidRPr="00633A00">
        <w:rPr>
          <w:rFonts w:ascii="Arial" w:hAnsi="Arial" w:cs="Arial"/>
          <w:iCs/>
          <w:sz w:val="24"/>
          <w:szCs w:val="24"/>
        </w:rPr>
        <w:t>twelve-year</w:t>
      </w:r>
      <w:r w:rsidR="007F4B69" w:rsidRPr="00633A00">
        <w:rPr>
          <w:rFonts w:ascii="Arial" w:hAnsi="Arial" w:cs="Arial"/>
          <w:iCs/>
          <w:sz w:val="24"/>
          <w:szCs w:val="24"/>
        </w:rPr>
        <w:t xml:space="preserve"> sentences separately (BBC, 2018). </w:t>
      </w:r>
      <w:r w:rsidR="00230D51" w:rsidRPr="00633A00">
        <w:rPr>
          <w:rFonts w:ascii="Arial" w:hAnsi="Arial" w:cs="Arial"/>
          <w:iCs/>
          <w:sz w:val="24"/>
          <w:szCs w:val="24"/>
        </w:rPr>
        <w:t xml:space="preserve">The police investigating the case found no </w:t>
      </w:r>
      <w:r w:rsidR="00512FA3" w:rsidRPr="00633A00">
        <w:rPr>
          <w:rFonts w:ascii="Arial" w:hAnsi="Arial" w:cs="Arial"/>
          <w:iCs/>
          <w:sz w:val="24"/>
          <w:szCs w:val="24"/>
        </w:rPr>
        <w:t>proof</w:t>
      </w:r>
      <w:r w:rsidR="00230D51" w:rsidRPr="00633A00">
        <w:rPr>
          <w:rFonts w:ascii="Arial" w:hAnsi="Arial" w:cs="Arial"/>
          <w:iCs/>
          <w:sz w:val="24"/>
          <w:szCs w:val="24"/>
        </w:rPr>
        <w:t xml:space="preserve"> </w:t>
      </w:r>
      <w:r w:rsidR="00512FA3" w:rsidRPr="00633A00">
        <w:rPr>
          <w:rFonts w:ascii="Arial" w:hAnsi="Arial" w:cs="Arial"/>
          <w:iCs/>
          <w:sz w:val="24"/>
          <w:szCs w:val="24"/>
        </w:rPr>
        <w:t xml:space="preserve">of involvement from any of the seven accused and sentenced. They took swabs samples from beneath the fingernails of the family and using forensic examinations claimed the family had handled the dangerous explosive nitro-glycerine which was afterwards discredited </w:t>
      </w:r>
      <w:r w:rsidR="00671C2A" w:rsidRPr="00633A00">
        <w:rPr>
          <w:rFonts w:ascii="Arial" w:hAnsi="Arial" w:cs="Arial"/>
          <w:iCs/>
          <w:sz w:val="24"/>
          <w:szCs w:val="24"/>
        </w:rPr>
        <w:t xml:space="preserve">in court (Holt, 2010). </w:t>
      </w:r>
    </w:p>
    <w:p w14:paraId="41C3C691" w14:textId="77777777" w:rsidR="001D78CE" w:rsidRPr="00633A00" w:rsidRDefault="001D78CE" w:rsidP="00633A00">
      <w:pPr>
        <w:spacing w:line="360" w:lineRule="auto"/>
        <w:rPr>
          <w:rFonts w:ascii="Arial" w:hAnsi="Arial" w:cs="Arial"/>
          <w:iCs/>
          <w:sz w:val="24"/>
          <w:szCs w:val="24"/>
        </w:rPr>
      </w:pPr>
      <w:r w:rsidRPr="00633A00">
        <w:rPr>
          <w:rFonts w:ascii="Arial" w:hAnsi="Arial" w:cs="Arial"/>
          <w:iCs/>
          <w:sz w:val="24"/>
          <w:szCs w:val="24"/>
        </w:rPr>
        <w:t>T</w:t>
      </w:r>
      <w:r w:rsidR="003C78E5" w:rsidRPr="00633A00">
        <w:rPr>
          <w:rFonts w:ascii="Arial" w:hAnsi="Arial" w:cs="Arial"/>
          <w:iCs/>
          <w:sz w:val="24"/>
          <w:szCs w:val="24"/>
        </w:rPr>
        <w:t xml:space="preserve">he </w:t>
      </w:r>
      <w:r w:rsidR="0069406E" w:rsidRPr="00633A00">
        <w:rPr>
          <w:rFonts w:ascii="Arial" w:hAnsi="Arial" w:cs="Arial"/>
          <w:iCs/>
          <w:sz w:val="24"/>
          <w:szCs w:val="24"/>
        </w:rPr>
        <w:t>Guildford four is another miscarriage of justice in which innocent individuals spent fifteen years in prison for a crime they did not commit. On October the 19</w:t>
      </w:r>
      <w:r w:rsidR="0069406E" w:rsidRPr="00633A00">
        <w:rPr>
          <w:rFonts w:ascii="Arial" w:hAnsi="Arial" w:cs="Arial"/>
          <w:iCs/>
          <w:sz w:val="24"/>
          <w:szCs w:val="24"/>
          <w:vertAlign w:val="superscript"/>
        </w:rPr>
        <w:t>th</w:t>
      </w:r>
      <w:r w:rsidR="0069406E" w:rsidRPr="00633A00">
        <w:rPr>
          <w:rFonts w:ascii="Arial" w:hAnsi="Arial" w:cs="Arial"/>
          <w:iCs/>
          <w:sz w:val="24"/>
          <w:szCs w:val="24"/>
        </w:rPr>
        <w:t xml:space="preserve"> 1989 a bomb detonated in an English pub killing five people. It was later reported that the innocently convicted suffered horrendous torment and pressure from the police for information and forced to sign confessions (Hill, 2019). </w:t>
      </w:r>
      <w:r w:rsidR="00D815A2" w:rsidRPr="00633A00">
        <w:rPr>
          <w:rFonts w:ascii="Arial" w:hAnsi="Arial" w:cs="Arial"/>
          <w:iCs/>
          <w:sz w:val="24"/>
          <w:szCs w:val="24"/>
        </w:rPr>
        <w:t xml:space="preserve">Throughout the mid 1970’s there were so many miscarriages of justice in which confessions were fashioned forcefully and ingeniously and those who made the confessions publicized that they had been coerced by equally physical and mental mistreatment from the police. This could perhaps be where PACE </w:t>
      </w:r>
      <w:r w:rsidR="00352DE4" w:rsidRPr="00633A00">
        <w:rPr>
          <w:rFonts w:ascii="Arial" w:hAnsi="Arial" w:cs="Arial"/>
          <w:iCs/>
          <w:sz w:val="24"/>
          <w:szCs w:val="24"/>
        </w:rPr>
        <w:t>stems from which are</w:t>
      </w:r>
      <w:r w:rsidR="00D815A2" w:rsidRPr="00633A00">
        <w:rPr>
          <w:rFonts w:ascii="Arial" w:hAnsi="Arial" w:cs="Arial"/>
          <w:iCs/>
          <w:sz w:val="24"/>
          <w:szCs w:val="24"/>
        </w:rPr>
        <w:t xml:space="preserve"> what numerous individuals </w:t>
      </w:r>
      <w:r w:rsidR="00EC227D" w:rsidRPr="00633A00">
        <w:rPr>
          <w:rFonts w:ascii="Arial" w:hAnsi="Arial" w:cs="Arial"/>
          <w:iCs/>
          <w:sz w:val="24"/>
          <w:szCs w:val="24"/>
        </w:rPr>
        <w:t>consider</w:t>
      </w:r>
      <w:r w:rsidR="00D815A2" w:rsidRPr="00633A00">
        <w:rPr>
          <w:rFonts w:ascii="Arial" w:hAnsi="Arial" w:cs="Arial"/>
          <w:iCs/>
          <w:sz w:val="24"/>
          <w:szCs w:val="24"/>
        </w:rPr>
        <w:t xml:space="preserve"> (Murphy, 2017). </w:t>
      </w:r>
    </w:p>
    <w:p w14:paraId="0EA58D9C" w14:textId="5B70D1FC" w:rsidR="00F216A2" w:rsidRPr="00633A00" w:rsidRDefault="00F216A2" w:rsidP="00633A00">
      <w:pPr>
        <w:spacing w:line="360" w:lineRule="auto"/>
        <w:rPr>
          <w:rFonts w:ascii="Arial" w:hAnsi="Arial" w:cs="Arial"/>
          <w:iCs/>
          <w:sz w:val="24"/>
          <w:szCs w:val="24"/>
        </w:rPr>
      </w:pPr>
      <w:r w:rsidRPr="00633A00">
        <w:rPr>
          <w:rFonts w:ascii="Arial" w:hAnsi="Arial" w:cs="Arial"/>
          <w:iCs/>
          <w:sz w:val="24"/>
          <w:szCs w:val="24"/>
        </w:rPr>
        <w:t>Lastly, Birmingham Six was the worst terrorist attack the United Kingdom had faced preceding to the 7/7 attacks in London. The bombs detonated in two local town pubs in the city centre on the 21</w:t>
      </w:r>
      <w:r w:rsidRPr="00633A00">
        <w:rPr>
          <w:rFonts w:ascii="Arial" w:hAnsi="Arial" w:cs="Arial"/>
          <w:iCs/>
          <w:sz w:val="24"/>
          <w:szCs w:val="24"/>
          <w:vertAlign w:val="superscript"/>
        </w:rPr>
        <w:t>st</w:t>
      </w:r>
      <w:r w:rsidRPr="00633A00">
        <w:rPr>
          <w:rFonts w:ascii="Arial" w:hAnsi="Arial" w:cs="Arial"/>
          <w:iCs/>
          <w:sz w:val="24"/>
          <w:szCs w:val="24"/>
        </w:rPr>
        <w:t xml:space="preserve"> of November 1974 which resulted in the killing of </w:t>
      </w:r>
      <w:r w:rsidR="00AC00F8" w:rsidRPr="00633A00">
        <w:rPr>
          <w:rFonts w:ascii="Arial" w:hAnsi="Arial" w:cs="Arial"/>
          <w:iCs/>
          <w:sz w:val="24"/>
          <w:szCs w:val="24"/>
        </w:rPr>
        <w:t>twenty-one</w:t>
      </w:r>
      <w:r w:rsidRPr="00633A00">
        <w:rPr>
          <w:rFonts w:ascii="Arial" w:hAnsi="Arial" w:cs="Arial"/>
          <w:iCs/>
          <w:sz w:val="24"/>
          <w:szCs w:val="24"/>
        </w:rPr>
        <w:t xml:space="preserve"> people and the injury of one hundred and </w:t>
      </w:r>
      <w:r w:rsidR="00AC00F8" w:rsidRPr="00633A00">
        <w:rPr>
          <w:rFonts w:ascii="Arial" w:hAnsi="Arial" w:cs="Arial"/>
          <w:iCs/>
          <w:sz w:val="24"/>
          <w:szCs w:val="24"/>
        </w:rPr>
        <w:t>eighty-two</w:t>
      </w:r>
      <w:r w:rsidRPr="00633A00">
        <w:rPr>
          <w:rFonts w:ascii="Arial" w:hAnsi="Arial" w:cs="Arial"/>
          <w:iCs/>
          <w:sz w:val="24"/>
          <w:szCs w:val="24"/>
        </w:rPr>
        <w:t xml:space="preserve"> others. </w:t>
      </w:r>
      <w:r w:rsidR="00093211" w:rsidRPr="00633A00">
        <w:rPr>
          <w:rFonts w:ascii="Arial" w:hAnsi="Arial" w:cs="Arial"/>
          <w:iCs/>
          <w:sz w:val="24"/>
          <w:szCs w:val="24"/>
        </w:rPr>
        <w:t xml:space="preserve">In 1975 six </w:t>
      </w:r>
      <w:r w:rsidR="00093211" w:rsidRPr="00633A00">
        <w:rPr>
          <w:rFonts w:ascii="Arial" w:hAnsi="Arial" w:cs="Arial"/>
          <w:iCs/>
          <w:sz w:val="24"/>
          <w:szCs w:val="24"/>
        </w:rPr>
        <w:lastRenderedPageBreak/>
        <w:t>individual males were found accountable of these attacks and were sentenced to sixteen years imprisonment</w:t>
      </w:r>
      <w:r w:rsidR="004B3008" w:rsidRPr="00633A00">
        <w:rPr>
          <w:rFonts w:ascii="Arial" w:hAnsi="Arial" w:cs="Arial"/>
          <w:iCs/>
          <w:sz w:val="24"/>
          <w:szCs w:val="24"/>
        </w:rPr>
        <w:t xml:space="preserve"> (Payton, 2016). </w:t>
      </w:r>
      <w:r w:rsidR="000C1741" w:rsidRPr="00633A00">
        <w:rPr>
          <w:rFonts w:ascii="Arial" w:hAnsi="Arial" w:cs="Arial"/>
          <w:iCs/>
          <w:sz w:val="24"/>
          <w:szCs w:val="24"/>
        </w:rPr>
        <w:t xml:space="preserve">According to Clifford, 2016; </w:t>
      </w:r>
    </w:p>
    <w:p w14:paraId="0036407D" w14:textId="737C864A" w:rsidR="000C1741" w:rsidRPr="00633A00" w:rsidRDefault="000C1741" w:rsidP="00633A00">
      <w:pPr>
        <w:spacing w:line="360" w:lineRule="auto"/>
        <w:ind w:left="720"/>
        <w:rPr>
          <w:rFonts w:ascii="Arial" w:hAnsi="Arial" w:cs="Arial"/>
          <w:iCs/>
          <w:sz w:val="24"/>
          <w:szCs w:val="24"/>
        </w:rPr>
      </w:pPr>
      <w:r w:rsidRPr="00633A00">
        <w:rPr>
          <w:rFonts w:ascii="Arial" w:hAnsi="Arial" w:cs="Arial"/>
          <w:iCs/>
          <w:sz w:val="24"/>
          <w:szCs w:val="24"/>
        </w:rPr>
        <w:t>The police told us from the start that they knew we hadn’t done it.</w:t>
      </w:r>
      <w:r w:rsidR="004462F9" w:rsidRPr="00633A00">
        <w:rPr>
          <w:rFonts w:ascii="Arial" w:hAnsi="Arial" w:cs="Arial"/>
          <w:iCs/>
          <w:sz w:val="24"/>
          <w:szCs w:val="24"/>
        </w:rPr>
        <w:t xml:space="preserve"> (Accessed </w:t>
      </w:r>
      <w:r w:rsidR="00B3295B" w:rsidRPr="00633A00">
        <w:rPr>
          <w:rFonts w:ascii="Arial" w:hAnsi="Arial" w:cs="Arial"/>
          <w:iCs/>
          <w:sz w:val="24"/>
          <w:szCs w:val="24"/>
        </w:rPr>
        <w:t>5</w:t>
      </w:r>
      <w:r w:rsidR="00B3295B" w:rsidRPr="00633A00">
        <w:rPr>
          <w:rFonts w:ascii="Arial" w:hAnsi="Arial" w:cs="Arial"/>
          <w:iCs/>
          <w:sz w:val="24"/>
          <w:szCs w:val="24"/>
          <w:vertAlign w:val="superscript"/>
        </w:rPr>
        <w:t>th</w:t>
      </w:r>
      <w:r w:rsidR="00B3295B" w:rsidRPr="00633A00">
        <w:rPr>
          <w:rFonts w:ascii="Arial" w:hAnsi="Arial" w:cs="Arial"/>
          <w:iCs/>
          <w:sz w:val="24"/>
          <w:szCs w:val="24"/>
        </w:rPr>
        <w:t xml:space="preserve"> November 2019).</w:t>
      </w:r>
    </w:p>
    <w:p w14:paraId="3C54B255" w14:textId="6F4C247B" w:rsidR="000C1741" w:rsidRPr="00633A00" w:rsidRDefault="000C1741" w:rsidP="00633A00">
      <w:pPr>
        <w:spacing w:line="360" w:lineRule="auto"/>
        <w:rPr>
          <w:rFonts w:ascii="Arial" w:hAnsi="Arial" w:cs="Arial"/>
          <w:iCs/>
          <w:sz w:val="24"/>
          <w:szCs w:val="24"/>
        </w:rPr>
      </w:pPr>
      <w:r w:rsidRPr="00633A00">
        <w:rPr>
          <w:rFonts w:ascii="Arial" w:hAnsi="Arial" w:cs="Arial"/>
          <w:iCs/>
          <w:sz w:val="24"/>
          <w:szCs w:val="24"/>
        </w:rPr>
        <w:t xml:space="preserve">They were furthermore told they were not concerned </w:t>
      </w:r>
      <w:r w:rsidR="00594332">
        <w:rPr>
          <w:rFonts w:ascii="Arial" w:hAnsi="Arial" w:cs="Arial"/>
          <w:iCs/>
          <w:sz w:val="24"/>
          <w:szCs w:val="24"/>
        </w:rPr>
        <w:t xml:space="preserve">with </w:t>
      </w:r>
      <w:r w:rsidRPr="00633A00">
        <w:rPr>
          <w:rFonts w:ascii="Arial" w:hAnsi="Arial" w:cs="Arial"/>
          <w:iCs/>
          <w:sz w:val="24"/>
          <w:szCs w:val="24"/>
        </w:rPr>
        <w:t xml:space="preserve">who had committed these crimes but that they had been chosen and were going to be framed by the police in order to keep the community content. The police were under vast pressure from the public to catch the Birmingham six killers and the selected six were subject to relentless ill-treatment before four of the individuals signed statements confessing and implicating </w:t>
      </w:r>
      <w:r w:rsidR="00024711" w:rsidRPr="00633A00">
        <w:rPr>
          <w:rFonts w:ascii="Arial" w:hAnsi="Arial" w:cs="Arial"/>
          <w:iCs/>
          <w:sz w:val="24"/>
          <w:szCs w:val="24"/>
        </w:rPr>
        <w:t>all six (Clifford, 2016).</w:t>
      </w:r>
      <w:r w:rsidR="00D63503" w:rsidRPr="00633A00">
        <w:rPr>
          <w:rFonts w:ascii="Arial" w:hAnsi="Arial" w:cs="Arial"/>
          <w:iCs/>
          <w:sz w:val="24"/>
          <w:szCs w:val="24"/>
        </w:rPr>
        <w:t xml:space="preserve"> It has now been discovered that on arrest the six men were subjected to ridicule executions, threatened, scalded with cigarettes and beaten. They were evidently bruised and cut when escorted from the police station to the magistrate’s court and solicitors who witnessed this failed to register their wounds. </w:t>
      </w:r>
      <w:r w:rsidR="00F54C15" w:rsidRPr="00633A00">
        <w:rPr>
          <w:rFonts w:ascii="Arial" w:hAnsi="Arial" w:cs="Arial"/>
          <w:iCs/>
          <w:sz w:val="24"/>
          <w:szCs w:val="24"/>
        </w:rPr>
        <w:t xml:space="preserve">Within an hour of being in prison they were attacked by a team of prison officers, the confirmation necessary to establish </w:t>
      </w:r>
      <w:r w:rsidR="00D12130" w:rsidRPr="00633A00">
        <w:rPr>
          <w:rFonts w:ascii="Arial" w:hAnsi="Arial" w:cs="Arial"/>
          <w:iCs/>
          <w:sz w:val="24"/>
          <w:szCs w:val="24"/>
        </w:rPr>
        <w:t xml:space="preserve">in the future that the confessions had been physically forced out of the defendants while in police custody had been obliterated (Peirce, 2011). </w:t>
      </w:r>
    </w:p>
    <w:p w14:paraId="184A4631" w14:textId="7B14129D" w:rsidR="00D634D0" w:rsidRPr="00633A00" w:rsidRDefault="000D4763" w:rsidP="00633A00">
      <w:pPr>
        <w:spacing w:line="360" w:lineRule="auto"/>
        <w:rPr>
          <w:rFonts w:ascii="Arial" w:hAnsi="Arial" w:cs="Arial"/>
          <w:iCs/>
          <w:sz w:val="24"/>
          <w:szCs w:val="24"/>
        </w:rPr>
      </w:pPr>
      <w:r w:rsidRPr="00633A00">
        <w:rPr>
          <w:rFonts w:ascii="Arial" w:hAnsi="Arial" w:cs="Arial"/>
          <w:iCs/>
          <w:sz w:val="24"/>
          <w:szCs w:val="24"/>
        </w:rPr>
        <w:t xml:space="preserve">The Criminal Cases Review Commission (CCRC) was founded in 1997 prior to </w:t>
      </w:r>
      <w:r w:rsidR="005547AE" w:rsidRPr="00633A00">
        <w:rPr>
          <w:rFonts w:ascii="Arial" w:hAnsi="Arial" w:cs="Arial"/>
          <w:iCs/>
          <w:sz w:val="24"/>
          <w:szCs w:val="24"/>
        </w:rPr>
        <w:t>a recommendation of the Royal Commission on Criminal Justice (1993)</w:t>
      </w:r>
      <w:r w:rsidRPr="00633A00">
        <w:rPr>
          <w:rFonts w:ascii="Arial" w:hAnsi="Arial" w:cs="Arial"/>
          <w:iCs/>
          <w:sz w:val="24"/>
          <w:szCs w:val="24"/>
        </w:rPr>
        <w:t xml:space="preserve"> as an independent organisational scheme to examine potential miscarriages of justice. </w:t>
      </w:r>
      <w:r w:rsidR="002134DB" w:rsidRPr="00633A00">
        <w:rPr>
          <w:rFonts w:ascii="Arial" w:hAnsi="Arial" w:cs="Arial"/>
          <w:iCs/>
          <w:sz w:val="24"/>
          <w:szCs w:val="24"/>
        </w:rPr>
        <w:t xml:space="preserve">The CCPC have since then been swarmed with possible miscarriages of justice with reports intensifying to over a thousand a year compared to the eight hundred expected referrals they estimated. Between April 1997 and </w:t>
      </w:r>
      <w:r w:rsidR="00AC00F8" w:rsidRPr="00633A00">
        <w:rPr>
          <w:rFonts w:ascii="Arial" w:hAnsi="Arial" w:cs="Arial"/>
          <w:iCs/>
          <w:sz w:val="24"/>
          <w:szCs w:val="24"/>
        </w:rPr>
        <w:t>April 2007,</w:t>
      </w:r>
      <w:r w:rsidR="002134DB" w:rsidRPr="00633A00">
        <w:rPr>
          <w:rFonts w:ascii="Arial" w:hAnsi="Arial" w:cs="Arial"/>
          <w:iCs/>
          <w:sz w:val="24"/>
          <w:szCs w:val="24"/>
        </w:rPr>
        <w:t xml:space="preserve"> the Criminal Cases Review Commission have received over nine thousand applications which</w:t>
      </w:r>
      <w:r w:rsidR="00F70E9E">
        <w:rPr>
          <w:rFonts w:ascii="Arial" w:hAnsi="Arial" w:cs="Arial"/>
          <w:iCs/>
          <w:sz w:val="24"/>
          <w:szCs w:val="24"/>
        </w:rPr>
        <w:t xml:space="preserve"> </w:t>
      </w:r>
      <w:r w:rsidR="002134DB" w:rsidRPr="00633A00">
        <w:rPr>
          <w:rFonts w:ascii="Arial" w:hAnsi="Arial" w:cs="Arial"/>
          <w:iCs/>
          <w:sz w:val="24"/>
          <w:szCs w:val="24"/>
        </w:rPr>
        <w:t xml:space="preserve">may possibly </w:t>
      </w:r>
      <w:r w:rsidR="00F70E9E">
        <w:rPr>
          <w:rFonts w:ascii="Arial" w:hAnsi="Arial" w:cs="Arial"/>
          <w:iCs/>
          <w:sz w:val="24"/>
          <w:szCs w:val="24"/>
        </w:rPr>
        <w:t xml:space="preserve">lead to </w:t>
      </w:r>
      <w:r w:rsidR="002134DB" w:rsidRPr="00633A00">
        <w:rPr>
          <w:rFonts w:ascii="Arial" w:hAnsi="Arial" w:cs="Arial"/>
          <w:iCs/>
          <w:sz w:val="24"/>
          <w:szCs w:val="24"/>
        </w:rPr>
        <w:t>question</w:t>
      </w:r>
      <w:r w:rsidR="00F70E9E">
        <w:rPr>
          <w:rFonts w:ascii="Arial" w:hAnsi="Arial" w:cs="Arial"/>
          <w:iCs/>
          <w:sz w:val="24"/>
          <w:szCs w:val="24"/>
        </w:rPr>
        <w:t>s</w:t>
      </w:r>
      <w:r w:rsidR="002134DB" w:rsidRPr="00633A00">
        <w:rPr>
          <w:rFonts w:ascii="Arial" w:hAnsi="Arial" w:cs="Arial"/>
          <w:iCs/>
          <w:sz w:val="24"/>
          <w:szCs w:val="24"/>
        </w:rPr>
        <w:t xml:space="preserve"> as to whether or not the PACE act is effective as this could be confirmation that it is not and has various boundaries</w:t>
      </w:r>
      <w:r w:rsidR="00D634D0" w:rsidRPr="00633A00">
        <w:rPr>
          <w:rFonts w:ascii="Arial" w:hAnsi="Arial" w:cs="Arial"/>
          <w:iCs/>
          <w:sz w:val="24"/>
          <w:szCs w:val="24"/>
        </w:rPr>
        <w:t xml:space="preserve"> (Eady, 2009). According to the Criminal Cases Review Commission, 2019; </w:t>
      </w:r>
    </w:p>
    <w:p w14:paraId="74738975" w14:textId="190AF00E" w:rsidR="00FC3CF5" w:rsidRPr="00633A00" w:rsidRDefault="00D634D0" w:rsidP="00633A00">
      <w:pPr>
        <w:spacing w:line="360" w:lineRule="auto"/>
        <w:ind w:left="720"/>
        <w:rPr>
          <w:rFonts w:ascii="Arial" w:hAnsi="Arial" w:cs="Arial"/>
          <w:iCs/>
          <w:sz w:val="24"/>
          <w:szCs w:val="24"/>
        </w:rPr>
      </w:pPr>
      <w:r w:rsidRPr="00633A00">
        <w:rPr>
          <w:rFonts w:ascii="Arial" w:hAnsi="Arial" w:cs="Arial"/>
          <w:iCs/>
          <w:sz w:val="24"/>
          <w:szCs w:val="24"/>
        </w:rPr>
        <w:t>We have the power to refer criminal cases back to an appeal court for a fresh appeal and, if we do, the appeal court must hear the appeal</w:t>
      </w:r>
      <w:r w:rsidR="00B3295B" w:rsidRPr="00633A00">
        <w:rPr>
          <w:rFonts w:ascii="Arial" w:hAnsi="Arial" w:cs="Arial"/>
          <w:iCs/>
          <w:sz w:val="24"/>
          <w:szCs w:val="24"/>
        </w:rPr>
        <w:t xml:space="preserve"> (Accessed 7</w:t>
      </w:r>
      <w:r w:rsidR="00B3295B" w:rsidRPr="00633A00">
        <w:rPr>
          <w:rFonts w:ascii="Arial" w:hAnsi="Arial" w:cs="Arial"/>
          <w:iCs/>
          <w:sz w:val="24"/>
          <w:szCs w:val="24"/>
          <w:vertAlign w:val="superscript"/>
        </w:rPr>
        <w:t>th</w:t>
      </w:r>
      <w:r w:rsidR="00B3295B" w:rsidRPr="00633A00">
        <w:rPr>
          <w:rFonts w:ascii="Arial" w:hAnsi="Arial" w:cs="Arial"/>
          <w:iCs/>
          <w:sz w:val="24"/>
          <w:szCs w:val="24"/>
        </w:rPr>
        <w:t xml:space="preserve"> November 2019). </w:t>
      </w:r>
    </w:p>
    <w:p w14:paraId="37276DA1" w14:textId="77777777" w:rsidR="000371AF" w:rsidRDefault="00157AF6" w:rsidP="00633A00">
      <w:pPr>
        <w:spacing w:line="360" w:lineRule="auto"/>
        <w:rPr>
          <w:rFonts w:ascii="Arial" w:hAnsi="Arial" w:cs="Arial"/>
          <w:iCs/>
          <w:sz w:val="24"/>
          <w:szCs w:val="24"/>
        </w:rPr>
      </w:pPr>
      <w:r w:rsidRPr="00633A00">
        <w:rPr>
          <w:rFonts w:ascii="Arial" w:hAnsi="Arial" w:cs="Arial"/>
          <w:iCs/>
          <w:sz w:val="24"/>
          <w:szCs w:val="24"/>
        </w:rPr>
        <w:t xml:space="preserve">In conclusion there have not been a lot of amendments made to the Police and Criminal Evidence Act since it was established and put into place in 1984 but </w:t>
      </w:r>
      <w:r w:rsidRPr="00633A00">
        <w:rPr>
          <w:rFonts w:ascii="Arial" w:hAnsi="Arial" w:cs="Arial"/>
          <w:iCs/>
          <w:sz w:val="24"/>
          <w:szCs w:val="24"/>
        </w:rPr>
        <w:lastRenderedPageBreak/>
        <w:t xml:space="preserve">throughout 2019 there have been two key alterations to the stop and search procedures. Police forces around the United Kingdom have been </w:t>
      </w:r>
      <w:r w:rsidR="001F4606" w:rsidRPr="00633A00">
        <w:rPr>
          <w:rFonts w:ascii="Arial" w:hAnsi="Arial" w:cs="Arial"/>
          <w:iCs/>
          <w:sz w:val="24"/>
          <w:szCs w:val="24"/>
        </w:rPr>
        <w:t>instructed</w:t>
      </w:r>
      <w:r w:rsidRPr="00633A00">
        <w:rPr>
          <w:rFonts w:ascii="Arial" w:hAnsi="Arial" w:cs="Arial"/>
          <w:iCs/>
          <w:sz w:val="24"/>
          <w:szCs w:val="24"/>
        </w:rPr>
        <w:t xml:space="preserve"> not to </w:t>
      </w:r>
      <w:r w:rsidR="001F4606" w:rsidRPr="00633A00">
        <w:rPr>
          <w:rFonts w:ascii="Arial" w:hAnsi="Arial" w:cs="Arial"/>
          <w:iCs/>
          <w:sz w:val="24"/>
          <w:szCs w:val="24"/>
        </w:rPr>
        <w:t>adhere to</w:t>
      </w:r>
      <w:r w:rsidRPr="00633A00">
        <w:rPr>
          <w:rFonts w:ascii="Arial" w:hAnsi="Arial" w:cs="Arial"/>
          <w:iCs/>
          <w:sz w:val="24"/>
          <w:szCs w:val="24"/>
        </w:rPr>
        <w:t xml:space="preserve"> </w:t>
      </w:r>
      <w:r w:rsidR="001F4606" w:rsidRPr="00633A00">
        <w:rPr>
          <w:rFonts w:ascii="Arial" w:hAnsi="Arial" w:cs="Arial"/>
          <w:iCs/>
          <w:sz w:val="24"/>
          <w:szCs w:val="24"/>
        </w:rPr>
        <w:t>Best Use of Stop and Search Scheme or more commonly recognised as BUSSS and their guidance on no suspicion examinations. The College of Policing are additionally re-drafting their direction on integration and interaction for stop and searches. The UK Government have contended that these adjustments are vital in assisting the police in confronting aggressive offenses</w:t>
      </w:r>
      <w:r w:rsidR="0065243A" w:rsidRPr="00633A00">
        <w:rPr>
          <w:rFonts w:ascii="Arial" w:hAnsi="Arial" w:cs="Arial"/>
          <w:iCs/>
          <w:sz w:val="24"/>
          <w:szCs w:val="24"/>
        </w:rPr>
        <w:t xml:space="preserve"> (Brown, 2019)</w:t>
      </w:r>
      <w:r w:rsidR="000371AF">
        <w:rPr>
          <w:rFonts w:ascii="Arial" w:hAnsi="Arial" w:cs="Arial"/>
          <w:iCs/>
          <w:sz w:val="24"/>
          <w:szCs w:val="24"/>
        </w:rPr>
        <w:t>.</w:t>
      </w:r>
    </w:p>
    <w:p w14:paraId="2FC45E31" w14:textId="77777777" w:rsidR="000371AF" w:rsidRDefault="000371AF" w:rsidP="00633A00">
      <w:pPr>
        <w:spacing w:line="360" w:lineRule="auto"/>
        <w:rPr>
          <w:rFonts w:ascii="Arial" w:hAnsi="Arial" w:cs="Arial"/>
          <w:iCs/>
          <w:sz w:val="24"/>
          <w:szCs w:val="24"/>
        </w:rPr>
      </w:pPr>
    </w:p>
    <w:p w14:paraId="0A302477" w14:textId="77777777" w:rsidR="000371AF" w:rsidRDefault="000371AF" w:rsidP="00633A00">
      <w:pPr>
        <w:spacing w:line="360" w:lineRule="auto"/>
        <w:rPr>
          <w:rFonts w:ascii="Arial" w:hAnsi="Arial" w:cs="Arial"/>
          <w:iCs/>
          <w:sz w:val="24"/>
          <w:szCs w:val="24"/>
        </w:rPr>
      </w:pPr>
    </w:p>
    <w:p w14:paraId="64315907" w14:textId="77777777" w:rsidR="000371AF" w:rsidRDefault="000371AF" w:rsidP="00633A00">
      <w:pPr>
        <w:spacing w:line="360" w:lineRule="auto"/>
        <w:rPr>
          <w:rFonts w:ascii="Arial" w:hAnsi="Arial" w:cs="Arial"/>
          <w:iCs/>
          <w:sz w:val="24"/>
          <w:szCs w:val="24"/>
        </w:rPr>
      </w:pPr>
    </w:p>
    <w:p w14:paraId="01AE5A09" w14:textId="77777777" w:rsidR="000371AF" w:rsidRDefault="000371AF" w:rsidP="00633A00">
      <w:pPr>
        <w:spacing w:line="360" w:lineRule="auto"/>
        <w:rPr>
          <w:rFonts w:ascii="Arial" w:hAnsi="Arial" w:cs="Arial"/>
          <w:iCs/>
          <w:sz w:val="24"/>
          <w:szCs w:val="24"/>
        </w:rPr>
      </w:pPr>
    </w:p>
    <w:p w14:paraId="3293D765" w14:textId="77777777" w:rsidR="000371AF" w:rsidRDefault="000371AF" w:rsidP="00633A00">
      <w:pPr>
        <w:spacing w:line="360" w:lineRule="auto"/>
        <w:rPr>
          <w:rFonts w:ascii="Arial" w:hAnsi="Arial" w:cs="Arial"/>
          <w:iCs/>
          <w:sz w:val="24"/>
          <w:szCs w:val="24"/>
        </w:rPr>
      </w:pPr>
    </w:p>
    <w:p w14:paraId="5D4F52EF" w14:textId="77777777" w:rsidR="000371AF" w:rsidRDefault="000371AF" w:rsidP="00633A00">
      <w:pPr>
        <w:spacing w:line="360" w:lineRule="auto"/>
        <w:rPr>
          <w:rFonts w:ascii="Arial" w:hAnsi="Arial" w:cs="Arial"/>
          <w:iCs/>
          <w:sz w:val="24"/>
          <w:szCs w:val="24"/>
        </w:rPr>
      </w:pPr>
    </w:p>
    <w:p w14:paraId="395C8757" w14:textId="77777777" w:rsidR="000371AF" w:rsidRDefault="000371AF" w:rsidP="00633A00">
      <w:pPr>
        <w:spacing w:line="360" w:lineRule="auto"/>
        <w:rPr>
          <w:rFonts w:ascii="Arial" w:hAnsi="Arial" w:cs="Arial"/>
          <w:iCs/>
          <w:sz w:val="24"/>
          <w:szCs w:val="24"/>
        </w:rPr>
      </w:pPr>
    </w:p>
    <w:p w14:paraId="5BBC71C7" w14:textId="77777777" w:rsidR="000371AF" w:rsidRDefault="000371AF" w:rsidP="00633A00">
      <w:pPr>
        <w:spacing w:line="360" w:lineRule="auto"/>
        <w:rPr>
          <w:rFonts w:ascii="Arial" w:hAnsi="Arial" w:cs="Arial"/>
          <w:iCs/>
          <w:sz w:val="24"/>
          <w:szCs w:val="24"/>
        </w:rPr>
      </w:pPr>
    </w:p>
    <w:p w14:paraId="457ED362" w14:textId="77777777" w:rsidR="000371AF" w:rsidRDefault="000371AF" w:rsidP="00633A00">
      <w:pPr>
        <w:spacing w:line="360" w:lineRule="auto"/>
        <w:rPr>
          <w:rFonts w:ascii="Arial" w:hAnsi="Arial" w:cs="Arial"/>
          <w:iCs/>
          <w:sz w:val="24"/>
          <w:szCs w:val="24"/>
        </w:rPr>
      </w:pPr>
    </w:p>
    <w:p w14:paraId="2BA69B84" w14:textId="77777777" w:rsidR="000371AF" w:rsidRDefault="000371AF" w:rsidP="00633A00">
      <w:pPr>
        <w:spacing w:line="360" w:lineRule="auto"/>
        <w:rPr>
          <w:rFonts w:ascii="Arial" w:hAnsi="Arial" w:cs="Arial"/>
          <w:iCs/>
          <w:sz w:val="24"/>
          <w:szCs w:val="24"/>
        </w:rPr>
      </w:pPr>
    </w:p>
    <w:p w14:paraId="358CD710" w14:textId="77777777" w:rsidR="000371AF" w:rsidRDefault="000371AF" w:rsidP="00633A00">
      <w:pPr>
        <w:spacing w:line="360" w:lineRule="auto"/>
        <w:rPr>
          <w:rFonts w:ascii="Arial" w:hAnsi="Arial" w:cs="Arial"/>
          <w:iCs/>
          <w:sz w:val="24"/>
          <w:szCs w:val="24"/>
        </w:rPr>
      </w:pPr>
    </w:p>
    <w:p w14:paraId="1FECA647" w14:textId="77777777" w:rsidR="000371AF" w:rsidRDefault="000371AF" w:rsidP="00633A00">
      <w:pPr>
        <w:spacing w:line="360" w:lineRule="auto"/>
        <w:rPr>
          <w:rFonts w:ascii="Arial" w:hAnsi="Arial" w:cs="Arial"/>
          <w:iCs/>
          <w:sz w:val="24"/>
          <w:szCs w:val="24"/>
        </w:rPr>
      </w:pPr>
    </w:p>
    <w:p w14:paraId="0BF78CCF" w14:textId="77777777" w:rsidR="000371AF" w:rsidRDefault="000371AF" w:rsidP="00633A00">
      <w:pPr>
        <w:spacing w:line="360" w:lineRule="auto"/>
        <w:rPr>
          <w:rFonts w:ascii="Arial" w:hAnsi="Arial" w:cs="Arial"/>
          <w:iCs/>
          <w:sz w:val="24"/>
          <w:szCs w:val="24"/>
        </w:rPr>
      </w:pPr>
    </w:p>
    <w:p w14:paraId="147BB23A" w14:textId="77777777" w:rsidR="000371AF" w:rsidRDefault="000371AF" w:rsidP="00633A00">
      <w:pPr>
        <w:spacing w:line="360" w:lineRule="auto"/>
        <w:rPr>
          <w:rFonts w:ascii="Arial" w:hAnsi="Arial" w:cs="Arial"/>
          <w:iCs/>
          <w:sz w:val="24"/>
          <w:szCs w:val="24"/>
        </w:rPr>
      </w:pPr>
    </w:p>
    <w:p w14:paraId="56E2C487" w14:textId="77777777" w:rsidR="000371AF" w:rsidRDefault="000371AF" w:rsidP="00633A00">
      <w:pPr>
        <w:spacing w:line="360" w:lineRule="auto"/>
        <w:rPr>
          <w:rFonts w:ascii="Arial" w:hAnsi="Arial" w:cs="Arial"/>
          <w:iCs/>
          <w:sz w:val="24"/>
          <w:szCs w:val="24"/>
        </w:rPr>
      </w:pPr>
    </w:p>
    <w:p w14:paraId="3E4C9360" w14:textId="77777777" w:rsidR="000371AF" w:rsidRDefault="000371AF" w:rsidP="00633A00">
      <w:pPr>
        <w:spacing w:line="360" w:lineRule="auto"/>
        <w:rPr>
          <w:rFonts w:ascii="Arial" w:hAnsi="Arial" w:cs="Arial"/>
          <w:iCs/>
          <w:sz w:val="24"/>
          <w:szCs w:val="24"/>
        </w:rPr>
      </w:pPr>
    </w:p>
    <w:p w14:paraId="2089DEE9" w14:textId="77777777" w:rsidR="000371AF" w:rsidRDefault="000371AF" w:rsidP="00633A00">
      <w:pPr>
        <w:spacing w:line="360" w:lineRule="auto"/>
        <w:rPr>
          <w:rFonts w:ascii="Arial" w:hAnsi="Arial" w:cs="Arial"/>
          <w:iCs/>
          <w:sz w:val="24"/>
          <w:szCs w:val="24"/>
        </w:rPr>
      </w:pPr>
    </w:p>
    <w:p w14:paraId="06E8490E" w14:textId="77777777" w:rsidR="000371AF" w:rsidRDefault="000371AF" w:rsidP="00633A00">
      <w:pPr>
        <w:spacing w:line="360" w:lineRule="auto"/>
        <w:rPr>
          <w:rFonts w:ascii="Arial" w:hAnsi="Arial" w:cs="Arial"/>
          <w:iCs/>
          <w:sz w:val="24"/>
          <w:szCs w:val="24"/>
        </w:rPr>
      </w:pPr>
    </w:p>
    <w:p w14:paraId="022ADD56" w14:textId="77777777" w:rsidR="000371AF" w:rsidRDefault="000371AF" w:rsidP="00633A00">
      <w:pPr>
        <w:spacing w:line="360" w:lineRule="auto"/>
        <w:rPr>
          <w:rFonts w:ascii="Arial" w:hAnsi="Arial" w:cs="Arial"/>
          <w:iCs/>
          <w:sz w:val="24"/>
          <w:szCs w:val="24"/>
        </w:rPr>
      </w:pPr>
    </w:p>
    <w:p w14:paraId="6F9FD8BF" w14:textId="77777777" w:rsidR="00F4616F" w:rsidRDefault="00F4616F" w:rsidP="00633A00">
      <w:pPr>
        <w:spacing w:line="360" w:lineRule="auto"/>
        <w:rPr>
          <w:rFonts w:ascii="Arial" w:hAnsi="Arial" w:cs="Arial"/>
          <w:iCs/>
          <w:sz w:val="24"/>
          <w:szCs w:val="24"/>
        </w:rPr>
      </w:pPr>
    </w:p>
    <w:p w14:paraId="444B8FE6" w14:textId="65BF1BF1" w:rsidR="00CC3A26" w:rsidRPr="00633A00" w:rsidRDefault="00CC3A26" w:rsidP="00633A00">
      <w:pPr>
        <w:spacing w:line="360" w:lineRule="auto"/>
        <w:rPr>
          <w:rFonts w:ascii="Arial" w:hAnsi="Arial" w:cs="Arial"/>
          <w:iCs/>
          <w:sz w:val="24"/>
          <w:szCs w:val="24"/>
        </w:rPr>
      </w:pPr>
      <w:r w:rsidRPr="00633A00">
        <w:rPr>
          <w:rFonts w:ascii="Arial" w:hAnsi="Arial" w:cs="Arial"/>
          <w:sz w:val="24"/>
          <w:szCs w:val="24"/>
          <w:u w:val="single"/>
        </w:rPr>
        <w:t>Reference List:</w:t>
      </w:r>
    </w:p>
    <w:p w14:paraId="204A2FC8"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BBC. (2018), </w:t>
      </w:r>
      <w:r w:rsidRPr="00633A00">
        <w:rPr>
          <w:rFonts w:ascii="Arial" w:hAnsi="Arial" w:cs="Arial"/>
          <w:i/>
          <w:sz w:val="24"/>
          <w:szCs w:val="24"/>
        </w:rPr>
        <w:t>‘The Maguire Seven: 'A Great British Injustice',</w:t>
      </w:r>
      <w:r w:rsidRPr="00633A00">
        <w:rPr>
          <w:rFonts w:ascii="Arial" w:hAnsi="Arial" w:cs="Arial"/>
          <w:sz w:val="24"/>
          <w:szCs w:val="24"/>
        </w:rPr>
        <w:t xml:space="preserve"> BBC, UK. </w:t>
      </w:r>
    </w:p>
    <w:p w14:paraId="5917C02E"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BBC. (2019), </w:t>
      </w:r>
      <w:r w:rsidRPr="00633A00">
        <w:rPr>
          <w:rFonts w:ascii="Arial" w:hAnsi="Arial" w:cs="Arial"/>
          <w:i/>
          <w:iCs/>
          <w:sz w:val="24"/>
          <w:szCs w:val="24"/>
        </w:rPr>
        <w:t>‘Examining Injustice in the UK’,</w:t>
      </w:r>
      <w:r w:rsidRPr="00633A00">
        <w:rPr>
          <w:rFonts w:ascii="Arial" w:hAnsi="Arial" w:cs="Arial"/>
          <w:sz w:val="24"/>
          <w:szCs w:val="24"/>
        </w:rPr>
        <w:t xml:space="preserve"> BBC, UK.</w:t>
      </w:r>
    </w:p>
    <w:p w14:paraId="7F348B36"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Benz, S. (2012), </w:t>
      </w:r>
      <w:r w:rsidRPr="00633A00">
        <w:rPr>
          <w:rFonts w:ascii="Arial" w:hAnsi="Arial" w:cs="Arial"/>
          <w:i/>
          <w:iCs/>
          <w:sz w:val="24"/>
          <w:szCs w:val="24"/>
        </w:rPr>
        <w:t xml:space="preserve">‘The Police And Criminal Evidence Act 1984: Balancing Civil Liberties And Public Security’, </w:t>
      </w:r>
      <w:r w:rsidRPr="00633A00">
        <w:rPr>
          <w:rFonts w:ascii="Arial" w:hAnsi="Arial" w:cs="Arial"/>
          <w:sz w:val="24"/>
          <w:szCs w:val="24"/>
        </w:rPr>
        <w:t xml:space="preserve">University of Central Lancashire, Lancashire. </w:t>
      </w:r>
    </w:p>
    <w:p w14:paraId="1DCD830A"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Brown, J. (2019), ‘</w:t>
      </w:r>
      <w:r w:rsidRPr="00633A00">
        <w:rPr>
          <w:rFonts w:ascii="Arial" w:hAnsi="Arial" w:cs="Arial"/>
          <w:i/>
          <w:iCs/>
          <w:sz w:val="24"/>
          <w:szCs w:val="24"/>
        </w:rPr>
        <w:t>Police Stop And Search Powers’,</w:t>
      </w:r>
      <w:r w:rsidRPr="00633A00">
        <w:rPr>
          <w:rFonts w:ascii="Arial" w:hAnsi="Arial" w:cs="Arial"/>
          <w:sz w:val="24"/>
          <w:szCs w:val="24"/>
        </w:rPr>
        <w:t xml:space="preserve"> House of Commons Library, UK.</w:t>
      </w:r>
    </w:p>
    <w:p w14:paraId="7028EA2D"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Clifford, M. (2016), ‘</w:t>
      </w:r>
      <w:r w:rsidRPr="00633A00">
        <w:rPr>
          <w:rFonts w:ascii="Arial" w:hAnsi="Arial" w:cs="Arial"/>
          <w:i/>
          <w:sz w:val="24"/>
          <w:szCs w:val="24"/>
        </w:rPr>
        <w:t xml:space="preserve">Michael Clifford: It Is 25 Years Since The Birmingham Six Were Released From Prison’, </w:t>
      </w:r>
      <w:r w:rsidRPr="00633A00">
        <w:rPr>
          <w:rFonts w:ascii="Arial" w:hAnsi="Arial" w:cs="Arial"/>
          <w:sz w:val="24"/>
          <w:szCs w:val="24"/>
        </w:rPr>
        <w:t xml:space="preserve">Irish Examiner, Ireland. </w:t>
      </w:r>
    </w:p>
    <w:p w14:paraId="6CACAE7D"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Cochrane, V. (2018), ‘</w:t>
      </w:r>
      <w:r w:rsidRPr="00633A00">
        <w:rPr>
          <w:rFonts w:ascii="Arial" w:hAnsi="Arial" w:cs="Arial"/>
          <w:i/>
          <w:iCs/>
          <w:sz w:val="24"/>
          <w:szCs w:val="24"/>
        </w:rPr>
        <w:t>Revised PACE Codes Of Practice Coming Into Force’,</w:t>
      </w:r>
      <w:r w:rsidRPr="00633A00">
        <w:rPr>
          <w:rFonts w:ascii="Arial" w:hAnsi="Arial" w:cs="Arial"/>
          <w:sz w:val="24"/>
          <w:szCs w:val="24"/>
        </w:rPr>
        <w:t xml:space="preserve"> available at: </w:t>
      </w:r>
      <w:hyperlink r:id="rId5" w:history="1">
        <w:r w:rsidRPr="00633A00">
          <w:rPr>
            <w:rStyle w:val="Hyperlink"/>
            <w:rFonts w:ascii="Arial" w:hAnsi="Arial" w:cs="Arial"/>
            <w:sz w:val="24"/>
            <w:szCs w:val="24"/>
          </w:rPr>
          <w:t>https://www.kingsleynapley.co.uk/insights/blogs/criminal-law-blog/revised-pace-codes-of-practice-coming-into-force</w:t>
        </w:r>
      </w:hyperlink>
      <w:r w:rsidRPr="00633A00">
        <w:rPr>
          <w:rFonts w:ascii="Arial" w:hAnsi="Arial" w:cs="Arial"/>
          <w:sz w:val="24"/>
          <w:szCs w:val="24"/>
        </w:rPr>
        <w:t>, Kingsley Napley, accessed on (8</w:t>
      </w:r>
      <w:r w:rsidRPr="00633A00">
        <w:rPr>
          <w:rFonts w:ascii="Arial" w:hAnsi="Arial" w:cs="Arial"/>
          <w:sz w:val="24"/>
          <w:szCs w:val="24"/>
          <w:vertAlign w:val="superscript"/>
        </w:rPr>
        <w:t>th</w:t>
      </w:r>
      <w:r w:rsidRPr="00633A00">
        <w:rPr>
          <w:rFonts w:ascii="Arial" w:hAnsi="Arial" w:cs="Arial"/>
          <w:sz w:val="24"/>
          <w:szCs w:val="24"/>
        </w:rPr>
        <w:t xml:space="preserve"> November 2019).</w:t>
      </w:r>
    </w:p>
    <w:p w14:paraId="37AEF236"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Criminal Cases Review Commission. (2019), ‘</w:t>
      </w:r>
      <w:r w:rsidRPr="00633A00">
        <w:rPr>
          <w:rFonts w:ascii="Arial" w:hAnsi="Arial" w:cs="Arial"/>
          <w:i/>
          <w:sz w:val="24"/>
          <w:szCs w:val="24"/>
        </w:rPr>
        <w:t xml:space="preserve">Who We Are’, </w:t>
      </w:r>
      <w:r w:rsidRPr="00633A00">
        <w:rPr>
          <w:rFonts w:ascii="Arial" w:hAnsi="Arial" w:cs="Arial"/>
          <w:sz w:val="24"/>
          <w:szCs w:val="24"/>
        </w:rPr>
        <w:t xml:space="preserve">Criminal Cases Review Commission, UK. </w:t>
      </w:r>
    </w:p>
    <w:p w14:paraId="4D8EE4BF"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Criminal Law Solicitors’ Association. (2019), </w:t>
      </w:r>
      <w:r w:rsidRPr="00633A00">
        <w:rPr>
          <w:rFonts w:ascii="Arial" w:hAnsi="Arial" w:cs="Arial"/>
          <w:i/>
          <w:iCs/>
          <w:sz w:val="24"/>
          <w:szCs w:val="24"/>
        </w:rPr>
        <w:t xml:space="preserve">‘Consultation on the Review of the Police and Criminal Evidence Act 1984’, </w:t>
      </w:r>
      <w:r w:rsidRPr="00633A00">
        <w:rPr>
          <w:rFonts w:ascii="Arial" w:hAnsi="Arial" w:cs="Arial"/>
          <w:sz w:val="24"/>
          <w:szCs w:val="24"/>
        </w:rPr>
        <w:t xml:space="preserve">Criminal Law Solicitors’ Association, Brighton. </w:t>
      </w:r>
    </w:p>
    <w:p w14:paraId="7DEA5923"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Department of Justice. (2019), </w:t>
      </w:r>
      <w:r w:rsidRPr="00633A00">
        <w:rPr>
          <w:rFonts w:ascii="Arial" w:hAnsi="Arial" w:cs="Arial"/>
          <w:i/>
          <w:iCs/>
          <w:sz w:val="24"/>
          <w:szCs w:val="24"/>
        </w:rPr>
        <w:t>‘PACE Codes of Practice’,</w:t>
      </w:r>
      <w:r w:rsidRPr="00633A00">
        <w:rPr>
          <w:rFonts w:ascii="Arial" w:hAnsi="Arial" w:cs="Arial"/>
          <w:sz w:val="24"/>
          <w:szCs w:val="24"/>
        </w:rPr>
        <w:t xml:space="preserve"> available at: </w:t>
      </w:r>
      <w:hyperlink r:id="rId6" w:history="1">
        <w:r w:rsidRPr="00633A00">
          <w:rPr>
            <w:rStyle w:val="Hyperlink"/>
            <w:rFonts w:ascii="Arial" w:hAnsi="Arial" w:cs="Arial"/>
            <w:sz w:val="24"/>
            <w:szCs w:val="24"/>
          </w:rPr>
          <w:t>https://www.justice-ni.gov.uk/articles/pace-codes-practice</w:t>
        </w:r>
      </w:hyperlink>
      <w:r w:rsidRPr="00633A00">
        <w:rPr>
          <w:rFonts w:ascii="Arial" w:hAnsi="Arial" w:cs="Arial"/>
          <w:sz w:val="24"/>
          <w:szCs w:val="24"/>
        </w:rPr>
        <w:t>, Department of Justice, accessed on (6</w:t>
      </w:r>
      <w:r w:rsidRPr="00633A00">
        <w:rPr>
          <w:rFonts w:ascii="Arial" w:hAnsi="Arial" w:cs="Arial"/>
          <w:sz w:val="24"/>
          <w:szCs w:val="24"/>
          <w:vertAlign w:val="superscript"/>
        </w:rPr>
        <w:t>th</w:t>
      </w:r>
      <w:r w:rsidRPr="00633A00">
        <w:rPr>
          <w:rFonts w:ascii="Arial" w:hAnsi="Arial" w:cs="Arial"/>
          <w:sz w:val="24"/>
          <w:szCs w:val="24"/>
        </w:rPr>
        <w:t xml:space="preserve"> November 2019). </w:t>
      </w:r>
    </w:p>
    <w:p w14:paraId="226A872E"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Eady, D. (2009), </w:t>
      </w:r>
      <w:r w:rsidRPr="00633A00">
        <w:rPr>
          <w:rFonts w:ascii="Arial" w:hAnsi="Arial" w:cs="Arial"/>
          <w:i/>
          <w:sz w:val="24"/>
          <w:szCs w:val="24"/>
        </w:rPr>
        <w:t>‘Miscarriages Of Justice: The Uncertainty Principle’,</w:t>
      </w:r>
      <w:r w:rsidRPr="00633A00">
        <w:rPr>
          <w:rFonts w:ascii="Arial" w:hAnsi="Arial" w:cs="Arial"/>
          <w:sz w:val="24"/>
          <w:szCs w:val="24"/>
        </w:rPr>
        <w:t xml:space="preserve"> ProQuest, US. </w:t>
      </w:r>
    </w:p>
    <w:p w14:paraId="6BD0C61A"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Elks, L. (2008), </w:t>
      </w:r>
      <w:r w:rsidRPr="00633A00">
        <w:rPr>
          <w:rFonts w:ascii="Arial" w:hAnsi="Arial" w:cs="Arial"/>
          <w:i/>
          <w:sz w:val="24"/>
          <w:szCs w:val="24"/>
        </w:rPr>
        <w:t xml:space="preserve">‘Righting Miscarriages Of Justice?,’ </w:t>
      </w:r>
      <w:r w:rsidRPr="00633A00">
        <w:rPr>
          <w:rFonts w:ascii="Arial" w:hAnsi="Arial" w:cs="Arial"/>
          <w:sz w:val="24"/>
          <w:szCs w:val="24"/>
        </w:rPr>
        <w:t xml:space="preserve">Justice, London. </w:t>
      </w:r>
    </w:p>
    <w:p w14:paraId="434CBDD8"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Evans, J. (1993), </w:t>
      </w:r>
      <w:r w:rsidRPr="00633A00">
        <w:rPr>
          <w:rFonts w:ascii="Arial" w:hAnsi="Arial" w:cs="Arial"/>
          <w:i/>
          <w:sz w:val="24"/>
          <w:szCs w:val="24"/>
        </w:rPr>
        <w:t>‘Miscarriages of Justice - A Police Perspective’,</w:t>
      </w:r>
      <w:r w:rsidRPr="00633A00">
        <w:rPr>
          <w:rFonts w:ascii="Arial" w:hAnsi="Arial" w:cs="Arial"/>
          <w:sz w:val="24"/>
          <w:szCs w:val="24"/>
        </w:rPr>
        <w:t xml:space="preserve"> SAGE Journals, UK. </w:t>
      </w:r>
    </w:p>
    <w:p w14:paraId="721BDE9C"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Hill, P. (2019), </w:t>
      </w:r>
      <w:r w:rsidRPr="00633A00">
        <w:rPr>
          <w:rFonts w:ascii="Arial" w:hAnsi="Arial" w:cs="Arial"/>
          <w:i/>
          <w:sz w:val="24"/>
          <w:szCs w:val="24"/>
        </w:rPr>
        <w:t xml:space="preserve">‘On This Day: The Guildford Four Were Freed After 15 Years Wrongful Imprisonment’, </w:t>
      </w:r>
      <w:r w:rsidRPr="00633A00">
        <w:rPr>
          <w:rFonts w:ascii="Arial" w:hAnsi="Arial" w:cs="Arial"/>
          <w:sz w:val="24"/>
          <w:szCs w:val="24"/>
        </w:rPr>
        <w:t xml:space="preserve">Irish Central, Ireland. </w:t>
      </w:r>
    </w:p>
    <w:p w14:paraId="3237EA07"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Holt, R. (2010), ‘</w:t>
      </w:r>
      <w:r w:rsidRPr="00633A00">
        <w:rPr>
          <w:rFonts w:ascii="Arial" w:hAnsi="Arial" w:cs="Arial"/>
          <w:i/>
          <w:sz w:val="24"/>
          <w:szCs w:val="24"/>
        </w:rPr>
        <w:t>Maguire Seven: Fighting For Freedom from Wrongful Conviction’,</w:t>
      </w:r>
      <w:r w:rsidRPr="00633A00">
        <w:rPr>
          <w:rFonts w:ascii="Arial" w:hAnsi="Arial" w:cs="Arial"/>
          <w:sz w:val="24"/>
          <w:szCs w:val="24"/>
        </w:rPr>
        <w:t xml:space="preserve"> </w:t>
      </w:r>
    </w:p>
    <w:p w14:paraId="2619E2FD"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lastRenderedPageBreak/>
        <w:t xml:space="preserve">Home Office. (2008), </w:t>
      </w:r>
      <w:r w:rsidRPr="00633A00">
        <w:rPr>
          <w:rFonts w:ascii="Arial" w:hAnsi="Arial" w:cs="Arial"/>
          <w:i/>
          <w:sz w:val="24"/>
          <w:szCs w:val="24"/>
        </w:rPr>
        <w:t>‘Government proposals in response to the Review of the Police and Criminal Evidence Act 1984’</w:t>
      </w:r>
      <w:r w:rsidRPr="00633A00">
        <w:rPr>
          <w:rFonts w:ascii="Arial" w:hAnsi="Arial" w:cs="Arial"/>
          <w:sz w:val="24"/>
          <w:szCs w:val="24"/>
        </w:rPr>
        <w:t xml:space="preserve">, Home Office, UK. </w:t>
      </w:r>
    </w:p>
    <w:p w14:paraId="4A25D296"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Home Office. (2017), ‘</w:t>
      </w:r>
      <w:r w:rsidRPr="00633A00">
        <w:rPr>
          <w:rFonts w:ascii="Arial" w:hAnsi="Arial" w:cs="Arial"/>
          <w:i/>
          <w:iCs/>
          <w:sz w:val="24"/>
          <w:szCs w:val="24"/>
        </w:rPr>
        <w:t>Arrest’,</w:t>
      </w:r>
      <w:r w:rsidRPr="00633A00">
        <w:rPr>
          <w:rFonts w:ascii="Arial" w:hAnsi="Arial" w:cs="Arial"/>
          <w:sz w:val="24"/>
          <w:szCs w:val="24"/>
        </w:rPr>
        <w:t xml:space="preserve"> Home Office, UK.</w:t>
      </w:r>
    </w:p>
    <w:p w14:paraId="280C93B1"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ITV. (2019), ‘Martin Freeman on Steve Fulcher: Playing the Man Who Caught Halliwell’, ITV, UK. </w:t>
      </w:r>
    </w:p>
    <w:p w14:paraId="058AC6EB"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Kaye, T. (1997), </w:t>
      </w:r>
      <w:r w:rsidRPr="00633A00">
        <w:rPr>
          <w:rFonts w:ascii="Arial" w:hAnsi="Arial" w:cs="Arial"/>
          <w:i/>
          <w:sz w:val="24"/>
          <w:szCs w:val="24"/>
        </w:rPr>
        <w:t>‘Will they be the last?’,</w:t>
      </w:r>
      <w:r w:rsidRPr="00633A00">
        <w:rPr>
          <w:rFonts w:ascii="Arial" w:hAnsi="Arial" w:cs="Arial"/>
          <w:sz w:val="24"/>
          <w:szCs w:val="24"/>
        </w:rPr>
        <w:t xml:space="preserve"> Independent, UK. </w:t>
      </w:r>
    </w:p>
    <w:p w14:paraId="37FDE224"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Lewis, T. (2017), </w:t>
      </w:r>
      <w:r w:rsidRPr="00633A00">
        <w:rPr>
          <w:rFonts w:ascii="Arial" w:hAnsi="Arial" w:cs="Arial"/>
          <w:i/>
          <w:iCs/>
          <w:sz w:val="24"/>
          <w:szCs w:val="24"/>
        </w:rPr>
        <w:t>‘How I Caught a Serial Killer – and Lost my Career in the Police’,</w:t>
      </w:r>
      <w:r w:rsidRPr="00633A00">
        <w:rPr>
          <w:rFonts w:ascii="Arial" w:hAnsi="Arial" w:cs="Arial"/>
          <w:sz w:val="24"/>
          <w:szCs w:val="24"/>
        </w:rPr>
        <w:t xml:space="preserve"> The Guardian, UK. </w:t>
      </w:r>
    </w:p>
    <w:p w14:paraId="21D93E78"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Martin, L. (2019), </w:t>
      </w:r>
      <w:r w:rsidRPr="00633A00">
        <w:rPr>
          <w:rFonts w:ascii="Arial" w:hAnsi="Arial" w:cs="Arial"/>
          <w:i/>
          <w:iCs/>
          <w:sz w:val="24"/>
          <w:szCs w:val="24"/>
        </w:rPr>
        <w:t>‘Steve Fulcher: How Sian O’Callaghan Lost his Job Catching Killer Christopher Halliwell</w:t>
      </w:r>
      <w:r w:rsidRPr="00633A00">
        <w:rPr>
          <w:rFonts w:ascii="Arial" w:hAnsi="Arial" w:cs="Arial"/>
          <w:sz w:val="24"/>
          <w:szCs w:val="24"/>
        </w:rPr>
        <w:t>’, inews, UK.</w:t>
      </w:r>
    </w:p>
    <w:p w14:paraId="263E4EB2" w14:textId="77777777" w:rsidR="000371AF" w:rsidRPr="00633A00" w:rsidRDefault="000371AF" w:rsidP="00633A00">
      <w:pPr>
        <w:spacing w:line="360" w:lineRule="auto"/>
        <w:rPr>
          <w:rFonts w:ascii="Arial" w:hAnsi="Arial" w:cs="Arial"/>
          <w:sz w:val="24"/>
          <w:szCs w:val="24"/>
        </w:rPr>
      </w:pPr>
      <w:r>
        <w:rPr>
          <w:rFonts w:ascii="Arial" w:hAnsi="Arial" w:cs="Arial"/>
          <w:sz w:val="24"/>
          <w:szCs w:val="24"/>
        </w:rPr>
        <w:t>McSmith, A. (2017), ‘</w:t>
      </w:r>
      <w:r w:rsidRPr="000371AF">
        <w:rPr>
          <w:rFonts w:ascii="Arial" w:hAnsi="Arial" w:cs="Arial"/>
          <w:i/>
          <w:iCs/>
          <w:sz w:val="24"/>
          <w:szCs w:val="24"/>
        </w:rPr>
        <w:t>Miscarriage Of Justice Corrected As Jury Finds Man Guilty Of Murder’,</w:t>
      </w:r>
      <w:r>
        <w:rPr>
          <w:rFonts w:ascii="Arial" w:hAnsi="Arial" w:cs="Arial"/>
          <w:sz w:val="24"/>
          <w:szCs w:val="24"/>
        </w:rPr>
        <w:t xml:space="preserve"> Independent, UK.</w:t>
      </w:r>
    </w:p>
    <w:p w14:paraId="3F5DD8FB"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Mitchell, M. (2019), </w:t>
      </w:r>
      <w:r w:rsidRPr="00633A00">
        <w:rPr>
          <w:rFonts w:ascii="Arial" w:hAnsi="Arial" w:cs="Arial"/>
          <w:i/>
          <w:iCs/>
          <w:sz w:val="24"/>
          <w:szCs w:val="24"/>
        </w:rPr>
        <w:t>‘A Confession on ITV: What is PACE? What did Steve Fulcher do wrong?’,</w:t>
      </w:r>
      <w:r w:rsidRPr="00633A00">
        <w:rPr>
          <w:rFonts w:ascii="Arial" w:hAnsi="Arial" w:cs="Arial"/>
          <w:sz w:val="24"/>
          <w:szCs w:val="24"/>
        </w:rPr>
        <w:t xml:space="preserve"> Express, UK. </w:t>
      </w:r>
    </w:p>
    <w:p w14:paraId="0E59F89E"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Murphy, N. (2017), </w:t>
      </w:r>
      <w:r w:rsidRPr="00633A00">
        <w:rPr>
          <w:rFonts w:ascii="Arial" w:hAnsi="Arial" w:cs="Arial"/>
          <w:i/>
          <w:sz w:val="24"/>
          <w:szCs w:val="24"/>
        </w:rPr>
        <w:t>‘The Role of the Solicitor at the Police Station’,</w:t>
      </w:r>
      <w:r w:rsidRPr="00633A00">
        <w:rPr>
          <w:rFonts w:ascii="Arial" w:hAnsi="Arial" w:cs="Arial"/>
          <w:sz w:val="24"/>
          <w:szCs w:val="24"/>
        </w:rPr>
        <w:t xml:space="preserve"> Queen’s University Belfast, Belfast. </w:t>
      </w:r>
    </w:p>
    <w:p w14:paraId="2CA37A4D"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Payton, M. (2016), </w:t>
      </w:r>
      <w:r w:rsidRPr="00633A00">
        <w:rPr>
          <w:rFonts w:ascii="Arial" w:hAnsi="Arial" w:cs="Arial"/>
          <w:i/>
          <w:sz w:val="24"/>
          <w:szCs w:val="24"/>
        </w:rPr>
        <w:t>‘Birmingham Pub Bombings: Who Are the Birmingham Six? What Happened In The IRA Attack? Everything You Need To Know’,</w:t>
      </w:r>
      <w:r w:rsidRPr="00633A00">
        <w:rPr>
          <w:rFonts w:ascii="Arial" w:hAnsi="Arial" w:cs="Arial"/>
          <w:sz w:val="24"/>
          <w:szCs w:val="24"/>
        </w:rPr>
        <w:t xml:space="preserve"> Independent, UK. </w:t>
      </w:r>
    </w:p>
    <w:p w14:paraId="16979898"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Peirce, G. (2011), </w:t>
      </w:r>
      <w:r w:rsidRPr="00633A00">
        <w:rPr>
          <w:rFonts w:ascii="Arial" w:hAnsi="Arial" w:cs="Arial"/>
          <w:i/>
          <w:sz w:val="24"/>
          <w:szCs w:val="24"/>
        </w:rPr>
        <w:t xml:space="preserve">‘The Birmingham Six: Have We Learned From Our Disgraceful Past?’, </w:t>
      </w:r>
      <w:r w:rsidRPr="00633A00">
        <w:rPr>
          <w:rFonts w:ascii="Arial" w:hAnsi="Arial" w:cs="Arial"/>
          <w:sz w:val="24"/>
          <w:szCs w:val="24"/>
        </w:rPr>
        <w:t xml:space="preserve">The Guardian, UK. </w:t>
      </w:r>
    </w:p>
    <w:p w14:paraId="50C5B0AC"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Trevelyan, L. (2019), ‘</w:t>
      </w:r>
      <w:r w:rsidRPr="00633A00">
        <w:rPr>
          <w:rFonts w:ascii="Arial" w:hAnsi="Arial" w:cs="Arial"/>
          <w:i/>
          <w:iCs/>
          <w:sz w:val="24"/>
          <w:szCs w:val="24"/>
        </w:rPr>
        <w:t>PACE: The Police and Criminal Evidence Act 1984’,</w:t>
      </w:r>
      <w:r w:rsidRPr="00633A00">
        <w:rPr>
          <w:rFonts w:ascii="Arial" w:hAnsi="Arial" w:cs="Arial"/>
          <w:sz w:val="24"/>
          <w:szCs w:val="24"/>
        </w:rPr>
        <w:t xml:space="preserve"> available at: </w:t>
      </w:r>
      <w:hyperlink r:id="rId7" w:history="1">
        <w:r w:rsidRPr="00633A00">
          <w:rPr>
            <w:rStyle w:val="Hyperlink"/>
            <w:rFonts w:ascii="Arial" w:hAnsi="Arial" w:cs="Arial"/>
            <w:sz w:val="24"/>
            <w:szCs w:val="24"/>
          </w:rPr>
          <w:t>https://www.inbrief.co.uk/police/pace/</w:t>
        </w:r>
      </w:hyperlink>
      <w:r w:rsidRPr="00633A00">
        <w:rPr>
          <w:rFonts w:ascii="Arial" w:hAnsi="Arial" w:cs="Arial"/>
          <w:sz w:val="24"/>
          <w:szCs w:val="24"/>
        </w:rPr>
        <w:t>, In Brief, accessed on (6</w:t>
      </w:r>
      <w:r w:rsidRPr="00633A00">
        <w:rPr>
          <w:rFonts w:ascii="Arial" w:hAnsi="Arial" w:cs="Arial"/>
          <w:sz w:val="24"/>
          <w:szCs w:val="24"/>
          <w:vertAlign w:val="superscript"/>
        </w:rPr>
        <w:t>th</w:t>
      </w:r>
      <w:r w:rsidRPr="00633A00">
        <w:rPr>
          <w:rFonts w:ascii="Arial" w:hAnsi="Arial" w:cs="Arial"/>
          <w:sz w:val="24"/>
          <w:szCs w:val="24"/>
        </w:rPr>
        <w:t xml:space="preserve"> November 2019). </w:t>
      </w:r>
    </w:p>
    <w:p w14:paraId="4B178BD4"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Tweedy, J. (2019), ‘</w:t>
      </w:r>
      <w:r w:rsidRPr="00633A00">
        <w:rPr>
          <w:rFonts w:ascii="Arial" w:hAnsi="Arial" w:cs="Arial"/>
          <w:i/>
          <w:iCs/>
          <w:sz w:val="24"/>
          <w:szCs w:val="24"/>
        </w:rPr>
        <w:t>Mother of Murdered Becky Godden-Edwards Reveals she’s become Close Friends with DS Steve Fulcher and His Wife and Says She’s ‘Never Blamed Him’ for Bungled Inquiry That Almost saw her Killer Escape Conviction’,</w:t>
      </w:r>
      <w:r w:rsidRPr="00633A00">
        <w:rPr>
          <w:rFonts w:ascii="Arial" w:hAnsi="Arial" w:cs="Arial"/>
          <w:sz w:val="24"/>
          <w:szCs w:val="24"/>
        </w:rPr>
        <w:t xml:space="preserve"> Daily Mail, UK.</w:t>
      </w:r>
    </w:p>
    <w:p w14:paraId="615C1995"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t xml:space="preserve">UK Government. (2019), </w:t>
      </w:r>
      <w:r w:rsidRPr="00633A00">
        <w:rPr>
          <w:rFonts w:ascii="Arial" w:hAnsi="Arial" w:cs="Arial"/>
          <w:i/>
          <w:sz w:val="24"/>
          <w:szCs w:val="24"/>
        </w:rPr>
        <w:t>‘Police And Criminal Evidence Act 1984 (PACE) Codes Of Practice’</w:t>
      </w:r>
      <w:r w:rsidRPr="00633A00">
        <w:rPr>
          <w:rFonts w:ascii="Arial" w:hAnsi="Arial" w:cs="Arial"/>
          <w:sz w:val="24"/>
          <w:szCs w:val="24"/>
        </w:rPr>
        <w:t xml:space="preserve">, available at: </w:t>
      </w:r>
      <w:hyperlink r:id="rId8" w:history="1">
        <w:r w:rsidRPr="00633A00">
          <w:rPr>
            <w:rStyle w:val="Hyperlink"/>
            <w:rFonts w:ascii="Arial" w:hAnsi="Arial" w:cs="Arial"/>
            <w:sz w:val="24"/>
            <w:szCs w:val="24"/>
          </w:rPr>
          <w:t>https://www.gov.uk/guidance/police-and-criminal-evidence-act-1984-pace-codes-of-practice</w:t>
        </w:r>
      </w:hyperlink>
      <w:r w:rsidRPr="00633A00">
        <w:rPr>
          <w:rFonts w:ascii="Arial" w:hAnsi="Arial" w:cs="Arial"/>
          <w:sz w:val="24"/>
          <w:szCs w:val="24"/>
        </w:rPr>
        <w:t>, GOV, accessed on (29</w:t>
      </w:r>
      <w:r w:rsidRPr="00633A00">
        <w:rPr>
          <w:rFonts w:ascii="Arial" w:hAnsi="Arial" w:cs="Arial"/>
          <w:sz w:val="24"/>
          <w:szCs w:val="24"/>
          <w:vertAlign w:val="superscript"/>
        </w:rPr>
        <w:t>th</w:t>
      </w:r>
      <w:r w:rsidRPr="00633A00">
        <w:rPr>
          <w:rFonts w:ascii="Arial" w:hAnsi="Arial" w:cs="Arial"/>
          <w:sz w:val="24"/>
          <w:szCs w:val="24"/>
        </w:rPr>
        <w:t xml:space="preserve"> October 2019). </w:t>
      </w:r>
    </w:p>
    <w:p w14:paraId="254E539B" w14:textId="77777777" w:rsidR="000371AF" w:rsidRPr="00633A00" w:rsidRDefault="000371AF" w:rsidP="00633A00">
      <w:pPr>
        <w:spacing w:line="360" w:lineRule="auto"/>
        <w:rPr>
          <w:rFonts w:ascii="Arial" w:hAnsi="Arial" w:cs="Arial"/>
          <w:sz w:val="24"/>
          <w:szCs w:val="24"/>
        </w:rPr>
      </w:pPr>
      <w:r w:rsidRPr="00633A00">
        <w:rPr>
          <w:rFonts w:ascii="Arial" w:hAnsi="Arial" w:cs="Arial"/>
          <w:sz w:val="24"/>
          <w:szCs w:val="24"/>
        </w:rPr>
        <w:lastRenderedPageBreak/>
        <w:t xml:space="preserve">Woolley, S and Van Bueren, G. (2019), </w:t>
      </w:r>
      <w:r w:rsidRPr="00633A00">
        <w:rPr>
          <w:rFonts w:ascii="Arial" w:hAnsi="Arial" w:cs="Arial"/>
          <w:i/>
          <w:iCs/>
          <w:sz w:val="24"/>
          <w:szCs w:val="24"/>
        </w:rPr>
        <w:t xml:space="preserve">‘Stop And Think A Critical Review Of The Use Of Stop And Search Powers In England And Wales’, </w:t>
      </w:r>
      <w:r w:rsidRPr="00633A00">
        <w:rPr>
          <w:rFonts w:ascii="Arial" w:hAnsi="Arial" w:cs="Arial"/>
          <w:sz w:val="24"/>
          <w:szCs w:val="24"/>
        </w:rPr>
        <w:t>Equality and Human Rights Commission, UK.</w:t>
      </w:r>
    </w:p>
    <w:p w14:paraId="48EA190E" w14:textId="77777777" w:rsidR="000371AF" w:rsidRDefault="000371AF" w:rsidP="00633A00">
      <w:pPr>
        <w:spacing w:line="360" w:lineRule="auto"/>
        <w:rPr>
          <w:rFonts w:ascii="Arial" w:hAnsi="Arial" w:cs="Arial"/>
          <w:sz w:val="24"/>
          <w:szCs w:val="24"/>
        </w:rPr>
      </w:pPr>
      <w:r w:rsidRPr="00633A00">
        <w:rPr>
          <w:rFonts w:ascii="Arial" w:hAnsi="Arial" w:cs="Arial"/>
          <w:sz w:val="24"/>
          <w:szCs w:val="24"/>
        </w:rPr>
        <w:t xml:space="preserve">Zander, M. (2011), </w:t>
      </w:r>
      <w:r w:rsidRPr="00633A00">
        <w:rPr>
          <w:rFonts w:ascii="Arial" w:hAnsi="Arial" w:cs="Arial"/>
          <w:i/>
          <w:iCs/>
          <w:sz w:val="24"/>
          <w:szCs w:val="24"/>
        </w:rPr>
        <w:t>‘PACE (The Police and Criminal Evidence) Act 1984: Past, Present and Future’,</w:t>
      </w:r>
      <w:r w:rsidRPr="00633A00">
        <w:rPr>
          <w:rFonts w:ascii="Arial" w:hAnsi="Arial" w:cs="Arial"/>
          <w:sz w:val="24"/>
          <w:szCs w:val="24"/>
        </w:rPr>
        <w:t xml:space="preserve"> Student Advocate Committee, UK.</w:t>
      </w:r>
    </w:p>
    <w:sectPr w:rsidR="000371AF" w:rsidSect="006453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453D4"/>
    <w:rsid w:val="00016F60"/>
    <w:rsid w:val="00024711"/>
    <w:rsid w:val="000371AF"/>
    <w:rsid w:val="00042BE0"/>
    <w:rsid w:val="00043A5C"/>
    <w:rsid w:val="00050C32"/>
    <w:rsid w:val="00054C3F"/>
    <w:rsid w:val="00093211"/>
    <w:rsid w:val="000B2512"/>
    <w:rsid w:val="000B5C8F"/>
    <w:rsid w:val="000C1741"/>
    <w:rsid w:val="000C5FAD"/>
    <w:rsid w:val="000C7436"/>
    <w:rsid w:val="000D4763"/>
    <w:rsid w:val="000D51F5"/>
    <w:rsid w:val="00106692"/>
    <w:rsid w:val="00134CF0"/>
    <w:rsid w:val="0014249A"/>
    <w:rsid w:val="00143CC6"/>
    <w:rsid w:val="00154117"/>
    <w:rsid w:val="00157183"/>
    <w:rsid w:val="00157AF6"/>
    <w:rsid w:val="00187B58"/>
    <w:rsid w:val="001A4DCD"/>
    <w:rsid w:val="001D78CE"/>
    <w:rsid w:val="001F4405"/>
    <w:rsid w:val="001F4606"/>
    <w:rsid w:val="00203F5B"/>
    <w:rsid w:val="002042DF"/>
    <w:rsid w:val="00205033"/>
    <w:rsid w:val="002134DB"/>
    <w:rsid w:val="00222B82"/>
    <w:rsid w:val="00227C4C"/>
    <w:rsid w:val="00230D51"/>
    <w:rsid w:val="002341FE"/>
    <w:rsid w:val="0023599D"/>
    <w:rsid w:val="002377C7"/>
    <w:rsid w:val="002400F4"/>
    <w:rsid w:val="002409D2"/>
    <w:rsid w:val="00244118"/>
    <w:rsid w:val="00277106"/>
    <w:rsid w:val="00277F37"/>
    <w:rsid w:val="00290AB1"/>
    <w:rsid w:val="00297B31"/>
    <w:rsid w:val="002B3545"/>
    <w:rsid w:val="002B63CE"/>
    <w:rsid w:val="002C3058"/>
    <w:rsid w:val="002D59DF"/>
    <w:rsid w:val="002E1E6C"/>
    <w:rsid w:val="002E4CB2"/>
    <w:rsid w:val="00304857"/>
    <w:rsid w:val="003155FD"/>
    <w:rsid w:val="00352DE4"/>
    <w:rsid w:val="00373551"/>
    <w:rsid w:val="003C78E5"/>
    <w:rsid w:val="003E6F71"/>
    <w:rsid w:val="004026B5"/>
    <w:rsid w:val="00435EEC"/>
    <w:rsid w:val="00442E68"/>
    <w:rsid w:val="004462F9"/>
    <w:rsid w:val="00446C57"/>
    <w:rsid w:val="004723E0"/>
    <w:rsid w:val="004741D0"/>
    <w:rsid w:val="0048299C"/>
    <w:rsid w:val="004A0B0E"/>
    <w:rsid w:val="004B3008"/>
    <w:rsid w:val="004C1B08"/>
    <w:rsid w:val="004C3630"/>
    <w:rsid w:val="004F4CEA"/>
    <w:rsid w:val="00512FA3"/>
    <w:rsid w:val="005547AE"/>
    <w:rsid w:val="00556718"/>
    <w:rsid w:val="0056062E"/>
    <w:rsid w:val="00574C28"/>
    <w:rsid w:val="0058318F"/>
    <w:rsid w:val="0058353E"/>
    <w:rsid w:val="005911F9"/>
    <w:rsid w:val="00594332"/>
    <w:rsid w:val="005B6DA7"/>
    <w:rsid w:val="005E1960"/>
    <w:rsid w:val="0060156E"/>
    <w:rsid w:val="0060452A"/>
    <w:rsid w:val="00622748"/>
    <w:rsid w:val="00633A00"/>
    <w:rsid w:val="006412CA"/>
    <w:rsid w:val="0064256E"/>
    <w:rsid w:val="006453D4"/>
    <w:rsid w:val="0065243A"/>
    <w:rsid w:val="006651CF"/>
    <w:rsid w:val="00671C2A"/>
    <w:rsid w:val="00676297"/>
    <w:rsid w:val="0069406E"/>
    <w:rsid w:val="006A0A21"/>
    <w:rsid w:val="006A474E"/>
    <w:rsid w:val="006B3E22"/>
    <w:rsid w:val="006B3E47"/>
    <w:rsid w:val="006C1C3F"/>
    <w:rsid w:val="006C3AB6"/>
    <w:rsid w:val="006D2B9B"/>
    <w:rsid w:val="006F5D03"/>
    <w:rsid w:val="0070749F"/>
    <w:rsid w:val="00713254"/>
    <w:rsid w:val="0072466C"/>
    <w:rsid w:val="00725236"/>
    <w:rsid w:val="00731691"/>
    <w:rsid w:val="00731B19"/>
    <w:rsid w:val="0077583B"/>
    <w:rsid w:val="00781DD8"/>
    <w:rsid w:val="007C7594"/>
    <w:rsid w:val="007F4B69"/>
    <w:rsid w:val="007F4EE1"/>
    <w:rsid w:val="00800F40"/>
    <w:rsid w:val="00810AB7"/>
    <w:rsid w:val="008120B1"/>
    <w:rsid w:val="00860EBD"/>
    <w:rsid w:val="00862DD3"/>
    <w:rsid w:val="008B57BA"/>
    <w:rsid w:val="008D092C"/>
    <w:rsid w:val="008F6CAA"/>
    <w:rsid w:val="008F6EA1"/>
    <w:rsid w:val="00914D53"/>
    <w:rsid w:val="00921EEA"/>
    <w:rsid w:val="0092738E"/>
    <w:rsid w:val="00933864"/>
    <w:rsid w:val="0094063B"/>
    <w:rsid w:val="00941C28"/>
    <w:rsid w:val="00955AC5"/>
    <w:rsid w:val="0099189C"/>
    <w:rsid w:val="0099192D"/>
    <w:rsid w:val="00995CD3"/>
    <w:rsid w:val="009B0A65"/>
    <w:rsid w:val="009C5B05"/>
    <w:rsid w:val="009F3748"/>
    <w:rsid w:val="00A05B98"/>
    <w:rsid w:val="00A51C13"/>
    <w:rsid w:val="00A632BE"/>
    <w:rsid w:val="00A7714B"/>
    <w:rsid w:val="00A8738E"/>
    <w:rsid w:val="00AA287E"/>
    <w:rsid w:val="00AB56A5"/>
    <w:rsid w:val="00AC00F8"/>
    <w:rsid w:val="00AC5CED"/>
    <w:rsid w:val="00AD3DEE"/>
    <w:rsid w:val="00AE57D9"/>
    <w:rsid w:val="00B01225"/>
    <w:rsid w:val="00B0326B"/>
    <w:rsid w:val="00B24D7A"/>
    <w:rsid w:val="00B30E10"/>
    <w:rsid w:val="00B3295B"/>
    <w:rsid w:val="00B41CE3"/>
    <w:rsid w:val="00B55083"/>
    <w:rsid w:val="00B55F26"/>
    <w:rsid w:val="00B63E34"/>
    <w:rsid w:val="00B71476"/>
    <w:rsid w:val="00B821E2"/>
    <w:rsid w:val="00B929A5"/>
    <w:rsid w:val="00B9606C"/>
    <w:rsid w:val="00BC083D"/>
    <w:rsid w:val="00BE3346"/>
    <w:rsid w:val="00BE6A28"/>
    <w:rsid w:val="00C12F4B"/>
    <w:rsid w:val="00C3006E"/>
    <w:rsid w:val="00C42E49"/>
    <w:rsid w:val="00C44480"/>
    <w:rsid w:val="00C90326"/>
    <w:rsid w:val="00C90CF2"/>
    <w:rsid w:val="00C91E82"/>
    <w:rsid w:val="00CC0D79"/>
    <w:rsid w:val="00CC3A26"/>
    <w:rsid w:val="00CE017F"/>
    <w:rsid w:val="00D111AF"/>
    <w:rsid w:val="00D12130"/>
    <w:rsid w:val="00D15B6E"/>
    <w:rsid w:val="00D400EA"/>
    <w:rsid w:val="00D62035"/>
    <w:rsid w:val="00D634D0"/>
    <w:rsid w:val="00D63503"/>
    <w:rsid w:val="00D6494A"/>
    <w:rsid w:val="00D735E8"/>
    <w:rsid w:val="00D815A2"/>
    <w:rsid w:val="00D85B32"/>
    <w:rsid w:val="00D8600A"/>
    <w:rsid w:val="00D93EF4"/>
    <w:rsid w:val="00DA1308"/>
    <w:rsid w:val="00DA2957"/>
    <w:rsid w:val="00DC140A"/>
    <w:rsid w:val="00DC64FC"/>
    <w:rsid w:val="00DC6D7A"/>
    <w:rsid w:val="00DF0398"/>
    <w:rsid w:val="00DF0B5A"/>
    <w:rsid w:val="00DF6553"/>
    <w:rsid w:val="00E07257"/>
    <w:rsid w:val="00E11A58"/>
    <w:rsid w:val="00E20AFD"/>
    <w:rsid w:val="00E71041"/>
    <w:rsid w:val="00E717DB"/>
    <w:rsid w:val="00E86F10"/>
    <w:rsid w:val="00EC227D"/>
    <w:rsid w:val="00EC66F3"/>
    <w:rsid w:val="00ED0957"/>
    <w:rsid w:val="00EF0EE5"/>
    <w:rsid w:val="00F05337"/>
    <w:rsid w:val="00F067CA"/>
    <w:rsid w:val="00F1086D"/>
    <w:rsid w:val="00F216A2"/>
    <w:rsid w:val="00F4616F"/>
    <w:rsid w:val="00F53220"/>
    <w:rsid w:val="00F54C15"/>
    <w:rsid w:val="00F708B0"/>
    <w:rsid w:val="00F70E9E"/>
    <w:rsid w:val="00F70ECC"/>
    <w:rsid w:val="00F9400D"/>
    <w:rsid w:val="00F942E0"/>
    <w:rsid w:val="00FC016D"/>
    <w:rsid w:val="00FC3CF5"/>
    <w:rsid w:val="00FE59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FB9B9"/>
  <w15:docId w15:val="{79C4F554-DD3D-4D3C-A2C9-B13170CE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53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53D4"/>
    <w:rPr>
      <w:rFonts w:eastAsiaTheme="minorEastAsia"/>
      <w:lang w:val="en-US"/>
    </w:rPr>
  </w:style>
  <w:style w:type="character" w:styleId="Hyperlink">
    <w:name w:val="Hyperlink"/>
    <w:basedOn w:val="DefaultParagraphFont"/>
    <w:uiPriority w:val="99"/>
    <w:unhideWhenUsed/>
    <w:rsid w:val="0077583B"/>
    <w:rPr>
      <w:color w:val="0563C1" w:themeColor="hyperlink"/>
      <w:u w:val="single"/>
    </w:rPr>
  </w:style>
  <w:style w:type="character" w:customStyle="1" w:styleId="UnresolvedMention1">
    <w:name w:val="Unresolved Mention1"/>
    <w:basedOn w:val="DefaultParagraphFont"/>
    <w:uiPriority w:val="99"/>
    <w:semiHidden/>
    <w:unhideWhenUsed/>
    <w:rsid w:val="0077583B"/>
    <w:rPr>
      <w:color w:val="605E5C"/>
      <w:shd w:val="clear" w:color="auto" w:fill="E1DFDD"/>
    </w:rPr>
  </w:style>
  <w:style w:type="character" w:styleId="FollowedHyperlink">
    <w:name w:val="FollowedHyperlink"/>
    <w:basedOn w:val="DefaultParagraphFont"/>
    <w:uiPriority w:val="99"/>
    <w:semiHidden/>
    <w:unhideWhenUsed/>
    <w:rsid w:val="00277F37"/>
    <w:rPr>
      <w:color w:val="954F72" w:themeColor="followedHyperlink"/>
      <w:u w:val="single"/>
    </w:rPr>
  </w:style>
  <w:style w:type="paragraph" w:styleId="BalloonText">
    <w:name w:val="Balloon Text"/>
    <w:basedOn w:val="Normal"/>
    <w:link w:val="BalloonTextChar"/>
    <w:uiPriority w:val="99"/>
    <w:semiHidden/>
    <w:unhideWhenUsed/>
    <w:rsid w:val="00297B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B31"/>
    <w:rPr>
      <w:rFonts w:ascii="Tahoma" w:hAnsi="Tahoma" w:cs="Tahoma"/>
      <w:sz w:val="16"/>
      <w:szCs w:val="16"/>
    </w:rPr>
  </w:style>
  <w:style w:type="paragraph" w:styleId="NormalWeb">
    <w:name w:val="Normal (Web)"/>
    <w:basedOn w:val="Normal"/>
    <w:uiPriority w:val="99"/>
    <w:unhideWhenUsed/>
    <w:rsid w:val="00FC3C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1">
    <w:name w:val="story-body__introduction1"/>
    <w:basedOn w:val="Normal"/>
    <w:rsid w:val="00D8600A"/>
    <w:pPr>
      <w:spacing w:before="360" w:after="100" w:afterAutospacing="1" w:line="240" w:lineRule="auto"/>
    </w:pPr>
    <w:rPr>
      <w:rFonts w:ascii="Times New Roman" w:eastAsia="Times New Roman" w:hAnsi="Times New Roman" w:cs="Times New Roman"/>
      <w:b/>
      <w:bCs/>
      <w:color w:val="404040"/>
      <w:sz w:val="24"/>
      <w:szCs w:val="24"/>
      <w:lang w:eastAsia="en-GB"/>
    </w:rPr>
  </w:style>
  <w:style w:type="character" w:styleId="Strong">
    <w:name w:val="Strong"/>
    <w:basedOn w:val="DefaultParagraphFont"/>
    <w:uiPriority w:val="22"/>
    <w:qFormat/>
    <w:rsid w:val="0069406E"/>
    <w:rPr>
      <w:b/>
      <w:bCs/>
    </w:rPr>
  </w:style>
  <w:style w:type="character" w:styleId="UnresolvedMention">
    <w:name w:val="Unresolved Mention"/>
    <w:basedOn w:val="DefaultParagraphFont"/>
    <w:uiPriority w:val="99"/>
    <w:semiHidden/>
    <w:unhideWhenUsed/>
    <w:rsid w:val="005831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76910">
      <w:bodyDiv w:val="1"/>
      <w:marLeft w:val="0"/>
      <w:marRight w:val="0"/>
      <w:marTop w:val="0"/>
      <w:marBottom w:val="0"/>
      <w:divBdr>
        <w:top w:val="none" w:sz="0" w:space="0" w:color="auto"/>
        <w:left w:val="none" w:sz="0" w:space="0" w:color="auto"/>
        <w:bottom w:val="none" w:sz="0" w:space="0" w:color="auto"/>
        <w:right w:val="none" w:sz="0" w:space="0" w:color="auto"/>
      </w:divBdr>
      <w:divsChild>
        <w:div w:id="1739740346">
          <w:marLeft w:val="0"/>
          <w:marRight w:val="0"/>
          <w:marTop w:val="0"/>
          <w:marBottom w:val="0"/>
          <w:divBdr>
            <w:top w:val="none" w:sz="0" w:space="0" w:color="auto"/>
            <w:left w:val="none" w:sz="0" w:space="0" w:color="auto"/>
            <w:bottom w:val="none" w:sz="0" w:space="0" w:color="auto"/>
            <w:right w:val="none" w:sz="0" w:space="0" w:color="auto"/>
          </w:divBdr>
          <w:divsChild>
            <w:div w:id="140773162">
              <w:marLeft w:val="0"/>
              <w:marRight w:val="0"/>
              <w:marTop w:val="0"/>
              <w:marBottom w:val="0"/>
              <w:divBdr>
                <w:top w:val="none" w:sz="0" w:space="0" w:color="auto"/>
                <w:left w:val="none" w:sz="0" w:space="0" w:color="auto"/>
                <w:bottom w:val="none" w:sz="0" w:space="0" w:color="auto"/>
                <w:right w:val="none" w:sz="0" w:space="0" w:color="auto"/>
              </w:divBdr>
              <w:divsChild>
                <w:div w:id="181088840">
                  <w:marLeft w:val="0"/>
                  <w:marRight w:val="0"/>
                  <w:marTop w:val="0"/>
                  <w:marBottom w:val="0"/>
                  <w:divBdr>
                    <w:top w:val="none" w:sz="0" w:space="0" w:color="auto"/>
                    <w:left w:val="none" w:sz="0" w:space="0" w:color="auto"/>
                    <w:bottom w:val="none" w:sz="0" w:space="0" w:color="auto"/>
                    <w:right w:val="none" w:sz="0" w:space="0" w:color="auto"/>
                  </w:divBdr>
                  <w:divsChild>
                    <w:div w:id="937756699">
                      <w:marLeft w:val="0"/>
                      <w:marRight w:val="0"/>
                      <w:marTop w:val="0"/>
                      <w:marBottom w:val="0"/>
                      <w:divBdr>
                        <w:top w:val="none" w:sz="0" w:space="0" w:color="auto"/>
                        <w:left w:val="none" w:sz="0" w:space="0" w:color="auto"/>
                        <w:bottom w:val="none" w:sz="0" w:space="0" w:color="auto"/>
                        <w:right w:val="none" w:sz="0" w:space="0" w:color="auto"/>
                      </w:divBdr>
                      <w:divsChild>
                        <w:div w:id="209611017">
                          <w:marLeft w:val="0"/>
                          <w:marRight w:val="0"/>
                          <w:marTop w:val="0"/>
                          <w:marBottom w:val="0"/>
                          <w:divBdr>
                            <w:top w:val="none" w:sz="0" w:space="0" w:color="auto"/>
                            <w:left w:val="none" w:sz="0" w:space="0" w:color="auto"/>
                            <w:bottom w:val="none" w:sz="0" w:space="0" w:color="auto"/>
                            <w:right w:val="none" w:sz="0" w:space="0" w:color="auto"/>
                          </w:divBdr>
                          <w:divsChild>
                            <w:div w:id="1671788396">
                              <w:marLeft w:val="0"/>
                              <w:marRight w:val="0"/>
                              <w:marTop w:val="0"/>
                              <w:marBottom w:val="0"/>
                              <w:divBdr>
                                <w:top w:val="none" w:sz="0" w:space="0" w:color="auto"/>
                                <w:left w:val="none" w:sz="0" w:space="0" w:color="auto"/>
                                <w:bottom w:val="none" w:sz="0" w:space="0" w:color="auto"/>
                                <w:right w:val="none" w:sz="0" w:space="0" w:color="auto"/>
                              </w:divBdr>
                              <w:divsChild>
                                <w:div w:id="1329139065">
                                  <w:marLeft w:val="0"/>
                                  <w:marRight w:val="0"/>
                                  <w:marTop w:val="0"/>
                                  <w:marBottom w:val="0"/>
                                  <w:divBdr>
                                    <w:top w:val="none" w:sz="0" w:space="0" w:color="auto"/>
                                    <w:left w:val="none" w:sz="0" w:space="0" w:color="auto"/>
                                    <w:bottom w:val="none" w:sz="0" w:space="0" w:color="auto"/>
                                    <w:right w:val="none" w:sz="0" w:space="0" w:color="auto"/>
                                  </w:divBdr>
                                  <w:divsChild>
                                    <w:div w:id="1339965970">
                                      <w:marLeft w:val="0"/>
                                      <w:marRight w:val="0"/>
                                      <w:marTop w:val="0"/>
                                      <w:marBottom w:val="0"/>
                                      <w:divBdr>
                                        <w:top w:val="none" w:sz="0" w:space="0" w:color="auto"/>
                                        <w:left w:val="none" w:sz="0" w:space="0" w:color="auto"/>
                                        <w:bottom w:val="none" w:sz="0" w:space="0" w:color="auto"/>
                                        <w:right w:val="none" w:sz="0" w:space="0" w:color="auto"/>
                                      </w:divBdr>
                                      <w:divsChild>
                                        <w:div w:id="1695425427">
                                          <w:marLeft w:val="0"/>
                                          <w:marRight w:val="0"/>
                                          <w:marTop w:val="0"/>
                                          <w:marBottom w:val="0"/>
                                          <w:divBdr>
                                            <w:top w:val="none" w:sz="0" w:space="0" w:color="auto"/>
                                            <w:left w:val="none" w:sz="0" w:space="0" w:color="auto"/>
                                            <w:bottom w:val="none" w:sz="0" w:space="0" w:color="auto"/>
                                            <w:right w:val="none" w:sz="0" w:space="0" w:color="auto"/>
                                          </w:divBdr>
                                          <w:divsChild>
                                            <w:div w:id="84228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0797485">
      <w:bodyDiv w:val="1"/>
      <w:marLeft w:val="0"/>
      <w:marRight w:val="0"/>
      <w:marTop w:val="0"/>
      <w:marBottom w:val="0"/>
      <w:divBdr>
        <w:top w:val="none" w:sz="0" w:space="0" w:color="auto"/>
        <w:left w:val="none" w:sz="0" w:space="0" w:color="auto"/>
        <w:bottom w:val="none" w:sz="0" w:space="0" w:color="auto"/>
        <w:right w:val="none" w:sz="0" w:space="0" w:color="auto"/>
      </w:divBdr>
      <w:divsChild>
        <w:div w:id="27033219">
          <w:marLeft w:val="0"/>
          <w:marRight w:val="0"/>
          <w:marTop w:val="0"/>
          <w:marBottom w:val="0"/>
          <w:divBdr>
            <w:top w:val="none" w:sz="0" w:space="0" w:color="auto"/>
            <w:left w:val="none" w:sz="0" w:space="0" w:color="auto"/>
            <w:bottom w:val="none" w:sz="0" w:space="0" w:color="auto"/>
            <w:right w:val="none" w:sz="0" w:space="0" w:color="auto"/>
          </w:divBdr>
          <w:divsChild>
            <w:div w:id="1951432589">
              <w:marLeft w:val="180"/>
              <w:marRight w:val="180"/>
              <w:marTop w:val="0"/>
              <w:marBottom w:val="0"/>
              <w:divBdr>
                <w:top w:val="none" w:sz="0" w:space="0" w:color="auto"/>
                <w:left w:val="none" w:sz="0" w:space="0" w:color="auto"/>
                <w:bottom w:val="none" w:sz="0" w:space="0" w:color="auto"/>
                <w:right w:val="none" w:sz="0" w:space="0" w:color="auto"/>
              </w:divBdr>
              <w:divsChild>
                <w:div w:id="578907327">
                  <w:marLeft w:val="0"/>
                  <w:marRight w:val="0"/>
                  <w:marTop w:val="0"/>
                  <w:marBottom w:val="0"/>
                  <w:divBdr>
                    <w:top w:val="none" w:sz="0" w:space="0" w:color="auto"/>
                    <w:left w:val="none" w:sz="0" w:space="0" w:color="auto"/>
                    <w:bottom w:val="none" w:sz="0" w:space="0" w:color="auto"/>
                    <w:right w:val="none" w:sz="0" w:space="0" w:color="auto"/>
                  </w:divBdr>
                  <w:divsChild>
                    <w:div w:id="170046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796531">
      <w:bodyDiv w:val="1"/>
      <w:marLeft w:val="0"/>
      <w:marRight w:val="0"/>
      <w:marTop w:val="0"/>
      <w:marBottom w:val="0"/>
      <w:divBdr>
        <w:top w:val="none" w:sz="0" w:space="0" w:color="auto"/>
        <w:left w:val="none" w:sz="0" w:space="0" w:color="auto"/>
        <w:bottom w:val="none" w:sz="0" w:space="0" w:color="auto"/>
        <w:right w:val="none" w:sz="0" w:space="0" w:color="auto"/>
      </w:divBdr>
      <w:divsChild>
        <w:div w:id="1328823231">
          <w:marLeft w:val="0"/>
          <w:marRight w:val="0"/>
          <w:marTop w:val="0"/>
          <w:marBottom w:val="0"/>
          <w:divBdr>
            <w:top w:val="none" w:sz="0" w:space="0" w:color="auto"/>
            <w:left w:val="none" w:sz="0" w:space="0" w:color="auto"/>
            <w:bottom w:val="none" w:sz="0" w:space="0" w:color="auto"/>
            <w:right w:val="none" w:sz="0" w:space="0" w:color="auto"/>
          </w:divBdr>
          <w:divsChild>
            <w:div w:id="2015450727">
              <w:marLeft w:val="0"/>
              <w:marRight w:val="0"/>
              <w:marTop w:val="0"/>
              <w:marBottom w:val="0"/>
              <w:divBdr>
                <w:top w:val="none" w:sz="0" w:space="0" w:color="auto"/>
                <w:left w:val="none" w:sz="0" w:space="0" w:color="auto"/>
                <w:bottom w:val="none" w:sz="0" w:space="0" w:color="auto"/>
                <w:right w:val="none" w:sz="0" w:space="0" w:color="auto"/>
              </w:divBdr>
              <w:divsChild>
                <w:div w:id="655453268">
                  <w:marLeft w:val="0"/>
                  <w:marRight w:val="0"/>
                  <w:marTop w:val="0"/>
                  <w:marBottom w:val="0"/>
                  <w:divBdr>
                    <w:top w:val="none" w:sz="0" w:space="0" w:color="auto"/>
                    <w:left w:val="none" w:sz="0" w:space="0" w:color="auto"/>
                    <w:bottom w:val="none" w:sz="0" w:space="0" w:color="auto"/>
                    <w:right w:val="none" w:sz="0" w:space="0" w:color="auto"/>
                  </w:divBdr>
                  <w:divsChild>
                    <w:div w:id="1111048061">
                      <w:marLeft w:val="0"/>
                      <w:marRight w:val="0"/>
                      <w:marTop w:val="0"/>
                      <w:marBottom w:val="0"/>
                      <w:divBdr>
                        <w:top w:val="none" w:sz="0" w:space="0" w:color="auto"/>
                        <w:left w:val="none" w:sz="0" w:space="0" w:color="auto"/>
                        <w:bottom w:val="none" w:sz="0" w:space="0" w:color="auto"/>
                        <w:right w:val="none" w:sz="0" w:space="0" w:color="auto"/>
                      </w:divBdr>
                      <w:divsChild>
                        <w:div w:id="1284076947">
                          <w:marLeft w:val="0"/>
                          <w:marRight w:val="0"/>
                          <w:marTop w:val="0"/>
                          <w:marBottom w:val="0"/>
                          <w:divBdr>
                            <w:top w:val="none" w:sz="0" w:space="0" w:color="auto"/>
                            <w:left w:val="none" w:sz="0" w:space="0" w:color="auto"/>
                            <w:bottom w:val="none" w:sz="0" w:space="0" w:color="auto"/>
                            <w:right w:val="none" w:sz="0" w:space="0" w:color="auto"/>
                          </w:divBdr>
                          <w:divsChild>
                            <w:div w:id="896552263">
                              <w:marLeft w:val="0"/>
                              <w:marRight w:val="0"/>
                              <w:marTop w:val="0"/>
                              <w:marBottom w:val="0"/>
                              <w:divBdr>
                                <w:top w:val="none" w:sz="0" w:space="0" w:color="auto"/>
                                <w:left w:val="none" w:sz="0" w:space="0" w:color="auto"/>
                                <w:bottom w:val="none" w:sz="0" w:space="0" w:color="auto"/>
                                <w:right w:val="none" w:sz="0" w:space="0" w:color="auto"/>
                              </w:divBdr>
                              <w:divsChild>
                                <w:div w:id="1325281321">
                                  <w:marLeft w:val="0"/>
                                  <w:marRight w:val="0"/>
                                  <w:marTop w:val="0"/>
                                  <w:marBottom w:val="0"/>
                                  <w:divBdr>
                                    <w:top w:val="none" w:sz="0" w:space="0" w:color="auto"/>
                                    <w:left w:val="none" w:sz="0" w:space="0" w:color="auto"/>
                                    <w:bottom w:val="none" w:sz="0" w:space="0" w:color="auto"/>
                                    <w:right w:val="none" w:sz="0" w:space="0" w:color="auto"/>
                                  </w:divBdr>
                                  <w:divsChild>
                                    <w:div w:id="1368335648">
                                      <w:marLeft w:val="0"/>
                                      <w:marRight w:val="0"/>
                                      <w:marTop w:val="0"/>
                                      <w:marBottom w:val="0"/>
                                      <w:divBdr>
                                        <w:top w:val="none" w:sz="0" w:space="0" w:color="auto"/>
                                        <w:left w:val="none" w:sz="0" w:space="0" w:color="auto"/>
                                        <w:bottom w:val="none" w:sz="0" w:space="0" w:color="auto"/>
                                        <w:right w:val="none" w:sz="0" w:space="0" w:color="auto"/>
                                      </w:divBdr>
                                      <w:divsChild>
                                        <w:div w:id="677777308">
                                          <w:marLeft w:val="0"/>
                                          <w:marRight w:val="0"/>
                                          <w:marTop w:val="0"/>
                                          <w:marBottom w:val="0"/>
                                          <w:divBdr>
                                            <w:top w:val="none" w:sz="0" w:space="0" w:color="auto"/>
                                            <w:left w:val="none" w:sz="0" w:space="0" w:color="auto"/>
                                            <w:bottom w:val="none" w:sz="0" w:space="0" w:color="auto"/>
                                            <w:right w:val="none" w:sz="0" w:space="0" w:color="auto"/>
                                          </w:divBdr>
                                          <w:divsChild>
                                            <w:div w:id="93717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3701115">
      <w:bodyDiv w:val="1"/>
      <w:marLeft w:val="0"/>
      <w:marRight w:val="0"/>
      <w:marTop w:val="0"/>
      <w:marBottom w:val="0"/>
      <w:divBdr>
        <w:top w:val="none" w:sz="0" w:space="0" w:color="auto"/>
        <w:left w:val="none" w:sz="0" w:space="0" w:color="auto"/>
        <w:bottom w:val="none" w:sz="0" w:space="0" w:color="auto"/>
        <w:right w:val="none" w:sz="0" w:space="0" w:color="auto"/>
      </w:divBdr>
      <w:divsChild>
        <w:div w:id="49769651">
          <w:marLeft w:val="0"/>
          <w:marRight w:val="0"/>
          <w:marTop w:val="0"/>
          <w:marBottom w:val="0"/>
          <w:divBdr>
            <w:top w:val="none" w:sz="0" w:space="0" w:color="auto"/>
            <w:left w:val="none" w:sz="0" w:space="0" w:color="auto"/>
            <w:bottom w:val="none" w:sz="0" w:space="0" w:color="auto"/>
            <w:right w:val="none" w:sz="0" w:space="0" w:color="auto"/>
          </w:divBdr>
          <w:divsChild>
            <w:div w:id="1787194963">
              <w:marLeft w:val="180"/>
              <w:marRight w:val="180"/>
              <w:marTop w:val="0"/>
              <w:marBottom w:val="0"/>
              <w:divBdr>
                <w:top w:val="none" w:sz="0" w:space="0" w:color="auto"/>
                <w:left w:val="none" w:sz="0" w:space="0" w:color="auto"/>
                <w:bottom w:val="none" w:sz="0" w:space="0" w:color="auto"/>
                <w:right w:val="none" w:sz="0" w:space="0" w:color="auto"/>
              </w:divBdr>
              <w:divsChild>
                <w:div w:id="1804620592">
                  <w:marLeft w:val="0"/>
                  <w:marRight w:val="0"/>
                  <w:marTop w:val="0"/>
                  <w:marBottom w:val="0"/>
                  <w:divBdr>
                    <w:top w:val="none" w:sz="0" w:space="0" w:color="auto"/>
                    <w:left w:val="none" w:sz="0" w:space="0" w:color="auto"/>
                    <w:bottom w:val="none" w:sz="0" w:space="0" w:color="auto"/>
                    <w:right w:val="none" w:sz="0" w:space="0" w:color="auto"/>
                  </w:divBdr>
                  <w:divsChild>
                    <w:div w:id="132173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673851">
      <w:bodyDiv w:val="1"/>
      <w:marLeft w:val="0"/>
      <w:marRight w:val="0"/>
      <w:marTop w:val="0"/>
      <w:marBottom w:val="0"/>
      <w:divBdr>
        <w:top w:val="none" w:sz="0" w:space="0" w:color="auto"/>
        <w:left w:val="none" w:sz="0" w:space="0" w:color="auto"/>
        <w:bottom w:val="none" w:sz="0" w:space="0" w:color="auto"/>
        <w:right w:val="none" w:sz="0" w:space="0" w:color="auto"/>
      </w:divBdr>
      <w:divsChild>
        <w:div w:id="1555658719">
          <w:marLeft w:val="0"/>
          <w:marRight w:val="0"/>
          <w:marTop w:val="0"/>
          <w:marBottom w:val="0"/>
          <w:divBdr>
            <w:top w:val="none" w:sz="0" w:space="0" w:color="auto"/>
            <w:left w:val="none" w:sz="0" w:space="0" w:color="auto"/>
            <w:bottom w:val="none" w:sz="0" w:space="0" w:color="auto"/>
            <w:right w:val="none" w:sz="0" w:space="0" w:color="auto"/>
          </w:divBdr>
          <w:divsChild>
            <w:div w:id="2043892864">
              <w:marLeft w:val="0"/>
              <w:marRight w:val="0"/>
              <w:marTop w:val="0"/>
              <w:marBottom w:val="0"/>
              <w:divBdr>
                <w:top w:val="none" w:sz="0" w:space="0" w:color="auto"/>
                <w:left w:val="none" w:sz="0" w:space="0" w:color="auto"/>
                <w:bottom w:val="none" w:sz="0" w:space="0" w:color="auto"/>
                <w:right w:val="none" w:sz="0" w:space="0" w:color="auto"/>
              </w:divBdr>
              <w:divsChild>
                <w:div w:id="1929540182">
                  <w:marLeft w:val="0"/>
                  <w:marRight w:val="0"/>
                  <w:marTop w:val="0"/>
                  <w:marBottom w:val="0"/>
                  <w:divBdr>
                    <w:top w:val="none" w:sz="0" w:space="0" w:color="auto"/>
                    <w:left w:val="none" w:sz="0" w:space="0" w:color="auto"/>
                    <w:bottom w:val="none" w:sz="0" w:space="0" w:color="auto"/>
                    <w:right w:val="none" w:sz="0" w:space="0" w:color="auto"/>
                  </w:divBdr>
                  <w:divsChild>
                    <w:div w:id="1376349441">
                      <w:marLeft w:val="0"/>
                      <w:marRight w:val="0"/>
                      <w:marTop w:val="0"/>
                      <w:marBottom w:val="0"/>
                      <w:divBdr>
                        <w:top w:val="none" w:sz="0" w:space="0" w:color="auto"/>
                        <w:left w:val="none" w:sz="0" w:space="0" w:color="auto"/>
                        <w:bottom w:val="none" w:sz="0" w:space="0" w:color="auto"/>
                        <w:right w:val="none" w:sz="0" w:space="0" w:color="auto"/>
                      </w:divBdr>
                      <w:divsChild>
                        <w:div w:id="2136412193">
                          <w:marLeft w:val="0"/>
                          <w:marRight w:val="0"/>
                          <w:marTop w:val="0"/>
                          <w:marBottom w:val="0"/>
                          <w:divBdr>
                            <w:top w:val="none" w:sz="0" w:space="0" w:color="auto"/>
                            <w:left w:val="none" w:sz="0" w:space="0" w:color="auto"/>
                            <w:bottom w:val="none" w:sz="0" w:space="0" w:color="auto"/>
                            <w:right w:val="none" w:sz="0" w:space="0" w:color="auto"/>
                          </w:divBdr>
                          <w:divsChild>
                            <w:div w:id="1364289113">
                              <w:marLeft w:val="0"/>
                              <w:marRight w:val="0"/>
                              <w:marTop w:val="0"/>
                              <w:marBottom w:val="0"/>
                              <w:divBdr>
                                <w:top w:val="none" w:sz="0" w:space="0" w:color="auto"/>
                                <w:left w:val="none" w:sz="0" w:space="0" w:color="auto"/>
                                <w:bottom w:val="none" w:sz="0" w:space="0" w:color="auto"/>
                                <w:right w:val="none" w:sz="0" w:space="0" w:color="auto"/>
                              </w:divBdr>
                              <w:divsChild>
                                <w:div w:id="9602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654127">
      <w:bodyDiv w:val="1"/>
      <w:marLeft w:val="0"/>
      <w:marRight w:val="0"/>
      <w:marTop w:val="0"/>
      <w:marBottom w:val="0"/>
      <w:divBdr>
        <w:top w:val="none" w:sz="0" w:space="0" w:color="auto"/>
        <w:left w:val="none" w:sz="0" w:space="0" w:color="auto"/>
        <w:bottom w:val="none" w:sz="0" w:space="0" w:color="auto"/>
        <w:right w:val="none" w:sz="0" w:space="0" w:color="auto"/>
      </w:divBdr>
      <w:divsChild>
        <w:div w:id="1174564820">
          <w:marLeft w:val="0"/>
          <w:marRight w:val="0"/>
          <w:marTop w:val="0"/>
          <w:marBottom w:val="0"/>
          <w:divBdr>
            <w:top w:val="none" w:sz="0" w:space="0" w:color="auto"/>
            <w:left w:val="none" w:sz="0" w:space="0" w:color="auto"/>
            <w:bottom w:val="none" w:sz="0" w:space="0" w:color="auto"/>
            <w:right w:val="none" w:sz="0" w:space="0" w:color="auto"/>
          </w:divBdr>
          <w:divsChild>
            <w:div w:id="1144934988">
              <w:marLeft w:val="0"/>
              <w:marRight w:val="0"/>
              <w:marTop w:val="0"/>
              <w:marBottom w:val="0"/>
              <w:divBdr>
                <w:top w:val="none" w:sz="0" w:space="0" w:color="auto"/>
                <w:left w:val="none" w:sz="0" w:space="0" w:color="auto"/>
                <w:bottom w:val="none" w:sz="0" w:space="0" w:color="auto"/>
                <w:right w:val="none" w:sz="0" w:space="0" w:color="auto"/>
              </w:divBdr>
              <w:divsChild>
                <w:div w:id="1809081116">
                  <w:marLeft w:val="0"/>
                  <w:marRight w:val="0"/>
                  <w:marTop w:val="0"/>
                  <w:marBottom w:val="0"/>
                  <w:divBdr>
                    <w:top w:val="none" w:sz="0" w:space="0" w:color="auto"/>
                    <w:left w:val="none" w:sz="0" w:space="0" w:color="auto"/>
                    <w:bottom w:val="none" w:sz="0" w:space="0" w:color="auto"/>
                    <w:right w:val="none" w:sz="0" w:space="0" w:color="auto"/>
                  </w:divBdr>
                  <w:divsChild>
                    <w:div w:id="430903140">
                      <w:marLeft w:val="0"/>
                      <w:marRight w:val="0"/>
                      <w:marTop w:val="0"/>
                      <w:marBottom w:val="0"/>
                      <w:divBdr>
                        <w:top w:val="none" w:sz="0" w:space="0" w:color="auto"/>
                        <w:left w:val="none" w:sz="0" w:space="0" w:color="auto"/>
                        <w:bottom w:val="none" w:sz="0" w:space="0" w:color="auto"/>
                        <w:right w:val="none" w:sz="0" w:space="0" w:color="auto"/>
                      </w:divBdr>
                      <w:divsChild>
                        <w:div w:id="551304931">
                          <w:marLeft w:val="0"/>
                          <w:marRight w:val="0"/>
                          <w:marTop w:val="0"/>
                          <w:marBottom w:val="0"/>
                          <w:divBdr>
                            <w:top w:val="none" w:sz="0" w:space="0" w:color="auto"/>
                            <w:left w:val="none" w:sz="0" w:space="0" w:color="auto"/>
                            <w:bottom w:val="none" w:sz="0" w:space="0" w:color="auto"/>
                            <w:right w:val="none" w:sz="0" w:space="0" w:color="auto"/>
                          </w:divBdr>
                          <w:divsChild>
                            <w:div w:id="2035614738">
                              <w:marLeft w:val="0"/>
                              <w:marRight w:val="0"/>
                              <w:marTop w:val="0"/>
                              <w:marBottom w:val="0"/>
                              <w:divBdr>
                                <w:top w:val="none" w:sz="0" w:space="0" w:color="auto"/>
                                <w:left w:val="none" w:sz="0" w:space="0" w:color="auto"/>
                                <w:bottom w:val="none" w:sz="0" w:space="0" w:color="auto"/>
                                <w:right w:val="none" w:sz="0" w:space="0" w:color="auto"/>
                              </w:divBdr>
                              <w:divsChild>
                                <w:div w:id="1237787974">
                                  <w:marLeft w:val="0"/>
                                  <w:marRight w:val="0"/>
                                  <w:marTop w:val="0"/>
                                  <w:marBottom w:val="0"/>
                                  <w:divBdr>
                                    <w:top w:val="none" w:sz="0" w:space="0" w:color="auto"/>
                                    <w:left w:val="none" w:sz="0" w:space="0" w:color="auto"/>
                                    <w:bottom w:val="none" w:sz="0" w:space="0" w:color="auto"/>
                                    <w:right w:val="none" w:sz="0" w:space="0" w:color="auto"/>
                                  </w:divBdr>
                                  <w:divsChild>
                                    <w:div w:id="638268752">
                                      <w:marLeft w:val="0"/>
                                      <w:marRight w:val="0"/>
                                      <w:marTop w:val="0"/>
                                      <w:marBottom w:val="0"/>
                                      <w:divBdr>
                                        <w:top w:val="none" w:sz="0" w:space="0" w:color="auto"/>
                                        <w:left w:val="none" w:sz="0" w:space="0" w:color="auto"/>
                                        <w:bottom w:val="none" w:sz="0" w:space="0" w:color="auto"/>
                                        <w:right w:val="none" w:sz="0" w:space="0" w:color="auto"/>
                                      </w:divBdr>
                                      <w:divsChild>
                                        <w:div w:id="1762067717">
                                          <w:marLeft w:val="0"/>
                                          <w:marRight w:val="0"/>
                                          <w:marTop w:val="0"/>
                                          <w:marBottom w:val="0"/>
                                          <w:divBdr>
                                            <w:top w:val="none" w:sz="0" w:space="0" w:color="auto"/>
                                            <w:left w:val="none" w:sz="0" w:space="0" w:color="auto"/>
                                            <w:bottom w:val="none" w:sz="0" w:space="0" w:color="auto"/>
                                            <w:right w:val="none" w:sz="0" w:space="0" w:color="auto"/>
                                          </w:divBdr>
                                          <w:divsChild>
                                            <w:div w:id="208896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olice-and-criminal-evidence-act-1984-pace-codes-of-practice" TargetMode="External"/><Relationship Id="rId3" Type="http://schemas.openxmlformats.org/officeDocument/2006/relationships/settings" Target="settings.xml"/><Relationship Id="rId7" Type="http://schemas.openxmlformats.org/officeDocument/2006/relationships/hyperlink" Target="https://www.inbrief.co.uk/police/pa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justice-ni.gov.uk/articles/pace-codes-practice" TargetMode="External"/><Relationship Id="rId5" Type="http://schemas.openxmlformats.org/officeDocument/2006/relationships/hyperlink" Target="https://www.kingsleynapley.co.uk/insights/blogs/criminal-law-blog/revised-pace-codes-of-practice-coming-into-for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11</Pages>
  <Words>3023</Words>
  <Characters>17232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Evaluate the Success and Limitations of The Police and Criminal Evidence Act 1984 In Preventing Miscarriages of Justice.</vt:lpstr>
    </vt:vector>
  </TitlesOfParts>
  <Company>University of Wales Trinity Saint David</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Success and Limitations of The Police and Criminal Evidence Act 1984 In Preventing Miscarriages of Justice.</dc:title>
  <dc:subject/>
  <dc:creator>Sophia Ivens (1801465)</dc:creator>
  <cp:keywords/>
  <dc:description/>
  <cp:lastModifiedBy>Sophia Ivens</cp:lastModifiedBy>
  <cp:revision>167</cp:revision>
  <dcterms:created xsi:type="dcterms:W3CDTF">2019-10-28T11:31:00Z</dcterms:created>
  <dcterms:modified xsi:type="dcterms:W3CDTF">2019-11-08T16:33:00Z</dcterms:modified>
</cp:coreProperties>
</file>