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AB69E" w14:textId="43E6B9CD" w:rsidR="00756F4C" w:rsidRPr="000011DB" w:rsidRDefault="00756F4C" w:rsidP="00CA388D">
      <w:pPr>
        <w:spacing w:line="360" w:lineRule="auto"/>
        <w:rPr>
          <w:sz w:val="32"/>
          <w:szCs w:val="36"/>
          <w:lang w:val="en-US"/>
        </w:rPr>
      </w:pPr>
      <w:bookmarkStart w:id="0" w:name="_Hlk219069081"/>
      <w:r w:rsidRPr="00A406E5">
        <w:rPr>
          <w:rFonts w:ascii="Arial" w:hAnsi="Arial" w:cs="Arial"/>
          <w:noProof/>
        </w:rPr>
        <w:drawing>
          <wp:anchor distT="0" distB="0" distL="114300" distR="114300" simplePos="0" relativeHeight="251659264" behindDoc="0" locked="0" layoutInCell="1" allowOverlap="1" wp14:anchorId="0572CA03" wp14:editId="2BF29150">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anchor>
        </w:drawing>
      </w:r>
    </w:p>
    <w:p w14:paraId="4F9FB7EA" w14:textId="41D8804B" w:rsidR="00CB2670" w:rsidRDefault="00CB2670" w:rsidP="00CA388D">
      <w:pPr>
        <w:spacing w:line="360" w:lineRule="auto"/>
        <w:rPr>
          <w:sz w:val="32"/>
          <w:szCs w:val="36"/>
          <w:lang w:val="en-US"/>
        </w:rPr>
      </w:pPr>
    </w:p>
    <w:p w14:paraId="29BEA2B3" w14:textId="1174849F" w:rsidR="00756F4C" w:rsidRDefault="00756F4C" w:rsidP="00CA388D">
      <w:pPr>
        <w:spacing w:line="360" w:lineRule="auto"/>
        <w:rPr>
          <w:sz w:val="32"/>
          <w:szCs w:val="36"/>
          <w:lang w:val="en-US"/>
        </w:rPr>
      </w:pPr>
    </w:p>
    <w:p w14:paraId="3E108833" w14:textId="77777777" w:rsidR="00756F4C" w:rsidRDefault="00756F4C" w:rsidP="00CA388D">
      <w:pPr>
        <w:spacing w:line="360" w:lineRule="auto"/>
        <w:rPr>
          <w:sz w:val="32"/>
          <w:szCs w:val="36"/>
          <w:lang w:val="en-US"/>
        </w:rPr>
      </w:pPr>
    </w:p>
    <w:tbl>
      <w:tblPr>
        <w:tblStyle w:val="TableGrid"/>
        <w:tblW w:w="9922" w:type="dxa"/>
        <w:tblLayout w:type="fixed"/>
        <w:tblLook w:val="0000" w:firstRow="0" w:lastRow="0" w:firstColumn="0" w:lastColumn="0" w:noHBand="0" w:noVBand="0"/>
      </w:tblPr>
      <w:tblGrid>
        <w:gridCol w:w="2093"/>
        <w:gridCol w:w="3293"/>
        <w:gridCol w:w="2268"/>
        <w:gridCol w:w="2268"/>
      </w:tblGrid>
      <w:tr w:rsidR="000E33FE" w:rsidRPr="00756F4C" w14:paraId="199FA0B3" w14:textId="77777777" w:rsidTr="000E33FE">
        <w:tc>
          <w:tcPr>
            <w:tcW w:w="2093" w:type="dxa"/>
          </w:tcPr>
          <w:p w14:paraId="533378EE" w14:textId="6EB98A4D" w:rsidR="000E33FE" w:rsidRPr="00756F4C" w:rsidRDefault="000E33FE" w:rsidP="000E33FE">
            <w:pPr>
              <w:spacing w:before="120" w:after="120" w:line="360" w:lineRule="auto"/>
              <w:rPr>
                <w:rFonts w:cs="Times New Roman"/>
                <w:b/>
                <w:szCs w:val="24"/>
              </w:rPr>
            </w:pPr>
            <w:r>
              <w:rPr>
                <w:rFonts w:eastAsia="Calibri" w:cs="Times New Roman"/>
                <w:b/>
                <w:kern w:val="0"/>
                <w:szCs w:val="24"/>
                <w14:ligatures w14:val="none"/>
              </w:rPr>
              <w:t>Student name:</w:t>
            </w:r>
          </w:p>
        </w:tc>
        <w:tc>
          <w:tcPr>
            <w:tcW w:w="3293" w:type="dxa"/>
          </w:tcPr>
          <w:p w14:paraId="78B32DFB" w14:textId="75F823E3" w:rsidR="000E33FE" w:rsidRPr="00756F4C" w:rsidRDefault="000E33FE" w:rsidP="000E33FE">
            <w:pPr>
              <w:spacing w:before="120" w:after="120" w:line="360" w:lineRule="auto"/>
              <w:rPr>
                <w:rFonts w:cs="Times New Roman"/>
                <w:b/>
                <w:szCs w:val="24"/>
              </w:rPr>
            </w:pPr>
            <w:r>
              <w:rPr>
                <w:rFonts w:eastAsia="Calibri" w:cs="Times New Roman"/>
                <w:b/>
                <w:kern w:val="0"/>
                <w:szCs w:val="24"/>
                <w14:ligatures w14:val="none"/>
              </w:rPr>
              <w:t>Ahsanul Haque</w:t>
            </w:r>
          </w:p>
        </w:tc>
        <w:tc>
          <w:tcPr>
            <w:tcW w:w="2268" w:type="dxa"/>
          </w:tcPr>
          <w:p w14:paraId="0CF7E921" w14:textId="641E8535" w:rsidR="000E33FE" w:rsidRPr="00756F4C" w:rsidRDefault="000E33FE" w:rsidP="000E33FE">
            <w:pPr>
              <w:spacing w:before="120" w:after="120" w:line="360" w:lineRule="auto"/>
              <w:rPr>
                <w:rFonts w:cs="Times New Roman"/>
                <w:b/>
                <w:szCs w:val="24"/>
              </w:rPr>
            </w:pPr>
            <w:r>
              <w:rPr>
                <w:rFonts w:eastAsia="Calibri" w:cs="Times New Roman"/>
                <w:b/>
                <w:kern w:val="0"/>
                <w:szCs w:val="24"/>
                <w14:ligatures w14:val="none"/>
              </w:rPr>
              <w:t>Student ID number:</w:t>
            </w:r>
          </w:p>
        </w:tc>
        <w:tc>
          <w:tcPr>
            <w:tcW w:w="2268" w:type="dxa"/>
          </w:tcPr>
          <w:p w14:paraId="1DB73CAE" w14:textId="01E93E7D" w:rsidR="000E33FE" w:rsidRPr="00756F4C" w:rsidRDefault="000E33FE" w:rsidP="000E33FE">
            <w:pPr>
              <w:spacing w:before="120" w:after="120" w:line="360" w:lineRule="auto"/>
              <w:rPr>
                <w:rFonts w:cs="Times New Roman"/>
                <w:b/>
                <w:szCs w:val="24"/>
              </w:rPr>
            </w:pPr>
            <w:r>
              <w:rPr>
                <w:rFonts w:eastAsia="Calibri" w:cs="Times New Roman"/>
                <w:b/>
                <w:kern w:val="0"/>
                <w:szCs w:val="24"/>
                <w14:ligatures w14:val="none"/>
              </w:rPr>
              <w:t>2513203</w:t>
            </w:r>
          </w:p>
        </w:tc>
      </w:tr>
      <w:tr w:rsidR="00756F4C" w:rsidRPr="00756F4C" w14:paraId="10B32EF5" w14:textId="77777777" w:rsidTr="000E33FE">
        <w:tc>
          <w:tcPr>
            <w:tcW w:w="2093" w:type="dxa"/>
          </w:tcPr>
          <w:p w14:paraId="1BE4C36E" w14:textId="77777777" w:rsidR="00756F4C" w:rsidRPr="00756F4C" w:rsidRDefault="00756F4C" w:rsidP="00756F4C">
            <w:pPr>
              <w:spacing w:before="120" w:after="120" w:line="360" w:lineRule="auto"/>
              <w:rPr>
                <w:rFonts w:cs="Times New Roman"/>
                <w:b/>
                <w:szCs w:val="24"/>
              </w:rPr>
            </w:pPr>
            <w:r w:rsidRPr="00756F4C">
              <w:rPr>
                <w:rFonts w:cs="Times New Roman"/>
                <w:b/>
                <w:szCs w:val="24"/>
              </w:rPr>
              <w:t>Programme:</w:t>
            </w:r>
          </w:p>
        </w:tc>
        <w:tc>
          <w:tcPr>
            <w:tcW w:w="7829" w:type="dxa"/>
            <w:gridSpan w:val="3"/>
          </w:tcPr>
          <w:p w14:paraId="322A029E" w14:textId="77777777" w:rsidR="00756F4C" w:rsidRPr="00756F4C" w:rsidRDefault="00756F4C" w:rsidP="00756F4C">
            <w:pPr>
              <w:spacing w:before="120" w:after="120" w:line="360" w:lineRule="auto"/>
              <w:rPr>
                <w:rFonts w:cs="Times New Roman"/>
                <w:b/>
                <w:szCs w:val="24"/>
              </w:rPr>
            </w:pPr>
            <w:r w:rsidRPr="00756F4C">
              <w:rPr>
                <w:rFonts w:cs="Times New Roman"/>
                <w:szCs w:val="24"/>
              </w:rPr>
              <w:t>MBA</w:t>
            </w:r>
          </w:p>
        </w:tc>
      </w:tr>
      <w:tr w:rsidR="00756F4C" w:rsidRPr="00756F4C" w14:paraId="312FB851" w14:textId="77777777" w:rsidTr="000E33FE">
        <w:tc>
          <w:tcPr>
            <w:tcW w:w="2093" w:type="dxa"/>
          </w:tcPr>
          <w:p w14:paraId="451D3263" w14:textId="77777777" w:rsidR="00756F4C" w:rsidRPr="00756F4C" w:rsidRDefault="00756F4C" w:rsidP="00756F4C">
            <w:pPr>
              <w:spacing w:before="120" w:after="120" w:line="360" w:lineRule="auto"/>
              <w:rPr>
                <w:rFonts w:cs="Times New Roman"/>
                <w:b/>
                <w:szCs w:val="24"/>
              </w:rPr>
            </w:pPr>
            <w:r w:rsidRPr="00756F4C">
              <w:rPr>
                <w:rFonts w:cs="Times New Roman"/>
                <w:b/>
                <w:szCs w:val="24"/>
              </w:rPr>
              <w:t>Module:</w:t>
            </w:r>
          </w:p>
        </w:tc>
        <w:tc>
          <w:tcPr>
            <w:tcW w:w="7829" w:type="dxa"/>
            <w:gridSpan w:val="3"/>
          </w:tcPr>
          <w:p w14:paraId="0C22E173" w14:textId="77777777" w:rsidR="00756F4C" w:rsidRPr="00756F4C" w:rsidRDefault="00756F4C" w:rsidP="00756F4C">
            <w:pPr>
              <w:spacing w:before="120" w:after="120" w:line="360" w:lineRule="auto"/>
              <w:rPr>
                <w:rFonts w:cs="Times New Roman"/>
                <w:b/>
                <w:szCs w:val="24"/>
              </w:rPr>
            </w:pPr>
            <w:r w:rsidRPr="00756F4C">
              <w:rPr>
                <w:rFonts w:cs="Times New Roman"/>
                <w:szCs w:val="24"/>
              </w:rPr>
              <w:t>Finance for Business Managers</w:t>
            </w:r>
          </w:p>
        </w:tc>
      </w:tr>
      <w:tr w:rsidR="00756F4C" w:rsidRPr="00756F4C" w14:paraId="067C3D1F" w14:textId="77777777" w:rsidTr="000E33FE">
        <w:tc>
          <w:tcPr>
            <w:tcW w:w="2093" w:type="dxa"/>
          </w:tcPr>
          <w:p w14:paraId="0EBED678" w14:textId="77777777" w:rsidR="00756F4C" w:rsidRPr="00756F4C" w:rsidRDefault="00756F4C" w:rsidP="00756F4C">
            <w:pPr>
              <w:spacing w:before="120" w:after="120" w:line="360" w:lineRule="auto"/>
              <w:rPr>
                <w:rFonts w:cs="Times New Roman"/>
                <w:b/>
                <w:szCs w:val="24"/>
              </w:rPr>
            </w:pPr>
            <w:r w:rsidRPr="00756F4C">
              <w:rPr>
                <w:rFonts w:cs="Times New Roman"/>
                <w:b/>
                <w:szCs w:val="24"/>
              </w:rPr>
              <w:t>Module code:</w:t>
            </w:r>
          </w:p>
        </w:tc>
        <w:tc>
          <w:tcPr>
            <w:tcW w:w="3293" w:type="dxa"/>
          </w:tcPr>
          <w:p w14:paraId="4A36614E" w14:textId="77777777" w:rsidR="00756F4C" w:rsidRPr="00756F4C" w:rsidRDefault="00756F4C" w:rsidP="00756F4C">
            <w:pPr>
              <w:spacing w:before="120" w:after="120" w:line="360" w:lineRule="auto"/>
              <w:rPr>
                <w:rFonts w:cs="Times New Roman"/>
                <w:b/>
                <w:szCs w:val="24"/>
              </w:rPr>
            </w:pPr>
            <w:r w:rsidRPr="00756F4C">
              <w:rPr>
                <w:rFonts w:cs="Times New Roman"/>
                <w:bCs/>
                <w:szCs w:val="24"/>
              </w:rPr>
              <w:t>BMMB7005D</w:t>
            </w:r>
          </w:p>
        </w:tc>
        <w:tc>
          <w:tcPr>
            <w:tcW w:w="2268" w:type="dxa"/>
          </w:tcPr>
          <w:p w14:paraId="233FD184" w14:textId="77777777" w:rsidR="00756F4C" w:rsidRPr="00756F4C" w:rsidRDefault="00756F4C" w:rsidP="00756F4C">
            <w:pPr>
              <w:pStyle w:val="Heading2"/>
              <w:spacing w:line="360" w:lineRule="auto"/>
              <w:outlineLvl w:val="1"/>
              <w:rPr>
                <w:rFonts w:cs="Times New Roman"/>
                <w:color w:val="auto"/>
                <w:sz w:val="24"/>
                <w:szCs w:val="24"/>
              </w:rPr>
            </w:pPr>
            <w:r w:rsidRPr="00756F4C">
              <w:rPr>
                <w:rFonts w:cs="Times New Roman"/>
                <w:color w:val="auto"/>
                <w:sz w:val="24"/>
                <w:szCs w:val="24"/>
              </w:rPr>
              <w:t>Contribution to Overall Module Assessment (%):</w:t>
            </w:r>
          </w:p>
        </w:tc>
        <w:tc>
          <w:tcPr>
            <w:tcW w:w="2268" w:type="dxa"/>
          </w:tcPr>
          <w:p w14:paraId="6255892C" w14:textId="77777777" w:rsidR="00756F4C" w:rsidRPr="00756F4C" w:rsidRDefault="00756F4C" w:rsidP="00756F4C">
            <w:pPr>
              <w:spacing w:before="120" w:after="120" w:line="360" w:lineRule="auto"/>
              <w:rPr>
                <w:rFonts w:cs="Times New Roman"/>
                <w:b/>
                <w:szCs w:val="24"/>
              </w:rPr>
            </w:pPr>
            <w:r w:rsidRPr="00756F4C">
              <w:rPr>
                <w:rFonts w:cs="Times New Roman"/>
                <w:szCs w:val="24"/>
              </w:rPr>
              <w:t>100%</w:t>
            </w:r>
          </w:p>
        </w:tc>
      </w:tr>
      <w:tr w:rsidR="00756F4C" w:rsidRPr="00756F4C" w14:paraId="2E959E7D" w14:textId="77777777" w:rsidTr="000E33FE">
        <w:tc>
          <w:tcPr>
            <w:tcW w:w="2093" w:type="dxa"/>
          </w:tcPr>
          <w:p w14:paraId="67418375" w14:textId="77777777" w:rsidR="00756F4C" w:rsidRPr="00756F4C" w:rsidRDefault="00756F4C" w:rsidP="00756F4C">
            <w:pPr>
              <w:spacing w:before="120" w:after="120" w:line="360" w:lineRule="auto"/>
              <w:rPr>
                <w:rFonts w:cs="Times New Roman"/>
                <w:b/>
                <w:szCs w:val="24"/>
              </w:rPr>
            </w:pPr>
            <w:r w:rsidRPr="00756F4C">
              <w:rPr>
                <w:rFonts w:cs="Times New Roman"/>
                <w:b/>
                <w:szCs w:val="24"/>
              </w:rPr>
              <w:t>Lecturer:</w:t>
            </w:r>
          </w:p>
        </w:tc>
        <w:tc>
          <w:tcPr>
            <w:tcW w:w="3293" w:type="dxa"/>
          </w:tcPr>
          <w:p w14:paraId="575D1E5B" w14:textId="77777777" w:rsidR="00756F4C" w:rsidRPr="00756F4C" w:rsidRDefault="00756F4C" w:rsidP="00756F4C">
            <w:pPr>
              <w:spacing w:before="120" w:after="120" w:line="360" w:lineRule="auto"/>
              <w:rPr>
                <w:rFonts w:cs="Times New Roman"/>
                <w:b/>
                <w:szCs w:val="24"/>
              </w:rPr>
            </w:pPr>
            <w:r w:rsidRPr="00756F4C">
              <w:rPr>
                <w:rFonts w:cs="Times New Roman"/>
                <w:szCs w:val="24"/>
              </w:rPr>
              <w:t>Marie Pitson</w:t>
            </w:r>
          </w:p>
        </w:tc>
        <w:tc>
          <w:tcPr>
            <w:tcW w:w="2268" w:type="dxa"/>
          </w:tcPr>
          <w:p w14:paraId="2A6276C1" w14:textId="77777777" w:rsidR="00756F4C" w:rsidRPr="00756F4C" w:rsidRDefault="00756F4C" w:rsidP="00756F4C">
            <w:pPr>
              <w:spacing w:before="120" w:after="120" w:line="360" w:lineRule="auto"/>
              <w:rPr>
                <w:rFonts w:cs="Times New Roman"/>
                <w:b/>
                <w:szCs w:val="24"/>
              </w:rPr>
            </w:pPr>
            <w:r w:rsidRPr="00756F4C">
              <w:rPr>
                <w:rFonts w:cs="Times New Roman"/>
                <w:b/>
                <w:szCs w:val="24"/>
              </w:rPr>
              <w:t>Internal Verifier:</w:t>
            </w:r>
          </w:p>
        </w:tc>
        <w:tc>
          <w:tcPr>
            <w:tcW w:w="2268" w:type="dxa"/>
          </w:tcPr>
          <w:p w14:paraId="1E72A0F5" w14:textId="77777777" w:rsidR="00756F4C" w:rsidRPr="00756F4C" w:rsidRDefault="00756F4C" w:rsidP="00756F4C">
            <w:pPr>
              <w:spacing w:before="120" w:after="120" w:line="360" w:lineRule="auto"/>
              <w:rPr>
                <w:rFonts w:cs="Times New Roman"/>
                <w:b/>
                <w:szCs w:val="24"/>
              </w:rPr>
            </w:pPr>
            <w:r w:rsidRPr="00756F4C">
              <w:rPr>
                <w:rFonts w:cs="Times New Roman"/>
                <w:szCs w:val="24"/>
              </w:rPr>
              <w:t>Badir Miftah</w:t>
            </w:r>
          </w:p>
        </w:tc>
      </w:tr>
      <w:tr w:rsidR="00756F4C" w:rsidRPr="00756F4C" w14:paraId="2CC1450C" w14:textId="77777777" w:rsidTr="000E33FE">
        <w:tc>
          <w:tcPr>
            <w:tcW w:w="2093" w:type="dxa"/>
          </w:tcPr>
          <w:p w14:paraId="3CEDDFD3" w14:textId="77777777" w:rsidR="00756F4C" w:rsidRPr="00756F4C" w:rsidRDefault="00756F4C" w:rsidP="00756F4C">
            <w:pPr>
              <w:spacing w:before="120" w:after="120" w:line="360" w:lineRule="auto"/>
              <w:rPr>
                <w:rFonts w:cs="Times New Roman"/>
                <w:b/>
                <w:szCs w:val="24"/>
              </w:rPr>
            </w:pPr>
            <w:r w:rsidRPr="00756F4C">
              <w:rPr>
                <w:rFonts w:cs="Times New Roman"/>
                <w:b/>
                <w:szCs w:val="24"/>
              </w:rPr>
              <w:t>Assignment Title:</w:t>
            </w:r>
          </w:p>
        </w:tc>
        <w:tc>
          <w:tcPr>
            <w:tcW w:w="3293" w:type="dxa"/>
          </w:tcPr>
          <w:p w14:paraId="0CB08742" w14:textId="2B4BB974" w:rsidR="00756F4C" w:rsidRPr="00756F4C" w:rsidRDefault="00756F4C" w:rsidP="00756F4C">
            <w:pPr>
              <w:spacing w:before="120" w:after="120" w:line="360" w:lineRule="auto"/>
              <w:rPr>
                <w:rFonts w:cs="Times New Roman"/>
                <w:szCs w:val="24"/>
              </w:rPr>
            </w:pPr>
            <w:r>
              <w:rPr>
                <w:rFonts w:cs="Times New Roman"/>
                <w:szCs w:val="24"/>
              </w:rPr>
              <w:t xml:space="preserve">Finance Report for </w:t>
            </w:r>
            <w:r w:rsidR="00A91DA7">
              <w:rPr>
                <w:szCs w:val="28"/>
                <w:lang w:val="en-US"/>
              </w:rPr>
              <w:t xml:space="preserve">AstraZeneca </w:t>
            </w:r>
            <w:r w:rsidR="00A91DA7">
              <w:rPr>
                <w:szCs w:val="28"/>
                <w:lang w:val="en-US"/>
              </w:rPr>
              <w:t xml:space="preserve"> </w:t>
            </w:r>
            <w:r>
              <w:rPr>
                <w:rFonts w:cs="Times New Roman"/>
                <w:szCs w:val="24"/>
              </w:rPr>
              <w:t xml:space="preserve">Plc &amp; </w:t>
            </w:r>
            <w:r w:rsidRPr="00756F4C">
              <w:rPr>
                <w:rFonts w:cs="Times New Roman"/>
                <w:szCs w:val="24"/>
              </w:rPr>
              <w:t>Westward Plc</w:t>
            </w:r>
          </w:p>
        </w:tc>
        <w:tc>
          <w:tcPr>
            <w:tcW w:w="2268" w:type="dxa"/>
          </w:tcPr>
          <w:p w14:paraId="6B41AE24" w14:textId="77777777" w:rsidR="00756F4C" w:rsidRPr="00756F4C" w:rsidRDefault="00756F4C" w:rsidP="00756F4C">
            <w:pPr>
              <w:spacing w:before="120" w:after="120" w:line="360" w:lineRule="auto"/>
              <w:rPr>
                <w:rFonts w:cs="Times New Roman"/>
                <w:b/>
                <w:szCs w:val="24"/>
              </w:rPr>
            </w:pPr>
            <w:r w:rsidRPr="00756F4C">
              <w:rPr>
                <w:rFonts w:cs="Times New Roman"/>
                <w:b/>
                <w:szCs w:val="24"/>
              </w:rPr>
              <w:t>Word count (or equivalent):</w:t>
            </w:r>
          </w:p>
        </w:tc>
        <w:tc>
          <w:tcPr>
            <w:tcW w:w="2268" w:type="dxa"/>
          </w:tcPr>
          <w:p w14:paraId="51C279A3" w14:textId="77777777" w:rsidR="00756F4C" w:rsidRPr="00756F4C" w:rsidRDefault="00756F4C" w:rsidP="00756F4C">
            <w:pPr>
              <w:spacing w:before="120" w:after="120" w:line="360" w:lineRule="auto"/>
              <w:rPr>
                <w:rFonts w:cs="Times New Roman"/>
                <w:b/>
                <w:szCs w:val="24"/>
              </w:rPr>
            </w:pPr>
            <w:r w:rsidRPr="00756F4C">
              <w:rPr>
                <w:rFonts w:cs="Times New Roman"/>
                <w:szCs w:val="24"/>
              </w:rPr>
              <w:t>5000 words</w:t>
            </w:r>
          </w:p>
        </w:tc>
      </w:tr>
      <w:tr w:rsidR="00756F4C" w:rsidRPr="00756F4C" w14:paraId="03CE32BE" w14:textId="77777777" w:rsidTr="000E33FE">
        <w:tc>
          <w:tcPr>
            <w:tcW w:w="2093" w:type="dxa"/>
          </w:tcPr>
          <w:p w14:paraId="0D82A73E" w14:textId="77777777" w:rsidR="00756F4C" w:rsidRPr="00756F4C" w:rsidRDefault="00756F4C" w:rsidP="00756F4C">
            <w:pPr>
              <w:spacing w:before="120" w:after="120" w:line="360" w:lineRule="auto"/>
              <w:rPr>
                <w:rFonts w:cs="Times New Roman"/>
                <w:b/>
                <w:szCs w:val="24"/>
              </w:rPr>
            </w:pPr>
            <w:r w:rsidRPr="00756F4C">
              <w:rPr>
                <w:rFonts w:cs="Times New Roman"/>
                <w:b/>
                <w:szCs w:val="24"/>
              </w:rPr>
              <w:t>Submission deadline:</w:t>
            </w:r>
          </w:p>
        </w:tc>
        <w:tc>
          <w:tcPr>
            <w:tcW w:w="3293" w:type="dxa"/>
          </w:tcPr>
          <w:p w14:paraId="6856ACBE" w14:textId="77777777" w:rsidR="00756F4C" w:rsidRPr="00756F4C" w:rsidRDefault="00756F4C" w:rsidP="00756F4C">
            <w:pPr>
              <w:spacing w:before="120" w:after="120" w:line="360" w:lineRule="auto"/>
              <w:rPr>
                <w:rFonts w:cs="Times New Roman"/>
                <w:szCs w:val="24"/>
              </w:rPr>
            </w:pPr>
            <w:r w:rsidRPr="00756F4C">
              <w:rPr>
                <w:rFonts w:cs="Times New Roman"/>
                <w:szCs w:val="24"/>
              </w:rPr>
              <w:t>12</w:t>
            </w:r>
            <w:r w:rsidRPr="00756F4C">
              <w:rPr>
                <w:rFonts w:cs="Times New Roman"/>
                <w:szCs w:val="24"/>
                <w:vertAlign w:val="superscript"/>
              </w:rPr>
              <w:t>th</w:t>
            </w:r>
            <w:r w:rsidRPr="00756F4C">
              <w:rPr>
                <w:rFonts w:cs="Times New Roman"/>
                <w:szCs w:val="24"/>
              </w:rPr>
              <w:t xml:space="preserve"> January 2026</w:t>
            </w:r>
          </w:p>
        </w:tc>
        <w:tc>
          <w:tcPr>
            <w:tcW w:w="2268" w:type="dxa"/>
          </w:tcPr>
          <w:p w14:paraId="602DF034" w14:textId="21A650D5" w:rsidR="00756F4C" w:rsidRPr="00756F4C" w:rsidRDefault="00756F4C" w:rsidP="00756F4C">
            <w:pPr>
              <w:spacing w:before="120" w:after="120" w:line="360" w:lineRule="auto"/>
              <w:rPr>
                <w:rFonts w:cs="Times New Roman"/>
                <w:b/>
                <w:szCs w:val="24"/>
              </w:rPr>
            </w:pPr>
          </w:p>
        </w:tc>
        <w:tc>
          <w:tcPr>
            <w:tcW w:w="2268" w:type="dxa"/>
          </w:tcPr>
          <w:p w14:paraId="5D64EC68" w14:textId="1B90EB79" w:rsidR="00756F4C" w:rsidRPr="00756F4C" w:rsidRDefault="00756F4C" w:rsidP="00756F4C">
            <w:pPr>
              <w:spacing w:before="120" w:after="120" w:line="360" w:lineRule="auto"/>
              <w:rPr>
                <w:rFonts w:cs="Times New Roman"/>
                <w:szCs w:val="24"/>
              </w:rPr>
            </w:pPr>
          </w:p>
        </w:tc>
      </w:tr>
    </w:tbl>
    <w:p w14:paraId="44BDDA53" w14:textId="426D898E" w:rsidR="00756F4C" w:rsidRDefault="00756F4C" w:rsidP="00CA388D">
      <w:pPr>
        <w:spacing w:line="360" w:lineRule="auto"/>
        <w:rPr>
          <w:sz w:val="32"/>
          <w:szCs w:val="36"/>
          <w:lang w:val="en-US"/>
        </w:rPr>
      </w:pPr>
    </w:p>
    <w:bookmarkEnd w:id="0"/>
    <w:p w14:paraId="7F42D989" w14:textId="42A04B84" w:rsidR="00756F4C" w:rsidRDefault="00756F4C" w:rsidP="00CA388D">
      <w:pPr>
        <w:spacing w:line="360" w:lineRule="auto"/>
        <w:rPr>
          <w:sz w:val="32"/>
          <w:szCs w:val="36"/>
          <w:lang w:val="en-US"/>
        </w:rPr>
      </w:pPr>
    </w:p>
    <w:p w14:paraId="1A7DCC6A" w14:textId="77777777" w:rsidR="00756F4C" w:rsidRDefault="00756F4C" w:rsidP="00CA388D">
      <w:pPr>
        <w:spacing w:line="360" w:lineRule="auto"/>
        <w:rPr>
          <w:sz w:val="32"/>
          <w:szCs w:val="36"/>
          <w:lang w:val="en-US"/>
        </w:rPr>
      </w:pPr>
    </w:p>
    <w:p w14:paraId="233A0CD7" w14:textId="06D9903C" w:rsidR="00CB2670" w:rsidRDefault="00756F4C" w:rsidP="00756F4C">
      <w:pPr>
        <w:spacing w:line="360" w:lineRule="auto"/>
        <w:rPr>
          <w:sz w:val="32"/>
          <w:szCs w:val="36"/>
          <w:lang w:val="en-US"/>
        </w:rPr>
      </w:pPr>
      <w:r>
        <w:br w:type="page"/>
      </w:r>
    </w:p>
    <w:p w14:paraId="050B5260" w14:textId="66A906FE" w:rsidR="00CB2670" w:rsidRPr="000011DB" w:rsidRDefault="00CB2670" w:rsidP="00CB2670">
      <w:pPr>
        <w:keepNext/>
        <w:keepLines/>
        <w:spacing w:before="240" w:after="120" w:line="360" w:lineRule="auto"/>
        <w:outlineLvl w:val="0"/>
        <w:rPr>
          <w:rFonts w:eastAsiaTheme="majorEastAsia" w:cstheme="majorBidi"/>
          <w:b/>
          <w:color w:val="2F5496" w:themeColor="accent1" w:themeShade="BF"/>
          <w:sz w:val="32"/>
          <w:szCs w:val="50"/>
          <w:lang w:val="en-US"/>
        </w:rPr>
      </w:pPr>
      <w:bookmarkStart w:id="1" w:name="_Toc219049996"/>
      <w:r>
        <w:rPr>
          <w:rFonts w:eastAsiaTheme="majorEastAsia" w:cstheme="majorBidi"/>
          <w:b/>
          <w:color w:val="2F5496" w:themeColor="accent1" w:themeShade="BF"/>
          <w:sz w:val="32"/>
          <w:szCs w:val="50"/>
          <w:lang w:val="en-US"/>
        </w:rPr>
        <w:lastRenderedPageBreak/>
        <w:t>Executive Summary</w:t>
      </w:r>
      <w:bookmarkEnd w:id="1"/>
    </w:p>
    <w:p w14:paraId="43CEEEE8" w14:textId="66AD02B8" w:rsidR="000011DB" w:rsidRPr="00CB2670" w:rsidRDefault="00CB2670" w:rsidP="00CB2670">
      <w:pPr>
        <w:spacing w:line="360" w:lineRule="auto"/>
        <w:rPr>
          <w:szCs w:val="28"/>
          <w:lang w:val="en-US"/>
        </w:rPr>
      </w:pPr>
      <w:r>
        <w:rPr>
          <w:szCs w:val="28"/>
          <w:lang w:val="en-US"/>
        </w:rPr>
        <w:t xml:space="preserve">Financial performance analysis has always been a core part of evaluating the effectiveness of a company in terms of use of assets and maintaining the core activities. This report has incorporated both ratio analysis as well as investment appraisal methods to deliver a comprehensive understanding of how both can be applied to real-world cases. For instance, in the first part of the report, the financial performance of AstraZeneca PLC has been evaluated using various ratios such as profitability ratios, liquidity ratios, efficiency ratios and others where the lacking has been identified and the recommendations have been curated in line with the problems identified. </w:t>
      </w:r>
      <w:r w:rsidR="00332980">
        <w:rPr>
          <w:szCs w:val="28"/>
          <w:lang w:val="en-US"/>
        </w:rPr>
        <w:t>In the second part, investment appraisal methods including net present value and internal rate of return have been applied to the three options provided in the brief for Westward PLC and the most effective and value-maximizing option has been recommended to the managers of the company.</w:t>
      </w:r>
    </w:p>
    <w:p w14:paraId="3D5F61BA" w14:textId="77777777" w:rsidR="000011DB" w:rsidRPr="000011DB" w:rsidRDefault="000011DB" w:rsidP="00CA388D">
      <w:pPr>
        <w:spacing w:after="160" w:line="360" w:lineRule="auto"/>
        <w:rPr>
          <w:sz w:val="32"/>
          <w:szCs w:val="36"/>
          <w:lang w:val="en-US"/>
        </w:rPr>
      </w:pPr>
      <w:r w:rsidRPr="000011DB">
        <w:rPr>
          <w:sz w:val="32"/>
          <w:szCs w:val="36"/>
          <w:lang w:val="en-US"/>
        </w:rPr>
        <w:br w:type="page"/>
      </w:r>
    </w:p>
    <w:sdt>
      <w:sdtPr>
        <w:rPr>
          <w:rFonts w:asciiTheme="majorHAnsi" w:eastAsiaTheme="majorEastAsia" w:hAnsiTheme="majorHAnsi" w:cstheme="majorBidi"/>
          <w:color w:val="2F5496" w:themeColor="accent1" w:themeShade="BF"/>
          <w:kern w:val="0"/>
          <w:sz w:val="32"/>
          <w:szCs w:val="32"/>
          <w:lang w:eastAsia="en-GB"/>
          <w14:ligatures w14:val="none"/>
        </w:rPr>
        <w:id w:val="-567185679"/>
        <w:docPartObj>
          <w:docPartGallery w:val="Table of Contents"/>
          <w:docPartUnique/>
        </w:docPartObj>
      </w:sdtPr>
      <w:sdtEndPr>
        <w:rPr>
          <w:rFonts w:ascii="Times New Roman" w:eastAsiaTheme="minorHAnsi" w:hAnsi="Times New Roman" w:cstheme="minorBidi"/>
          <w:b/>
          <w:bCs/>
          <w:color w:val="auto"/>
          <w:kern w:val="2"/>
          <w:sz w:val="24"/>
          <w:szCs w:val="30"/>
          <w:lang w:eastAsia="en-US"/>
          <w14:ligatures w14:val="standardContextual"/>
        </w:rPr>
      </w:sdtEndPr>
      <w:sdtContent>
        <w:p w14:paraId="0F34EE9F" w14:textId="77777777" w:rsidR="000011DB" w:rsidRPr="000011DB" w:rsidRDefault="000011DB" w:rsidP="00CA388D">
          <w:pPr>
            <w:keepNext/>
            <w:keepLines/>
            <w:spacing w:before="240" w:after="0" w:line="360" w:lineRule="auto"/>
            <w:rPr>
              <w:rFonts w:asciiTheme="majorHAnsi" w:eastAsiaTheme="majorEastAsia" w:hAnsiTheme="majorHAnsi" w:cstheme="majorBidi"/>
              <w:color w:val="2F5496" w:themeColor="accent1" w:themeShade="BF"/>
              <w:kern w:val="0"/>
              <w:sz w:val="32"/>
              <w:szCs w:val="32"/>
              <w:lang w:eastAsia="en-GB"/>
              <w14:ligatures w14:val="none"/>
            </w:rPr>
          </w:pPr>
          <w:r w:rsidRPr="000011DB">
            <w:rPr>
              <w:rFonts w:asciiTheme="majorHAnsi" w:eastAsiaTheme="majorEastAsia" w:hAnsiTheme="majorHAnsi" w:cstheme="majorBidi"/>
              <w:color w:val="2F5496" w:themeColor="accent1" w:themeShade="BF"/>
              <w:kern w:val="0"/>
              <w:sz w:val="32"/>
              <w:szCs w:val="32"/>
              <w:lang w:eastAsia="en-GB"/>
              <w14:ligatures w14:val="none"/>
            </w:rPr>
            <w:t>Table of Contents</w:t>
          </w:r>
        </w:p>
        <w:p w14:paraId="5DA463D7" w14:textId="5A3826B8" w:rsidR="00ED6ED3" w:rsidRDefault="000011DB">
          <w:pPr>
            <w:pStyle w:val="TOC1"/>
            <w:tabs>
              <w:tab w:val="right" w:leader="dot" w:pos="9016"/>
            </w:tabs>
            <w:rPr>
              <w:rFonts w:asciiTheme="minorHAnsi" w:eastAsiaTheme="minorEastAsia" w:hAnsiTheme="minorHAnsi"/>
              <w:noProof/>
              <w:lang w:eastAsia="en-GB"/>
            </w:rPr>
          </w:pPr>
          <w:r w:rsidRPr="000011DB">
            <w:fldChar w:fldCharType="begin"/>
          </w:r>
          <w:r w:rsidRPr="000011DB">
            <w:instrText xml:space="preserve"> TOC \o "1-3" \h \z \u </w:instrText>
          </w:r>
          <w:r w:rsidRPr="000011DB">
            <w:fldChar w:fldCharType="separate"/>
          </w:r>
          <w:hyperlink w:anchor="_Toc219049996" w:history="1">
            <w:r w:rsidR="00ED6ED3" w:rsidRPr="000C7B14">
              <w:rPr>
                <w:rStyle w:val="Hyperlink"/>
                <w:rFonts w:eastAsiaTheme="majorEastAsia" w:cstheme="majorBidi"/>
                <w:b/>
                <w:noProof/>
                <w:lang w:val="en-US"/>
              </w:rPr>
              <w:t>Executive Summary</w:t>
            </w:r>
            <w:r w:rsidR="00ED6ED3">
              <w:rPr>
                <w:noProof/>
                <w:webHidden/>
              </w:rPr>
              <w:tab/>
            </w:r>
            <w:r w:rsidR="00ED6ED3">
              <w:rPr>
                <w:noProof/>
                <w:webHidden/>
              </w:rPr>
              <w:fldChar w:fldCharType="begin"/>
            </w:r>
            <w:r w:rsidR="00ED6ED3">
              <w:rPr>
                <w:noProof/>
                <w:webHidden/>
              </w:rPr>
              <w:instrText xml:space="preserve"> PAGEREF _Toc219049996 \h </w:instrText>
            </w:r>
            <w:r w:rsidR="00ED6ED3">
              <w:rPr>
                <w:noProof/>
                <w:webHidden/>
              </w:rPr>
            </w:r>
            <w:r w:rsidR="00ED6ED3">
              <w:rPr>
                <w:noProof/>
                <w:webHidden/>
              </w:rPr>
              <w:fldChar w:fldCharType="separate"/>
            </w:r>
            <w:r w:rsidR="00ED6ED3">
              <w:rPr>
                <w:noProof/>
                <w:webHidden/>
              </w:rPr>
              <w:t>2</w:t>
            </w:r>
            <w:r w:rsidR="00ED6ED3">
              <w:rPr>
                <w:noProof/>
                <w:webHidden/>
              </w:rPr>
              <w:fldChar w:fldCharType="end"/>
            </w:r>
          </w:hyperlink>
        </w:p>
        <w:p w14:paraId="06972712" w14:textId="21B68710" w:rsidR="00ED6ED3" w:rsidRDefault="00DE5C0A">
          <w:pPr>
            <w:pStyle w:val="TOC1"/>
            <w:tabs>
              <w:tab w:val="right" w:leader="dot" w:pos="9016"/>
            </w:tabs>
            <w:rPr>
              <w:rFonts w:asciiTheme="minorHAnsi" w:eastAsiaTheme="minorEastAsia" w:hAnsiTheme="minorHAnsi"/>
              <w:noProof/>
              <w:lang w:eastAsia="en-GB"/>
            </w:rPr>
          </w:pPr>
          <w:hyperlink w:anchor="_Toc219049997" w:history="1">
            <w:r w:rsidR="00ED6ED3" w:rsidRPr="000C7B14">
              <w:rPr>
                <w:rStyle w:val="Hyperlink"/>
                <w:rFonts w:eastAsiaTheme="majorEastAsia" w:cstheme="majorBidi"/>
                <w:b/>
                <w:noProof/>
                <w:lang w:val="en-US"/>
              </w:rPr>
              <w:t>Introduction</w:t>
            </w:r>
            <w:r w:rsidR="00ED6ED3">
              <w:rPr>
                <w:noProof/>
                <w:webHidden/>
              </w:rPr>
              <w:tab/>
            </w:r>
            <w:r w:rsidR="00ED6ED3">
              <w:rPr>
                <w:noProof/>
                <w:webHidden/>
              </w:rPr>
              <w:fldChar w:fldCharType="begin"/>
            </w:r>
            <w:r w:rsidR="00ED6ED3">
              <w:rPr>
                <w:noProof/>
                <w:webHidden/>
              </w:rPr>
              <w:instrText xml:space="preserve"> PAGEREF _Toc219049997 \h </w:instrText>
            </w:r>
            <w:r w:rsidR="00ED6ED3">
              <w:rPr>
                <w:noProof/>
                <w:webHidden/>
              </w:rPr>
            </w:r>
            <w:r w:rsidR="00ED6ED3">
              <w:rPr>
                <w:noProof/>
                <w:webHidden/>
              </w:rPr>
              <w:fldChar w:fldCharType="separate"/>
            </w:r>
            <w:r w:rsidR="00ED6ED3">
              <w:rPr>
                <w:noProof/>
                <w:webHidden/>
              </w:rPr>
              <w:t>4</w:t>
            </w:r>
            <w:r w:rsidR="00ED6ED3">
              <w:rPr>
                <w:noProof/>
                <w:webHidden/>
              </w:rPr>
              <w:fldChar w:fldCharType="end"/>
            </w:r>
          </w:hyperlink>
        </w:p>
        <w:p w14:paraId="6FC28998" w14:textId="20255DFB" w:rsidR="00ED6ED3" w:rsidRDefault="00DE5C0A">
          <w:pPr>
            <w:pStyle w:val="TOC1"/>
            <w:tabs>
              <w:tab w:val="right" w:leader="dot" w:pos="9016"/>
            </w:tabs>
            <w:rPr>
              <w:rFonts w:asciiTheme="minorHAnsi" w:eastAsiaTheme="minorEastAsia" w:hAnsiTheme="minorHAnsi"/>
              <w:noProof/>
              <w:lang w:eastAsia="en-GB"/>
            </w:rPr>
          </w:pPr>
          <w:hyperlink w:anchor="_Toc219049998" w:history="1">
            <w:r w:rsidR="00ED6ED3" w:rsidRPr="000C7B14">
              <w:rPr>
                <w:rStyle w:val="Hyperlink"/>
                <w:rFonts w:eastAsiaTheme="majorEastAsia" w:cstheme="majorBidi"/>
                <w:b/>
                <w:noProof/>
                <w:lang w:val="en-US"/>
              </w:rPr>
              <w:t>Part One: Financial Performance Analysis of AstraZeneca PLC</w:t>
            </w:r>
            <w:r w:rsidR="00ED6ED3">
              <w:rPr>
                <w:noProof/>
                <w:webHidden/>
              </w:rPr>
              <w:tab/>
            </w:r>
            <w:r w:rsidR="00ED6ED3">
              <w:rPr>
                <w:noProof/>
                <w:webHidden/>
              </w:rPr>
              <w:fldChar w:fldCharType="begin"/>
            </w:r>
            <w:r w:rsidR="00ED6ED3">
              <w:rPr>
                <w:noProof/>
                <w:webHidden/>
              </w:rPr>
              <w:instrText xml:space="preserve"> PAGEREF _Toc219049998 \h </w:instrText>
            </w:r>
            <w:r w:rsidR="00ED6ED3">
              <w:rPr>
                <w:noProof/>
                <w:webHidden/>
              </w:rPr>
            </w:r>
            <w:r w:rsidR="00ED6ED3">
              <w:rPr>
                <w:noProof/>
                <w:webHidden/>
              </w:rPr>
              <w:fldChar w:fldCharType="separate"/>
            </w:r>
            <w:r w:rsidR="00ED6ED3">
              <w:rPr>
                <w:noProof/>
                <w:webHidden/>
              </w:rPr>
              <w:t>5</w:t>
            </w:r>
            <w:r w:rsidR="00ED6ED3">
              <w:rPr>
                <w:noProof/>
                <w:webHidden/>
              </w:rPr>
              <w:fldChar w:fldCharType="end"/>
            </w:r>
          </w:hyperlink>
        </w:p>
        <w:p w14:paraId="152584EE" w14:textId="2B492EB0" w:rsidR="00ED6ED3" w:rsidRDefault="00DE5C0A">
          <w:pPr>
            <w:pStyle w:val="TOC2"/>
            <w:tabs>
              <w:tab w:val="right" w:leader="dot" w:pos="9016"/>
            </w:tabs>
            <w:rPr>
              <w:rFonts w:asciiTheme="minorHAnsi" w:eastAsiaTheme="minorEastAsia" w:hAnsiTheme="minorHAnsi"/>
              <w:noProof/>
              <w:lang w:eastAsia="en-GB"/>
            </w:rPr>
          </w:pPr>
          <w:hyperlink w:anchor="_Toc219049999" w:history="1">
            <w:r w:rsidR="00ED6ED3" w:rsidRPr="000C7B14">
              <w:rPr>
                <w:rStyle w:val="Hyperlink"/>
                <w:rFonts w:eastAsiaTheme="majorEastAsia" w:cstheme="majorBidi"/>
                <w:b/>
                <w:noProof/>
                <w:lang w:val="en-US"/>
              </w:rPr>
              <w:t>Strategic Context and Financial Position of AstraZeneca PLC</w:t>
            </w:r>
            <w:r w:rsidR="00ED6ED3">
              <w:rPr>
                <w:noProof/>
                <w:webHidden/>
              </w:rPr>
              <w:tab/>
            </w:r>
            <w:r w:rsidR="00ED6ED3">
              <w:rPr>
                <w:noProof/>
                <w:webHidden/>
              </w:rPr>
              <w:fldChar w:fldCharType="begin"/>
            </w:r>
            <w:r w:rsidR="00ED6ED3">
              <w:rPr>
                <w:noProof/>
                <w:webHidden/>
              </w:rPr>
              <w:instrText xml:space="preserve"> PAGEREF _Toc219049999 \h </w:instrText>
            </w:r>
            <w:r w:rsidR="00ED6ED3">
              <w:rPr>
                <w:noProof/>
                <w:webHidden/>
              </w:rPr>
            </w:r>
            <w:r w:rsidR="00ED6ED3">
              <w:rPr>
                <w:noProof/>
                <w:webHidden/>
              </w:rPr>
              <w:fldChar w:fldCharType="separate"/>
            </w:r>
            <w:r w:rsidR="00ED6ED3">
              <w:rPr>
                <w:noProof/>
                <w:webHidden/>
              </w:rPr>
              <w:t>5</w:t>
            </w:r>
            <w:r w:rsidR="00ED6ED3">
              <w:rPr>
                <w:noProof/>
                <w:webHidden/>
              </w:rPr>
              <w:fldChar w:fldCharType="end"/>
            </w:r>
          </w:hyperlink>
        </w:p>
        <w:p w14:paraId="5B6969EA" w14:textId="1D9F55BF" w:rsidR="00ED6ED3" w:rsidRDefault="00DE5C0A">
          <w:pPr>
            <w:pStyle w:val="TOC2"/>
            <w:tabs>
              <w:tab w:val="right" w:leader="dot" w:pos="9016"/>
            </w:tabs>
            <w:rPr>
              <w:rFonts w:asciiTheme="minorHAnsi" w:eastAsiaTheme="minorEastAsia" w:hAnsiTheme="minorHAnsi"/>
              <w:noProof/>
              <w:lang w:eastAsia="en-GB"/>
            </w:rPr>
          </w:pPr>
          <w:hyperlink w:anchor="_Toc219050000" w:history="1">
            <w:r w:rsidR="00ED6ED3" w:rsidRPr="000C7B14">
              <w:rPr>
                <w:rStyle w:val="Hyperlink"/>
                <w:rFonts w:eastAsiaTheme="majorEastAsia" w:cstheme="majorBidi"/>
                <w:b/>
                <w:noProof/>
                <w:lang w:val="en-US"/>
              </w:rPr>
              <w:t>Ratios &amp; Interpretation</w:t>
            </w:r>
            <w:r w:rsidR="00ED6ED3">
              <w:rPr>
                <w:noProof/>
                <w:webHidden/>
              </w:rPr>
              <w:tab/>
            </w:r>
            <w:r w:rsidR="00ED6ED3">
              <w:rPr>
                <w:noProof/>
                <w:webHidden/>
              </w:rPr>
              <w:fldChar w:fldCharType="begin"/>
            </w:r>
            <w:r w:rsidR="00ED6ED3">
              <w:rPr>
                <w:noProof/>
                <w:webHidden/>
              </w:rPr>
              <w:instrText xml:space="preserve"> PAGEREF _Toc219050000 \h </w:instrText>
            </w:r>
            <w:r w:rsidR="00ED6ED3">
              <w:rPr>
                <w:noProof/>
                <w:webHidden/>
              </w:rPr>
            </w:r>
            <w:r w:rsidR="00ED6ED3">
              <w:rPr>
                <w:noProof/>
                <w:webHidden/>
              </w:rPr>
              <w:fldChar w:fldCharType="separate"/>
            </w:r>
            <w:r w:rsidR="00ED6ED3">
              <w:rPr>
                <w:noProof/>
                <w:webHidden/>
              </w:rPr>
              <w:t>5</w:t>
            </w:r>
            <w:r w:rsidR="00ED6ED3">
              <w:rPr>
                <w:noProof/>
                <w:webHidden/>
              </w:rPr>
              <w:fldChar w:fldCharType="end"/>
            </w:r>
          </w:hyperlink>
        </w:p>
        <w:p w14:paraId="76110C79" w14:textId="6D67D23A" w:rsidR="00ED6ED3" w:rsidRDefault="00DE5C0A">
          <w:pPr>
            <w:pStyle w:val="TOC3"/>
            <w:tabs>
              <w:tab w:val="right" w:leader="dot" w:pos="9016"/>
            </w:tabs>
            <w:rPr>
              <w:rFonts w:asciiTheme="minorHAnsi" w:eastAsiaTheme="minorEastAsia" w:hAnsiTheme="minorHAnsi"/>
              <w:noProof/>
              <w:lang w:eastAsia="en-GB"/>
            </w:rPr>
          </w:pPr>
          <w:hyperlink w:anchor="_Toc219050001" w:history="1">
            <w:r w:rsidR="00ED6ED3" w:rsidRPr="000C7B14">
              <w:rPr>
                <w:rStyle w:val="Hyperlink"/>
                <w:rFonts w:eastAsiaTheme="majorEastAsia" w:cs="Times New Roman"/>
                <w:b/>
                <w:bCs/>
                <w:noProof/>
                <w:lang w:val="en-US"/>
              </w:rPr>
              <w:t>Profitability Ratio Analysis</w:t>
            </w:r>
            <w:r w:rsidR="00ED6ED3">
              <w:rPr>
                <w:noProof/>
                <w:webHidden/>
              </w:rPr>
              <w:tab/>
            </w:r>
            <w:r w:rsidR="00ED6ED3">
              <w:rPr>
                <w:noProof/>
                <w:webHidden/>
              </w:rPr>
              <w:fldChar w:fldCharType="begin"/>
            </w:r>
            <w:r w:rsidR="00ED6ED3">
              <w:rPr>
                <w:noProof/>
                <w:webHidden/>
              </w:rPr>
              <w:instrText xml:space="preserve"> PAGEREF _Toc219050001 \h </w:instrText>
            </w:r>
            <w:r w:rsidR="00ED6ED3">
              <w:rPr>
                <w:noProof/>
                <w:webHidden/>
              </w:rPr>
            </w:r>
            <w:r w:rsidR="00ED6ED3">
              <w:rPr>
                <w:noProof/>
                <w:webHidden/>
              </w:rPr>
              <w:fldChar w:fldCharType="separate"/>
            </w:r>
            <w:r w:rsidR="00ED6ED3">
              <w:rPr>
                <w:noProof/>
                <w:webHidden/>
              </w:rPr>
              <w:t>5</w:t>
            </w:r>
            <w:r w:rsidR="00ED6ED3">
              <w:rPr>
                <w:noProof/>
                <w:webHidden/>
              </w:rPr>
              <w:fldChar w:fldCharType="end"/>
            </w:r>
          </w:hyperlink>
        </w:p>
        <w:p w14:paraId="07186F54" w14:textId="61CFE093" w:rsidR="00ED6ED3" w:rsidRDefault="00DE5C0A">
          <w:pPr>
            <w:pStyle w:val="TOC3"/>
            <w:tabs>
              <w:tab w:val="right" w:leader="dot" w:pos="9016"/>
            </w:tabs>
            <w:rPr>
              <w:rFonts w:asciiTheme="minorHAnsi" w:eastAsiaTheme="minorEastAsia" w:hAnsiTheme="minorHAnsi"/>
              <w:noProof/>
              <w:lang w:eastAsia="en-GB"/>
            </w:rPr>
          </w:pPr>
          <w:hyperlink w:anchor="_Toc219050002" w:history="1">
            <w:r w:rsidR="00ED6ED3" w:rsidRPr="000C7B14">
              <w:rPr>
                <w:rStyle w:val="Hyperlink"/>
                <w:rFonts w:eastAsiaTheme="majorEastAsia" w:cs="Times New Roman"/>
                <w:b/>
                <w:bCs/>
                <w:noProof/>
                <w:lang w:val="en-US"/>
              </w:rPr>
              <w:t>Liquidity Ratio Analysis</w:t>
            </w:r>
            <w:r w:rsidR="00ED6ED3">
              <w:rPr>
                <w:noProof/>
                <w:webHidden/>
              </w:rPr>
              <w:tab/>
            </w:r>
            <w:r w:rsidR="00ED6ED3">
              <w:rPr>
                <w:noProof/>
                <w:webHidden/>
              </w:rPr>
              <w:fldChar w:fldCharType="begin"/>
            </w:r>
            <w:r w:rsidR="00ED6ED3">
              <w:rPr>
                <w:noProof/>
                <w:webHidden/>
              </w:rPr>
              <w:instrText xml:space="preserve"> PAGEREF _Toc219050002 \h </w:instrText>
            </w:r>
            <w:r w:rsidR="00ED6ED3">
              <w:rPr>
                <w:noProof/>
                <w:webHidden/>
              </w:rPr>
            </w:r>
            <w:r w:rsidR="00ED6ED3">
              <w:rPr>
                <w:noProof/>
                <w:webHidden/>
              </w:rPr>
              <w:fldChar w:fldCharType="separate"/>
            </w:r>
            <w:r w:rsidR="00ED6ED3">
              <w:rPr>
                <w:noProof/>
                <w:webHidden/>
              </w:rPr>
              <w:t>7</w:t>
            </w:r>
            <w:r w:rsidR="00ED6ED3">
              <w:rPr>
                <w:noProof/>
                <w:webHidden/>
              </w:rPr>
              <w:fldChar w:fldCharType="end"/>
            </w:r>
          </w:hyperlink>
        </w:p>
        <w:p w14:paraId="4F73963F" w14:textId="0D05E7ED" w:rsidR="00ED6ED3" w:rsidRDefault="00DE5C0A">
          <w:pPr>
            <w:pStyle w:val="TOC3"/>
            <w:tabs>
              <w:tab w:val="right" w:leader="dot" w:pos="9016"/>
            </w:tabs>
            <w:rPr>
              <w:rFonts w:asciiTheme="minorHAnsi" w:eastAsiaTheme="minorEastAsia" w:hAnsiTheme="minorHAnsi"/>
              <w:noProof/>
              <w:lang w:eastAsia="en-GB"/>
            </w:rPr>
          </w:pPr>
          <w:hyperlink w:anchor="_Toc219050003" w:history="1">
            <w:r w:rsidR="00ED6ED3" w:rsidRPr="000C7B14">
              <w:rPr>
                <w:rStyle w:val="Hyperlink"/>
                <w:rFonts w:eastAsiaTheme="majorEastAsia" w:cs="Times New Roman"/>
                <w:b/>
                <w:bCs/>
                <w:noProof/>
                <w:lang w:val="en-US"/>
              </w:rPr>
              <w:t>Efficiency Ratio Analysis</w:t>
            </w:r>
            <w:r w:rsidR="00ED6ED3">
              <w:rPr>
                <w:noProof/>
                <w:webHidden/>
              </w:rPr>
              <w:tab/>
            </w:r>
            <w:r w:rsidR="00ED6ED3">
              <w:rPr>
                <w:noProof/>
                <w:webHidden/>
              </w:rPr>
              <w:fldChar w:fldCharType="begin"/>
            </w:r>
            <w:r w:rsidR="00ED6ED3">
              <w:rPr>
                <w:noProof/>
                <w:webHidden/>
              </w:rPr>
              <w:instrText xml:space="preserve"> PAGEREF _Toc219050003 \h </w:instrText>
            </w:r>
            <w:r w:rsidR="00ED6ED3">
              <w:rPr>
                <w:noProof/>
                <w:webHidden/>
              </w:rPr>
            </w:r>
            <w:r w:rsidR="00ED6ED3">
              <w:rPr>
                <w:noProof/>
                <w:webHidden/>
              </w:rPr>
              <w:fldChar w:fldCharType="separate"/>
            </w:r>
            <w:r w:rsidR="00ED6ED3">
              <w:rPr>
                <w:noProof/>
                <w:webHidden/>
              </w:rPr>
              <w:t>8</w:t>
            </w:r>
            <w:r w:rsidR="00ED6ED3">
              <w:rPr>
                <w:noProof/>
                <w:webHidden/>
              </w:rPr>
              <w:fldChar w:fldCharType="end"/>
            </w:r>
          </w:hyperlink>
        </w:p>
        <w:p w14:paraId="2057D996" w14:textId="125A2EF0" w:rsidR="00ED6ED3" w:rsidRDefault="00DE5C0A">
          <w:pPr>
            <w:pStyle w:val="TOC3"/>
            <w:tabs>
              <w:tab w:val="right" w:leader="dot" w:pos="9016"/>
            </w:tabs>
            <w:rPr>
              <w:rFonts w:asciiTheme="minorHAnsi" w:eastAsiaTheme="minorEastAsia" w:hAnsiTheme="minorHAnsi"/>
              <w:noProof/>
              <w:lang w:eastAsia="en-GB"/>
            </w:rPr>
          </w:pPr>
          <w:hyperlink w:anchor="_Toc219050004" w:history="1">
            <w:r w:rsidR="00ED6ED3" w:rsidRPr="000C7B14">
              <w:rPr>
                <w:rStyle w:val="Hyperlink"/>
                <w:rFonts w:eastAsiaTheme="majorEastAsia" w:cs="Times New Roman"/>
                <w:b/>
                <w:bCs/>
                <w:noProof/>
                <w:lang w:val="en-US"/>
              </w:rPr>
              <w:t>Gearing Ratio Analysis</w:t>
            </w:r>
            <w:r w:rsidR="00ED6ED3">
              <w:rPr>
                <w:noProof/>
                <w:webHidden/>
              </w:rPr>
              <w:tab/>
            </w:r>
            <w:r w:rsidR="00ED6ED3">
              <w:rPr>
                <w:noProof/>
                <w:webHidden/>
              </w:rPr>
              <w:fldChar w:fldCharType="begin"/>
            </w:r>
            <w:r w:rsidR="00ED6ED3">
              <w:rPr>
                <w:noProof/>
                <w:webHidden/>
              </w:rPr>
              <w:instrText xml:space="preserve"> PAGEREF _Toc219050004 \h </w:instrText>
            </w:r>
            <w:r w:rsidR="00ED6ED3">
              <w:rPr>
                <w:noProof/>
                <w:webHidden/>
              </w:rPr>
            </w:r>
            <w:r w:rsidR="00ED6ED3">
              <w:rPr>
                <w:noProof/>
                <w:webHidden/>
              </w:rPr>
              <w:fldChar w:fldCharType="separate"/>
            </w:r>
            <w:r w:rsidR="00ED6ED3">
              <w:rPr>
                <w:noProof/>
                <w:webHidden/>
              </w:rPr>
              <w:t>10</w:t>
            </w:r>
            <w:r w:rsidR="00ED6ED3">
              <w:rPr>
                <w:noProof/>
                <w:webHidden/>
              </w:rPr>
              <w:fldChar w:fldCharType="end"/>
            </w:r>
          </w:hyperlink>
        </w:p>
        <w:p w14:paraId="65431C24" w14:textId="06FEC6F7" w:rsidR="00ED6ED3" w:rsidRDefault="00DE5C0A">
          <w:pPr>
            <w:pStyle w:val="TOC3"/>
            <w:tabs>
              <w:tab w:val="right" w:leader="dot" w:pos="9016"/>
            </w:tabs>
            <w:rPr>
              <w:rFonts w:asciiTheme="minorHAnsi" w:eastAsiaTheme="minorEastAsia" w:hAnsiTheme="minorHAnsi"/>
              <w:noProof/>
              <w:lang w:eastAsia="en-GB"/>
            </w:rPr>
          </w:pPr>
          <w:hyperlink w:anchor="_Toc219050005" w:history="1">
            <w:r w:rsidR="00ED6ED3" w:rsidRPr="000C7B14">
              <w:rPr>
                <w:rStyle w:val="Hyperlink"/>
                <w:rFonts w:eastAsiaTheme="majorEastAsia" w:cs="Times New Roman"/>
                <w:b/>
                <w:bCs/>
                <w:noProof/>
                <w:lang w:val="en-US"/>
              </w:rPr>
              <w:t>Investor Ratio Analysis</w:t>
            </w:r>
            <w:r w:rsidR="00ED6ED3">
              <w:rPr>
                <w:noProof/>
                <w:webHidden/>
              </w:rPr>
              <w:tab/>
            </w:r>
            <w:r w:rsidR="00ED6ED3">
              <w:rPr>
                <w:noProof/>
                <w:webHidden/>
              </w:rPr>
              <w:fldChar w:fldCharType="begin"/>
            </w:r>
            <w:r w:rsidR="00ED6ED3">
              <w:rPr>
                <w:noProof/>
                <w:webHidden/>
              </w:rPr>
              <w:instrText xml:space="preserve"> PAGEREF _Toc219050005 \h </w:instrText>
            </w:r>
            <w:r w:rsidR="00ED6ED3">
              <w:rPr>
                <w:noProof/>
                <w:webHidden/>
              </w:rPr>
            </w:r>
            <w:r w:rsidR="00ED6ED3">
              <w:rPr>
                <w:noProof/>
                <w:webHidden/>
              </w:rPr>
              <w:fldChar w:fldCharType="separate"/>
            </w:r>
            <w:r w:rsidR="00ED6ED3">
              <w:rPr>
                <w:noProof/>
                <w:webHidden/>
              </w:rPr>
              <w:t>12</w:t>
            </w:r>
            <w:r w:rsidR="00ED6ED3">
              <w:rPr>
                <w:noProof/>
                <w:webHidden/>
              </w:rPr>
              <w:fldChar w:fldCharType="end"/>
            </w:r>
          </w:hyperlink>
        </w:p>
        <w:p w14:paraId="5A9B8A50" w14:textId="2BC5481A" w:rsidR="00ED6ED3" w:rsidRDefault="00DE5C0A">
          <w:pPr>
            <w:pStyle w:val="TOC2"/>
            <w:tabs>
              <w:tab w:val="right" w:leader="dot" w:pos="9016"/>
            </w:tabs>
            <w:rPr>
              <w:rFonts w:asciiTheme="minorHAnsi" w:eastAsiaTheme="minorEastAsia" w:hAnsiTheme="minorHAnsi"/>
              <w:noProof/>
              <w:lang w:eastAsia="en-GB"/>
            </w:rPr>
          </w:pPr>
          <w:hyperlink w:anchor="_Toc219050006" w:history="1">
            <w:r w:rsidR="00ED6ED3" w:rsidRPr="000C7B14">
              <w:rPr>
                <w:rStyle w:val="Hyperlink"/>
                <w:rFonts w:eastAsiaTheme="majorEastAsia" w:cstheme="majorBidi"/>
                <w:b/>
                <w:noProof/>
                <w:lang w:val="en-US"/>
              </w:rPr>
              <w:t>Analysis of Ratios Calculated</w:t>
            </w:r>
            <w:r w:rsidR="00ED6ED3">
              <w:rPr>
                <w:noProof/>
                <w:webHidden/>
              </w:rPr>
              <w:tab/>
            </w:r>
            <w:r w:rsidR="00ED6ED3">
              <w:rPr>
                <w:noProof/>
                <w:webHidden/>
              </w:rPr>
              <w:fldChar w:fldCharType="begin"/>
            </w:r>
            <w:r w:rsidR="00ED6ED3">
              <w:rPr>
                <w:noProof/>
                <w:webHidden/>
              </w:rPr>
              <w:instrText xml:space="preserve"> PAGEREF _Toc219050006 \h </w:instrText>
            </w:r>
            <w:r w:rsidR="00ED6ED3">
              <w:rPr>
                <w:noProof/>
                <w:webHidden/>
              </w:rPr>
            </w:r>
            <w:r w:rsidR="00ED6ED3">
              <w:rPr>
                <w:noProof/>
                <w:webHidden/>
              </w:rPr>
              <w:fldChar w:fldCharType="separate"/>
            </w:r>
            <w:r w:rsidR="00ED6ED3">
              <w:rPr>
                <w:noProof/>
                <w:webHidden/>
              </w:rPr>
              <w:t>13</w:t>
            </w:r>
            <w:r w:rsidR="00ED6ED3">
              <w:rPr>
                <w:noProof/>
                <w:webHidden/>
              </w:rPr>
              <w:fldChar w:fldCharType="end"/>
            </w:r>
          </w:hyperlink>
        </w:p>
        <w:p w14:paraId="1C15F4DC" w14:textId="2724BDBF" w:rsidR="00ED6ED3" w:rsidRDefault="00DE5C0A">
          <w:pPr>
            <w:pStyle w:val="TOC3"/>
            <w:tabs>
              <w:tab w:val="right" w:leader="dot" w:pos="9016"/>
            </w:tabs>
            <w:rPr>
              <w:rFonts w:asciiTheme="minorHAnsi" w:eastAsiaTheme="minorEastAsia" w:hAnsiTheme="minorHAnsi"/>
              <w:noProof/>
              <w:lang w:eastAsia="en-GB"/>
            </w:rPr>
          </w:pPr>
          <w:hyperlink w:anchor="_Toc219050007" w:history="1">
            <w:r w:rsidR="00ED6ED3" w:rsidRPr="000C7B14">
              <w:rPr>
                <w:rStyle w:val="Hyperlink"/>
                <w:rFonts w:eastAsiaTheme="majorEastAsia" w:cs="Times New Roman"/>
                <w:b/>
                <w:bCs/>
                <w:noProof/>
                <w:lang w:val="en-US"/>
              </w:rPr>
              <w:t>Strategic Context and Reasonings behind Current Performance</w:t>
            </w:r>
            <w:r w:rsidR="00ED6ED3">
              <w:rPr>
                <w:noProof/>
                <w:webHidden/>
              </w:rPr>
              <w:tab/>
            </w:r>
            <w:r w:rsidR="00ED6ED3">
              <w:rPr>
                <w:noProof/>
                <w:webHidden/>
              </w:rPr>
              <w:fldChar w:fldCharType="begin"/>
            </w:r>
            <w:r w:rsidR="00ED6ED3">
              <w:rPr>
                <w:noProof/>
                <w:webHidden/>
              </w:rPr>
              <w:instrText xml:space="preserve"> PAGEREF _Toc219050007 \h </w:instrText>
            </w:r>
            <w:r w:rsidR="00ED6ED3">
              <w:rPr>
                <w:noProof/>
                <w:webHidden/>
              </w:rPr>
            </w:r>
            <w:r w:rsidR="00ED6ED3">
              <w:rPr>
                <w:noProof/>
                <w:webHidden/>
              </w:rPr>
              <w:fldChar w:fldCharType="separate"/>
            </w:r>
            <w:r w:rsidR="00ED6ED3">
              <w:rPr>
                <w:noProof/>
                <w:webHidden/>
              </w:rPr>
              <w:t>13</w:t>
            </w:r>
            <w:r w:rsidR="00ED6ED3">
              <w:rPr>
                <w:noProof/>
                <w:webHidden/>
              </w:rPr>
              <w:fldChar w:fldCharType="end"/>
            </w:r>
          </w:hyperlink>
        </w:p>
        <w:p w14:paraId="115F4E94" w14:textId="7DFCAE12" w:rsidR="00ED6ED3" w:rsidRDefault="00DE5C0A">
          <w:pPr>
            <w:pStyle w:val="TOC3"/>
            <w:tabs>
              <w:tab w:val="right" w:leader="dot" w:pos="9016"/>
            </w:tabs>
            <w:rPr>
              <w:rFonts w:asciiTheme="minorHAnsi" w:eastAsiaTheme="minorEastAsia" w:hAnsiTheme="minorHAnsi"/>
              <w:noProof/>
              <w:lang w:eastAsia="en-GB"/>
            </w:rPr>
          </w:pPr>
          <w:hyperlink w:anchor="_Toc219050008" w:history="1">
            <w:r w:rsidR="00ED6ED3" w:rsidRPr="000C7B14">
              <w:rPr>
                <w:rStyle w:val="Hyperlink"/>
                <w:rFonts w:eastAsiaTheme="majorEastAsia" w:cs="Times New Roman"/>
                <w:b/>
                <w:bCs/>
                <w:noProof/>
                <w:lang w:val="en-US"/>
              </w:rPr>
              <w:t>Limitations of Using Ratio Analysis</w:t>
            </w:r>
            <w:r w:rsidR="00ED6ED3">
              <w:rPr>
                <w:noProof/>
                <w:webHidden/>
              </w:rPr>
              <w:tab/>
            </w:r>
            <w:r w:rsidR="00ED6ED3">
              <w:rPr>
                <w:noProof/>
                <w:webHidden/>
              </w:rPr>
              <w:fldChar w:fldCharType="begin"/>
            </w:r>
            <w:r w:rsidR="00ED6ED3">
              <w:rPr>
                <w:noProof/>
                <w:webHidden/>
              </w:rPr>
              <w:instrText xml:space="preserve"> PAGEREF _Toc219050008 \h </w:instrText>
            </w:r>
            <w:r w:rsidR="00ED6ED3">
              <w:rPr>
                <w:noProof/>
                <w:webHidden/>
              </w:rPr>
            </w:r>
            <w:r w:rsidR="00ED6ED3">
              <w:rPr>
                <w:noProof/>
                <w:webHidden/>
              </w:rPr>
              <w:fldChar w:fldCharType="separate"/>
            </w:r>
            <w:r w:rsidR="00ED6ED3">
              <w:rPr>
                <w:noProof/>
                <w:webHidden/>
              </w:rPr>
              <w:t>14</w:t>
            </w:r>
            <w:r w:rsidR="00ED6ED3">
              <w:rPr>
                <w:noProof/>
                <w:webHidden/>
              </w:rPr>
              <w:fldChar w:fldCharType="end"/>
            </w:r>
          </w:hyperlink>
        </w:p>
        <w:p w14:paraId="10562F27" w14:textId="0A973BA4" w:rsidR="00ED6ED3" w:rsidRDefault="00DE5C0A">
          <w:pPr>
            <w:pStyle w:val="TOC3"/>
            <w:tabs>
              <w:tab w:val="right" w:leader="dot" w:pos="9016"/>
            </w:tabs>
            <w:rPr>
              <w:rFonts w:asciiTheme="minorHAnsi" w:eastAsiaTheme="minorEastAsia" w:hAnsiTheme="minorHAnsi"/>
              <w:noProof/>
              <w:lang w:eastAsia="en-GB"/>
            </w:rPr>
          </w:pPr>
          <w:hyperlink w:anchor="_Toc219050009" w:history="1">
            <w:r w:rsidR="00ED6ED3" w:rsidRPr="000C7B14">
              <w:rPr>
                <w:rStyle w:val="Hyperlink"/>
                <w:rFonts w:eastAsiaTheme="majorEastAsia" w:cs="Times New Roman"/>
                <w:b/>
                <w:bCs/>
                <w:noProof/>
                <w:lang w:val="en-US"/>
              </w:rPr>
              <w:t>Recommendations</w:t>
            </w:r>
            <w:r w:rsidR="00ED6ED3">
              <w:rPr>
                <w:noProof/>
                <w:webHidden/>
              </w:rPr>
              <w:tab/>
            </w:r>
            <w:r w:rsidR="00ED6ED3">
              <w:rPr>
                <w:noProof/>
                <w:webHidden/>
              </w:rPr>
              <w:fldChar w:fldCharType="begin"/>
            </w:r>
            <w:r w:rsidR="00ED6ED3">
              <w:rPr>
                <w:noProof/>
                <w:webHidden/>
              </w:rPr>
              <w:instrText xml:space="preserve"> PAGEREF _Toc219050009 \h </w:instrText>
            </w:r>
            <w:r w:rsidR="00ED6ED3">
              <w:rPr>
                <w:noProof/>
                <w:webHidden/>
              </w:rPr>
            </w:r>
            <w:r w:rsidR="00ED6ED3">
              <w:rPr>
                <w:noProof/>
                <w:webHidden/>
              </w:rPr>
              <w:fldChar w:fldCharType="separate"/>
            </w:r>
            <w:r w:rsidR="00ED6ED3">
              <w:rPr>
                <w:noProof/>
                <w:webHidden/>
              </w:rPr>
              <w:t>14</w:t>
            </w:r>
            <w:r w:rsidR="00ED6ED3">
              <w:rPr>
                <w:noProof/>
                <w:webHidden/>
              </w:rPr>
              <w:fldChar w:fldCharType="end"/>
            </w:r>
          </w:hyperlink>
        </w:p>
        <w:p w14:paraId="555BA529" w14:textId="7D19A120" w:rsidR="00ED6ED3" w:rsidRDefault="00DE5C0A">
          <w:pPr>
            <w:pStyle w:val="TOC1"/>
            <w:tabs>
              <w:tab w:val="right" w:leader="dot" w:pos="9016"/>
            </w:tabs>
            <w:rPr>
              <w:rFonts w:asciiTheme="minorHAnsi" w:eastAsiaTheme="minorEastAsia" w:hAnsiTheme="minorHAnsi"/>
              <w:noProof/>
              <w:lang w:eastAsia="en-GB"/>
            </w:rPr>
          </w:pPr>
          <w:hyperlink w:anchor="_Toc219050010" w:history="1">
            <w:r w:rsidR="00ED6ED3" w:rsidRPr="000C7B14">
              <w:rPr>
                <w:rStyle w:val="Hyperlink"/>
                <w:rFonts w:eastAsiaTheme="majorEastAsia" w:cstheme="majorBidi"/>
                <w:b/>
                <w:noProof/>
                <w:lang w:val="en-US"/>
              </w:rPr>
              <w:t>Part – Two: Investment Appraisal for Westward PLC</w:t>
            </w:r>
            <w:r w:rsidR="00ED6ED3">
              <w:rPr>
                <w:noProof/>
                <w:webHidden/>
              </w:rPr>
              <w:tab/>
            </w:r>
            <w:r w:rsidR="00ED6ED3">
              <w:rPr>
                <w:noProof/>
                <w:webHidden/>
              </w:rPr>
              <w:fldChar w:fldCharType="begin"/>
            </w:r>
            <w:r w:rsidR="00ED6ED3">
              <w:rPr>
                <w:noProof/>
                <w:webHidden/>
              </w:rPr>
              <w:instrText xml:space="preserve"> PAGEREF _Toc219050010 \h </w:instrText>
            </w:r>
            <w:r w:rsidR="00ED6ED3">
              <w:rPr>
                <w:noProof/>
                <w:webHidden/>
              </w:rPr>
            </w:r>
            <w:r w:rsidR="00ED6ED3">
              <w:rPr>
                <w:noProof/>
                <w:webHidden/>
              </w:rPr>
              <w:fldChar w:fldCharType="separate"/>
            </w:r>
            <w:r w:rsidR="00ED6ED3">
              <w:rPr>
                <w:noProof/>
                <w:webHidden/>
              </w:rPr>
              <w:t>16</w:t>
            </w:r>
            <w:r w:rsidR="00ED6ED3">
              <w:rPr>
                <w:noProof/>
                <w:webHidden/>
              </w:rPr>
              <w:fldChar w:fldCharType="end"/>
            </w:r>
          </w:hyperlink>
        </w:p>
        <w:p w14:paraId="37DC065D" w14:textId="56BF35D6" w:rsidR="00ED6ED3" w:rsidRDefault="00DE5C0A">
          <w:pPr>
            <w:pStyle w:val="TOC2"/>
            <w:tabs>
              <w:tab w:val="right" w:leader="dot" w:pos="9016"/>
            </w:tabs>
            <w:rPr>
              <w:rFonts w:asciiTheme="minorHAnsi" w:eastAsiaTheme="minorEastAsia" w:hAnsiTheme="minorHAnsi"/>
              <w:noProof/>
              <w:lang w:eastAsia="en-GB"/>
            </w:rPr>
          </w:pPr>
          <w:hyperlink w:anchor="_Toc219050011" w:history="1">
            <w:r w:rsidR="00ED6ED3" w:rsidRPr="000C7B14">
              <w:rPr>
                <w:rStyle w:val="Hyperlink"/>
                <w:rFonts w:eastAsiaTheme="majorEastAsia" w:cstheme="majorBidi"/>
                <w:b/>
                <w:noProof/>
                <w:lang w:val="en-US"/>
              </w:rPr>
              <w:t>Strategic Context and Available Opportunities for Westward PLC</w:t>
            </w:r>
            <w:r w:rsidR="00ED6ED3">
              <w:rPr>
                <w:noProof/>
                <w:webHidden/>
              </w:rPr>
              <w:tab/>
            </w:r>
            <w:r w:rsidR="00ED6ED3">
              <w:rPr>
                <w:noProof/>
                <w:webHidden/>
              </w:rPr>
              <w:fldChar w:fldCharType="begin"/>
            </w:r>
            <w:r w:rsidR="00ED6ED3">
              <w:rPr>
                <w:noProof/>
                <w:webHidden/>
              </w:rPr>
              <w:instrText xml:space="preserve"> PAGEREF _Toc219050011 \h </w:instrText>
            </w:r>
            <w:r w:rsidR="00ED6ED3">
              <w:rPr>
                <w:noProof/>
                <w:webHidden/>
              </w:rPr>
            </w:r>
            <w:r w:rsidR="00ED6ED3">
              <w:rPr>
                <w:noProof/>
                <w:webHidden/>
              </w:rPr>
              <w:fldChar w:fldCharType="separate"/>
            </w:r>
            <w:r w:rsidR="00ED6ED3">
              <w:rPr>
                <w:noProof/>
                <w:webHidden/>
              </w:rPr>
              <w:t>16</w:t>
            </w:r>
            <w:r w:rsidR="00ED6ED3">
              <w:rPr>
                <w:noProof/>
                <w:webHidden/>
              </w:rPr>
              <w:fldChar w:fldCharType="end"/>
            </w:r>
          </w:hyperlink>
        </w:p>
        <w:p w14:paraId="0EECE9EA" w14:textId="77D73371" w:rsidR="00ED6ED3" w:rsidRDefault="00DE5C0A">
          <w:pPr>
            <w:pStyle w:val="TOC2"/>
            <w:tabs>
              <w:tab w:val="right" w:leader="dot" w:pos="9016"/>
            </w:tabs>
            <w:rPr>
              <w:rFonts w:asciiTheme="minorHAnsi" w:eastAsiaTheme="minorEastAsia" w:hAnsiTheme="minorHAnsi"/>
              <w:noProof/>
              <w:lang w:eastAsia="en-GB"/>
            </w:rPr>
          </w:pPr>
          <w:hyperlink w:anchor="_Toc219050012" w:history="1">
            <w:r w:rsidR="00ED6ED3" w:rsidRPr="000C7B14">
              <w:rPr>
                <w:rStyle w:val="Hyperlink"/>
                <w:rFonts w:eastAsiaTheme="majorEastAsia" w:cstheme="majorBidi"/>
                <w:b/>
                <w:noProof/>
                <w:lang w:val="en-US"/>
              </w:rPr>
              <w:t>Net Present Value, Internal Rate of Return and Other Appraisal Methods</w:t>
            </w:r>
            <w:r w:rsidR="00ED6ED3">
              <w:rPr>
                <w:noProof/>
                <w:webHidden/>
              </w:rPr>
              <w:tab/>
            </w:r>
            <w:r w:rsidR="00ED6ED3">
              <w:rPr>
                <w:noProof/>
                <w:webHidden/>
              </w:rPr>
              <w:fldChar w:fldCharType="begin"/>
            </w:r>
            <w:r w:rsidR="00ED6ED3">
              <w:rPr>
                <w:noProof/>
                <w:webHidden/>
              </w:rPr>
              <w:instrText xml:space="preserve"> PAGEREF _Toc219050012 \h </w:instrText>
            </w:r>
            <w:r w:rsidR="00ED6ED3">
              <w:rPr>
                <w:noProof/>
                <w:webHidden/>
              </w:rPr>
            </w:r>
            <w:r w:rsidR="00ED6ED3">
              <w:rPr>
                <w:noProof/>
                <w:webHidden/>
              </w:rPr>
              <w:fldChar w:fldCharType="separate"/>
            </w:r>
            <w:r w:rsidR="00ED6ED3">
              <w:rPr>
                <w:noProof/>
                <w:webHidden/>
              </w:rPr>
              <w:t>16</w:t>
            </w:r>
            <w:r w:rsidR="00ED6ED3">
              <w:rPr>
                <w:noProof/>
                <w:webHidden/>
              </w:rPr>
              <w:fldChar w:fldCharType="end"/>
            </w:r>
          </w:hyperlink>
        </w:p>
        <w:p w14:paraId="31D67E77" w14:textId="6C6D548E" w:rsidR="00ED6ED3" w:rsidRDefault="00DE5C0A">
          <w:pPr>
            <w:pStyle w:val="TOC3"/>
            <w:tabs>
              <w:tab w:val="right" w:leader="dot" w:pos="9016"/>
            </w:tabs>
            <w:rPr>
              <w:rFonts w:asciiTheme="minorHAnsi" w:eastAsiaTheme="minorEastAsia" w:hAnsiTheme="minorHAnsi"/>
              <w:noProof/>
              <w:lang w:eastAsia="en-GB"/>
            </w:rPr>
          </w:pPr>
          <w:hyperlink w:anchor="_Toc219050013" w:history="1">
            <w:r w:rsidR="00ED6ED3" w:rsidRPr="000C7B14">
              <w:rPr>
                <w:rStyle w:val="Hyperlink"/>
                <w:rFonts w:eastAsiaTheme="majorEastAsia" w:cs="Times New Roman"/>
                <w:b/>
                <w:bCs/>
                <w:noProof/>
                <w:lang w:val="en-US"/>
              </w:rPr>
              <w:t>Net Present Value</w:t>
            </w:r>
            <w:r w:rsidR="00ED6ED3">
              <w:rPr>
                <w:noProof/>
                <w:webHidden/>
              </w:rPr>
              <w:tab/>
            </w:r>
            <w:r w:rsidR="00ED6ED3">
              <w:rPr>
                <w:noProof/>
                <w:webHidden/>
              </w:rPr>
              <w:fldChar w:fldCharType="begin"/>
            </w:r>
            <w:r w:rsidR="00ED6ED3">
              <w:rPr>
                <w:noProof/>
                <w:webHidden/>
              </w:rPr>
              <w:instrText xml:space="preserve"> PAGEREF _Toc219050013 \h </w:instrText>
            </w:r>
            <w:r w:rsidR="00ED6ED3">
              <w:rPr>
                <w:noProof/>
                <w:webHidden/>
              </w:rPr>
            </w:r>
            <w:r w:rsidR="00ED6ED3">
              <w:rPr>
                <w:noProof/>
                <w:webHidden/>
              </w:rPr>
              <w:fldChar w:fldCharType="separate"/>
            </w:r>
            <w:r w:rsidR="00ED6ED3">
              <w:rPr>
                <w:noProof/>
                <w:webHidden/>
              </w:rPr>
              <w:t>16</w:t>
            </w:r>
            <w:r w:rsidR="00ED6ED3">
              <w:rPr>
                <w:noProof/>
                <w:webHidden/>
              </w:rPr>
              <w:fldChar w:fldCharType="end"/>
            </w:r>
          </w:hyperlink>
        </w:p>
        <w:p w14:paraId="0CBE6783" w14:textId="0EA85CBA" w:rsidR="00ED6ED3" w:rsidRDefault="00DE5C0A">
          <w:pPr>
            <w:pStyle w:val="TOC3"/>
            <w:tabs>
              <w:tab w:val="right" w:leader="dot" w:pos="9016"/>
            </w:tabs>
            <w:rPr>
              <w:rFonts w:asciiTheme="minorHAnsi" w:eastAsiaTheme="minorEastAsia" w:hAnsiTheme="minorHAnsi"/>
              <w:noProof/>
              <w:lang w:eastAsia="en-GB"/>
            </w:rPr>
          </w:pPr>
          <w:hyperlink w:anchor="_Toc219050014" w:history="1">
            <w:r w:rsidR="00ED6ED3" w:rsidRPr="000C7B14">
              <w:rPr>
                <w:rStyle w:val="Hyperlink"/>
                <w:rFonts w:eastAsiaTheme="majorEastAsia" w:cs="Times New Roman"/>
                <w:b/>
                <w:bCs/>
                <w:noProof/>
                <w:lang w:val="en-US"/>
              </w:rPr>
              <w:t>Internal Rate of Return</w:t>
            </w:r>
            <w:r w:rsidR="00ED6ED3">
              <w:rPr>
                <w:noProof/>
                <w:webHidden/>
              </w:rPr>
              <w:tab/>
            </w:r>
            <w:r w:rsidR="00ED6ED3">
              <w:rPr>
                <w:noProof/>
                <w:webHidden/>
              </w:rPr>
              <w:fldChar w:fldCharType="begin"/>
            </w:r>
            <w:r w:rsidR="00ED6ED3">
              <w:rPr>
                <w:noProof/>
                <w:webHidden/>
              </w:rPr>
              <w:instrText xml:space="preserve"> PAGEREF _Toc219050014 \h </w:instrText>
            </w:r>
            <w:r w:rsidR="00ED6ED3">
              <w:rPr>
                <w:noProof/>
                <w:webHidden/>
              </w:rPr>
            </w:r>
            <w:r w:rsidR="00ED6ED3">
              <w:rPr>
                <w:noProof/>
                <w:webHidden/>
              </w:rPr>
              <w:fldChar w:fldCharType="separate"/>
            </w:r>
            <w:r w:rsidR="00ED6ED3">
              <w:rPr>
                <w:noProof/>
                <w:webHidden/>
              </w:rPr>
              <w:t>18</w:t>
            </w:r>
            <w:r w:rsidR="00ED6ED3">
              <w:rPr>
                <w:noProof/>
                <w:webHidden/>
              </w:rPr>
              <w:fldChar w:fldCharType="end"/>
            </w:r>
          </w:hyperlink>
        </w:p>
        <w:p w14:paraId="7F95BC9E" w14:textId="715859EA" w:rsidR="00ED6ED3" w:rsidRDefault="00DE5C0A">
          <w:pPr>
            <w:pStyle w:val="TOC3"/>
            <w:tabs>
              <w:tab w:val="right" w:leader="dot" w:pos="9016"/>
            </w:tabs>
            <w:rPr>
              <w:rFonts w:asciiTheme="minorHAnsi" w:eastAsiaTheme="minorEastAsia" w:hAnsiTheme="minorHAnsi"/>
              <w:noProof/>
              <w:lang w:eastAsia="en-GB"/>
            </w:rPr>
          </w:pPr>
          <w:hyperlink w:anchor="_Toc219050015" w:history="1">
            <w:r w:rsidR="00ED6ED3" w:rsidRPr="000C7B14">
              <w:rPr>
                <w:rStyle w:val="Hyperlink"/>
                <w:rFonts w:eastAsiaTheme="majorEastAsia" w:cs="Times New Roman"/>
                <w:b/>
                <w:bCs/>
                <w:noProof/>
                <w:lang w:val="en-US"/>
              </w:rPr>
              <w:t>Net Present Value: The Superior Investment Appraisal Method</w:t>
            </w:r>
            <w:r w:rsidR="00ED6ED3">
              <w:rPr>
                <w:noProof/>
                <w:webHidden/>
              </w:rPr>
              <w:tab/>
            </w:r>
            <w:r w:rsidR="00ED6ED3">
              <w:rPr>
                <w:noProof/>
                <w:webHidden/>
              </w:rPr>
              <w:fldChar w:fldCharType="begin"/>
            </w:r>
            <w:r w:rsidR="00ED6ED3">
              <w:rPr>
                <w:noProof/>
                <w:webHidden/>
              </w:rPr>
              <w:instrText xml:space="preserve"> PAGEREF _Toc219050015 \h </w:instrText>
            </w:r>
            <w:r w:rsidR="00ED6ED3">
              <w:rPr>
                <w:noProof/>
                <w:webHidden/>
              </w:rPr>
            </w:r>
            <w:r w:rsidR="00ED6ED3">
              <w:rPr>
                <w:noProof/>
                <w:webHidden/>
              </w:rPr>
              <w:fldChar w:fldCharType="separate"/>
            </w:r>
            <w:r w:rsidR="00ED6ED3">
              <w:rPr>
                <w:noProof/>
                <w:webHidden/>
              </w:rPr>
              <w:t>20</w:t>
            </w:r>
            <w:r w:rsidR="00ED6ED3">
              <w:rPr>
                <w:noProof/>
                <w:webHidden/>
              </w:rPr>
              <w:fldChar w:fldCharType="end"/>
            </w:r>
          </w:hyperlink>
        </w:p>
        <w:p w14:paraId="2E71E3CC" w14:textId="3D9CB1EF" w:rsidR="00ED6ED3" w:rsidRDefault="00DE5C0A">
          <w:pPr>
            <w:pStyle w:val="TOC3"/>
            <w:tabs>
              <w:tab w:val="right" w:leader="dot" w:pos="9016"/>
            </w:tabs>
            <w:rPr>
              <w:rFonts w:asciiTheme="minorHAnsi" w:eastAsiaTheme="minorEastAsia" w:hAnsiTheme="minorHAnsi"/>
              <w:noProof/>
              <w:lang w:eastAsia="en-GB"/>
            </w:rPr>
          </w:pPr>
          <w:hyperlink w:anchor="_Toc219050016" w:history="1">
            <w:r w:rsidR="00ED6ED3" w:rsidRPr="000C7B14">
              <w:rPr>
                <w:rStyle w:val="Hyperlink"/>
                <w:rFonts w:eastAsiaTheme="majorEastAsia" w:cs="Times New Roman"/>
                <w:b/>
                <w:bCs/>
                <w:noProof/>
                <w:lang w:val="en-US"/>
              </w:rPr>
              <w:t>Non-Discounting Methods</w:t>
            </w:r>
            <w:r w:rsidR="00ED6ED3">
              <w:rPr>
                <w:noProof/>
                <w:webHidden/>
              </w:rPr>
              <w:tab/>
            </w:r>
            <w:r w:rsidR="00ED6ED3">
              <w:rPr>
                <w:noProof/>
                <w:webHidden/>
              </w:rPr>
              <w:fldChar w:fldCharType="begin"/>
            </w:r>
            <w:r w:rsidR="00ED6ED3">
              <w:rPr>
                <w:noProof/>
                <w:webHidden/>
              </w:rPr>
              <w:instrText xml:space="preserve"> PAGEREF _Toc219050016 \h </w:instrText>
            </w:r>
            <w:r w:rsidR="00ED6ED3">
              <w:rPr>
                <w:noProof/>
                <w:webHidden/>
              </w:rPr>
            </w:r>
            <w:r w:rsidR="00ED6ED3">
              <w:rPr>
                <w:noProof/>
                <w:webHidden/>
              </w:rPr>
              <w:fldChar w:fldCharType="separate"/>
            </w:r>
            <w:r w:rsidR="00ED6ED3">
              <w:rPr>
                <w:noProof/>
                <w:webHidden/>
              </w:rPr>
              <w:t>20</w:t>
            </w:r>
            <w:r w:rsidR="00ED6ED3">
              <w:rPr>
                <w:noProof/>
                <w:webHidden/>
              </w:rPr>
              <w:fldChar w:fldCharType="end"/>
            </w:r>
          </w:hyperlink>
        </w:p>
        <w:p w14:paraId="623CE040" w14:textId="50CCFD10" w:rsidR="00ED6ED3" w:rsidRDefault="00DE5C0A">
          <w:pPr>
            <w:pStyle w:val="TOC3"/>
            <w:tabs>
              <w:tab w:val="right" w:leader="dot" w:pos="9016"/>
            </w:tabs>
            <w:rPr>
              <w:rFonts w:asciiTheme="minorHAnsi" w:eastAsiaTheme="minorEastAsia" w:hAnsiTheme="minorHAnsi"/>
              <w:noProof/>
              <w:lang w:eastAsia="en-GB"/>
            </w:rPr>
          </w:pPr>
          <w:hyperlink w:anchor="_Toc219050017" w:history="1">
            <w:r w:rsidR="00ED6ED3" w:rsidRPr="000C7B14">
              <w:rPr>
                <w:rStyle w:val="Hyperlink"/>
                <w:rFonts w:eastAsiaTheme="majorEastAsia" w:cs="Times New Roman"/>
                <w:b/>
                <w:bCs/>
                <w:noProof/>
                <w:lang w:val="en-US"/>
              </w:rPr>
              <w:t>Factors Affecting Investment Decisions</w:t>
            </w:r>
            <w:r w:rsidR="00ED6ED3">
              <w:rPr>
                <w:noProof/>
                <w:webHidden/>
              </w:rPr>
              <w:tab/>
            </w:r>
            <w:r w:rsidR="00ED6ED3">
              <w:rPr>
                <w:noProof/>
                <w:webHidden/>
              </w:rPr>
              <w:fldChar w:fldCharType="begin"/>
            </w:r>
            <w:r w:rsidR="00ED6ED3">
              <w:rPr>
                <w:noProof/>
                <w:webHidden/>
              </w:rPr>
              <w:instrText xml:space="preserve"> PAGEREF _Toc219050017 \h </w:instrText>
            </w:r>
            <w:r w:rsidR="00ED6ED3">
              <w:rPr>
                <w:noProof/>
                <w:webHidden/>
              </w:rPr>
            </w:r>
            <w:r w:rsidR="00ED6ED3">
              <w:rPr>
                <w:noProof/>
                <w:webHidden/>
              </w:rPr>
              <w:fldChar w:fldCharType="separate"/>
            </w:r>
            <w:r w:rsidR="00ED6ED3">
              <w:rPr>
                <w:noProof/>
                <w:webHidden/>
              </w:rPr>
              <w:t>21</w:t>
            </w:r>
            <w:r w:rsidR="00ED6ED3">
              <w:rPr>
                <w:noProof/>
                <w:webHidden/>
              </w:rPr>
              <w:fldChar w:fldCharType="end"/>
            </w:r>
          </w:hyperlink>
        </w:p>
        <w:p w14:paraId="5473DA9B" w14:textId="3C8C0E70" w:rsidR="00ED6ED3" w:rsidRDefault="00DE5C0A">
          <w:pPr>
            <w:pStyle w:val="TOC3"/>
            <w:tabs>
              <w:tab w:val="right" w:leader="dot" w:pos="9016"/>
            </w:tabs>
            <w:rPr>
              <w:rFonts w:asciiTheme="minorHAnsi" w:eastAsiaTheme="minorEastAsia" w:hAnsiTheme="minorHAnsi"/>
              <w:noProof/>
              <w:lang w:eastAsia="en-GB"/>
            </w:rPr>
          </w:pPr>
          <w:hyperlink w:anchor="_Toc219050018" w:history="1">
            <w:r w:rsidR="00ED6ED3" w:rsidRPr="000C7B14">
              <w:rPr>
                <w:rStyle w:val="Hyperlink"/>
                <w:rFonts w:eastAsiaTheme="majorEastAsia" w:cs="Times New Roman"/>
                <w:b/>
                <w:bCs/>
                <w:noProof/>
                <w:lang w:val="en-US"/>
              </w:rPr>
              <w:t>Capital Rationing</w:t>
            </w:r>
            <w:r w:rsidR="00ED6ED3">
              <w:rPr>
                <w:noProof/>
                <w:webHidden/>
              </w:rPr>
              <w:tab/>
            </w:r>
            <w:r w:rsidR="00ED6ED3">
              <w:rPr>
                <w:noProof/>
                <w:webHidden/>
              </w:rPr>
              <w:fldChar w:fldCharType="begin"/>
            </w:r>
            <w:r w:rsidR="00ED6ED3">
              <w:rPr>
                <w:noProof/>
                <w:webHidden/>
              </w:rPr>
              <w:instrText xml:space="preserve"> PAGEREF _Toc219050018 \h </w:instrText>
            </w:r>
            <w:r w:rsidR="00ED6ED3">
              <w:rPr>
                <w:noProof/>
                <w:webHidden/>
              </w:rPr>
            </w:r>
            <w:r w:rsidR="00ED6ED3">
              <w:rPr>
                <w:noProof/>
                <w:webHidden/>
              </w:rPr>
              <w:fldChar w:fldCharType="separate"/>
            </w:r>
            <w:r w:rsidR="00ED6ED3">
              <w:rPr>
                <w:noProof/>
                <w:webHidden/>
              </w:rPr>
              <w:t>22</w:t>
            </w:r>
            <w:r w:rsidR="00ED6ED3">
              <w:rPr>
                <w:noProof/>
                <w:webHidden/>
              </w:rPr>
              <w:fldChar w:fldCharType="end"/>
            </w:r>
          </w:hyperlink>
        </w:p>
        <w:p w14:paraId="7B96409A" w14:textId="3B8058C3" w:rsidR="00ED6ED3" w:rsidRDefault="00DE5C0A">
          <w:pPr>
            <w:pStyle w:val="TOC3"/>
            <w:tabs>
              <w:tab w:val="right" w:leader="dot" w:pos="9016"/>
            </w:tabs>
            <w:rPr>
              <w:rFonts w:asciiTheme="minorHAnsi" w:eastAsiaTheme="minorEastAsia" w:hAnsiTheme="minorHAnsi"/>
              <w:noProof/>
              <w:lang w:eastAsia="en-GB"/>
            </w:rPr>
          </w:pPr>
          <w:hyperlink w:anchor="_Toc219050019" w:history="1">
            <w:r w:rsidR="00ED6ED3" w:rsidRPr="000C7B14">
              <w:rPr>
                <w:rStyle w:val="Hyperlink"/>
                <w:rFonts w:eastAsiaTheme="majorEastAsia" w:cs="Times New Roman"/>
                <w:b/>
                <w:bCs/>
                <w:noProof/>
                <w:lang w:val="en-US"/>
              </w:rPr>
              <w:t>Financing Sources</w:t>
            </w:r>
            <w:r w:rsidR="00ED6ED3">
              <w:rPr>
                <w:noProof/>
                <w:webHidden/>
              </w:rPr>
              <w:tab/>
            </w:r>
            <w:r w:rsidR="00ED6ED3">
              <w:rPr>
                <w:noProof/>
                <w:webHidden/>
              </w:rPr>
              <w:fldChar w:fldCharType="begin"/>
            </w:r>
            <w:r w:rsidR="00ED6ED3">
              <w:rPr>
                <w:noProof/>
                <w:webHidden/>
              </w:rPr>
              <w:instrText xml:space="preserve"> PAGEREF _Toc219050019 \h </w:instrText>
            </w:r>
            <w:r w:rsidR="00ED6ED3">
              <w:rPr>
                <w:noProof/>
                <w:webHidden/>
              </w:rPr>
            </w:r>
            <w:r w:rsidR="00ED6ED3">
              <w:rPr>
                <w:noProof/>
                <w:webHidden/>
              </w:rPr>
              <w:fldChar w:fldCharType="separate"/>
            </w:r>
            <w:r w:rsidR="00ED6ED3">
              <w:rPr>
                <w:noProof/>
                <w:webHidden/>
              </w:rPr>
              <w:t>22</w:t>
            </w:r>
            <w:r w:rsidR="00ED6ED3">
              <w:rPr>
                <w:noProof/>
                <w:webHidden/>
              </w:rPr>
              <w:fldChar w:fldCharType="end"/>
            </w:r>
          </w:hyperlink>
        </w:p>
        <w:p w14:paraId="4E393B0C" w14:textId="56C4BECF" w:rsidR="00ED6ED3" w:rsidRDefault="00DE5C0A">
          <w:pPr>
            <w:pStyle w:val="TOC3"/>
            <w:tabs>
              <w:tab w:val="right" w:leader="dot" w:pos="9016"/>
            </w:tabs>
            <w:rPr>
              <w:rFonts w:asciiTheme="minorHAnsi" w:eastAsiaTheme="minorEastAsia" w:hAnsiTheme="minorHAnsi"/>
              <w:noProof/>
              <w:lang w:eastAsia="en-GB"/>
            </w:rPr>
          </w:pPr>
          <w:hyperlink w:anchor="_Toc219050020" w:history="1">
            <w:r w:rsidR="00ED6ED3" w:rsidRPr="000C7B14">
              <w:rPr>
                <w:rStyle w:val="Hyperlink"/>
                <w:rFonts w:eastAsiaTheme="majorEastAsia" w:cs="Times New Roman"/>
                <w:b/>
                <w:bCs/>
                <w:noProof/>
                <w:lang w:val="en-US"/>
              </w:rPr>
              <w:t>Recommendations</w:t>
            </w:r>
            <w:r w:rsidR="00ED6ED3">
              <w:rPr>
                <w:noProof/>
                <w:webHidden/>
              </w:rPr>
              <w:tab/>
            </w:r>
            <w:r w:rsidR="00ED6ED3">
              <w:rPr>
                <w:noProof/>
                <w:webHidden/>
              </w:rPr>
              <w:fldChar w:fldCharType="begin"/>
            </w:r>
            <w:r w:rsidR="00ED6ED3">
              <w:rPr>
                <w:noProof/>
                <w:webHidden/>
              </w:rPr>
              <w:instrText xml:space="preserve"> PAGEREF _Toc219050020 \h </w:instrText>
            </w:r>
            <w:r w:rsidR="00ED6ED3">
              <w:rPr>
                <w:noProof/>
                <w:webHidden/>
              </w:rPr>
            </w:r>
            <w:r w:rsidR="00ED6ED3">
              <w:rPr>
                <w:noProof/>
                <w:webHidden/>
              </w:rPr>
              <w:fldChar w:fldCharType="separate"/>
            </w:r>
            <w:r w:rsidR="00ED6ED3">
              <w:rPr>
                <w:noProof/>
                <w:webHidden/>
              </w:rPr>
              <w:t>24</w:t>
            </w:r>
            <w:r w:rsidR="00ED6ED3">
              <w:rPr>
                <w:noProof/>
                <w:webHidden/>
              </w:rPr>
              <w:fldChar w:fldCharType="end"/>
            </w:r>
          </w:hyperlink>
        </w:p>
        <w:p w14:paraId="049B12CE" w14:textId="1F0B6B7D" w:rsidR="00ED6ED3" w:rsidRDefault="00DE5C0A">
          <w:pPr>
            <w:pStyle w:val="TOC1"/>
            <w:tabs>
              <w:tab w:val="right" w:leader="dot" w:pos="9016"/>
            </w:tabs>
            <w:rPr>
              <w:rFonts w:asciiTheme="minorHAnsi" w:eastAsiaTheme="minorEastAsia" w:hAnsiTheme="minorHAnsi"/>
              <w:noProof/>
              <w:lang w:eastAsia="en-GB"/>
            </w:rPr>
          </w:pPr>
          <w:hyperlink w:anchor="_Toc219050021" w:history="1">
            <w:r w:rsidR="00ED6ED3" w:rsidRPr="000C7B14">
              <w:rPr>
                <w:rStyle w:val="Hyperlink"/>
                <w:rFonts w:eastAsiaTheme="majorEastAsia" w:cstheme="majorBidi"/>
                <w:b/>
                <w:noProof/>
                <w:lang w:val="en-US"/>
              </w:rPr>
              <w:t>Conclusion</w:t>
            </w:r>
            <w:r w:rsidR="00ED6ED3">
              <w:rPr>
                <w:noProof/>
                <w:webHidden/>
              </w:rPr>
              <w:tab/>
            </w:r>
            <w:r w:rsidR="00ED6ED3">
              <w:rPr>
                <w:noProof/>
                <w:webHidden/>
              </w:rPr>
              <w:fldChar w:fldCharType="begin"/>
            </w:r>
            <w:r w:rsidR="00ED6ED3">
              <w:rPr>
                <w:noProof/>
                <w:webHidden/>
              </w:rPr>
              <w:instrText xml:space="preserve"> PAGEREF _Toc219050021 \h </w:instrText>
            </w:r>
            <w:r w:rsidR="00ED6ED3">
              <w:rPr>
                <w:noProof/>
                <w:webHidden/>
              </w:rPr>
            </w:r>
            <w:r w:rsidR="00ED6ED3">
              <w:rPr>
                <w:noProof/>
                <w:webHidden/>
              </w:rPr>
              <w:fldChar w:fldCharType="separate"/>
            </w:r>
            <w:r w:rsidR="00ED6ED3">
              <w:rPr>
                <w:noProof/>
                <w:webHidden/>
              </w:rPr>
              <w:t>25</w:t>
            </w:r>
            <w:r w:rsidR="00ED6ED3">
              <w:rPr>
                <w:noProof/>
                <w:webHidden/>
              </w:rPr>
              <w:fldChar w:fldCharType="end"/>
            </w:r>
          </w:hyperlink>
        </w:p>
        <w:p w14:paraId="4C2D1B56" w14:textId="466D4666" w:rsidR="00ED6ED3" w:rsidRDefault="00DE5C0A">
          <w:pPr>
            <w:pStyle w:val="TOC1"/>
            <w:tabs>
              <w:tab w:val="right" w:leader="dot" w:pos="9016"/>
            </w:tabs>
            <w:rPr>
              <w:rFonts w:asciiTheme="minorHAnsi" w:eastAsiaTheme="minorEastAsia" w:hAnsiTheme="minorHAnsi"/>
              <w:noProof/>
              <w:lang w:eastAsia="en-GB"/>
            </w:rPr>
          </w:pPr>
          <w:hyperlink w:anchor="_Toc219050022" w:history="1">
            <w:r w:rsidR="00ED6ED3" w:rsidRPr="000C7B14">
              <w:rPr>
                <w:rStyle w:val="Hyperlink"/>
                <w:rFonts w:eastAsiaTheme="majorEastAsia" w:cstheme="majorBidi"/>
                <w:b/>
                <w:noProof/>
                <w:lang w:val="en-US"/>
              </w:rPr>
              <w:t>References</w:t>
            </w:r>
            <w:r w:rsidR="00ED6ED3">
              <w:rPr>
                <w:noProof/>
                <w:webHidden/>
              </w:rPr>
              <w:tab/>
            </w:r>
            <w:r w:rsidR="00ED6ED3">
              <w:rPr>
                <w:noProof/>
                <w:webHidden/>
              </w:rPr>
              <w:fldChar w:fldCharType="begin"/>
            </w:r>
            <w:r w:rsidR="00ED6ED3">
              <w:rPr>
                <w:noProof/>
                <w:webHidden/>
              </w:rPr>
              <w:instrText xml:space="preserve"> PAGEREF _Toc219050022 \h </w:instrText>
            </w:r>
            <w:r w:rsidR="00ED6ED3">
              <w:rPr>
                <w:noProof/>
                <w:webHidden/>
              </w:rPr>
            </w:r>
            <w:r w:rsidR="00ED6ED3">
              <w:rPr>
                <w:noProof/>
                <w:webHidden/>
              </w:rPr>
              <w:fldChar w:fldCharType="separate"/>
            </w:r>
            <w:r w:rsidR="00ED6ED3">
              <w:rPr>
                <w:noProof/>
                <w:webHidden/>
              </w:rPr>
              <w:t>26</w:t>
            </w:r>
            <w:r w:rsidR="00ED6ED3">
              <w:rPr>
                <w:noProof/>
                <w:webHidden/>
              </w:rPr>
              <w:fldChar w:fldCharType="end"/>
            </w:r>
          </w:hyperlink>
        </w:p>
        <w:p w14:paraId="797E9C6A" w14:textId="54CAC8E7" w:rsidR="00ED6ED3" w:rsidRDefault="00DE5C0A">
          <w:pPr>
            <w:pStyle w:val="TOC1"/>
            <w:tabs>
              <w:tab w:val="right" w:leader="dot" w:pos="9016"/>
            </w:tabs>
            <w:rPr>
              <w:rFonts w:asciiTheme="minorHAnsi" w:eastAsiaTheme="minorEastAsia" w:hAnsiTheme="minorHAnsi"/>
              <w:noProof/>
              <w:lang w:eastAsia="en-GB"/>
            </w:rPr>
          </w:pPr>
          <w:hyperlink w:anchor="_Toc219050023" w:history="1">
            <w:r w:rsidR="00ED6ED3" w:rsidRPr="000C7B14">
              <w:rPr>
                <w:rStyle w:val="Hyperlink"/>
                <w:rFonts w:eastAsiaTheme="majorEastAsia" w:cstheme="majorBidi"/>
                <w:b/>
                <w:noProof/>
                <w:lang w:val="en-US"/>
              </w:rPr>
              <w:t>Appendix</w:t>
            </w:r>
            <w:r w:rsidR="00ED6ED3">
              <w:rPr>
                <w:noProof/>
                <w:webHidden/>
              </w:rPr>
              <w:tab/>
            </w:r>
            <w:r w:rsidR="00ED6ED3">
              <w:rPr>
                <w:noProof/>
                <w:webHidden/>
              </w:rPr>
              <w:fldChar w:fldCharType="begin"/>
            </w:r>
            <w:r w:rsidR="00ED6ED3">
              <w:rPr>
                <w:noProof/>
                <w:webHidden/>
              </w:rPr>
              <w:instrText xml:space="preserve"> PAGEREF _Toc219050023 \h </w:instrText>
            </w:r>
            <w:r w:rsidR="00ED6ED3">
              <w:rPr>
                <w:noProof/>
                <w:webHidden/>
              </w:rPr>
            </w:r>
            <w:r w:rsidR="00ED6ED3">
              <w:rPr>
                <w:noProof/>
                <w:webHidden/>
              </w:rPr>
              <w:fldChar w:fldCharType="separate"/>
            </w:r>
            <w:r w:rsidR="00ED6ED3">
              <w:rPr>
                <w:noProof/>
                <w:webHidden/>
              </w:rPr>
              <w:t>31</w:t>
            </w:r>
            <w:r w:rsidR="00ED6ED3">
              <w:rPr>
                <w:noProof/>
                <w:webHidden/>
              </w:rPr>
              <w:fldChar w:fldCharType="end"/>
            </w:r>
          </w:hyperlink>
        </w:p>
        <w:p w14:paraId="7CB2F943" w14:textId="0943771D" w:rsidR="000011DB" w:rsidRPr="000011DB" w:rsidRDefault="000011DB" w:rsidP="00CA388D">
          <w:pPr>
            <w:spacing w:line="360" w:lineRule="auto"/>
          </w:pPr>
          <w:r w:rsidRPr="000011DB">
            <w:rPr>
              <w:b/>
              <w:bCs/>
            </w:rPr>
            <w:fldChar w:fldCharType="end"/>
          </w:r>
        </w:p>
      </w:sdtContent>
    </w:sdt>
    <w:p w14:paraId="791185AF" w14:textId="77777777" w:rsidR="000011DB" w:rsidRPr="000011DB" w:rsidRDefault="000011DB" w:rsidP="00CA388D">
      <w:pPr>
        <w:spacing w:after="160" w:line="360" w:lineRule="auto"/>
        <w:rPr>
          <w:sz w:val="32"/>
          <w:szCs w:val="36"/>
          <w:lang w:val="en-US"/>
        </w:rPr>
      </w:pPr>
      <w:r w:rsidRPr="000011DB">
        <w:rPr>
          <w:sz w:val="32"/>
          <w:szCs w:val="36"/>
          <w:lang w:val="en-US"/>
        </w:rPr>
        <w:br w:type="page"/>
      </w:r>
    </w:p>
    <w:p w14:paraId="30427EA4" w14:textId="2AFECDE9" w:rsidR="000011DB" w:rsidRPr="000011DB" w:rsidRDefault="000011DB" w:rsidP="00CA388D">
      <w:pPr>
        <w:keepNext/>
        <w:keepLines/>
        <w:spacing w:before="240" w:after="120" w:line="360" w:lineRule="auto"/>
        <w:outlineLvl w:val="0"/>
        <w:rPr>
          <w:rFonts w:eastAsiaTheme="majorEastAsia" w:cstheme="majorBidi"/>
          <w:b/>
          <w:color w:val="2F5496" w:themeColor="accent1" w:themeShade="BF"/>
          <w:sz w:val="32"/>
          <w:szCs w:val="50"/>
          <w:lang w:val="en-US"/>
        </w:rPr>
      </w:pPr>
      <w:bookmarkStart w:id="2" w:name="_Toc219049997"/>
      <w:r w:rsidRPr="000011DB">
        <w:rPr>
          <w:rFonts w:eastAsiaTheme="majorEastAsia" w:cstheme="majorBidi"/>
          <w:b/>
          <w:color w:val="2F5496" w:themeColor="accent1" w:themeShade="BF"/>
          <w:sz w:val="32"/>
          <w:szCs w:val="50"/>
          <w:lang w:val="en-US"/>
        </w:rPr>
        <w:lastRenderedPageBreak/>
        <w:t>Introduction</w:t>
      </w:r>
      <w:bookmarkEnd w:id="2"/>
    </w:p>
    <w:p w14:paraId="02011AFF" w14:textId="1FBEE2A3" w:rsidR="000011DB" w:rsidRPr="000011DB" w:rsidRDefault="0064535E" w:rsidP="00CA388D">
      <w:pPr>
        <w:spacing w:line="360" w:lineRule="auto"/>
        <w:rPr>
          <w:lang w:val="en-US"/>
        </w:rPr>
      </w:pPr>
      <w:r>
        <w:rPr>
          <w:lang w:val="en-US"/>
        </w:rPr>
        <w:t>F</w:t>
      </w:r>
      <w:r w:rsidR="005A3DE1">
        <w:rPr>
          <w:lang w:val="en-US"/>
        </w:rPr>
        <w:t>inancial decision-making is a core part of operating a successful business</w:t>
      </w:r>
      <w:r w:rsidR="00A32D25">
        <w:rPr>
          <w:lang w:val="en-US"/>
        </w:rPr>
        <w:t xml:space="preserve"> and this is why </w:t>
      </w:r>
      <w:r w:rsidR="005A3DE1">
        <w:rPr>
          <w:lang w:val="en-US"/>
        </w:rPr>
        <w:t>understanding and implementing comprehensive analytical frameworks</w:t>
      </w:r>
      <w:r>
        <w:rPr>
          <w:lang w:val="en-US"/>
        </w:rPr>
        <w:t xml:space="preserve"> </w:t>
      </w:r>
      <w:r w:rsidR="005A3DE1">
        <w:rPr>
          <w:lang w:val="en-US"/>
        </w:rPr>
        <w:t>including both quantitative and qualitative models are important to identify and invest in the most profitable and lucrative projects available</w:t>
      </w:r>
      <w:r w:rsidR="00527F2A">
        <w:rPr>
          <w:lang w:val="en-US"/>
        </w:rPr>
        <w:t xml:space="preserve"> (</w:t>
      </w:r>
      <w:r w:rsidR="00527F2A" w:rsidRPr="00527F2A">
        <w:t>Andjelic</w:t>
      </w:r>
      <w:r w:rsidR="00527F2A">
        <w:t xml:space="preserve"> and Vesic, 2017)</w:t>
      </w:r>
      <w:r w:rsidR="005A3DE1">
        <w:rPr>
          <w:lang w:val="en-US"/>
        </w:rPr>
        <w:t xml:space="preserve">. </w:t>
      </w:r>
      <w:r w:rsidR="00621F3C">
        <w:rPr>
          <w:lang w:val="en-US"/>
        </w:rPr>
        <w:t xml:space="preserve">This report will present a dual-focused examination. In the first part of </w:t>
      </w:r>
      <w:r w:rsidR="00B921D0">
        <w:rPr>
          <w:lang w:val="en-US"/>
        </w:rPr>
        <w:t xml:space="preserve">the </w:t>
      </w:r>
      <w:r w:rsidR="00621F3C">
        <w:rPr>
          <w:lang w:val="en-US"/>
        </w:rPr>
        <w:t>examination, the report will delve into the financial analysis of AstraZeneca PLC</w:t>
      </w:r>
      <w:r w:rsidR="00B921D0">
        <w:rPr>
          <w:lang w:val="en-US"/>
        </w:rPr>
        <w:t>,</w:t>
      </w:r>
      <w:r w:rsidR="00621F3C">
        <w:rPr>
          <w:lang w:val="en-US"/>
        </w:rPr>
        <w:t xml:space="preserve"> ranging </w:t>
      </w:r>
      <w:r w:rsidR="00B921D0">
        <w:rPr>
          <w:lang w:val="en-US"/>
        </w:rPr>
        <w:t>two years</w:t>
      </w:r>
      <w:r w:rsidR="00621F3C">
        <w:rPr>
          <w:lang w:val="en-US"/>
        </w:rPr>
        <w:t xml:space="preserve"> </w:t>
      </w:r>
      <w:r w:rsidR="00B921D0">
        <w:rPr>
          <w:lang w:val="en-US"/>
        </w:rPr>
        <w:t>from</w:t>
      </w:r>
      <w:r w:rsidR="00621F3C">
        <w:rPr>
          <w:lang w:val="en-US"/>
        </w:rPr>
        <w:t xml:space="preserve"> 2023 </w:t>
      </w:r>
      <w:r w:rsidR="00B921D0">
        <w:rPr>
          <w:lang w:val="en-US"/>
        </w:rPr>
        <w:t>to</w:t>
      </w:r>
      <w:r w:rsidR="00621F3C">
        <w:rPr>
          <w:lang w:val="en-US"/>
        </w:rPr>
        <w:t xml:space="preserve"> 204. In the second part of </w:t>
      </w:r>
      <w:r w:rsidR="00B921D0">
        <w:rPr>
          <w:lang w:val="en-US"/>
        </w:rPr>
        <w:t xml:space="preserve">the </w:t>
      </w:r>
      <w:r w:rsidR="00621F3C">
        <w:rPr>
          <w:lang w:val="en-US"/>
        </w:rPr>
        <w:t xml:space="preserve">examination, the report will delve into </w:t>
      </w:r>
      <w:r w:rsidR="00B921D0">
        <w:rPr>
          <w:lang w:val="en-US"/>
        </w:rPr>
        <w:t xml:space="preserve">the </w:t>
      </w:r>
      <w:r w:rsidR="00621F3C">
        <w:rPr>
          <w:lang w:val="en-US"/>
        </w:rPr>
        <w:t>two most important investment appraisal tools</w:t>
      </w:r>
      <w:r w:rsidR="00B921D0">
        <w:rPr>
          <w:lang w:val="en-US"/>
        </w:rPr>
        <w:t>,</w:t>
      </w:r>
      <w:r w:rsidR="00621F3C">
        <w:rPr>
          <w:lang w:val="en-US"/>
        </w:rPr>
        <w:t xml:space="preserve"> which are </w:t>
      </w:r>
      <w:r w:rsidR="00B921D0">
        <w:rPr>
          <w:lang w:val="en-US"/>
        </w:rPr>
        <w:t xml:space="preserve">the </w:t>
      </w:r>
      <w:r w:rsidR="00621F3C">
        <w:rPr>
          <w:lang w:val="en-US"/>
        </w:rPr>
        <w:t xml:space="preserve">net present value method and </w:t>
      </w:r>
      <w:r w:rsidR="00B921D0">
        <w:rPr>
          <w:lang w:val="en-US"/>
        </w:rPr>
        <w:t xml:space="preserve">the </w:t>
      </w:r>
      <w:r w:rsidR="00621F3C">
        <w:rPr>
          <w:lang w:val="en-US"/>
        </w:rPr>
        <w:t xml:space="preserve">internal rate of return method. </w:t>
      </w:r>
      <w:r w:rsidR="00BD42CD">
        <w:rPr>
          <w:lang w:val="en-US"/>
        </w:rPr>
        <w:t xml:space="preserve">For the first part of financial ratio analysis, </w:t>
      </w:r>
      <w:r w:rsidR="00A7600F">
        <w:rPr>
          <w:lang w:val="en-US"/>
        </w:rPr>
        <w:t>five critical dimensions will be evaluated</w:t>
      </w:r>
      <w:r w:rsidR="00B921D0">
        <w:rPr>
          <w:lang w:val="en-US"/>
        </w:rPr>
        <w:t>,</w:t>
      </w:r>
      <w:r w:rsidR="00A7600F">
        <w:rPr>
          <w:lang w:val="en-US"/>
        </w:rPr>
        <w:t xml:space="preserve"> which are profitability, liquidity, efficiency, gearing and investor </w:t>
      </w:r>
      <w:r w:rsidR="00A964E8">
        <w:rPr>
          <w:lang w:val="en-US"/>
        </w:rPr>
        <w:t xml:space="preserve">ratios. In the second part, for Westward PLC, both net present value and internal rate of return methods will be employed to come to a concrete decision for the managers to follow. </w:t>
      </w:r>
      <w:r w:rsidR="00F24325">
        <w:rPr>
          <w:lang w:val="en-US"/>
        </w:rPr>
        <w:t xml:space="preserve">Now, the pharmaceutical sector runs through </w:t>
      </w:r>
      <w:r w:rsidR="00B921D0">
        <w:rPr>
          <w:lang w:val="en-US"/>
        </w:rPr>
        <w:t xml:space="preserve">an </w:t>
      </w:r>
      <w:r w:rsidR="00F24325">
        <w:rPr>
          <w:lang w:val="en-US"/>
        </w:rPr>
        <w:t>extensively complex macroeconomic context where patent expiry pressures, regulatory scrutiny, innovation cycles</w:t>
      </w:r>
      <w:r w:rsidR="00B921D0">
        <w:rPr>
          <w:lang w:val="en-US"/>
        </w:rPr>
        <w:t>,</w:t>
      </w:r>
      <w:r w:rsidR="00F24325">
        <w:rPr>
          <w:lang w:val="en-US"/>
        </w:rPr>
        <w:t xml:space="preserve"> etc.</w:t>
      </w:r>
      <w:r w:rsidR="00B921D0">
        <w:rPr>
          <w:lang w:val="en-US"/>
        </w:rPr>
        <w:t>,</w:t>
      </w:r>
      <w:r w:rsidR="00F24325">
        <w:rPr>
          <w:lang w:val="en-US"/>
        </w:rPr>
        <w:t xml:space="preserve"> directly impact all of the operating companies in the sector. </w:t>
      </w:r>
      <w:r w:rsidR="00E67648">
        <w:rPr>
          <w:lang w:val="en-US"/>
        </w:rPr>
        <w:t xml:space="preserve">In this regard, AstraZeneca PLC is one of the leading companies with massive R&amp;D expenses being incurred every single year in the effort of innovating and finding drugs for untreated diseases. </w:t>
      </w:r>
      <w:r w:rsidR="001C1E6A">
        <w:rPr>
          <w:lang w:val="en-US"/>
        </w:rPr>
        <w:t xml:space="preserve">The case of AstraZeneca PLC helps to understand how pharmaceutical MNCs navigate the challenging windows of operating in the pharmaceutical industry and still deliver value to </w:t>
      </w:r>
      <w:r w:rsidR="00B921D0">
        <w:rPr>
          <w:lang w:val="en-US"/>
        </w:rPr>
        <w:t>their</w:t>
      </w:r>
      <w:r w:rsidR="001C1E6A">
        <w:rPr>
          <w:lang w:val="en-US"/>
        </w:rPr>
        <w:t xml:space="preserve"> shareholders effectively. </w:t>
      </w:r>
      <w:r w:rsidR="00BE6ED5">
        <w:rPr>
          <w:lang w:val="en-US"/>
        </w:rPr>
        <w:t xml:space="preserve">Moreover, in the second part of the report, </w:t>
      </w:r>
      <w:r w:rsidR="008B7967">
        <w:rPr>
          <w:lang w:val="en-US"/>
        </w:rPr>
        <w:t xml:space="preserve">fundamental questions regarding the use of net present value over internal rate of return, the continued popularity of non-discounting methods despite their </w:t>
      </w:r>
      <w:r w:rsidR="008134E4">
        <w:rPr>
          <w:lang w:val="en-US"/>
        </w:rPr>
        <w:t xml:space="preserve">inaccuracy and capital rationing will be elaborated in the report while acknowledging the limitations of both ratio analysis and financing sources which can be used by Westward PLC to fund its investment projects to make profits. Overall, this report will incorporate broader strategic, operational and stakeholder considerations into final investment decisions so that both quantitative and qualitative aspects </w:t>
      </w:r>
      <w:r w:rsidR="00B921D0">
        <w:rPr>
          <w:lang w:val="en-US"/>
        </w:rPr>
        <w:t>are</w:t>
      </w:r>
      <w:r w:rsidR="008134E4">
        <w:rPr>
          <w:lang w:val="en-US"/>
        </w:rPr>
        <w:t xml:space="preserve"> considered in deciding upon a project. </w:t>
      </w:r>
    </w:p>
    <w:p w14:paraId="7F754BB3" w14:textId="77777777" w:rsidR="000011DB" w:rsidRPr="000011DB" w:rsidRDefault="000011DB" w:rsidP="00CA388D">
      <w:pPr>
        <w:spacing w:after="160" w:line="360" w:lineRule="auto"/>
        <w:rPr>
          <w:lang w:val="en-US"/>
        </w:rPr>
      </w:pPr>
      <w:r w:rsidRPr="000011DB">
        <w:rPr>
          <w:lang w:val="en-US"/>
        </w:rPr>
        <w:br w:type="page"/>
      </w:r>
    </w:p>
    <w:p w14:paraId="51E61288" w14:textId="26645614" w:rsidR="000011DB" w:rsidRPr="000011DB" w:rsidRDefault="000011DB" w:rsidP="00CA388D">
      <w:pPr>
        <w:keepNext/>
        <w:keepLines/>
        <w:spacing w:before="240" w:after="120" w:line="360" w:lineRule="auto"/>
        <w:outlineLvl w:val="0"/>
        <w:rPr>
          <w:rFonts w:eastAsiaTheme="majorEastAsia" w:cstheme="majorBidi"/>
          <w:b/>
          <w:color w:val="2F5496" w:themeColor="accent1" w:themeShade="BF"/>
          <w:sz w:val="32"/>
          <w:szCs w:val="50"/>
          <w:lang w:val="en-US"/>
        </w:rPr>
      </w:pPr>
      <w:bookmarkStart w:id="3" w:name="_Toc219049998"/>
      <w:r w:rsidRPr="000011DB">
        <w:rPr>
          <w:rFonts w:eastAsiaTheme="majorEastAsia" w:cstheme="majorBidi"/>
          <w:b/>
          <w:color w:val="2F5496" w:themeColor="accent1" w:themeShade="BF"/>
          <w:sz w:val="32"/>
          <w:szCs w:val="50"/>
          <w:lang w:val="en-US"/>
        </w:rPr>
        <w:lastRenderedPageBreak/>
        <w:t xml:space="preserve">Part One: Financial Performance Analysis of </w:t>
      </w:r>
      <w:r w:rsidR="005124AF">
        <w:rPr>
          <w:rFonts w:eastAsiaTheme="majorEastAsia" w:cstheme="majorBidi"/>
          <w:b/>
          <w:color w:val="2F5496" w:themeColor="accent1" w:themeShade="BF"/>
          <w:sz w:val="32"/>
          <w:szCs w:val="50"/>
          <w:lang w:val="en-US"/>
        </w:rPr>
        <w:t xml:space="preserve">AstraZeneca </w:t>
      </w:r>
      <w:r w:rsidRPr="000011DB">
        <w:rPr>
          <w:rFonts w:eastAsiaTheme="majorEastAsia" w:cstheme="majorBidi"/>
          <w:b/>
          <w:color w:val="2F5496" w:themeColor="accent1" w:themeShade="BF"/>
          <w:sz w:val="32"/>
          <w:szCs w:val="50"/>
          <w:lang w:val="en-US"/>
        </w:rPr>
        <w:t>PLC</w:t>
      </w:r>
      <w:bookmarkEnd w:id="3"/>
    </w:p>
    <w:p w14:paraId="1A8BDFB2" w14:textId="75C36D93" w:rsidR="00711764" w:rsidRDefault="0078048B" w:rsidP="00CA388D">
      <w:pPr>
        <w:keepNext/>
        <w:keepLines/>
        <w:spacing w:before="40" w:after="0" w:line="360" w:lineRule="auto"/>
        <w:outlineLvl w:val="1"/>
        <w:rPr>
          <w:rFonts w:eastAsiaTheme="majorEastAsia" w:cstheme="majorBidi"/>
          <w:b/>
          <w:color w:val="2F5496" w:themeColor="accent1" w:themeShade="BF"/>
          <w:sz w:val="28"/>
          <w:szCs w:val="40"/>
          <w:lang w:val="en-US"/>
        </w:rPr>
      </w:pPr>
      <w:bookmarkStart w:id="4" w:name="_Toc219049999"/>
      <w:r>
        <w:rPr>
          <w:rFonts w:eastAsiaTheme="majorEastAsia" w:cstheme="majorBidi"/>
          <w:b/>
          <w:color w:val="2F5496" w:themeColor="accent1" w:themeShade="BF"/>
          <w:sz w:val="28"/>
          <w:szCs w:val="40"/>
          <w:lang w:val="en-US"/>
        </w:rPr>
        <w:t xml:space="preserve">Strategic Context and </w:t>
      </w:r>
      <w:r w:rsidR="00711764">
        <w:rPr>
          <w:rFonts w:eastAsiaTheme="majorEastAsia" w:cstheme="majorBidi"/>
          <w:b/>
          <w:color w:val="2F5496" w:themeColor="accent1" w:themeShade="BF"/>
          <w:sz w:val="28"/>
          <w:szCs w:val="40"/>
          <w:lang w:val="en-US"/>
        </w:rPr>
        <w:t>Financial Position</w:t>
      </w:r>
      <w:r w:rsidR="00D3283B">
        <w:rPr>
          <w:rFonts w:eastAsiaTheme="majorEastAsia" w:cstheme="majorBidi"/>
          <w:b/>
          <w:color w:val="2F5496" w:themeColor="accent1" w:themeShade="BF"/>
          <w:sz w:val="28"/>
          <w:szCs w:val="40"/>
          <w:lang w:val="en-US"/>
        </w:rPr>
        <w:t xml:space="preserve"> of AstraZeneca PLC</w:t>
      </w:r>
      <w:bookmarkEnd w:id="4"/>
    </w:p>
    <w:p w14:paraId="1282B67E" w14:textId="6602596A" w:rsidR="00711764" w:rsidRPr="00711764" w:rsidRDefault="009116B6" w:rsidP="00CA388D">
      <w:pPr>
        <w:spacing w:line="360" w:lineRule="auto"/>
        <w:rPr>
          <w:lang w:val="en-US"/>
        </w:rPr>
      </w:pPr>
      <w:r>
        <w:rPr>
          <w:lang w:val="en-US"/>
        </w:rPr>
        <w:t xml:space="preserve">As per the 2024 annual report of AstraZeneca PLC, </w:t>
      </w:r>
      <w:r w:rsidR="00831988">
        <w:rPr>
          <w:lang w:val="en-US"/>
        </w:rPr>
        <w:t>the company has posted a total revenue of 54,073 million USD in the fiscal year</w:t>
      </w:r>
      <w:r w:rsidR="00B921D0">
        <w:rPr>
          <w:lang w:val="en-US"/>
        </w:rPr>
        <w:t>,</w:t>
      </w:r>
      <w:r w:rsidR="00831988">
        <w:rPr>
          <w:lang w:val="en-US"/>
        </w:rPr>
        <w:t xml:space="preserve"> which is an </w:t>
      </w:r>
      <w:r w:rsidR="00B921D0">
        <w:rPr>
          <w:lang w:val="en-US"/>
        </w:rPr>
        <w:t>increase</w:t>
      </w:r>
      <w:r w:rsidR="00831988">
        <w:rPr>
          <w:lang w:val="en-US"/>
        </w:rPr>
        <w:t xml:space="preserve"> of 18% based on actual exchange rates and an </w:t>
      </w:r>
      <w:r w:rsidR="00B921D0">
        <w:rPr>
          <w:lang w:val="en-US"/>
        </w:rPr>
        <w:t>increase</w:t>
      </w:r>
      <w:r w:rsidR="00831988">
        <w:rPr>
          <w:lang w:val="en-US"/>
        </w:rPr>
        <w:t xml:space="preserve"> of 21% at constant exchange rates when compared to the base year </w:t>
      </w:r>
      <w:r w:rsidR="00842A40">
        <w:rPr>
          <w:lang w:val="en-US"/>
        </w:rPr>
        <w:t xml:space="preserve">of </w:t>
      </w:r>
      <w:r w:rsidR="00831988">
        <w:rPr>
          <w:lang w:val="en-US"/>
        </w:rPr>
        <w:t xml:space="preserve">2023. </w:t>
      </w:r>
      <w:r w:rsidR="00842A40">
        <w:rPr>
          <w:lang w:val="en-US"/>
        </w:rPr>
        <w:t>The company particularly focuses on oncology, cardiovascular-renal-metabolism and rare disease therapeutic areas</w:t>
      </w:r>
      <w:r w:rsidR="00B921D0">
        <w:rPr>
          <w:lang w:val="en-US"/>
        </w:rPr>
        <w:t>,</w:t>
      </w:r>
      <w:r w:rsidR="00E90C63">
        <w:rPr>
          <w:lang w:val="en-US"/>
        </w:rPr>
        <w:t xml:space="preserve"> which are also the driving forces behind the revenue increments the company has achieved over one year period. </w:t>
      </w:r>
      <w:r w:rsidR="00BA0BC1">
        <w:rPr>
          <w:lang w:val="en-US"/>
        </w:rPr>
        <w:t>The company has achieved 16% greater operating profit</w:t>
      </w:r>
      <w:r w:rsidR="00B921D0">
        <w:rPr>
          <w:lang w:val="en-US"/>
        </w:rPr>
        <w:t>,</w:t>
      </w:r>
      <w:r w:rsidR="00BA0BC1">
        <w:rPr>
          <w:lang w:val="en-US"/>
        </w:rPr>
        <w:t xml:space="preserve"> </w:t>
      </w:r>
      <w:r w:rsidR="00B921D0">
        <w:rPr>
          <w:lang w:val="en-US"/>
        </w:rPr>
        <w:t>and</w:t>
      </w:r>
      <w:r w:rsidR="00BA0BC1">
        <w:rPr>
          <w:lang w:val="en-US"/>
        </w:rPr>
        <w:t xml:space="preserve"> core EPS has grown by 13%</w:t>
      </w:r>
      <w:r w:rsidR="00527F2A">
        <w:rPr>
          <w:lang w:val="en-US"/>
        </w:rPr>
        <w:t xml:space="preserve"> (</w:t>
      </w:r>
      <w:r w:rsidR="00527F2A" w:rsidRPr="007B123D">
        <w:t>AstraZeneca</w:t>
      </w:r>
      <w:r w:rsidR="00527F2A">
        <w:t>, 2024)</w:t>
      </w:r>
      <w:r w:rsidR="00BA0BC1">
        <w:rPr>
          <w:lang w:val="en-US"/>
        </w:rPr>
        <w:t xml:space="preserve">. </w:t>
      </w:r>
      <w:r w:rsidR="004F358E">
        <w:rPr>
          <w:lang w:val="en-US"/>
        </w:rPr>
        <w:t>Moreover, the balance sheet of the company has remained quite exceptional, as well, with the company’s total assets reaching over $104,035 million by the end of 2024</w:t>
      </w:r>
      <w:r w:rsidR="00B921D0">
        <w:rPr>
          <w:lang w:val="en-US"/>
        </w:rPr>
        <w:t>,</w:t>
      </w:r>
      <w:r w:rsidR="004F358E">
        <w:rPr>
          <w:lang w:val="en-US"/>
        </w:rPr>
        <w:t xml:space="preserve"> which has grown from 2023’s $101,119 million</w:t>
      </w:r>
      <w:r w:rsidR="007D0C67">
        <w:rPr>
          <w:lang w:val="en-US"/>
        </w:rPr>
        <w:t xml:space="preserve">. The increase has mainly </w:t>
      </w:r>
      <w:r w:rsidR="00B921D0">
        <w:rPr>
          <w:lang w:val="en-US"/>
        </w:rPr>
        <w:t>materialised</w:t>
      </w:r>
      <w:r w:rsidR="007D0C67">
        <w:rPr>
          <w:lang w:val="en-US"/>
        </w:rPr>
        <w:t xml:space="preserve"> due to the growth management and strategic acquisitions made by the company in the same time period. </w:t>
      </w:r>
      <w:r w:rsidR="00BF150F">
        <w:rPr>
          <w:lang w:val="en-US"/>
        </w:rPr>
        <w:t>At the same time, the company has faced a net debt increase of $24,570 million to fund its R&amp;D operations as well as business development initiatives</w:t>
      </w:r>
      <w:r w:rsidR="00527F2A">
        <w:rPr>
          <w:lang w:val="en-US"/>
        </w:rPr>
        <w:t xml:space="preserve"> (</w:t>
      </w:r>
      <w:r w:rsidR="00527F2A" w:rsidRPr="007B123D">
        <w:t>Yahoo Finance</w:t>
      </w:r>
      <w:r w:rsidR="00527F2A">
        <w:t>, 2025)</w:t>
      </w:r>
      <w:r w:rsidR="00BF150F">
        <w:rPr>
          <w:lang w:val="en-US"/>
        </w:rPr>
        <w:t xml:space="preserve">. </w:t>
      </w:r>
      <w:r w:rsidR="005E0005">
        <w:rPr>
          <w:lang w:val="en-US"/>
        </w:rPr>
        <w:t>Overall, all five of the critical dimensions have improved in 2024 when compared to 2023.</w:t>
      </w:r>
    </w:p>
    <w:p w14:paraId="442CEC00" w14:textId="24712F41" w:rsidR="000011DB" w:rsidRPr="000011DB" w:rsidRDefault="001A4E3B" w:rsidP="00CA388D">
      <w:pPr>
        <w:keepNext/>
        <w:keepLines/>
        <w:spacing w:before="40" w:after="0" w:line="360" w:lineRule="auto"/>
        <w:outlineLvl w:val="1"/>
        <w:rPr>
          <w:rFonts w:eastAsiaTheme="majorEastAsia" w:cstheme="majorBidi"/>
          <w:b/>
          <w:color w:val="2F5496" w:themeColor="accent1" w:themeShade="BF"/>
          <w:sz w:val="28"/>
          <w:szCs w:val="40"/>
          <w:lang w:val="en-US"/>
        </w:rPr>
      </w:pPr>
      <w:bookmarkStart w:id="5" w:name="_Toc219050000"/>
      <w:r>
        <w:rPr>
          <w:rFonts w:eastAsiaTheme="majorEastAsia" w:cstheme="majorBidi"/>
          <w:b/>
          <w:color w:val="2F5496" w:themeColor="accent1" w:themeShade="BF"/>
          <w:sz w:val="28"/>
          <w:szCs w:val="40"/>
          <w:lang w:val="en-US"/>
        </w:rPr>
        <w:t>Ratios &amp; Interpretation</w:t>
      </w:r>
      <w:bookmarkEnd w:id="5"/>
    </w:p>
    <w:p w14:paraId="0A669099" w14:textId="62B9C049"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6" w:name="_Toc219050001"/>
      <w:r w:rsidRPr="000011DB">
        <w:rPr>
          <w:rFonts w:eastAsiaTheme="majorEastAsia" w:cs="Times New Roman"/>
          <w:b/>
          <w:bCs/>
          <w:color w:val="2F5496" w:themeColor="accent1" w:themeShade="BF"/>
          <w:szCs w:val="28"/>
          <w:lang w:val="en-US"/>
        </w:rPr>
        <w:t xml:space="preserve">Profitability Ratio </w:t>
      </w:r>
      <w:r w:rsidR="001A4E3B">
        <w:rPr>
          <w:rFonts w:eastAsiaTheme="majorEastAsia" w:cs="Times New Roman"/>
          <w:b/>
          <w:bCs/>
          <w:color w:val="2F5496" w:themeColor="accent1" w:themeShade="BF"/>
          <w:szCs w:val="28"/>
          <w:lang w:val="en-US"/>
        </w:rPr>
        <w:t>Analysis</w:t>
      </w:r>
      <w:bookmarkEnd w:id="6"/>
    </w:p>
    <w:p w14:paraId="1BC5F3D5" w14:textId="2C45D5D5" w:rsidR="000011DB" w:rsidRDefault="00AC1882" w:rsidP="00CA388D">
      <w:pPr>
        <w:spacing w:line="360" w:lineRule="auto"/>
        <w:rPr>
          <w:lang w:val="en-US"/>
        </w:rPr>
      </w:pPr>
      <w:r>
        <w:rPr>
          <w:lang w:val="en-US"/>
        </w:rPr>
        <w:t xml:space="preserve">Profitability ratio is an effective manner of measuring the capacity of a company’s management to generate returns based on available resources and </w:t>
      </w:r>
      <w:r w:rsidR="00B921D0">
        <w:rPr>
          <w:lang w:val="en-US"/>
        </w:rPr>
        <w:t>create</w:t>
      </w:r>
      <w:r>
        <w:rPr>
          <w:lang w:val="en-US"/>
        </w:rPr>
        <w:t xml:space="preserve"> value for the owners or shareholders of the company</w:t>
      </w:r>
      <w:r w:rsidR="00B415A8">
        <w:rPr>
          <w:lang w:val="en-US"/>
        </w:rPr>
        <w:t xml:space="preserve"> (</w:t>
      </w:r>
      <w:r w:rsidR="00B415A8" w:rsidRPr="00B415A8">
        <w:t>Rutkowska-Ziarko</w:t>
      </w:r>
      <w:r w:rsidR="00B415A8">
        <w:t>, 2020)</w:t>
      </w:r>
      <w:r>
        <w:rPr>
          <w:lang w:val="en-US"/>
        </w:rPr>
        <w:t xml:space="preserve">. </w:t>
      </w:r>
      <w:r w:rsidR="00E457FD">
        <w:rPr>
          <w:lang w:val="en-US"/>
        </w:rPr>
        <w:t xml:space="preserve">Now, AstraZeneca PLC’s profitability metrics for the </w:t>
      </w:r>
      <w:r w:rsidR="00B921D0">
        <w:rPr>
          <w:lang w:val="en-US"/>
        </w:rPr>
        <w:t>years</w:t>
      </w:r>
      <w:r w:rsidR="00E457FD">
        <w:rPr>
          <w:lang w:val="en-US"/>
        </w:rPr>
        <w:t xml:space="preserve"> 2024 and 2023 are provided below.</w:t>
      </w:r>
    </w:p>
    <w:p w14:paraId="160DECCD" w14:textId="1D2F9557" w:rsidR="00E457FD" w:rsidRDefault="00E457FD" w:rsidP="00CA388D">
      <w:pPr>
        <w:spacing w:line="360" w:lineRule="auto"/>
        <w:rPr>
          <w:b/>
          <w:bCs/>
          <w:lang w:val="en-US"/>
        </w:rPr>
      </w:pPr>
      <w:r>
        <w:rPr>
          <w:b/>
          <w:bCs/>
          <w:lang w:val="en-US"/>
        </w:rPr>
        <w:t>Gross Profit Margin</w:t>
      </w:r>
    </w:p>
    <w:p w14:paraId="7FDC8EDF" w14:textId="2DB35128" w:rsidR="00E457FD" w:rsidRDefault="00E457FD" w:rsidP="00CA388D">
      <w:pPr>
        <w:spacing w:line="360" w:lineRule="auto"/>
        <w:rPr>
          <w:lang w:val="en-US"/>
        </w:rPr>
      </w:pPr>
      <w:r>
        <w:rPr>
          <w:b/>
          <w:bCs/>
          <w:lang w:val="en-US"/>
        </w:rPr>
        <w:t>Formula = (</w:t>
      </w:r>
      <w:r>
        <w:rPr>
          <w:lang w:val="en-US"/>
        </w:rPr>
        <w:t>Gross Profit / Total Revenue) * 100</w:t>
      </w:r>
    </w:p>
    <w:p w14:paraId="6D22E725" w14:textId="70FB38D0" w:rsidR="00E457FD" w:rsidRDefault="00E457FD" w:rsidP="00CA388D">
      <w:pPr>
        <w:spacing w:line="360" w:lineRule="auto"/>
        <w:rPr>
          <w:b/>
          <w:bCs/>
          <w:lang w:val="en-US"/>
        </w:rPr>
      </w:pPr>
      <w:r>
        <w:rPr>
          <w:b/>
          <w:bCs/>
          <w:lang w:val="en-US"/>
        </w:rPr>
        <w:t>2024:</w:t>
      </w:r>
    </w:p>
    <w:p w14:paraId="7B23CAEB" w14:textId="35DB0754" w:rsidR="00E457FD" w:rsidRDefault="00E457FD" w:rsidP="00CA388D">
      <w:pPr>
        <w:spacing w:line="360" w:lineRule="auto"/>
        <w:rPr>
          <w:lang w:val="en-US"/>
        </w:rPr>
      </w:pPr>
      <w:r>
        <w:rPr>
          <w:b/>
          <w:bCs/>
          <w:lang w:val="en-US"/>
        </w:rPr>
        <w:t xml:space="preserve">Gross Profit: </w:t>
      </w:r>
      <w:r>
        <w:rPr>
          <w:lang w:val="en-US"/>
        </w:rPr>
        <w:t>$43,866 million</w:t>
      </w:r>
    </w:p>
    <w:p w14:paraId="6CD4497E" w14:textId="6CAC4560" w:rsidR="00E457FD" w:rsidRDefault="00E457FD" w:rsidP="00CA388D">
      <w:pPr>
        <w:spacing w:line="360" w:lineRule="auto"/>
        <w:rPr>
          <w:lang w:val="en-US"/>
        </w:rPr>
      </w:pPr>
      <w:r>
        <w:rPr>
          <w:b/>
          <w:bCs/>
          <w:lang w:val="en-US"/>
        </w:rPr>
        <w:t xml:space="preserve">Total Revenue: </w:t>
      </w:r>
      <w:r>
        <w:rPr>
          <w:lang w:val="en-US"/>
        </w:rPr>
        <w:t>$54,073 million</w:t>
      </w:r>
    </w:p>
    <w:p w14:paraId="7EEE375B" w14:textId="2C9A6C60" w:rsidR="00E457FD" w:rsidRDefault="00E457FD" w:rsidP="00CA388D">
      <w:pPr>
        <w:spacing w:line="360" w:lineRule="auto"/>
        <w:rPr>
          <w:lang w:val="en-US"/>
        </w:rPr>
      </w:pPr>
      <w:r>
        <w:rPr>
          <w:b/>
          <w:bCs/>
          <w:lang w:val="en-US"/>
        </w:rPr>
        <w:t xml:space="preserve">Gross Profit Margin: </w:t>
      </w:r>
      <w:r>
        <w:rPr>
          <w:lang w:val="en-US"/>
        </w:rPr>
        <w:t>(43,866 / 54,073) * 100 = 81.1%</w:t>
      </w:r>
    </w:p>
    <w:p w14:paraId="008B2884" w14:textId="4F4422C0" w:rsidR="003C0A6D" w:rsidRDefault="003C0A6D" w:rsidP="00CA388D">
      <w:pPr>
        <w:spacing w:line="360" w:lineRule="auto"/>
        <w:rPr>
          <w:b/>
          <w:bCs/>
          <w:lang w:val="en-US"/>
        </w:rPr>
      </w:pPr>
      <w:r>
        <w:rPr>
          <w:b/>
          <w:bCs/>
          <w:lang w:val="en-US"/>
        </w:rPr>
        <w:t>202</w:t>
      </w:r>
      <w:r w:rsidR="000F2947">
        <w:rPr>
          <w:b/>
          <w:bCs/>
          <w:lang w:val="en-US"/>
        </w:rPr>
        <w:t>3</w:t>
      </w:r>
      <w:r>
        <w:rPr>
          <w:b/>
          <w:bCs/>
          <w:lang w:val="en-US"/>
        </w:rPr>
        <w:t>:</w:t>
      </w:r>
    </w:p>
    <w:p w14:paraId="759DF4D1" w14:textId="0BA7F65D" w:rsidR="003C0A6D" w:rsidRDefault="003C0A6D" w:rsidP="00CA388D">
      <w:pPr>
        <w:spacing w:line="360" w:lineRule="auto"/>
        <w:rPr>
          <w:lang w:val="en-US"/>
        </w:rPr>
      </w:pPr>
      <w:r>
        <w:rPr>
          <w:b/>
          <w:bCs/>
          <w:lang w:val="en-US"/>
        </w:rPr>
        <w:t xml:space="preserve">Gross Profit: </w:t>
      </w:r>
      <w:r>
        <w:rPr>
          <w:lang w:val="en-US"/>
        </w:rPr>
        <w:t>$37,543 million</w:t>
      </w:r>
    </w:p>
    <w:p w14:paraId="47C5DDDA" w14:textId="6B180000" w:rsidR="003C0A6D" w:rsidRDefault="003C0A6D" w:rsidP="00CA388D">
      <w:pPr>
        <w:spacing w:line="360" w:lineRule="auto"/>
        <w:rPr>
          <w:lang w:val="en-US"/>
        </w:rPr>
      </w:pPr>
      <w:r>
        <w:rPr>
          <w:b/>
          <w:bCs/>
          <w:lang w:val="en-US"/>
        </w:rPr>
        <w:t xml:space="preserve">Total Revenue: </w:t>
      </w:r>
      <w:r>
        <w:rPr>
          <w:lang w:val="en-US"/>
        </w:rPr>
        <w:t>$45,811 million</w:t>
      </w:r>
    </w:p>
    <w:p w14:paraId="44E0D654" w14:textId="29D4287E" w:rsidR="003C0A6D" w:rsidRDefault="003C0A6D" w:rsidP="00CA388D">
      <w:pPr>
        <w:spacing w:line="360" w:lineRule="auto"/>
        <w:rPr>
          <w:lang w:val="en-US"/>
        </w:rPr>
      </w:pPr>
      <w:r>
        <w:rPr>
          <w:b/>
          <w:bCs/>
          <w:lang w:val="en-US"/>
        </w:rPr>
        <w:lastRenderedPageBreak/>
        <w:t xml:space="preserve">Gross Profit Margin: </w:t>
      </w:r>
      <w:r>
        <w:rPr>
          <w:lang w:val="en-US"/>
        </w:rPr>
        <w:t>(37,543 / 45,811) * 100 = 81.9%</w:t>
      </w:r>
    </w:p>
    <w:p w14:paraId="7752EBB6" w14:textId="254125A1" w:rsidR="003C0A6D" w:rsidRDefault="003C0A6D" w:rsidP="00CA388D">
      <w:pPr>
        <w:spacing w:line="360" w:lineRule="auto"/>
        <w:rPr>
          <w:lang w:val="en-US"/>
        </w:rPr>
      </w:pPr>
      <w:r>
        <w:rPr>
          <w:b/>
          <w:bCs/>
          <w:lang w:val="en-US"/>
        </w:rPr>
        <w:t xml:space="preserve">Interpretation: </w:t>
      </w:r>
      <w:r>
        <w:rPr>
          <w:lang w:val="en-US"/>
        </w:rPr>
        <w:t>The massive gross profit of over 80% has been maintained by the company in both 2024 and 2023</w:t>
      </w:r>
      <w:r w:rsidR="00B921D0">
        <w:rPr>
          <w:lang w:val="en-US"/>
        </w:rPr>
        <w:t>,</w:t>
      </w:r>
      <w:r>
        <w:rPr>
          <w:lang w:val="en-US"/>
        </w:rPr>
        <w:t xml:space="preserve"> although the margin has declined by 80 basis points in 2024</w:t>
      </w:r>
      <w:r w:rsidR="00B921D0">
        <w:rPr>
          <w:lang w:val="en-US"/>
        </w:rPr>
        <w:t>,</w:t>
      </w:r>
      <w:r>
        <w:rPr>
          <w:lang w:val="en-US"/>
        </w:rPr>
        <w:t xml:space="preserve"> which has been caused by a mixed range of reasons</w:t>
      </w:r>
      <w:r w:rsidR="00B921D0">
        <w:rPr>
          <w:lang w:val="en-US"/>
        </w:rPr>
        <w:t>,</w:t>
      </w:r>
      <w:r>
        <w:rPr>
          <w:lang w:val="en-US"/>
        </w:rPr>
        <w:t xml:space="preserve"> including rising share-of-profit arrangements with collaboration partners as well as adverse geographic mix occurring. </w:t>
      </w:r>
    </w:p>
    <w:p w14:paraId="74B4BB61" w14:textId="354DDEA8" w:rsidR="003C0A6D" w:rsidRDefault="003C0A6D" w:rsidP="00CA388D">
      <w:pPr>
        <w:spacing w:line="360" w:lineRule="auto"/>
        <w:rPr>
          <w:b/>
          <w:bCs/>
          <w:lang w:val="en-US"/>
        </w:rPr>
      </w:pPr>
      <w:r>
        <w:rPr>
          <w:b/>
          <w:bCs/>
          <w:lang w:val="en-US"/>
        </w:rPr>
        <w:t>Operating Profit Margin</w:t>
      </w:r>
    </w:p>
    <w:p w14:paraId="54857179" w14:textId="057642FC" w:rsidR="003C0A6D" w:rsidRDefault="003C0A6D" w:rsidP="00CA388D">
      <w:pPr>
        <w:spacing w:line="360" w:lineRule="auto"/>
        <w:rPr>
          <w:lang w:val="en-US"/>
        </w:rPr>
      </w:pPr>
      <w:r>
        <w:rPr>
          <w:b/>
          <w:bCs/>
          <w:lang w:val="en-US"/>
        </w:rPr>
        <w:t>Formula = (</w:t>
      </w:r>
      <w:r>
        <w:rPr>
          <w:lang w:val="en-US"/>
        </w:rPr>
        <w:t>Operating Profit / Total Revenue) * 100</w:t>
      </w:r>
    </w:p>
    <w:p w14:paraId="1E5F04E7" w14:textId="77777777" w:rsidR="003C0A6D" w:rsidRDefault="003C0A6D" w:rsidP="00CA388D">
      <w:pPr>
        <w:spacing w:line="360" w:lineRule="auto"/>
        <w:rPr>
          <w:b/>
          <w:bCs/>
          <w:lang w:val="en-US"/>
        </w:rPr>
      </w:pPr>
      <w:r>
        <w:rPr>
          <w:b/>
          <w:bCs/>
          <w:lang w:val="en-US"/>
        </w:rPr>
        <w:t>2024:</w:t>
      </w:r>
    </w:p>
    <w:p w14:paraId="3E4BD282" w14:textId="01D5C1F8" w:rsidR="003C0A6D" w:rsidRDefault="003C0A6D" w:rsidP="00CA388D">
      <w:pPr>
        <w:spacing w:line="360" w:lineRule="auto"/>
        <w:rPr>
          <w:lang w:val="en-US"/>
        </w:rPr>
      </w:pPr>
      <w:r>
        <w:rPr>
          <w:b/>
          <w:bCs/>
          <w:lang w:val="en-US"/>
        </w:rPr>
        <w:t xml:space="preserve">Operating Profit: </w:t>
      </w:r>
      <w:r>
        <w:rPr>
          <w:lang w:val="en-US"/>
        </w:rPr>
        <w:t>$10,003 million</w:t>
      </w:r>
    </w:p>
    <w:p w14:paraId="7DD78EBA" w14:textId="77777777" w:rsidR="003C0A6D" w:rsidRDefault="003C0A6D" w:rsidP="00CA388D">
      <w:pPr>
        <w:spacing w:line="360" w:lineRule="auto"/>
        <w:rPr>
          <w:lang w:val="en-US"/>
        </w:rPr>
      </w:pPr>
      <w:r>
        <w:rPr>
          <w:b/>
          <w:bCs/>
          <w:lang w:val="en-US"/>
        </w:rPr>
        <w:t xml:space="preserve">Total Revenue: </w:t>
      </w:r>
      <w:r>
        <w:rPr>
          <w:lang w:val="en-US"/>
        </w:rPr>
        <w:t>$54,073 million</w:t>
      </w:r>
    </w:p>
    <w:p w14:paraId="518B7D0A" w14:textId="39DFB9F2" w:rsidR="003C0A6D" w:rsidRDefault="003C0A6D" w:rsidP="00CA388D">
      <w:pPr>
        <w:spacing w:line="360" w:lineRule="auto"/>
        <w:rPr>
          <w:lang w:val="en-US"/>
        </w:rPr>
      </w:pPr>
      <w:r>
        <w:rPr>
          <w:b/>
          <w:bCs/>
          <w:lang w:val="en-US"/>
        </w:rPr>
        <w:t xml:space="preserve">Operating Profit Margin: </w:t>
      </w:r>
      <w:r>
        <w:rPr>
          <w:lang w:val="en-US"/>
        </w:rPr>
        <w:t>(43,866 / 54,073) * 100 = 18.5%</w:t>
      </w:r>
    </w:p>
    <w:p w14:paraId="6F48D20E" w14:textId="06EE749A" w:rsidR="003C0A6D" w:rsidRDefault="003C0A6D" w:rsidP="00CA388D">
      <w:pPr>
        <w:spacing w:line="360" w:lineRule="auto"/>
        <w:rPr>
          <w:b/>
          <w:bCs/>
          <w:lang w:val="en-US"/>
        </w:rPr>
      </w:pPr>
      <w:r>
        <w:rPr>
          <w:b/>
          <w:bCs/>
          <w:lang w:val="en-US"/>
        </w:rPr>
        <w:t>202</w:t>
      </w:r>
      <w:r w:rsidR="000F2947">
        <w:rPr>
          <w:b/>
          <w:bCs/>
          <w:lang w:val="en-US"/>
        </w:rPr>
        <w:t>3</w:t>
      </w:r>
      <w:r>
        <w:rPr>
          <w:b/>
          <w:bCs/>
          <w:lang w:val="en-US"/>
        </w:rPr>
        <w:t>:</w:t>
      </w:r>
    </w:p>
    <w:p w14:paraId="57AF52BA" w14:textId="741BF73C" w:rsidR="003C0A6D" w:rsidRDefault="003C0A6D" w:rsidP="00CA388D">
      <w:pPr>
        <w:spacing w:line="360" w:lineRule="auto"/>
        <w:rPr>
          <w:lang w:val="en-US"/>
        </w:rPr>
      </w:pPr>
      <w:r>
        <w:rPr>
          <w:b/>
          <w:bCs/>
          <w:lang w:val="en-US"/>
        </w:rPr>
        <w:t xml:space="preserve">Operating Profit: </w:t>
      </w:r>
      <w:r>
        <w:rPr>
          <w:lang w:val="en-US"/>
        </w:rPr>
        <w:t>$8,193 million</w:t>
      </w:r>
    </w:p>
    <w:p w14:paraId="7C059C48" w14:textId="77777777" w:rsidR="003C0A6D" w:rsidRDefault="003C0A6D" w:rsidP="00CA388D">
      <w:pPr>
        <w:spacing w:line="360" w:lineRule="auto"/>
        <w:rPr>
          <w:lang w:val="en-US"/>
        </w:rPr>
      </w:pPr>
      <w:r>
        <w:rPr>
          <w:b/>
          <w:bCs/>
          <w:lang w:val="en-US"/>
        </w:rPr>
        <w:t xml:space="preserve">Total Revenue: </w:t>
      </w:r>
      <w:r>
        <w:rPr>
          <w:lang w:val="en-US"/>
        </w:rPr>
        <w:t>$45,811 million</w:t>
      </w:r>
    </w:p>
    <w:p w14:paraId="7E4979E0" w14:textId="50AD33C1" w:rsidR="003C0A6D" w:rsidRDefault="003C0A6D" w:rsidP="00CA388D">
      <w:pPr>
        <w:spacing w:line="360" w:lineRule="auto"/>
        <w:rPr>
          <w:lang w:val="en-US"/>
        </w:rPr>
      </w:pPr>
      <w:r>
        <w:rPr>
          <w:b/>
          <w:bCs/>
          <w:lang w:val="en-US"/>
        </w:rPr>
        <w:t xml:space="preserve">Operating Profit Margin: </w:t>
      </w:r>
      <w:r>
        <w:rPr>
          <w:lang w:val="en-US"/>
        </w:rPr>
        <w:t>(10,003 / 8,193) * 100 = 17.9%</w:t>
      </w:r>
    </w:p>
    <w:p w14:paraId="3A29E7F7" w14:textId="1CCBB52A" w:rsidR="003C0A6D" w:rsidRDefault="003C0A6D" w:rsidP="00CA388D">
      <w:pPr>
        <w:spacing w:line="360" w:lineRule="auto"/>
        <w:rPr>
          <w:lang w:val="en-US"/>
        </w:rPr>
      </w:pPr>
      <w:r>
        <w:rPr>
          <w:b/>
          <w:bCs/>
          <w:lang w:val="en-US"/>
        </w:rPr>
        <w:t xml:space="preserve">Interpretation: </w:t>
      </w:r>
      <w:r w:rsidR="000F2947">
        <w:rPr>
          <w:lang w:val="en-US"/>
        </w:rPr>
        <w:t xml:space="preserve">It has increased in 2024 to 18.5% from 17.9% in 2023. </w:t>
      </w:r>
      <w:r w:rsidR="0054358B">
        <w:rPr>
          <w:lang w:val="en-US"/>
        </w:rPr>
        <w:t xml:space="preserve">It is because the company has been able to maintain its underlying profitability stability in 2024 as well as </w:t>
      </w:r>
      <w:r w:rsidR="00B921D0">
        <w:rPr>
          <w:lang w:val="en-US"/>
        </w:rPr>
        <w:t xml:space="preserve">in </w:t>
      </w:r>
      <w:r w:rsidR="0054358B">
        <w:rPr>
          <w:lang w:val="en-US"/>
        </w:rPr>
        <w:t>2023.</w:t>
      </w:r>
      <w:r w:rsidR="000A3AF9">
        <w:rPr>
          <w:lang w:val="en-US"/>
        </w:rPr>
        <w:t xml:space="preserve"> Now, due to the impairment charges as well as discontinued vemircopan development and its cessation of promotional activities</w:t>
      </w:r>
      <w:r w:rsidR="00B921D0">
        <w:rPr>
          <w:lang w:val="en-US"/>
        </w:rPr>
        <w:t>,</w:t>
      </w:r>
      <w:r w:rsidR="000A3AF9">
        <w:rPr>
          <w:lang w:val="en-US"/>
        </w:rPr>
        <w:t xml:space="preserve"> have not been recorded in 2024</w:t>
      </w:r>
      <w:r w:rsidR="00407B63">
        <w:rPr>
          <w:lang w:val="en-US"/>
        </w:rPr>
        <w:t>, increasing the operating profit margin of the company.</w:t>
      </w:r>
    </w:p>
    <w:p w14:paraId="28D7A993" w14:textId="2D146FFB" w:rsidR="008C4DC5" w:rsidRDefault="008C4DC5" w:rsidP="008C4DC5">
      <w:pPr>
        <w:spacing w:line="360" w:lineRule="auto"/>
        <w:jc w:val="center"/>
        <w:rPr>
          <w:lang w:val="en-US"/>
        </w:rPr>
      </w:pPr>
      <w:r>
        <w:rPr>
          <w:noProof/>
          <w:lang w:val="en-US"/>
        </w:rPr>
        <w:drawing>
          <wp:inline distT="0" distB="0" distL="0" distR="0" wp14:anchorId="0418AB4E" wp14:editId="6A1BE3DD">
            <wp:extent cx="5486400" cy="3200400"/>
            <wp:effectExtent l="0" t="0" r="0" b="0"/>
            <wp:docPr id="158994456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6F4981" w14:textId="215E37F4" w:rsidR="008C4DC5" w:rsidRPr="000011DB" w:rsidRDefault="008C4DC5" w:rsidP="008C4DC5">
      <w:pPr>
        <w:spacing w:line="360" w:lineRule="auto"/>
        <w:jc w:val="center"/>
        <w:rPr>
          <w:lang w:val="en-US"/>
        </w:rPr>
      </w:pPr>
      <w:r>
        <w:rPr>
          <w:b/>
          <w:bCs/>
          <w:lang w:val="en-US"/>
        </w:rPr>
        <w:lastRenderedPageBreak/>
        <w:t xml:space="preserve">Figure: </w:t>
      </w:r>
      <w:r>
        <w:rPr>
          <w:lang w:val="en-US"/>
        </w:rPr>
        <w:t>Profitability Ratios of AstraZeneca PLC for 2023 and 2024 (Source: Myself)</w:t>
      </w:r>
    </w:p>
    <w:p w14:paraId="1427F957" w14:textId="7B39C247"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7" w:name="_Toc219050002"/>
      <w:r w:rsidRPr="000011DB">
        <w:rPr>
          <w:rFonts w:eastAsiaTheme="majorEastAsia" w:cs="Times New Roman"/>
          <w:b/>
          <w:bCs/>
          <w:color w:val="2F5496" w:themeColor="accent1" w:themeShade="BF"/>
          <w:szCs w:val="28"/>
          <w:lang w:val="en-US"/>
        </w:rPr>
        <w:t xml:space="preserve">Liquidity Ratio </w:t>
      </w:r>
      <w:r w:rsidR="007E3221">
        <w:rPr>
          <w:rFonts w:eastAsiaTheme="majorEastAsia" w:cs="Times New Roman"/>
          <w:b/>
          <w:bCs/>
          <w:color w:val="2F5496" w:themeColor="accent1" w:themeShade="BF"/>
          <w:szCs w:val="28"/>
          <w:lang w:val="en-US"/>
        </w:rPr>
        <w:t>Analysis</w:t>
      </w:r>
      <w:bookmarkEnd w:id="7"/>
    </w:p>
    <w:p w14:paraId="5C95329B" w14:textId="2F01D086" w:rsidR="000011DB" w:rsidRDefault="00F440DF" w:rsidP="00CA388D">
      <w:pPr>
        <w:spacing w:line="360" w:lineRule="auto"/>
        <w:rPr>
          <w:lang w:val="en-US"/>
        </w:rPr>
      </w:pPr>
      <w:r>
        <w:rPr>
          <w:lang w:val="en-US"/>
        </w:rPr>
        <w:t xml:space="preserve">Liquidity ratios help to assess the capacity of a company to meet short-term obligations by managing </w:t>
      </w:r>
      <w:r w:rsidR="00B921D0">
        <w:rPr>
          <w:lang w:val="en-US"/>
        </w:rPr>
        <w:t xml:space="preserve">the </w:t>
      </w:r>
      <w:r>
        <w:rPr>
          <w:lang w:val="en-US"/>
        </w:rPr>
        <w:t>working capital of the company effectively</w:t>
      </w:r>
      <w:r w:rsidR="00B921D0">
        <w:rPr>
          <w:lang w:val="en-US"/>
        </w:rPr>
        <w:t>,</w:t>
      </w:r>
      <w:r w:rsidR="009A10E7">
        <w:rPr>
          <w:lang w:val="en-US"/>
        </w:rPr>
        <w:t xml:space="preserve"> which mainly includes inventory, receivables and payables for a particular period of time</w:t>
      </w:r>
      <w:r w:rsidR="00B415A8">
        <w:rPr>
          <w:lang w:val="en-US"/>
        </w:rPr>
        <w:t xml:space="preserve"> (</w:t>
      </w:r>
      <w:r w:rsidR="00B415A8" w:rsidRPr="00B415A8">
        <w:t>Noviyana</w:t>
      </w:r>
      <w:r w:rsidR="00B415A8">
        <w:t xml:space="preserve"> et al., 2023)</w:t>
      </w:r>
      <w:r w:rsidR="009A10E7">
        <w:rPr>
          <w:lang w:val="en-US"/>
        </w:rPr>
        <w:t>.</w:t>
      </w:r>
      <w:r w:rsidR="00184451">
        <w:rPr>
          <w:lang w:val="en-US"/>
        </w:rPr>
        <w:t xml:space="preserve"> Now, the liquidity ratio analysis of AstraZeneca PLC for 2024 and 2023 is provided below.</w:t>
      </w:r>
    </w:p>
    <w:p w14:paraId="4853BBD0" w14:textId="7FED43FD" w:rsidR="00184451" w:rsidRDefault="00184451" w:rsidP="00CA388D">
      <w:pPr>
        <w:spacing w:line="360" w:lineRule="auto"/>
        <w:rPr>
          <w:b/>
          <w:bCs/>
          <w:lang w:val="en-US"/>
        </w:rPr>
      </w:pPr>
      <w:r>
        <w:rPr>
          <w:b/>
          <w:bCs/>
          <w:lang w:val="en-US"/>
        </w:rPr>
        <w:t>Current Ratio</w:t>
      </w:r>
    </w:p>
    <w:p w14:paraId="4F590363" w14:textId="1401E964" w:rsidR="00184451" w:rsidRDefault="00184451" w:rsidP="00CA388D">
      <w:pPr>
        <w:spacing w:line="360" w:lineRule="auto"/>
        <w:rPr>
          <w:lang w:val="en-US"/>
        </w:rPr>
      </w:pPr>
      <w:r>
        <w:rPr>
          <w:b/>
          <w:bCs/>
          <w:lang w:val="en-US"/>
        </w:rPr>
        <w:t>Formula = (</w:t>
      </w:r>
      <w:r>
        <w:rPr>
          <w:lang w:val="en-US"/>
        </w:rPr>
        <w:t>Current Asset / Current Debt)</w:t>
      </w:r>
    </w:p>
    <w:p w14:paraId="24E3CB3A" w14:textId="77777777" w:rsidR="00184451" w:rsidRDefault="00184451" w:rsidP="00CA388D">
      <w:pPr>
        <w:spacing w:line="360" w:lineRule="auto"/>
        <w:rPr>
          <w:b/>
          <w:bCs/>
          <w:lang w:val="en-US"/>
        </w:rPr>
      </w:pPr>
      <w:r>
        <w:rPr>
          <w:b/>
          <w:bCs/>
          <w:lang w:val="en-US"/>
        </w:rPr>
        <w:t>2024:</w:t>
      </w:r>
    </w:p>
    <w:p w14:paraId="51F836E0" w14:textId="4828D953" w:rsidR="00184451" w:rsidRDefault="00184451" w:rsidP="00CA388D">
      <w:pPr>
        <w:spacing w:line="360" w:lineRule="auto"/>
        <w:rPr>
          <w:lang w:val="en-US"/>
        </w:rPr>
      </w:pPr>
      <w:r>
        <w:rPr>
          <w:b/>
          <w:bCs/>
          <w:lang w:val="en-US"/>
        </w:rPr>
        <w:t xml:space="preserve">Current Asset: </w:t>
      </w:r>
      <w:r>
        <w:rPr>
          <w:lang w:val="en-US"/>
        </w:rPr>
        <w:t>$25,827 million</w:t>
      </w:r>
    </w:p>
    <w:p w14:paraId="3A5E222A" w14:textId="47399AA6" w:rsidR="00184451" w:rsidRDefault="00184451" w:rsidP="00CA388D">
      <w:pPr>
        <w:spacing w:line="360" w:lineRule="auto"/>
        <w:rPr>
          <w:lang w:val="en-US"/>
        </w:rPr>
      </w:pPr>
      <w:r>
        <w:rPr>
          <w:b/>
          <w:bCs/>
          <w:lang w:val="en-US"/>
        </w:rPr>
        <w:t xml:space="preserve">Current Debt: </w:t>
      </w:r>
      <w:r>
        <w:rPr>
          <w:lang w:val="en-US"/>
        </w:rPr>
        <w:t>$27,866 million</w:t>
      </w:r>
    </w:p>
    <w:p w14:paraId="48518996" w14:textId="75FFA5E4" w:rsidR="00184451" w:rsidRDefault="00184451" w:rsidP="00CA388D">
      <w:pPr>
        <w:spacing w:line="360" w:lineRule="auto"/>
        <w:rPr>
          <w:lang w:val="en-US"/>
        </w:rPr>
      </w:pPr>
      <w:r>
        <w:rPr>
          <w:b/>
          <w:bCs/>
          <w:lang w:val="en-US"/>
        </w:rPr>
        <w:t xml:space="preserve">Current Ratio: </w:t>
      </w:r>
      <w:r>
        <w:rPr>
          <w:lang w:val="en-US"/>
        </w:rPr>
        <w:t>(25,827 / 27,866) = 0.93:1</w:t>
      </w:r>
    </w:p>
    <w:p w14:paraId="7B1821A5" w14:textId="611F6C0E" w:rsidR="00184451" w:rsidRDefault="00184451" w:rsidP="00CA388D">
      <w:pPr>
        <w:spacing w:line="360" w:lineRule="auto"/>
        <w:rPr>
          <w:b/>
          <w:bCs/>
          <w:lang w:val="en-US"/>
        </w:rPr>
      </w:pPr>
      <w:r>
        <w:rPr>
          <w:b/>
          <w:bCs/>
          <w:lang w:val="en-US"/>
        </w:rPr>
        <w:t>202</w:t>
      </w:r>
      <w:r w:rsidR="00610EF5">
        <w:rPr>
          <w:b/>
          <w:bCs/>
          <w:lang w:val="en-US"/>
        </w:rPr>
        <w:t>3</w:t>
      </w:r>
      <w:r>
        <w:rPr>
          <w:b/>
          <w:bCs/>
          <w:lang w:val="en-US"/>
        </w:rPr>
        <w:t>:</w:t>
      </w:r>
    </w:p>
    <w:p w14:paraId="0D814EFF" w14:textId="77858C88" w:rsidR="00610EF5" w:rsidRDefault="00610EF5" w:rsidP="00CA388D">
      <w:pPr>
        <w:spacing w:line="360" w:lineRule="auto"/>
        <w:rPr>
          <w:lang w:val="en-US"/>
        </w:rPr>
      </w:pPr>
      <w:r>
        <w:rPr>
          <w:b/>
          <w:bCs/>
          <w:lang w:val="en-US"/>
        </w:rPr>
        <w:t xml:space="preserve">Current Asset: </w:t>
      </w:r>
      <w:r>
        <w:rPr>
          <w:lang w:val="en-US"/>
        </w:rPr>
        <w:t>$25,054 million</w:t>
      </w:r>
    </w:p>
    <w:p w14:paraId="34C0546B" w14:textId="2CDEC9A0" w:rsidR="00610EF5" w:rsidRDefault="00610EF5" w:rsidP="00CA388D">
      <w:pPr>
        <w:spacing w:line="360" w:lineRule="auto"/>
        <w:rPr>
          <w:lang w:val="en-US"/>
        </w:rPr>
      </w:pPr>
      <w:r>
        <w:rPr>
          <w:b/>
          <w:bCs/>
          <w:lang w:val="en-US"/>
        </w:rPr>
        <w:t xml:space="preserve">Current Debt: </w:t>
      </w:r>
      <w:r>
        <w:rPr>
          <w:lang w:val="en-US"/>
        </w:rPr>
        <w:t>$30,542 million</w:t>
      </w:r>
    </w:p>
    <w:p w14:paraId="51736729" w14:textId="4BCDAAB2" w:rsidR="00610EF5" w:rsidRDefault="00610EF5" w:rsidP="00CA388D">
      <w:pPr>
        <w:spacing w:line="360" w:lineRule="auto"/>
        <w:rPr>
          <w:lang w:val="en-US"/>
        </w:rPr>
      </w:pPr>
      <w:r>
        <w:rPr>
          <w:b/>
          <w:bCs/>
          <w:lang w:val="en-US"/>
        </w:rPr>
        <w:t xml:space="preserve">Current Ratio: </w:t>
      </w:r>
      <w:r>
        <w:rPr>
          <w:lang w:val="en-US"/>
        </w:rPr>
        <w:t>(25,054 / 30,542) = 0.82:1</w:t>
      </w:r>
    </w:p>
    <w:p w14:paraId="4E6308C1" w14:textId="69F6E209" w:rsidR="00184451" w:rsidRDefault="00184451" w:rsidP="00CA388D">
      <w:pPr>
        <w:spacing w:line="360" w:lineRule="auto"/>
        <w:rPr>
          <w:lang w:val="en-US"/>
        </w:rPr>
      </w:pPr>
      <w:r>
        <w:rPr>
          <w:b/>
          <w:bCs/>
          <w:lang w:val="en-US"/>
        </w:rPr>
        <w:t xml:space="preserve">Interpretation: </w:t>
      </w:r>
      <w:r w:rsidR="00A25F04">
        <w:rPr>
          <w:lang w:val="en-US"/>
        </w:rPr>
        <w:t xml:space="preserve">The current ratio for AstraZeneca PLC has improved sharply from 0.82:1 in 2023 to 0.93:1 in 2024. </w:t>
      </w:r>
      <w:r w:rsidR="003F3FD8">
        <w:rPr>
          <w:lang w:val="en-US"/>
        </w:rPr>
        <w:t xml:space="preserve">This showcases that the company’s short-term positioning has improved, but it is still far from perfect. </w:t>
      </w:r>
      <w:r w:rsidR="0087311E">
        <w:rPr>
          <w:lang w:val="en-US"/>
        </w:rPr>
        <w:t xml:space="preserve">Now, the difference has mainly come due to the reduction in current debts alongside increased current assets </w:t>
      </w:r>
      <w:r w:rsidR="00B921D0">
        <w:rPr>
          <w:lang w:val="en-US"/>
        </w:rPr>
        <w:t>during</w:t>
      </w:r>
      <w:r w:rsidR="0087311E">
        <w:rPr>
          <w:lang w:val="en-US"/>
        </w:rPr>
        <w:t xml:space="preserve"> the same time period.</w:t>
      </w:r>
    </w:p>
    <w:p w14:paraId="27A0DA29" w14:textId="06004168" w:rsidR="00B91592" w:rsidRDefault="00B91592" w:rsidP="00CA388D">
      <w:pPr>
        <w:spacing w:line="360" w:lineRule="auto"/>
        <w:rPr>
          <w:b/>
          <w:bCs/>
          <w:lang w:val="en-US"/>
        </w:rPr>
      </w:pPr>
      <w:r>
        <w:rPr>
          <w:b/>
          <w:bCs/>
          <w:lang w:val="en-US"/>
        </w:rPr>
        <w:t>Quick Ratio</w:t>
      </w:r>
    </w:p>
    <w:p w14:paraId="60DE21F9" w14:textId="15C909B9" w:rsidR="00B91592" w:rsidRDefault="00B91592" w:rsidP="00CA388D">
      <w:pPr>
        <w:spacing w:line="360" w:lineRule="auto"/>
        <w:rPr>
          <w:lang w:val="en-US"/>
        </w:rPr>
      </w:pPr>
      <w:r>
        <w:rPr>
          <w:b/>
          <w:bCs/>
          <w:lang w:val="en-US"/>
        </w:rPr>
        <w:t>Formula = (</w:t>
      </w:r>
      <w:r w:rsidR="00511B1B">
        <w:rPr>
          <w:lang w:val="en-US"/>
        </w:rPr>
        <w:t xml:space="preserve">Quick </w:t>
      </w:r>
      <w:r>
        <w:rPr>
          <w:lang w:val="en-US"/>
        </w:rPr>
        <w:t>Asset / Current Debt)</w:t>
      </w:r>
    </w:p>
    <w:p w14:paraId="44CA2772" w14:textId="77777777" w:rsidR="00B91592" w:rsidRDefault="00B91592" w:rsidP="00CA388D">
      <w:pPr>
        <w:spacing w:line="360" w:lineRule="auto"/>
        <w:rPr>
          <w:b/>
          <w:bCs/>
          <w:lang w:val="en-US"/>
        </w:rPr>
      </w:pPr>
      <w:r>
        <w:rPr>
          <w:b/>
          <w:bCs/>
          <w:lang w:val="en-US"/>
        </w:rPr>
        <w:t>2024:</w:t>
      </w:r>
    </w:p>
    <w:p w14:paraId="1A582006" w14:textId="1F0AB451" w:rsidR="00B91592" w:rsidRDefault="00511B1B" w:rsidP="00CA388D">
      <w:pPr>
        <w:spacing w:line="360" w:lineRule="auto"/>
        <w:rPr>
          <w:lang w:val="en-US"/>
        </w:rPr>
      </w:pPr>
      <w:r>
        <w:rPr>
          <w:b/>
          <w:bCs/>
          <w:lang w:val="en-US"/>
        </w:rPr>
        <w:t xml:space="preserve">Quick </w:t>
      </w:r>
      <w:r w:rsidR="00B91592">
        <w:rPr>
          <w:b/>
          <w:bCs/>
          <w:lang w:val="en-US"/>
        </w:rPr>
        <w:t xml:space="preserve">Asset: </w:t>
      </w:r>
      <w:r w:rsidR="00B91592">
        <w:rPr>
          <w:lang w:val="en-US"/>
        </w:rPr>
        <w:t>$</w:t>
      </w:r>
      <w:r>
        <w:rPr>
          <w:lang w:val="en-US"/>
        </w:rPr>
        <w:t>(</w:t>
      </w:r>
      <w:r w:rsidR="00B91592">
        <w:rPr>
          <w:lang w:val="en-US"/>
        </w:rPr>
        <w:t>25,827</w:t>
      </w:r>
      <w:r>
        <w:rPr>
          <w:lang w:val="en-US"/>
        </w:rPr>
        <w:t xml:space="preserve"> – 5,288) </w:t>
      </w:r>
      <w:r w:rsidR="00B91592">
        <w:rPr>
          <w:lang w:val="en-US"/>
        </w:rPr>
        <w:t>million</w:t>
      </w:r>
    </w:p>
    <w:p w14:paraId="41D15754" w14:textId="77777777" w:rsidR="00B91592" w:rsidRDefault="00B91592" w:rsidP="00CA388D">
      <w:pPr>
        <w:spacing w:line="360" w:lineRule="auto"/>
        <w:rPr>
          <w:lang w:val="en-US"/>
        </w:rPr>
      </w:pPr>
      <w:r>
        <w:rPr>
          <w:b/>
          <w:bCs/>
          <w:lang w:val="en-US"/>
        </w:rPr>
        <w:t xml:space="preserve">Current Debt: </w:t>
      </w:r>
      <w:r>
        <w:rPr>
          <w:lang w:val="en-US"/>
        </w:rPr>
        <w:t>$27,866 million</w:t>
      </w:r>
    </w:p>
    <w:p w14:paraId="1710007E" w14:textId="7414C03B" w:rsidR="00B91592" w:rsidRDefault="00511B1B" w:rsidP="00CA388D">
      <w:pPr>
        <w:spacing w:line="360" w:lineRule="auto"/>
        <w:rPr>
          <w:lang w:val="en-US"/>
        </w:rPr>
      </w:pPr>
      <w:r>
        <w:rPr>
          <w:b/>
          <w:bCs/>
          <w:lang w:val="en-US"/>
        </w:rPr>
        <w:t xml:space="preserve">Quick </w:t>
      </w:r>
      <w:r w:rsidR="00B91592">
        <w:rPr>
          <w:b/>
          <w:bCs/>
          <w:lang w:val="en-US"/>
        </w:rPr>
        <w:t xml:space="preserve">Ratio: </w:t>
      </w:r>
      <w:r>
        <w:rPr>
          <w:b/>
          <w:bCs/>
          <w:lang w:val="en-US"/>
        </w:rPr>
        <w:t>[</w:t>
      </w:r>
      <w:r w:rsidR="00B91592">
        <w:rPr>
          <w:lang w:val="en-US"/>
        </w:rPr>
        <w:t>(25,827</w:t>
      </w:r>
      <w:r>
        <w:rPr>
          <w:lang w:val="en-US"/>
        </w:rPr>
        <w:t xml:space="preserve"> – 5,288)</w:t>
      </w:r>
      <w:r w:rsidR="00B91592">
        <w:rPr>
          <w:lang w:val="en-US"/>
        </w:rPr>
        <w:t xml:space="preserve"> / 27,866</w:t>
      </w:r>
      <w:r>
        <w:rPr>
          <w:lang w:val="en-US"/>
        </w:rPr>
        <w:t xml:space="preserve">] </w:t>
      </w:r>
      <w:r w:rsidR="00B91592">
        <w:rPr>
          <w:lang w:val="en-US"/>
        </w:rPr>
        <w:t>= 0.</w:t>
      </w:r>
      <w:r>
        <w:rPr>
          <w:lang w:val="en-US"/>
        </w:rPr>
        <w:t>74</w:t>
      </w:r>
      <w:r w:rsidR="00B91592">
        <w:rPr>
          <w:lang w:val="en-US"/>
        </w:rPr>
        <w:t>:1</w:t>
      </w:r>
    </w:p>
    <w:p w14:paraId="5BEFA67B" w14:textId="77777777" w:rsidR="00B91592" w:rsidRDefault="00B91592" w:rsidP="00CA388D">
      <w:pPr>
        <w:spacing w:line="360" w:lineRule="auto"/>
        <w:rPr>
          <w:b/>
          <w:bCs/>
          <w:lang w:val="en-US"/>
        </w:rPr>
      </w:pPr>
      <w:r>
        <w:rPr>
          <w:b/>
          <w:bCs/>
          <w:lang w:val="en-US"/>
        </w:rPr>
        <w:t>2023:</w:t>
      </w:r>
    </w:p>
    <w:p w14:paraId="13D2AC2E" w14:textId="0E575110" w:rsidR="00B91592" w:rsidRDefault="00511B1B" w:rsidP="00CA388D">
      <w:pPr>
        <w:spacing w:line="360" w:lineRule="auto"/>
        <w:rPr>
          <w:lang w:val="en-US"/>
        </w:rPr>
      </w:pPr>
      <w:r>
        <w:rPr>
          <w:b/>
          <w:bCs/>
          <w:lang w:val="en-US"/>
        </w:rPr>
        <w:t xml:space="preserve">Quick </w:t>
      </w:r>
      <w:r w:rsidR="00B91592">
        <w:rPr>
          <w:b/>
          <w:bCs/>
          <w:lang w:val="en-US"/>
        </w:rPr>
        <w:t xml:space="preserve">Asset: </w:t>
      </w:r>
      <w:r w:rsidR="00B91592">
        <w:rPr>
          <w:lang w:val="en-US"/>
        </w:rPr>
        <w:t>$</w:t>
      </w:r>
      <w:r>
        <w:rPr>
          <w:lang w:val="en-US"/>
        </w:rPr>
        <w:t>(</w:t>
      </w:r>
      <w:r w:rsidR="00B91592">
        <w:rPr>
          <w:lang w:val="en-US"/>
        </w:rPr>
        <w:t xml:space="preserve">25,054 </w:t>
      </w:r>
      <w:r>
        <w:rPr>
          <w:lang w:val="en-US"/>
        </w:rPr>
        <w:t xml:space="preserve">– 5,424) </w:t>
      </w:r>
      <w:r w:rsidR="00B91592">
        <w:rPr>
          <w:lang w:val="en-US"/>
        </w:rPr>
        <w:t>million</w:t>
      </w:r>
    </w:p>
    <w:p w14:paraId="14241EFB" w14:textId="77777777" w:rsidR="00B91592" w:rsidRDefault="00B91592" w:rsidP="00CA388D">
      <w:pPr>
        <w:spacing w:line="360" w:lineRule="auto"/>
        <w:rPr>
          <w:lang w:val="en-US"/>
        </w:rPr>
      </w:pPr>
      <w:r>
        <w:rPr>
          <w:b/>
          <w:bCs/>
          <w:lang w:val="en-US"/>
        </w:rPr>
        <w:t xml:space="preserve">Current Debt: </w:t>
      </w:r>
      <w:r>
        <w:rPr>
          <w:lang w:val="en-US"/>
        </w:rPr>
        <w:t>$30,542 million</w:t>
      </w:r>
    </w:p>
    <w:p w14:paraId="48C5347C" w14:textId="3C9657F8" w:rsidR="00B91592" w:rsidRDefault="00511B1B" w:rsidP="00CA388D">
      <w:pPr>
        <w:spacing w:line="360" w:lineRule="auto"/>
        <w:rPr>
          <w:lang w:val="en-US"/>
        </w:rPr>
      </w:pPr>
      <w:r>
        <w:rPr>
          <w:b/>
          <w:bCs/>
          <w:lang w:val="en-US"/>
        </w:rPr>
        <w:t xml:space="preserve">Quick </w:t>
      </w:r>
      <w:r w:rsidR="00B91592">
        <w:rPr>
          <w:b/>
          <w:bCs/>
          <w:lang w:val="en-US"/>
        </w:rPr>
        <w:t xml:space="preserve">Ratio: </w:t>
      </w:r>
      <w:r>
        <w:rPr>
          <w:b/>
          <w:bCs/>
          <w:lang w:val="en-US"/>
        </w:rPr>
        <w:t>[</w:t>
      </w:r>
      <w:r w:rsidR="00B91592">
        <w:rPr>
          <w:lang w:val="en-US"/>
        </w:rPr>
        <w:t xml:space="preserve">(25,054 </w:t>
      </w:r>
      <w:r>
        <w:rPr>
          <w:lang w:val="en-US"/>
        </w:rPr>
        <w:t xml:space="preserve">– 5,424) </w:t>
      </w:r>
      <w:r w:rsidR="00B91592">
        <w:rPr>
          <w:lang w:val="en-US"/>
        </w:rPr>
        <w:t>/ 30,542</w:t>
      </w:r>
      <w:r>
        <w:rPr>
          <w:lang w:val="en-US"/>
        </w:rPr>
        <w:t xml:space="preserve">] </w:t>
      </w:r>
      <w:r w:rsidR="00B91592">
        <w:rPr>
          <w:lang w:val="en-US"/>
        </w:rPr>
        <w:t>= 0.</w:t>
      </w:r>
      <w:r>
        <w:rPr>
          <w:lang w:val="en-US"/>
        </w:rPr>
        <w:t>64</w:t>
      </w:r>
      <w:r w:rsidR="00B91592">
        <w:rPr>
          <w:lang w:val="en-US"/>
        </w:rPr>
        <w:t>:1</w:t>
      </w:r>
    </w:p>
    <w:p w14:paraId="2F08A261" w14:textId="4B98C62D" w:rsidR="00184451" w:rsidRDefault="00B91592" w:rsidP="00CA388D">
      <w:pPr>
        <w:spacing w:line="360" w:lineRule="auto"/>
        <w:rPr>
          <w:lang w:val="en-US"/>
        </w:rPr>
      </w:pPr>
      <w:r>
        <w:rPr>
          <w:b/>
          <w:bCs/>
          <w:lang w:val="en-US"/>
        </w:rPr>
        <w:lastRenderedPageBreak/>
        <w:t xml:space="preserve">Interpretation: </w:t>
      </w:r>
      <w:r w:rsidR="000C635E">
        <w:rPr>
          <w:lang w:val="en-US"/>
        </w:rPr>
        <w:t xml:space="preserve">Just like </w:t>
      </w:r>
      <w:r w:rsidR="00B921D0">
        <w:rPr>
          <w:lang w:val="en-US"/>
        </w:rPr>
        <w:t xml:space="preserve">the </w:t>
      </w:r>
      <w:r w:rsidR="000C635E">
        <w:rPr>
          <w:lang w:val="en-US"/>
        </w:rPr>
        <w:t>current ratio, the quick ratio of the company has improved, as well, mainly due to the decreasing current debt and inventories</w:t>
      </w:r>
      <w:r w:rsidR="00B921D0">
        <w:rPr>
          <w:lang w:val="en-US"/>
        </w:rPr>
        <w:t>,</w:t>
      </w:r>
      <w:r w:rsidR="000C635E">
        <w:rPr>
          <w:lang w:val="en-US"/>
        </w:rPr>
        <w:t xml:space="preserve"> with current assets still increasing, showcasing investments made in the more liquid assets of the company.</w:t>
      </w:r>
    </w:p>
    <w:p w14:paraId="52AB8D12" w14:textId="6FC461C6" w:rsidR="008C4DC5" w:rsidRDefault="008C4DC5" w:rsidP="008C4DC5">
      <w:pPr>
        <w:spacing w:line="360" w:lineRule="auto"/>
        <w:jc w:val="center"/>
        <w:rPr>
          <w:lang w:val="en-US"/>
        </w:rPr>
      </w:pPr>
      <w:r>
        <w:rPr>
          <w:noProof/>
          <w:lang w:val="en-US"/>
        </w:rPr>
        <w:drawing>
          <wp:inline distT="0" distB="0" distL="0" distR="0" wp14:anchorId="5BE7E862" wp14:editId="6DAEA30D">
            <wp:extent cx="5486400" cy="3200400"/>
            <wp:effectExtent l="0" t="0" r="0" b="0"/>
            <wp:docPr id="159165152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26EEFF" w14:textId="1A770421" w:rsidR="008C4DC5" w:rsidRPr="000011DB" w:rsidRDefault="008C4DC5" w:rsidP="008C4DC5">
      <w:pPr>
        <w:spacing w:line="360" w:lineRule="auto"/>
        <w:jc w:val="center"/>
        <w:rPr>
          <w:lang w:val="en-US"/>
        </w:rPr>
      </w:pPr>
      <w:r>
        <w:rPr>
          <w:b/>
          <w:bCs/>
          <w:lang w:val="en-US"/>
        </w:rPr>
        <w:t xml:space="preserve">Figure: </w:t>
      </w:r>
      <w:r>
        <w:rPr>
          <w:lang w:val="en-US"/>
        </w:rPr>
        <w:t>Liquidity Ratios of AstraZeneca PLC for 2023 and 2024 (Source: Myself)</w:t>
      </w:r>
    </w:p>
    <w:p w14:paraId="0E9CCF6F" w14:textId="246999BC"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8" w:name="_Toc219050003"/>
      <w:r w:rsidRPr="000011DB">
        <w:rPr>
          <w:rFonts w:eastAsiaTheme="majorEastAsia" w:cs="Times New Roman"/>
          <w:b/>
          <w:bCs/>
          <w:color w:val="2F5496" w:themeColor="accent1" w:themeShade="BF"/>
          <w:szCs w:val="28"/>
          <w:lang w:val="en-US"/>
        </w:rPr>
        <w:t xml:space="preserve">Efficiency Ratio </w:t>
      </w:r>
      <w:r w:rsidR="007E3221">
        <w:rPr>
          <w:rFonts w:eastAsiaTheme="majorEastAsia" w:cs="Times New Roman"/>
          <w:b/>
          <w:bCs/>
          <w:color w:val="2F5496" w:themeColor="accent1" w:themeShade="BF"/>
          <w:szCs w:val="28"/>
          <w:lang w:val="en-US"/>
        </w:rPr>
        <w:t>Analysis</w:t>
      </w:r>
      <w:bookmarkEnd w:id="8"/>
    </w:p>
    <w:p w14:paraId="30CE8880" w14:textId="5EC4A403" w:rsidR="000011DB" w:rsidRDefault="00B921D0" w:rsidP="00CA388D">
      <w:pPr>
        <w:spacing w:after="160" w:line="360" w:lineRule="auto"/>
        <w:rPr>
          <w:lang w:val="en-US"/>
        </w:rPr>
      </w:pPr>
      <w:r>
        <w:rPr>
          <w:lang w:val="en-US"/>
        </w:rPr>
        <w:t>The efficiency</w:t>
      </w:r>
      <w:r w:rsidR="00B171B7">
        <w:rPr>
          <w:lang w:val="en-US"/>
        </w:rPr>
        <w:t xml:space="preserve"> ratio is the evaluation of how effectively management of a company utilizes assets to generate revenues and manage the working capital cycles, at the same time</w:t>
      </w:r>
      <w:r w:rsidR="00B415A8">
        <w:rPr>
          <w:lang w:val="en-US"/>
        </w:rPr>
        <w:t xml:space="preserve"> (</w:t>
      </w:r>
      <w:r w:rsidR="00B415A8" w:rsidRPr="00B415A8">
        <w:t>Gascón</w:t>
      </w:r>
      <w:r w:rsidR="00B415A8">
        <w:t xml:space="preserve"> et al., 2017)</w:t>
      </w:r>
      <w:r w:rsidR="00B171B7">
        <w:rPr>
          <w:lang w:val="en-US"/>
        </w:rPr>
        <w:t>.</w:t>
      </w:r>
      <w:r w:rsidR="00E30925">
        <w:rPr>
          <w:lang w:val="en-US"/>
        </w:rPr>
        <w:t xml:space="preserve"> Now, the efficiency ratio analysis of AstraZeneca PLC for 2024 and 2023 is provided below.</w:t>
      </w:r>
    </w:p>
    <w:p w14:paraId="353761F7" w14:textId="61F63163" w:rsidR="00E30925" w:rsidRDefault="00E30925" w:rsidP="00CA388D">
      <w:pPr>
        <w:spacing w:line="360" w:lineRule="auto"/>
        <w:rPr>
          <w:b/>
          <w:bCs/>
          <w:lang w:val="en-US"/>
        </w:rPr>
      </w:pPr>
      <w:r>
        <w:rPr>
          <w:b/>
          <w:bCs/>
          <w:lang w:val="en-US"/>
        </w:rPr>
        <w:t>Asset Turnover Ratio</w:t>
      </w:r>
    </w:p>
    <w:p w14:paraId="28B609F0" w14:textId="7A59DF04" w:rsidR="00E30925" w:rsidRDefault="00E30925" w:rsidP="00CA388D">
      <w:pPr>
        <w:spacing w:line="360" w:lineRule="auto"/>
        <w:rPr>
          <w:lang w:val="en-US"/>
        </w:rPr>
      </w:pPr>
      <w:r>
        <w:rPr>
          <w:b/>
          <w:bCs/>
          <w:lang w:val="en-US"/>
        </w:rPr>
        <w:t>Formula = (</w:t>
      </w:r>
      <w:r>
        <w:rPr>
          <w:lang w:val="en-US"/>
        </w:rPr>
        <w:t>Total Revenue / Total Assets)</w:t>
      </w:r>
    </w:p>
    <w:p w14:paraId="6AA8016B" w14:textId="77777777" w:rsidR="00E30925" w:rsidRDefault="00E30925" w:rsidP="00CA388D">
      <w:pPr>
        <w:spacing w:line="360" w:lineRule="auto"/>
        <w:rPr>
          <w:b/>
          <w:bCs/>
          <w:lang w:val="en-US"/>
        </w:rPr>
      </w:pPr>
      <w:r>
        <w:rPr>
          <w:b/>
          <w:bCs/>
          <w:lang w:val="en-US"/>
        </w:rPr>
        <w:t>2024:</w:t>
      </w:r>
    </w:p>
    <w:p w14:paraId="6F52A493" w14:textId="7A673D82" w:rsidR="00E30925" w:rsidRPr="00E30925" w:rsidRDefault="00E30925" w:rsidP="00CA388D">
      <w:pPr>
        <w:spacing w:line="360" w:lineRule="auto"/>
        <w:rPr>
          <w:lang w:val="en-US"/>
        </w:rPr>
      </w:pPr>
      <w:bookmarkStart w:id="9" w:name="_Hlk218051264"/>
      <w:r>
        <w:rPr>
          <w:b/>
          <w:bCs/>
          <w:lang w:val="en-US"/>
        </w:rPr>
        <w:t xml:space="preserve">Total Revenue = </w:t>
      </w:r>
      <w:r>
        <w:rPr>
          <w:lang w:val="en-US"/>
        </w:rPr>
        <w:t>$54,073 million</w:t>
      </w:r>
    </w:p>
    <w:p w14:paraId="4A4B5FC7" w14:textId="4F550D66" w:rsidR="00E30925" w:rsidRDefault="00E30925" w:rsidP="00CA388D">
      <w:pPr>
        <w:spacing w:line="360" w:lineRule="auto"/>
        <w:rPr>
          <w:lang w:val="en-US"/>
        </w:rPr>
      </w:pPr>
      <w:r>
        <w:rPr>
          <w:b/>
          <w:bCs/>
          <w:lang w:val="en-US"/>
        </w:rPr>
        <w:t xml:space="preserve">Total Asset: </w:t>
      </w:r>
      <w:r>
        <w:rPr>
          <w:lang w:val="en-US"/>
        </w:rPr>
        <w:t>$102,577 million</w:t>
      </w:r>
    </w:p>
    <w:p w14:paraId="2D75F9FA" w14:textId="7D9E9460" w:rsidR="00E30925" w:rsidRDefault="00E30925" w:rsidP="00CA388D">
      <w:pPr>
        <w:spacing w:line="360" w:lineRule="auto"/>
        <w:rPr>
          <w:lang w:val="en-US"/>
        </w:rPr>
      </w:pPr>
      <w:r>
        <w:rPr>
          <w:b/>
          <w:bCs/>
          <w:lang w:val="en-US"/>
        </w:rPr>
        <w:t xml:space="preserve">Asset Turnover Ratio: </w:t>
      </w:r>
      <w:r>
        <w:rPr>
          <w:lang w:val="en-US"/>
        </w:rPr>
        <w:t>(54,073 / 102,577) = 0.53 times</w:t>
      </w:r>
    </w:p>
    <w:bookmarkEnd w:id="9"/>
    <w:p w14:paraId="2203C0F1" w14:textId="77777777" w:rsidR="00E30925" w:rsidRDefault="00E30925" w:rsidP="00CA388D">
      <w:pPr>
        <w:spacing w:line="360" w:lineRule="auto"/>
        <w:rPr>
          <w:b/>
          <w:bCs/>
          <w:lang w:val="en-US"/>
        </w:rPr>
      </w:pPr>
      <w:r>
        <w:rPr>
          <w:b/>
          <w:bCs/>
          <w:lang w:val="en-US"/>
        </w:rPr>
        <w:t>2023:</w:t>
      </w:r>
    </w:p>
    <w:p w14:paraId="3A9D3BF0" w14:textId="1FC08BD8" w:rsidR="00E30925" w:rsidRPr="00E30925" w:rsidRDefault="00E30925" w:rsidP="00CA388D">
      <w:pPr>
        <w:spacing w:line="360" w:lineRule="auto"/>
        <w:rPr>
          <w:lang w:val="en-US"/>
        </w:rPr>
      </w:pPr>
      <w:r>
        <w:rPr>
          <w:b/>
          <w:bCs/>
          <w:lang w:val="en-US"/>
        </w:rPr>
        <w:t xml:space="preserve">Total Revenue = </w:t>
      </w:r>
      <w:r>
        <w:rPr>
          <w:lang w:val="en-US"/>
        </w:rPr>
        <w:t>$45,811 million</w:t>
      </w:r>
    </w:p>
    <w:p w14:paraId="3D113E87" w14:textId="180513C3" w:rsidR="00E30925" w:rsidRDefault="00E30925" w:rsidP="00CA388D">
      <w:pPr>
        <w:spacing w:line="360" w:lineRule="auto"/>
        <w:rPr>
          <w:lang w:val="en-US"/>
        </w:rPr>
      </w:pPr>
      <w:r>
        <w:rPr>
          <w:b/>
          <w:bCs/>
          <w:lang w:val="en-US"/>
        </w:rPr>
        <w:t xml:space="preserve">Total Asset: </w:t>
      </w:r>
      <w:r>
        <w:rPr>
          <w:lang w:val="en-US"/>
        </w:rPr>
        <w:t>$98,801 million</w:t>
      </w:r>
    </w:p>
    <w:p w14:paraId="5998A0CD" w14:textId="1BCFA63A" w:rsidR="00E30925" w:rsidRDefault="00E30925" w:rsidP="00CA388D">
      <w:pPr>
        <w:spacing w:line="360" w:lineRule="auto"/>
        <w:rPr>
          <w:lang w:val="en-US"/>
        </w:rPr>
      </w:pPr>
      <w:r>
        <w:rPr>
          <w:b/>
          <w:bCs/>
          <w:lang w:val="en-US"/>
        </w:rPr>
        <w:t xml:space="preserve">Asset Turnover Ratio: </w:t>
      </w:r>
      <w:r>
        <w:rPr>
          <w:lang w:val="en-US"/>
        </w:rPr>
        <w:t>(45,811 / 98,801) = 0.46 times</w:t>
      </w:r>
    </w:p>
    <w:p w14:paraId="2860CDEE" w14:textId="441DAF2F" w:rsidR="00E30925" w:rsidRDefault="00E30925" w:rsidP="00CA388D">
      <w:pPr>
        <w:spacing w:after="160" w:line="360" w:lineRule="auto"/>
        <w:rPr>
          <w:lang w:val="en-US"/>
        </w:rPr>
      </w:pPr>
      <w:r>
        <w:rPr>
          <w:b/>
          <w:bCs/>
          <w:lang w:val="en-US"/>
        </w:rPr>
        <w:lastRenderedPageBreak/>
        <w:t xml:space="preserve">Interpretation: </w:t>
      </w:r>
      <w:r>
        <w:rPr>
          <w:lang w:val="en-US"/>
        </w:rPr>
        <w:t>Th</w:t>
      </w:r>
      <w:r w:rsidR="00E34180">
        <w:rPr>
          <w:lang w:val="en-US"/>
        </w:rPr>
        <w:t xml:space="preserve">e asset turnover ratio has drastically improved in 2023 compared to 2024. As it showcases the capacity to generate a certain amount of revenue against each dollar of asset held, </w:t>
      </w:r>
      <w:r w:rsidR="0057578C">
        <w:rPr>
          <w:lang w:val="en-US"/>
        </w:rPr>
        <w:t>the greater it becomes, the better the revenue generation capacity of a company is considered to be.</w:t>
      </w:r>
      <w:r w:rsidR="00B83A91">
        <w:rPr>
          <w:lang w:val="en-US"/>
        </w:rPr>
        <w:t xml:space="preserve"> So, a ratio of 0.53:1 in 2024 compared to 0.46:1 in 2023 is a significant step up for the company.</w:t>
      </w:r>
    </w:p>
    <w:p w14:paraId="670D22DE" w14:textId="41E2B90C" w:rsidR="006E5929" w:rsidRDefault="006E5929" w:rsidP="00CA388D">
      <w:pPr>
        <w:spacing w:line="360" w:lineRule="auto"/>
        <w:rPr>
          <w:b/>
          <w:bCs/>
          <w:lang w:val="en-US"/>
        </w:rPr>
      </w:pPr>
      <w:r>
        <w:rPr>
          <w:b/>
          <w:bCs/>
          <w:lang w:val="en-US"/>
        </w:rPr>
        <w:t>Working Capital Turnover Ratio</w:t>
      </w:r>
    </w:p>
    <w:p w14:paraId="7DFF9AF3" w14:textId="264E56C9" w:rsidR="006E5929" w:rsidRDefault="006E5929" w:rsidP="00CA388D">
      <w:pPr>
        <w:spacing w:line="360" w:lineRule="auto"/>
        <w:rPr>
          <w:lang w:val="en-US"/>
        </w:rPr>
      </w:pPr>
      <w:r>
        <w:rPr>
          <w:b/>
          <w:bCs/>
          <w:lang w:val="en-US"/>
        </w:rPr>
        <w:t>Formula = (</w:t>
      </w:r>
      <w:r>
        <w:rPr>
          <w:lang w:val="en-US"/>
        </w:rPr>
        <w:t>Total Revenue / Working Capital)</w:t>
      </w:r>
    </w:p>
    <w:p w14:paraId="51E86997" w14:textId="77777777" w:rsidR="006E5929" w:rsidRDefault="006E5929" w:rsidP="00CA388D">
      <w:pPr>
        <w:spacing w:line="360" w:lineRule="auto"/>
        <w:rPr>
          <w:b/>
          <w:bCs/>
          <w:lang w:val="en-US"/>
        </w:rPr>
      </w:pPr>
      <w:r>
        <w:rPr>
          <w:b/>
          <w:bCs/>
          <w:lang w:val="en-US"/>
        </w:rPr>
        <w:t>2024:</w:t>
      </w:r>
    </w:p>
    <w:p w14:paraId="5C27B5DF" w14:textId="77777777" w:rsidR="006E5929" w:rsidRPr="00E30925" w:rsidRDefault="006E5929" w:rsidP="00CA388D">
      <w:pPr>
        <w:spacing w:line="360" w:lineRule="auto"/>
        <w:rPr>
          <w:lang w:val="en-US"/>
        </w:rPr>
      </w:pPr>
      <w:r>
        <w:rPr>
          <w:b/>
          <w:bCs/>
          <w:lang w:val="en-US"/>
        </w:rPr>
        <w:t xml:space="preserve">Total Revenue = </w:t>
      </w:r>
      <w:r>
        <w:rPr>
          <w:lang w:val="en-US"/>
        </w:rPr>
        <w:t>$54,073 million</w:t>
      </w:r>
    </w:p>
    <w:p w14:paraId="7A791B0D" w14:textId="1011794B" w:rsidR="006E5929" w:rsidRDefault="006E5929" w:rsidP="00CA388D">
      <w:pPr>
        <w:spacing w:line="360" w:lineRule="auto"/>
        <w:rPr>
          <w:lang w:val="en-US"/>
        </w:rPr>
      </w:pPr>
      <w:r>
        <w:rPr>
          <w:b/>
          <w:bCs/>
          <w:lang w:val="en-US"/>
        </w:rPr>
        <w:t xml:space="preserve">Working Capital: </w:t>
      </w:r>
      <w:r w:rsidR="007F0AB0">
        <w:rPr>
          <w:b/>
          <w:bCs/>
          <w:lang w:val="en-US"/>
        </w:rPr>
        <w:t>(</w:t>
      </w:r>
      <w:r>
        <w:rPr>
          <w:lang w:val="en-US"/>
        </w:rPr>
        <w:t>$</w:t>
      </w:r>
      <w:r w:rsidR="007F0AB0">
        <w:rPr>
          <w:lang w:val="en-US"/>
        </w:rPr>
        <w:t xml:space="preserve">25,827 – $27,866) = ($2,039) </w:t>
      </w:r>
      <w:r>
        <w:rPr>
          <w:lang w:val="en-US"/>
        </w:rPr>
        <w:t>million</w:t>
      </w:r>
    </w:p>
    <w:p w14:paraId="130FC945" w14:textId="4A5E6B3D" w:rsidR="006E5929" w:rsidRDefault="007F0AB0" w:rsidP="00CA388D">
      <w:pPr>
        <w:spacing w:line="360" w:lineRule="auto"/>
        <w:rPr>
          <w:lang w:val="en-US"/>
        </w:rPr>
      </w:pPr>
      <w:r>
        <w:rPr>
          <w:b/>
          <w:bCs/>
          <w:lang w:val="en-US"/>
        </w:rPr>
        <w:t>Working Capital</w:t>
      </w:r>
      <w:r w:rsidR="006E5929">
        <w:rPr>
          <w:b/>
          <w:bCs/>
          <w:lang w:val="en-US"/>
        </w:rPr>
        <w:t xml:space="preserve"> Turnover Ratio: </w:t>
      </w:r>
      <w:r w:rsidR="006E5929">
        <w:rPr>
          <w:lang w:val="en-US"/>
        </w:rPr>
        <w:t xml:space="preserve">(54,073 / </w:t>
      </w:r>
      <w:r>
        <w:rPr>
          <w:lang w:val="en-US"/>
        </w:rPr>
        <w:t xml:space="preserve">-2,039) </w:t>
      </w:r>
      <w:r w:rsidR="006E5929">
        <w:rPr>
          <w:lang w:val="en-US"/>
        </w:rPr>
        <w:t xml:space="preserve">= </w:t>
      </w:r>
      <w:r>
        <w:rPr>
          <w:lang w:val="en-US"/>
        </w:rPr>
        <w:t>Negative</w:t>
      </w:r>
    </w:p>
    <w:p w14:paraId="5FA9262B" w14:textId="77777777" w:rsidR="006E5929" w:rsidRDefault="006E5929" w:rsidP="00CA388D">
      <w:pPr>
        <w:spacing w:line="360" w:lineRule="auto"/>
        <w:rPr>
          <w:b/>
          <w:bCs/>
          <w:lang w:val="en-US"/>
        </w:rPr>
      </w:pPr>
      <w:r>
        <w:rPr>
          <w:b/>
          <w:bCs/>
          <w:lang w:val="en-US"/>
        </w:rPr>
        <w:t>2023:</w:t>
      </w:r>
    </w:p>
    <w:p w14:paraId="772A321C" w14:textId="77777777" w:rsidR="006E5929" w:rsidRPr="00E30925" w:rsidRDefault="006E5929" w:rsidP="00CA388D">
      <w:pPr>
        <w:spacing w:line="360" w:lineRule="auto"/>
        <w:rPr>
          <w:lang w:val="en-US"/>
        </w:rPr>
      </w:pPr>
      <w:r>
        <w:rPr>
          <w:b/>
          <w:bCs/>
          <w:lang w:val="en-US"/>
        </w:rPr>
        <w:t xml:space="preserve">Total Revenue = </w:t>
      </w:r>
      <w:r>
        <w:rPr>
          <w:lang w:val="en-US"/>
        </w:rPr>
        <w:t>$45,811 million</w:t>
      </w:r>
    </w:p>
    <w:p w14:paraId="4187B155" w14:textId="20A4A905" w:rsidR="007F0AB0" w:rsidRDefault="007F0AB0" w:rsidP="00CA388D">
      <w:pPr>
        <w:spacing w:line="360" w:lineRule="auto"/>
        <w:rPr>
          <w:lang w:val="en-US"/>
        </w:rPr>
      </w:pPr>
      <w:r>
        <w:rPr>
          <w:b/>
          <w:bCs/>
          <w:lang w:val="en-US"/>
        </w:rPr>
        <w:t>Working Capital: (</w:t>
      </w:r>
      <w:r>
        <w:rPr>
          <w:lang w:val="en-US"/>
        </w:rPr>
        <w:t>$25,054 – $30,542) = ($5,488) million</w:t>
      </w:r>
    </w:p>
    <w:p w14:paraId="0DAAE1B3" w14:textId="3A893197" w:rsidR="007F0AB0" w:rsidRDefault="007F0AB0" w:rsidP="00CA388D">
      <w:pPr>
        <w:spacing w:line="360" w:lineRule="auto"/>
        <w:rPr>
          <w:lang w:val="en-US"/>
        </w:rPr>
      </w:pPr>
      <w:r>
        <w:rPr>
          <w:b/>
          <w:bCs/>
          <w:lang w:val="en-US"/>
        </w:rPr>
        <w:t xml:space="preserve">Working Capital Turnover Ratio: </w:t>
      </w:r>
      <w:r>
        <w:rPr>
          <w:lang w:val="en-US"/>
        </w:rPr>
        <w:t>(</w:t>
      </w:r>
      <w:r w:rsidR="00134943">
        <w:rPr>
          <w:lang w:val="en-US"/>
        </w:rPr>
        <w:t>45,811</w:t>
      </w:r>
      <w:r>
        <w:rPr>
          <w:lang w:val="en-US"/>
        </w:rPr>
        <w:t xml:space="preserve"> / -5,488) = Negative</w:t>
      </w:r>
    </w:p>
    <w:p w14:paraId="33751366" w14:textId="7334C303" w:rsidR="006E5929" w:rsidRDefault="006E5929" w:rsidP="00CA388D">
      <w:pPr>
        <w:spacing w:after="160" w:line="360" w:lineRule="auto"/>
        <w:rPr>
          <w:lang w:val="en-US"/>
        </w:rPr>
      </w:pPr>
      <w:r>
        <w:rPr>
          <w:b/>
          <w:bCs/>
          <w:lang w:val="en-US"/>
        </w:rPr>
        <w:t xml:space="preserve">Interpretation: </w:t>
      </w:r>
      <w:r>
        <w:rPr>
          <w:lang w:val="en-US"/>
        </w:rPr>
        <w:t>Th</w:t>
      </w:r>
      <w:r w:rsidR="008A190D">
        <w:rPr>
          <w:lang w:val="en-US"/>
        </w:rPr>
        <w:t xml:space="preserve">e negative working capital turnover ratio has only sustained because of the extensive capacity held by the company in terms of its operating cash flow generation and its ability to access the committed credit facilities whenever it requires them. </w:t>
      </w:r>
      <w:r w:rsidR="00383585">
        <w:rPr>
          <w:lang w:val="en-US"/>
        </w:rPr>
        <w:t>The negative result is not essentially bad for the company</w:t>
      </w:r>
      <w:r w:rsidR="00B921D0">
        <w:rPr>
          <w:lang w:val="en-US"/>
        </w:rPr>
        <w:t>,</w:t>
      </w:r>
      <w:r w:rsidR="00383585">
        <w:rPr>
          <w:lang w:val="en-US"/>
        </w:rPr>
        <w:t xml:space="preserve"> as it means that the company is relying on its suppliers and deferred payments to finance its own operations.</w:t>
      </w:r>
    </w:p>
    <w:p w14:paraId="4E6521E4" w14:textId="7DFF9AFF" w:rsidR="00086E53" w:rsidRDefault="00086E53" w:rsidP="00086E53">
      <w:pPr>
        <w:spacing w:line="360" w:lineRule="auto"/>
        <w:jc w:val="center"/>
        <w:rPr>
          <w:lang w:val="en-US"/>
        </w:rPr>
      </w:pPr>
      <w:r>
        <w:rPr>
          <w:noProof/>
          <w:lang w:val="en-US"/>
        </w:rPr>
        <w:lastRenderedPageBreak/>
        <w:drawing>
          <wp:inline distT="0" distB="0" distL="0" distR="0" wp14:anchorId="51EA1A87" wp14:editId="06638C7F">
            <wp:extent cx="5486400" cy="3200400"/>
            <wp:effectExtent l="0" t="0" r="0" b="0"/>
            <wp:docPr id="98573093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D5853C" w14:textId="5DCB9460" w:rsidR="00086E53" w:rsidRDefault="00086E53" w:rsidP="00086E53">
      <w:pPr>
        <w:spacing w:line="360" w:lineRule="auto"/>
        <w:jc w:val="center"/>
        <w:rPr>
          <w:lang w:val="en-US"/>
        </w:rPr>
      </w:pPr>
      <w:r>
        <w:rPr>
          <w:b/>
          <w:bCs/>
          <w:lang w:val="en-US"/>
        </w:rPr>
        <w:t xml:space="preserve">Figure: </w:t>
      </w:r>
      <w:r>
        <w:rPr>
          <w:lang w:val="en-US"/>
        </w:rPr>
        <w:t>Efficiency Ratios of AstraZeneca PLC for 2023 and 2024 (Source: Myself)</w:t>
      </w:r>
    </w:p>
    <w:p w14:paraId="2BC0B11D" w14:textId="4C5BC588" w:rsidR="000011DB" w:rsidRPr="000011DB" w:rsidRDefault="007E3221"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10" w:name="_Toc219050004"/>
      <w:r w:rsidRPr="000011DB">
        <w:rPr>
          <w:rFonts w:eastAsiaTheme="majorEastAsia" w:cs="Times New Roman"/>
          <w:b/>
          <w:bCs/>
          <w:color w:val="2F5496" w:themeColor="accent1" w:themeShade="BF"/>
          <w:szCs w:val="28"/>
          <w:lang w:val="en-US"/>
        </w:rPr>
        <w:t xml:space="preserve">Gearing Ratio </w:t>
      </w:r>
      <w:r>
        <w:rPr>
          <w:rFonts w:eastAsiaTheme="majorEastAsia" w:cs="Times New Roman"/>
          <w:b/>
          <w:bCs/>
          <w:color w:val="2F5496" w:themeColor="accent1" w:themeShade="BF"/>
          <w:szCs w:val="28"/>
          <w:lang w:val="en-US"/>
        </w:rPr>
        <w:t>Analysis</w:t>
      </w:r>
      <w:bookmarkEnd w:id="10"/>
    </w:p>
    <w:p w14:paraId="39280EA3" w14:textId="77D53E63" w:rsidR="007E3221" w:rsidRDefault="00802FD9" w:rsidP="00CA388D">
      <w:pPr>
        <w:spacing w:after="160" w:line="360" w:lineRule="auto"/>
        <w:rPr>
          <w:lang w:val="en-US"/>
        </w:rPr>
      </w:pPr>
      <w:r>
        <w:rPr>
          <w:lang w:val="en-US"/>
        </w:rPr>
        <w:t>Gearing ratios are the ones which help to measure the financial leverage taken by a company and the capital structure a company uses to run its operations effectively.</w:t>
      </w:r>
      <w:r w:rsidR="006B1DEE">
        <w:rPr>
          <w:lang w:val="en-US"/>
        </w:rPr>
        <w:t xml:space="preserve"> They are important to measure because they help to create balance between making additional expenses in certain areas</w:t>
      </w:r>
      <w:r w:rsidR="00B921D0">
        <w:rPr>
          <w:lang w:val="en-US"/>
        </w:rPr>
        <w:t>,</w:t>
      </w:r>
      <w:r w:rsidR="006B1DEE">
        <w:rPr>
          <w:lang w:val="en-US"/>
        </w:rPr>
        <w:t xml:space="preserve"> such as R&amp;D and </w:t>
      </w:r>
      <w:r w:rsidR="00B921D0">
        <w:rPr>
          <w:lang w:val="en-US"/>
        </w:rPr>
        <w:t>maximising</w:t>
      </w:r>
      <w:r w:rsidR="006B1DEE">
        <w:rPr>
          <w:lang w:val="en-US"/>
        </w:rPr>
        <w:t xml:space="preserve"> the benefits for the shareholders</w:t>
      </w:r>
      <w:r w:rsidR="00EE2FF1">
        <w:rPr>
          <w:lang w:val="en-US"/>
        </w:rPr>
        <w:t xml:space="preserve"> (</w:t>
      </w:r>
      <w:r w:rsidR="00EE2FF1" w:rsidRPr="00EE2FF1">
        <w:t>Bendjazia</w:t>
      </w:r>
      <w:r w:rsidR="00EE2FF1">
        <w:t>, 2023)</w:t>
      </w:r>
      <w:r w:rsidR="006B1DEE">
        <w:rPr>
          <w:lang w:val="en-US"/>
        </w:rPr>
        <w:t>. Now, the gearing ratio analysis of AstraZeneca PLC for 2024 and 2023 is provided below.</w:t>
      </w:r>
    </w:p>
    <w:p w14:paraId="404CC116" w14:textId="479D7DD5" w:rsidR="001F7181" w:rsidRDefault="001F7181" w:rsidP="00CA388D">
      <w:pPr>
        <w:spacing w:line="360" w:lineRule="auto"/>
        <w:rPr>
          <w:b/>
          <w:bCs/>
          <w:lang w:val="en-US"/>
        </w:rPr>
      </w:pPr>
      <w:r>
        <w:rPr>
          <w:b/>
          <w:bCs/>
          <w:lang w:val="en-US"/>
        </w:rPr>
        <w:t>Debt-to-Equity Ratio</w:t>
      </w:r>
    </w:p>
    <w:p w14:paraId="5B984215" w14:textId="370BC640" w:rsidR="001F7181" w:rsidRDefault="001F7181" w:rsidP="00CA388D">
      <w:pPr>
        <w:spacing w:line="360" w:lineRule="auto"/>
        <w:rPr>
          <w:lang w:val="en-US"/>
        </w:rPr>
      </w:pPr>
      <w:r>
        <w:rPr>
          <w:b/>
          <w:bCs/>
          <w:lang w:val="en-US"/>
        </w:rPr>
        <w:t>Formula = (</w:t>
      </w:r>
      <w:r>
        <w:rPr>
          <w:lang w:val="en-US"/>
        </w:rPr>
        <w:t>Total Debt / Total Equity)</w:t>
      </w:r>
    </w:p>
    <w:p w14:paraId="7B2BF857" w14:textId="77777777" w:rsidR="001F7181" w:rsidRDefault="001F7181" w:rsidP="00CA388D">
      <w:pPr>
        <w:spacing w:line="360" w:lineRule="auto"/>
        <w:rPr>
          <w:b/>
          <w:bCs/>
          <w:lang w:val="en-US"/>
        </w:rPr>
      </w:pPr>
      <w:r>
        <w:rPr>
          <w:b/>
          <w:bCs/>
          <w:lang w:val="en-US"/>
        </w:rPr>
        <w:t>2024:</w:t>
      </w:r>
    </w:p>
    <w:p w14:paraId="60E32434" w14:textId="00EEAC6E" w:rsidR="001F7181" w:rsidRDefault="001F7181" w:rsidP="00CA388D">
      <w:pPr>
        <w:spacing w:line="360" w:lineRule="auto"/>
        <w:rPr>
          <w:lang w:val="en-US"/>
        </w:rPr>
      </w:pPr>
      <w:r>
        <w:rPr>
          <w:b/>
          <w:bCs/>
          <w:lang w:val="en-US"/>
        </w:rPr>
        <w:t xml:space="preserve">Total Debt: </w:t>
      </w:r>
      <w:r>
        <w:rPr>
          <w:lang w:val="en-US"/>
        </w:rPr>
        <w:t>$</w:t>
      </w:r>
      <w:r w:rsidR="009B3201">
        <w:rPr>
          <w:lang w:val="en-US"/>
        </w:rPr>
        <w:t xml:space="preserve">30,295 </w:t>
      </w:r>
      <w:r>
        <w:rPr>
          <w:lang w:val="en-US"/>
        </w:rPr>
        <w:t>million</w:t>
      </w:r>
    </w:p>
    <w:p w14:paraId="04F0CFD0" w14:textId="4676BDA5" w:rsidR="001F7181" w:rsidRDefault="001F7181" w:rsidP="00CA388D">
      <w:pPr>
        <w:spacing w:line="360" w:lineRule="auto"/>
        <w:rPr>
          <w:lang w:val="en-US"/>
        </w:rPr>
      </w:pPr>
      <w:r>
        <w:rPr>
          <w:b/>
          <w:bCs/>
          <w:lang w:val="en-US"/>
        </w:rPr>
        <w:t xml:space="preserve">Total Equity: </w:t>
      </w:r>
      <w:r>
        <w:rPr>
          <w:lang w:val="en-US"/>
        </w:rPr>
        <w:t>$</w:t>
      </w:r>
      <w:r w:rsidR="009B3201">
        <w:rPr>
          <w:lang w:val="en-US"/>
        </w:rPr>
        <w:t xml:space="preserve">40,871 </w:t>
      </w:r>
      <w:r>
        <w:rPr>
          <w:lang w:val="en-US"/>
        </w:rPr>
        <w:t>million</w:t>
      </w:r>
    </w:p>
    <w:p w14:paraId="256107C6" w14:textId="41B204C5" w:rsidR="001F7181" w:rsidRDefault="001F7181" w:rsidP="00CA388D">
      <w:pPr>
        <w:spacing w:line="360" w:lineRule="auto"/>
        <w:rPr>
          <w:lang w:val="en-US"/>
        </w:rPr>
      </w:pPr>
      <w:r>
        <w:rPr>
          <w:b/>
          <w:bCs/>
          <w:lang w:val="en-US"/>
        </w:rPr>
        <w:t xml:space="preserve">Debt-to-Equity Ratio: </w:t>
      </w:r>
      <w:r w:rsidR="009B3201">
        <w:rPr>
          <w:b/>
          <w:bCs/>
          <w:lang w:val="en-US"/>
        </w:rPr>
        <w:t>(</w:t>
      </w:r>
      <w:r w:rsidR="009B3201">
        <w:rPr>
          <w:lang w:val="en-US"/>
        </w:rPr>
        <w:t>30,295 / 40,871)</w:t>
      </w:r>
      <w:r>
        <w:rPr>
          <w:lang w:val="en-US"/>
        </w:rPr>
        <w:t xml:space="preserve"> </w:t>
      </w:r>
      <w:r w:rsidR="009B3201">
        <w:rPr>
          <w:lang w:val="en-US"/>
        </w:rPr>
        <w:t xml:space="preserve">* 100 </w:t>
      </w:r>
      <w:r>
        <w:rPr>
          <w:lang w:val="en-US"/>
        </w:rPr>
        <w:t xml:space="preserve">= </w:t>
      </w:r>
      <w:r w:rsidR="009B3201">
        <w:rPr>
          <w:lang w:val="en-US"/>
        </w:rPr>
        <w:t>74%</w:t>
      </w:r>
    </w:p>
    <w:p w14:paraId="16740D06" w14:textId="77777777" w:rsidR="001F7181" w:rsidRDefault="001F7181" w:rsidP="00CA388D">
      <w:pPr>
        <w:spacing w:line="360" w:lineRule="auto"/>
        <w:rPr>
          <w:b/>
          <w:bCs/>
          <w:lang w:val="en-US"/>
        </w:rPr>
      </w:pPr>
      <w:r>
        <w:rPr>
          <w:b/>
          <w:bCs/>
          <w:lang w:val="en-US"/>
        </w:rPr>
        <w:t>2023:</w:t>
      </w:r>
    </w:p>
    <w:p w14:paraId="0FB9F420" w14:textId="23AE79A8" w:rsidR="009B3201" w:rsidRDefault="009B3201" w:rsidP="00CA388D">
      <w:pPr>
        <w:spacing w:line="360" w:lineRule="auto"/>
        <w:rPr>
          <w:lang w:val="en-US"/>
        </w:rPr>
      </w:pPr>
      <w:r>
        <w:rPr>
          <w:b/>
          <w:bCs/>
          <w:lang w:val="en-US"/>
        </w:rPr>
        <w:t xml:space="preserve">Total Debt: </w:t>
      </w:r>
      <w:r>
        <w:rPr>
          <w:lang w:val="en-US"/>
        </w:rPr>
        <w:t>$28.622 million</w:t>
      </w:r>
    </w:p>
    <w:p w14:paraId="6BD73C59" w14:textId="409D5E34" w:rsidR="009B3201" w:rsidRDefault="009B3201" w:rsidP="00CA388D">
      <w:pPr>
        <w:spacing w:line="360" w:lineRule="auto"/>
        <w:rPr>
          <w:lang w:val="en-US"/>
        </w:rPr>
      </w:pPr>
      <w:r>
        <w:rPr>
          <w:b/>
          <w:bCs/>
          <w:lang w:val="en-US"/>
        </w:rPr>
        <w:t xml:space="preserve">Total Equity: </w:t>
      </w:r>
      <w:r>
        <w:rPr>
          <w:lang w:val="en-US"/>
        </w:rPr>
        <w:t>$39,166 million</w:t>
      </w:r>
    </w:p>
    <w:p w14:paraId="3B332289" w14:textId="30DE0E48" w:rsidR="009B3201" w:rsidRDefault="009B3201" w:rsidP="00CA388D">
      <w:pPr>
        <w:spacing w:line="360" w:lineRule="auto"/>
        <w:rPr>
          <w:lang w:val="en-US"/>
        </w:rPr>
      </w:pPr>
      <w:r>
        <w:rPr>
          <w:b/>
          <w:bCs/>
          <w:lang w:val="en-US"/>
        </w:rPr>
        <w:t xml:space="preserve">Debt-to-Equity Ratio: </w:t>
      </w:r>
      <w:r>
        <w:rPr>
          <w:lang w:val="en-US"/>
        </w:rPr>
        <w:t>(28,622 / 39,166) * 100 = 73%</w:t>
      </w:r>
    </w:p>
    <w:p w14:paraId="26ECFAA8" w14:textId="1D4BF1E9" w:rsidR="001F7181" w:rsidRDefault="001F7181" w:rsidP="00CA388D">
      <w:pPr>
        <w:spacing w:after="160" w:line="360" w:lineRule="auto"/>
        <w:rPr>
          <w:lang w:val="en-US"/>
        </w:rPr>
      </w:pPr>
      <w:r>
        <w:rPr>
          <w:b/>
          <w:bCs/>
          <w:lang w:val="en-US"/>
        </w:rPr>
        <w:t xml:space="preserve">Interpretation: </w:t>
      </w:r>
      <w:r w:rsidR="009B3201">
        <w:rPr>
          <w:lang w:val="en-US"/>
        </w:rPr>
        <w:t>The debt-to-equity ratio has marginally improved from 2023 to 2024</w:t>
      </w:r>
      <w:r w:rsidR="00B921D0">
        <w:rPr>
          <w:lang w:val="en-US"/>
        </w:rPr>
        <w:t>,</w:t>
      </w:r>
      <w:r w:rsidR="009B3201">
        <w:rPr>
          <w:lang w:val="en-US"/>
        </w:rPr>
        <w:t xml:space="preserve"> </w:t>
      </w:r>
      <w:r w:rsidR="00616639">
        <w:rPr>
          <w:lang w:val="en-US"/>
        </w:rPr>
        <w:t xml:space="preserve">which reflects the strategic debt financing undertaken by the company to fund its growth investments. </w:t>
      </w:r>
      <w:r w:rsidR="00C92687">
        <w:rPr>
          <w:lang w:val="en-US"/>
        </w:rPr>
        <w:t xml:space="preserve">While doing so, the company also maintains its financial leverage taken quite prudently to keep it below the 1 mark. </w:t>
      </w:r>
      <w:r w:rsidR="00F07441">
        <w:rPr>
          <w:lang w:val="en-US"/>
        </w:rPr>
        <w:t xml:space="preserve">In 2024 alone, </w:t>
      </w:r>
      <w:r w:rsidR="001D3719">
        <w:rPr>
          <w:lang w:val="en-US"/>
        </w:rPr>
        <w:t>the company issued 6.5 billion USD of new bonds while repaying 4.7 billion USD in maturing debts.</w:t>
      </w:r>
    </w:p>
    <w:p w14:paraId="40140772" w14:textId="0C51D44A" w:rsidR="00B96752" w:rsidRDefault="00B96752" w:rsidP="00CA388D">
      <w:pPr>
        <w:spacing w:line="360" w:lineRule="auto"/>
        <w:rPr>
          <w:b/>
          <w:bCs/>
          <w:lang w:val="en-US"/>
        </w:rPr>
      </w:pPr>
      <w:r>
        <w:rPr>
          <w:b/>
          <w:bCs/>
          <w:lang w:val="en-US"/>
        </w:rPr>
        <w:t>Interest Coverage Ratio</w:t>
      </w:r>
    </w:p>
    <w:p w14:paraId="5B6E7562" w14:textId="4D36107C" w:rsidR="00B96752" w:rsidRDefault="00B96752" w:rsidP="00CA388D">
      <w:pPr>
        <w:spacing w:line="360" w:lineRule="auto"/>
        <w:rPr>
          <w:lang w:val="en-US"/>
        </w:rPr>
      </w:pPr>
      <w:r>
        <w:rPr>
          <w:b/>
          <w:bCs/>
          <w:lang w:val="en-US"/>
        </w:rPr>
        <w:t>Formula = (</w:t>
      </w:r>
      <w:r>
        <w:rPr>
          <w:lang w:val="en-US"/>
        </w:rPr>
        <w:t>Operating Profit / Interest Expense)</w:t>
      </w:r>
    </w:p>
    <w:p w14:paraId="379A09B1" w14:textId="77777777" w:rsidR="00B96752" w:rsidRDefault="00B96752" w:rsidP="00CA388D">
      <w:pPr>
        <w:spacing w:line="360" w:lineRule="auto"/>
        <w:rPr>
          <w:b/>
          <w:bCs/>
          <w:lang w:val="en-US"/>
        </w:rPr>
      </w:pPr>
      <w:r>
        <w:rPr>
          <w:b/>
          <w:bCs/>
          <w:lang w:val="en-US"/>
        </w:rPr>
        <w:t>2024:</w:t>
      </w:r>
    </w:p>
    <w:p w14:paraId="2B72A404" w14:textId="16D30D83" w:rsidR="00B96752" w:rsidRDefault="00B96752" w:rsidP="00CA388D">
      <w:pPr>
        <w:spacing w:line="360" w:lineRule="auto"/>
        <w:rPr>
          <w:lang w:val="en-US"/>
        </w:rPr>
      </w:pPr>
      <w:r>
        <w:rPr>
          <w:b/>
          <w:bCs/>
          <w:lang w:val="en-US"/>
        </w:rPr>
        <w:t xml:space="preserve">Operating Profit: </w:t>
      </w:r>
      <w:r>
        <w:rPr>
          <w:lang w:val="en-US"/>
        </w:rPr>
        <w:t>$10,003 million</w:t>
      </w:r>
    </w:p>
    <w:p w14:paraId="680B09B0" w14:textId="15B74DA8" w:rsidR="00B96752" w:rsidRDefault="00B96752" w:rsidP="00CA388D">
      <w:pPr>
        <w:spacing w:line="360" w:lineRule="auto"/>
        <w:rPr>
          <w:lang w:val="en-US"/>
        </w:rPr>
      </w:pPr>
      <w:r>
        <w:rPr>
          <w:b/>
          <w:bCs/>
          <w:lang w:val="en-US"/>
        </w:rPr>
        <w:t xml:space="preserve">Interest Expense: </w:t>
      </w:r>
      <w:r>
        <w:rPr>
          <w:lang w:val="en-US"/>
        </w:rPr>
        <w:t>$1,391 million</w:t>
      </w:r>
    </w:p>
    <w:p w14:paraId="0A7F95C8" w14:textId="10390057" w:rsidR="00B96752" w:rsidRDefault="00B96752" w:rsidP="00CA388D">
      <w:pPr>
        <w:spacing w:line="360" w:lineRule="auto"/>
        <w:rPr>
          <w:lang w:val="en-US"/>
        </w:rPr>
      </w:pPr>
      <w:r>
        <w:rPr>
          <w:b/>
          <w:bCs/>
          <w:lang w:val="en-US"/>
        </w:rPr>
        <w:t xml:space="preserve">Interest Coverage Ratio: </w:t>
      </w:r>
      <w:r>
        <w:rPr>
          <w:lang w:val="en-US"/>
        </w:rPr>
        <w:t>10,003 / 1,391 = 7.2x</w:t>
      </w:r>
    </w:p>
    <w:p w14:paraId="5BA1E243" w14:textId="77777777" w:rsidR="00B96752" w:rsidRDefault="00B96752" w:rsidP="00CA388D">
      <w:pPr>
        <w:spacing w:line="360" w:lineRule="auto"/>
        <w:rPr>
          <w:b/>
          <w:bCs/>
          <w:lang w:val="en-US"/>
        </w:rPr>
      </w:pPr>
      <w:r>
        <w:rPr>
          <w:b/>
          <w:bCs/>
          <w:lang w:val="en-US"/>
        </w:rPr>
        <w:t>2023:</w:t>
      </w:r>
    </w:p>
    <w:p w14:paraId="1807BF9E" w14:textId="7FF42431" w:rsidR="00B96752" w:rsidRDefault="00B96752" w:rsidP="00CA388D">
      <w:pPr>
        <w:spacing w:line="360" w:lineRule="auto"/>
        <w:rPr>
          <w:lang w:val="en-US"/>
        </w:rPr>
      </w:pPr>
      <w:r>
        <w:rPr>
          <w:b/>
          <w:bCs/>
          <w:lang w:val="en-US"/>
        </w:rPr>
        <w:t xml:space="preserve">Operating Profit: </w:t>
      </w:r>
      <w:r>
        <w:rPr>
          <w:lang w:val="en-US"/>
        </w:rPr>
        <w:t>$8,193 million</w:t>
      </w:r>
    </w:p>
    <w:p w14:paraId="7C4EE058" w14:textId="03B10A57" w:rsidR="00B96752" w:rsidRDefault="00B96752" w:rsidP="00CA388D">
      <w:pPr>
        <w:spacing w:line="360" w:lineRule="auto"/>
        <w:rPr>
          <w:lang w:val="en-US"/>
        </w:rPr>
      </w:pPr>
      <w:r>
        <w:rPr>
          <w:b/>
          <w:bCs/>
          <w:lang w:val="en-US"/>
        </w:rPr>
        <w:t xml:space="preserve">Interest Expense: </w:t>
      </w:r>
      <w:r>
        <w:rPr>
          <w:lang w:val="en-US"/>
        </w:rPr>
        <w:t>$1,132 million</w:t>
      </w:r>
    </w:p>
    <w:p w14:paraId="2D8D4A9D" w14:textId="69FCF120" w:rsidR="00B96752" w:rsidRDefault="00B96752" w:rsidP="00CA388D">
      <w:pPr>
        <w:spacing w:after="160" w:line="360" w:lineRule="auto"/>
        <w:rPr>
          <w:lang w:val="en-US"/>
        </w:rPr>
      </w:pPr>
      <w:r>
        <w:rPr>
          <w:b/>
          <w:bCs/>
          <w:lang w:val="en-US"/>
        </w:rPr>
        <w:t xml:space="preserve">Interest Coverage Ratio: </w:t>
      </w:r>
      <w:r>
        <w:rPr>
          <w:lang w:val="en-US"/>
        </w:rPr>
        <w:t>8,193 / 1,132 = 7.2x</w:t>
      </w:r>
    </w:p>
    <w:p w14:paraId="09BE13B3" w14:textId="7C7AA3F1" w:rsidR="00B96752" w:rsidRDefault="00B96752" w:rsidP="00CA388D">
      <w:pPr>
        <w:spacing w:after="160" w:line="360" w:lineRule="auto"/>
        <w:rPr>
          <w:lang w:val="en-US"/>
        </w:rPr>
      </w:pPr>
      <w:r>
        <w:rPr>
          <w:b/>
          <w:bCs/>
          <w:lang w:val="en-US"/>
        </w:rPr>
        <w:t xml:space="preserve">Interpretation: </w:t>
      </w:r>
      <w:r>
        <w:rPr>
          <w:lang w:val="en-US"/>
        </w:rPr>
        <w:t>The interest coverage ratio has remained stable at 7.2x</w:t>
      </w:r>
      <w:r w:rsidR="00B921D0">
        <w:rPr>
          <w:lang w:val="en-US"/>
        </w:rPr>
        <w:t>,</w:t>
      </w:r>
      <w:r>
        <w:rPr>
          <w:lang w:val="en-US"/>
        </w:rPr>
        <w:t xml:space="preserve"> which showcases the extent of the company’s capacity to service its debt obligations effectively. </w:t>
      </w:r>
      <w:r w:rsidR="00246AED">
        <w:rPr>
          <w:lang w:val="en-US"/>
        </w:rPr>
        <w:t>The high ratio showcases the greater capacity of the company to pay off the interest payments efficiently and not be strained by the pressure arising from it.</w:t>
      </w:r>
    </w:p>
    <w:p w14:paraId="26AFF359" w14:textId="77777777" w:rsidR="00086E53" w:rsidRDefault="00086E53" w:rsidP="00086E53">
      <w:pPr>
        <w:spacing w:line="360" w:lineRule="auto"/>
        <w:jc w:val="center"/>
        <w:rPr>
          <w:lang w:val="en-US"/>
        </w:rPr>
      </w:pPr>
      <w:r>
        <w:rPr>
          <w:noProof/>
          <w:lang w:val="en-US"/>
        </w:rPr>
        <w:drawing>
          <wp:inline distT="0" distB="0" distL="0" distR="0" wp14:anchorId="67E7FFD0" wp14:editId="1DB8EDB9">
            <wp:extent cx="5486400" cy="3200400"/>
            <wp:effectExtent l="0" t="0" r="0" b="0"/>
            <wp:docPr id="101161018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D29522" w14:textId="0E00E9FB" w:rsidR="00086E53" w:rsidRPr="000011DB" w:rsidRDefault="00086E53" w:rsidP="00086E53">
      <w:pPr>
        <w:spacing w:line="360" w:lineRule="auto"/>
        <w:jc w:val="center"/>
        <w:rPr>
          <w:lang w:val="en-US"/>
        </w:rPr>
      </w:pPr>
      <w:r>
        <w:rPr>
          <w:b/>
          <w:bCs/>
          <w:lang w:val="en-US"/>
        </w:rPr>
        <w:t xml:space="preserve">Figure: </w:t>
      </w:r>
      <w:r>
        <w:rPr>
          <w:lang w:val="en-US"/>
        </w:rPr>
        <w:t>Gearing Ratios of AstraZeneca PLC for 2023 and 2024 (Source: Myself)</w:t>
      </w:r>
    </w:p>
    <w:p w14:paraId="7E5772A9" w14:textId="67E83647"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11" w:name="_Toc219050005"/>
      <w:r w:rsidRPr="000011DB">
        <w:rPr>
          <w:rFonts w:eastAsiaTheme="majorEastAsia" w:cs="Times New Roman"/>
          <w:b/>
          <w:bCs/>
          <w:color w:val="2F5496" w:themeColor="accent1" w:themeShade="BF"/>
          <w:szCs w:val="28"/>
          <w:lang w:val="en-US"/>
        </w:rPr>
        <w:t xml:space="preserve">Investor Ratio </w:t>
      </w:r>
      <w:r w:rsidR="009D5C3E">
        <w:rPr>
          <w:rFonts w:eastAsiaTheme="majorEastAsia" w:cs="Times New Roman"/>
          <w:b/>
          <w:bCs/>
          <w:color w:val="2F5496" w:themeColor="accent1" w:themeShade="BF"/>
          <w:szCs w:val="28"/>
          <w:lang w:val="en-US"/>
        </w:rPr>
        <w:t>Analysis</w:t>
      </w:r>
      <w:bookmarkEnd w:id="11"/>
    </w:p>
    <w:p w14:paraId="7BD6A744" w14:textId="6F3365B6" w:rsidR="000011DB" w:rsidRDefault="00B9377C" w:rsidP="00CA388D">
      <w:pPr>
        <w:spacing w:after="160" w:line="360" w:lineRule="auto"/>
        <w:rPr>
          <w:lang w:val="en-US"/>
        </w:rPr>
      </w:pPr>
      <w:r>
        <w:rPr>
          <w:lang w:val="en-US"/>
        </w:rPr>
        <w:t>Investor ratios are particularly important ones as they help to generate greater insights into the company’s market-based and per-share metrics in relation to equity shareholders</w:t>
      </w:r>
      <w:r w:rsidR="00B921D0">
        <w:rPr>
          <w:lang w:val="en-US"/>
        </w:rPr>
        <w:t>,</w:t>
      </w:r>
      <w:r>
        <w:rPr>
          <w:lang w:val="en-US"/>
        </w:rPr>
        <w:t xml:space="preserve"> as well as potential investors</w:t>
      </w:r>
      <w:r w:rsidR="00B921D0">
        <w:rPr>
          <w:lang w:val="en-US"/>
        </w:rPr>
        <w:t>,</w:t>
      </w:r>
      <w:r>
        <w:rPr>
          <w:lang w:val="en-US"/>
        </w:rPr>
        <w:t xml:space="preserve"> to make effective </w:t>
      </w:r>
      <w:r w:rsidR="00B921D0">
        <w:rPr>
          <w:lang w:val="en-US"/>
        </w:rPr>
        <w:t>decisions</w:t>
      </w:r>
      <w:r w:rsidR="00EE2FF1">
        <w:rPr>
          <w:lang w:val="en-US"/>
        </w:rPr>
        <w:t xml:space="preserve"> (</w:t>
      </w:r>
      <w:r w:rsidR="00EE2FF1" w:rsidRPr="00EE2FF1">
        <w:t>Pruchnicka-Grabias</w:t>
      </w:r>
      <w:r w:rsidR="00EE2FF1">
        <w:t>, 2022)</w:t>
      </w:r>
      <w:r>
        <w:rPr>
          <w:lang w:val="en-US"/>
        </w:rPr>
        <w:t>. Now, the investor ratio analysis of AstraZeneca PLC for 2024 and 2023 is provided below.</w:t>
      </w:r>
    </w:p>
    <w:p w14:paraId="216FE508" w14:textId="25927BE3" w:rsidR="00B9377C" w:rsidRDefault="00B9377C" w:rsidP="00CA388D">
      <w:pPr>
        <w:spacing w:line="360" w:lineRule="auto"/>
        <w:rPr>
          <w:b/>
          <w:bCs/>
          <w:lang w:val="en-US"/>
        </w:rPr>
      </w:pPr>
      <w:r>
        <w:rPr>
          <w:b/>
          <w:bCs/>
          <w:lang w:val="en-US"/>
        </w:rPr>
        <w:t>Dividend Payout Ratio</w:t>
      </w:r>
    </w:p>
    <w:p w14:paraId="5CB23640" w14:textId="7654C67C" w:rsidR="00B9377C" w:rsidRDefault="00B9377C" w:rsidP="00CA388D">
      <w:pPr>
        <w:spacing w:line="360" w:lineRule="auto"/>
        <w:rPr>
          <w:lang w:val="en-US"/>
        </w:rPr>
      </w:pPr>
      <w:r>
        <w:rPr>
          <w:b/>
          <w:bCs/>
          <w:lang w:val="en-US"/>
        </w:rPr>
        <w:t>Formula = (</w:t>
      </w:r>
      <w:r w:rsidR="0042087B">
        <w:rPr>
          <w:lang w:val="en-US"/>
        </w:rPr>
        <w:t>Total Dividends / Net Profit</w:t>
      </w:r>
      <w:r>
        <w:rPr>
          <w:lang w:val="en-US"/>
        </w:rPr>
        <w:t>)</w:t>
      </w:r>
      <w:r w:rsidR="0042087B">
        <w:rPr>
          <w:lang w:val="en-US"/>
        </w:rPr>
        <w:t xml:space="preserve"> * 100</w:t>
      </w:r>
    </w:p>
    <w:p w14:paraId="3BD826FE" w14:textId="77777777" w:rsidR="00B9377C" w:rsidRDefault="00B9377C" w:rsidP="00CA388D">
      <w:pPr>
        <w:spacing w:line="360" w:lineRule="auto"/>
        <w:rPr>
          <w:b/>
          <w:bCs/>
          <w:lang w:val="en-US"/>
        </w:rPr>
      </w:pPr>
      <w:r>
        <w:rPr>
          <w:b/>
          <w:bCs/>
          <w:lang w:val="en-US"/>
        </w:rPr>
        <w:t>2024:</w:t>
      </w:r>
    </w:p>
    <w:p w14:paraId="6E5CADC5" w14:textId="4384EFFF" w:rsidR="00B9377C" w:rsidRDefault="0042087B" w:rsidP="00CA388D">
      <w:pPr>
        <w:spacing w:line="360" w:lineRule="auto"/>
        <w:rPr>
          <w:lang w:val="en-US"/>
        </w:rPr>
      </w:pPr>
      <w:r>
        <w:rPr>
          <w:b/>
          <w:bCs/>
          <w:lang w:val="en-US"/>
        </w:rPr>
        <w:t>Total Dividends</w:t>
      </w:r>
      <w:r w:rsidR="00B9377C">
        <w:rPr>
          <w:b/>
          <w:bCs/>
          <w:lang w:val="en-US"/>
        </w:rPr>
        <w:t xml:space="preserve">: </w:t>
      </w:r>
      <w:r w:rsidR="00B9377C">
        <w:rPr>
          <w:lang w:val="en-US"/>
        </w:rPr>
        <w:t>$</w:t>
      </w:r>
      <w:r>
        <w:rPr>
          <w:lang w:val="en-US"/>
        </w:rPr>
        <w:t>4,629</w:t>
      </w:r>
      <w:r w:rsidR="00B9377C">
        <w:rPr>
          <w:lang w:val="en-US"/>
        </w:rPr>
        <w:t xml:space="preserve"> million</w:t>
      </w:r>
    </w:p>
    <w:p w14:paraId="7483540D" w14:textId="725D4DEA" w:rsidR="00B9377C" w:rsidRDefault="0042087B" w:rsidP="00CA388D">
      <w:pPr>
        <w:spacing w:line="360" w:lineRule="auto"/>
        <w:rPr>
          <w:lang w:val="en-US"/>
        </w:rPr>
      </w:pPr>
      <w:r>
        <w:rPr>
          <w:b/>
          <w:bCs/>
          <w:lang w:val="en-US"/>
        </w:rPr>
        <w:t>Net Profit</w:t>
      </w:r>
      <w:r w:rsidR="00B9377C">
        <w:rPr>
          <w:b/>
          <w:bCs/>
          <w:lang w:val="en-US"/>
        </w:rPr>
        <w:t xml:space="preserve">: </w:t>
      </w:r>
      <w:r w:rsidR="00B9377C">
        <w:rPr>
          <w:lang w:val="en-US"/>
        </w:rPr>
        <w:t>$</w:t>
      </w:r>
      <w:r>
        <w:rPr>
          <w:lang w:val="en-US"/>
        </w:rPr>
        <w:t xml:space="preserve">7,035 </w:t>
      </w:r>
      <w:r w:rsidR="00B9377C">
        <w:rPr>
          <w:lang w:val="en-US"/>
        </w:rPr>
        <w:t>million</w:t>
      </w:r>
    </w:p>
    <w:p w14:paraId="6D3C6FBB" w14:textId="7B2EBA9B" w:rsidR="00B9377C" w:rsidRDefault="0042087B" w:rsidP="00CA388D">
      <w:pPr>
        <w:spacing w:line="360" w:lineRule="auto"/>
        <w:rPr>
          <w:lang w:val="en-US"/>
        </w:rPr>
      </w:pPr>
      <w:r>
        <w:rPr>
          <w:b/>
          <w:bCs/>
          <w:lang w:val="en-US"/>
        </w:rPr>
        <w:t xml:space="preserve">Dividend Payout </w:t>
      </w:r>
      <w:r w:rsidR="00B9377C">
        <w:rPr>
          <w:b/>
          <w:bCs/>
          <w:lang w:val="en-US"/>
        </w:rPr>
        <w:t xml:space="preserve">Ratio: </w:t>
      </w:r>
      <w:r>
        <w:rPr>
          <w:b/>
          <w:bCs/>
          <w:lang w:val="en-US"/>
        </w:rPr>
        <w:t>(</w:t>
      </w:r>
      <w:r>
        <w:rPr>
          <w:lang w:val="en-US"/>
        </w:rPr>
        <w:t xml:space="preserve">4,629 / 7,035) * 100 </w:t>
      </w:r>
      <w:r w:rsidR="00B9377C">
        <w:rPr>
          <w:lang w:val="en-US"/>
        </w:rPr>
        <w:t xml:space="preserve">= </w:t>
      </w:r>
      <w:r>
        <w:rPr>
          <w:lang w:val="en-US"/>
        </w:rPr>
        <w:t>65.8%</w:t>
      </w:r>
    </w:p>
    <w:p w14:paraId="42974043" w14:textId="77777777" w:rsidR="00B9377C" w:rsidRDefault="00B9377C" w:rsidP="00CA388D">
      <w:pPr>
        <w:spacing w:line="360" w:lineRule="auto"/>
        <w:rPr>
          <w:b/>
          <w:bCs/>
          <w:lang w:val="en-US"/>
        </w:rPr>
      </w:pPr>
      <w:r>
        <w:rPr>
          <w:b/>
          <w:bCs/>
          <w:lang w:val="en-US"/>
        </w:rPr>
        <w:t>2023:</w:t>
      </w:r>
    </w:p>
    <w:p w14:paraId="43F5AAC8" w14:textId="067C6AB1" w:rsidR="0042087B" w:rsidRDefault="0042087B" w:rsidP="00CA388D">
      <w:pPr>
        <w:spacing w:line="360" w:lineRule="auto"/>
        <w:rPr>
          <w:lang w:val="en-US"/>
        </w:rPr>
      </w:pPr>
      <w:r>
        <w:rPr>
          <w:b/>
          <w:bCs/>
          <w:lang w:val="en-US"/>
        </w:rPr>
        <w:t xml:space="preserve">Total Dividends: </w:t>
      </w:r>
      <w:r>
        <w:rPr>
          <w:lang w:val="en-US"/>
        </w:rPr>
        <w:t>$4,481 million</w:t>
      </w:r>
    </w:p>
    <w:p w14:paraId="42A58788" w14:textId="495BCD85" w:rsidR="0042087B" w:rsidRDefault="0042087B" w:rsidP="00CA388D">
      <w:pPr>
        <w:spacing w:line="360" w:lineRule="auto"/>
        <w:rPr>
          <w:lang w:val="en-US"/>
        </w:rPr>
      </w:pPr>
      <w:r>
        <w:rPr>
          <w:b/>
          <w:bCs/>
          <w:lang w:val="en-US"/>
        </w:rPr>
        <w:t xml:space="preserve">Net Profit: </w:t>
      </w:r>
      <w:r>
        <w:rPr>
          <w:lang w:val="en-US"/>
        </w:rPr>
        <w:t>$5,955 million</w:t>
      </w:r>
    </w:p>
    <w:p w14:paraId="634D542E" w14:textId="050DE5C7" w:rsidR="0042087B" w:rsidRDefault="0042087B" w:rsidP="00CA388D">
      <w:pPr>
        <w:spacing w:line="360" w:lineRule="auto"/>
        <w:rPr>
          <w:lang w:val="en-US"/>
        </w:rPr>
      </w:pPr>
      <w:r>
        <w:rPr>
          <w:b/>
          <w:bCs/>
          <w:lang w:val="en-US"/>
        </w:rPr>
        <w:t>Dividend Payout Ratio: (</w:t>
      </w:r>
      <w:r>
        <w:rPr>
          <w:lang w:val="en-US"/>
        </w:rPr>
        <w:t>4,481/ 5,955) * 100 = 75.2%</w:t>
      </w:r>
    </w:p>
    <w:p w14:paraId="7FFABEEE" w14:textId="12724C74" w:rsidR="00B9377C" w:rsidRDefault="00B9377C" w:rsidP="00CA388D">
      <w:pPr>
        <w:spacing w:after="160" w:line="360" w:lineRule="auto"/>
        <w:rPr>
          <w:lang w:val="en-US"/>
        </w:rPr>
      </w:pPr>
      <w:r>
        <w:rPr>
          <w:b/>
          <w:bCs/>
          <w:lang w:val="en-US"/>
        </w:rPr>
        <w:t xml:space="preserve">Interpretation: </w:t>
      </w:r>
      <w:r>
        <w:rPr>
          <w:lang w:val="en-US"/>
        </w:rPr>
        <w:t xml:space="preserve">The </w:t>
      </w:r>
      <w:r w:rsidR="00A435BD">
        <w:rPr>
          <w:lang w:val="en-US"/>
        </w:rPr>
        <w:t xml:space="preserve">dividend payout ratio has decreased in 2024 compared to 2023, showcasing the company’s strategic </w:t>
      </w:r>
      <w:r w:rsidR="00B921D0">
        <w:rPr>
          <w:lang w:val="en-US"/>
        </w:rPr>
        <w:t>manoeuvre</w:t>
      </w:r>
      <w:r w:rsidR="00A435BD">
        <w:rPr>
          <w:lang w:val="en-US"/>
        </w:rPr>
        <w:t xml:space="preserve"> to retain more of its earnings for reinvestment in future expense requirements instead of paying them upfront to the shareholders. It is not an indication of financial weakness of the company</w:t>
      </w:r>
      <w:r w:rsidR="00B921D0">
        <w:rPr>
          <w:lang w:val="en-US"/>
        </w:rPr>
        <w:t>, but</w:t>
      </w:r>
      <w:r w:rsidR="00A435BD">
        <w:rPr>
          <w:lang w:val="en-US"/>
        </w:rPr>
        <w:t xml:space="preserve"> rather only a strategic discourse undertaken by the company to fund its future operations or </w:t>
      </w:r>
      <w:r w:rsidR="00B921D0">
        <w:rPr>
          <w:lang w:val="en-US"/>
        </w:rPr>
        <w:t>endeavours</w:t>
      </w:r>
      <w:r w:rsidR="00A435BD">
        <w:rPr>
          <w:lang w:val="en-US"/>
        </w:rPr>
        <w:t xml:space="preserve">. </w:t>
      </w:r>
    </w:p>
    <w:p w14:paraId="426547A7" w14:textId="77777777" w:rsidR="00086E53" w:rsidRDefault="00086E53" w:rsidP="00086E53">
      <w:pPr>
        <w:spacing w:line="360" w:lineRule="auto"/>
        <w:jc w:val="center"/>
        <w:rPr>
          <w:lang w:val="en-US"/>
        </w:rPr>
      </w:pPr>
      <w:r>
        <w:rPr>
          <w:noProof/>
          <w:lang w:val="en-US"/>
        </w:rPr>
        <w:drawing>
          <wp:inline distT="0" distB="0" distL="0" distR="0" wp14:anchorId="78881B15" wp14:editId="24E3A4BF">
            <wp:extent cx="5486400" cy="3200400"/>
            <wp:effectExtent l="0" t="0" r="0" b="0"/>
            <wp:docPr id="175614180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665972C" w14:textId="4956872A" w:rsidR="00086E53" w:rsidRPr="000011DB" w:rsidRDefault="00086E53" w:rsidP="00086E53">
      <w:pPr>
        <w:spacing w:line="360" w:lineRule="auto"/>
        <w:jc w:val="center"/>
        <w:rPr>
          <w:lang w:val="en-US"/>
        </w:rPr>
      </w:pPr>
      <w:r>
        <w:rPr>
          <w:b/>
          <w:bCs/>
          <w:lang w:val="en-US"/>
        </w:rPr>
        <w:t xml:space="preserve">Figure: </w:t>
      </w:r>
      <w:r>
        <w:rPr>
          <w:lang w:val="en-US"/>
        </w:rPr>
        <w:t>Investor Ratios of AstraZeneca PLC for 2023 and 2024 (Source: Myself)</w:t>
      </w:r>
    </w:p>
    <w:p w14:paraId="74DBCEDD" w14:textId="78F57C40" w:rsidR="000011DB" w:rsidRPr="000011DB" w:rsidRDefault="0078048B" w:rsidP="00CA388D">
      <w:pPr>
        <w:keepNext/>
        <w:keepLines/>
        <w:spacing w:before="40" w:after="0" w:line="360" w:lineRule="auto"/>
        <w:outlineLvl w:val="1"/>
        <w:rPr>
          <w:rFonts w:eastAsiaTheme="majorEastAsia" w:cstheme="majorBidi"/>
          <w:b/>
          <w:color w:val="2F5496" w:themeColor="accent1" w:themeShade="BF"/>
          <w:sz w:val="28"/>
          <w:szCs w:val="40"/>
          <w:lang w:val="en-US"/>
        </w:rPr>
      </w:pPr>
      <w:bookmarkStart w:id="12" w:name="_Toc219050006"/>
      <w:r>
        <w:rPr>
          <w:rFonts w:eastAsiaTheme="majorEastAsia" w:cstheme="majorBidi"/>
          <w:b/>
          <w:color w:val="2F5496" w:themeColor="accent1" w:themeShade="BF"/>
          <w:sz w:val="28"/>
          <w:szCs w:val="40"/>
          <w:lang w:val="en-US"/>
        </w:rPr>
        <w:t>Analysis of Ratios Calculated</w:t>
      </w:r>
      <w:bookmarkEnd w:id="12"/>
    </w:p>
    <w:p w14:paraId="2F9BFB88" w14:textId="04B3D695" w:rsidR="000011DB" w:rsidRPr="000011DB" w:rsidRDefault="00552DFC" w:rsidP="00CA388D">
      <w:pPr>
        <w:spacing w:after="160" w:line="360" w:lineRule="auto"/>
        <w:rPr>
          <w:lang w:val="en-US"/>
        </w:rPr>
      </w:pPr>
      <w:r>
        <w:rPr>
          <w:lang w:val="en-US"/>
        </w:rPr>
        <w:t>The ratios calculated and interpreted in the previous section do not tell any stories</w:t>
      </w:r>
      <w:r w:rsidR="00B921D0">
        <w:rPr>
          <w:lang w:val="en-US"/>
        </w:rPr>
        <w:t>,</w:t>
      </w:r>
      <w:r>
        <w:rPr>
          <w:lang w:val="en-US"/>
        </w:rPr>
        <w:t xml:space="preserve"> which is the major aspect of undertaking one such initiative. </w:t>
      </w:r>
      <w:r w:rsidR="00CA388D">
        <w:rPr>
          <w:lang w:val="en-US"/>
        </w:rPr>
        <w:t>Now, the analysis of ratios calculated is provided below</w:t>
      </w:r>
      <w:r w:rsidR="00B921D0">
        <w:rPr>
          <w:lang w:val="en-US"/>
        </w:rPr>
        <w:t>,</w:t>
      </w:r>
      <w:r w:rsidR="00CA388D">
        <w:rPr>
          <w:lang w:val="en-US"/>
        </w:rPr>
        <w:t xml:space="preserve"> including limitations of using ratio analysis as well as recommendations to AstraZeneca to do better in the future.</w:t>
      </w:r>
    </w:p>
    <w:p w14:paraId="0E0D6501" w14:textId="786F69EE" w:rsidR="000011DB" w:rsidRPr="000011DB" w:rsidRDefault="0078048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13" w:name="_Toc219050007"/>
      <w:r>
        <w:rPr>
          <w:rFonts w:eastAsiaTheme="majorEastAsia" w:cs="Times New Roman"/>
          <w:b/>
          <w:bCs/>
          <w:color w:val="2F5496" w:themeColor="accent1" w:themeShade="BF"/>
          <w:szCs w:val="28"/>
          <w:lang w:val="en-US"/>
        </w:rPr>
        <w:t>Strategic Context and Reasonings behind Current Performance</w:t>
      </w:r>
      <w:bookmarkEnd w:id="13"/>
    </w:p>
    <w:p w14:paraId="32E88D9D" w14:textId="51BC0FE6" w:rsidR="000011DB" w:rsidRDefault="00AB317D" w:rsidP="00CA388D">
      <w:pPr>
        <w:spacing w:after="160" w:line="360" w:lineRule="auto"/>
        <w:rPr>
          <w:lang w:val="en-US"/>
        </w:rPr>
      </w:pPr>
      <w:r>
        <w:rPr>
          <w:lang w:val="en-US"/>
        </w:rPr>
        <w:t xml:space="preserve">AstraZeneca’s 2024 financial performance </w:t>
      </w:r>
      <w:r w:rsidR="0033254A">
        <w:rPr>
          <w:lang w:val="en-US"/>
        </w:rPr>
        <w:t xml:space="preserve">has improved mainly due to three underlying reasons. </w:t>
      </w:r>
      <w:r w:rsidR="00117C5F">
        <w:rPr>
          <w:lang w:val="en-US"/>
        </w:rPr>
        <w:t xml:space="preserve">One of the three reasons </w:t>
      </w:r>
      <w:r w:rsidR="008F7D05">
        <w:rPr>
          <w:lang w:val="en-US"/>
        </w:rPr>
        <w:t xml:space="preserve">is the successful </w:t>
      </w:r>
      <w:r w:rsidR="00B921D0">
        <w:rPr>
          <w:lang w:val="en-US"/>
        </w:rPr>
        <w:t>commercialisation</w:t>
      </w:r>
      <w:r w:rsidR="008F7D05">
        <w:rPr>
          <w:lang w:val="en-US"/>
        </w:rPr>
        <w:t xml:space="preserve"> of the company’s innovative oncology medicines</w:t>
      </w:r>
      <w:r w:rsidR="00B921D0">
        <w:rPr>
          <w:lang w:val="en-US"/>
        </w:rPr>
        <w:t>,</w:t>
      </w:r>
      <w:r w:rsidR="008F7D05">
        <w:rPr>
          <w:lang w:val="en-US"/>
        </w:rPr>
        <w:t xml:space="preserve"> </w:t>
      </w:r>
      <w:r w:rsidR="0028604C">
        <w:rPr>
          <w:lang w:val="en-US"/>
        </w:rPr>
        <w:t xml:space="preserve">which are generating substantial </w:t>
      </w:r>
      <w:r w:rsidR="00877219">
        <w:rPr>
          <w:lang w:val="en-US"/>
        </w:rPr>
        <w:t xml:space="preserve">revenues </w:t>
      </w:r>
      <w:r w:rsidR="00E149B3">
        <w:rPr>
          <w:lang w:val="en-US"/>
        </w:rPr>
        <w:t xml:space="preserve">for the company. </w:t>
      </w:r>
      <w:r w:rsidR="00C17CAF">
        <w:rPr>
          <w:lang w:val="en-US"/>
        </w:rPr>
        <w:t>Now, the total revenue stemming from Oncology has increased by 24%</w:t>
      </w:r>
      <w:r w:rsidR="00B921D0">
        <w:rPr>
          <w:lang w:val="en-US"/>
        </w:rPr>
        <w:t>,</w:t>
      </w:r>
      <w:r w:rsidR="00C17CAF">
        <w:rPr>
          <w:lang w:val="en-US"/>
        </w:rPr>
        <w:t xml:space="preserve"> which is also 41% of total revenues. </w:t>
      </w:r>
      <w:r w:rsidR="005A6057">
        <w:rPr>
          <w:lang w:val="en-US"/>
        </w:rPr>
        <w:t>There are other major medicines such as Tagrisso, Imfinzi, Calquence, Lynparza</w:t>
      </w:r>
      <w:r w:rsidR="00B921D0">
        <w:rPr>
          <w:lang w:val="en-US"/>
        </w:rPr>
        <w:t>,</w:t>
      </w:r>
      <w:r w:rsidR="005A6057">
        <w:rPr>
          <w:lang w:val="en-US"/>
        </w:rPr>
        <w:t xml:space="preserve"> etc.</w:t>
      </w:r>
      <w:r w:rsidR="00B921D0">
        <w:rPr>
          <w:lang w:val="en-US"/>
        </w:rPr>
        <w:t>,</w:t>
      </w:r>
      <w:r w:rsidR="005A6057">
        <w:rPr>
          <w:lang w:val="en-US"/>
        </w:rPr>
        <w:t xml:space="preserve"> </w:t>
      </w:r>
      <w:r w:rsidR="008E154C">
        <w:rPr>
          <w:lang w:val="en-US"/>
        </w:rPr>
        <w:t>which are constantly driving the expansion the company is having</w:t>
      </w:r>
      <w:r w:rsidR="00DC5C3A">
        <w:rPr>
          <w:lang w:val="en-US"/>
        </w:rPr>
        <w:t xml:space="preserve"> currently</w:t>
      </w:r>
      <w:r w:rsidR="007F2F4E">
        <w:rPr>
          <w:lang w:val="en-US"/>
        </w:rPr>
        <w:t xml:space="preserve"> </w:t>
      </w:r>
      <w:r w:rsidR="00C942E9">
        <w:rPr>
          <w:lang w:val="en-US"/>
        </w:rPr>
        <w:t>(</w:t>
      </w:r>
      <w:r w:rsidR="00C942E9" w:rsidRPr="007B123D">
        <w:t>AstraZeneca</w:t>
      </w:r>
      <w:r w:rsidR="00C942E9">
        <w:t>, 2024)</w:t>
      </w:r>
      <w:r w:rsidR="00DC5C3A">
        <w:rPr>
          <w:lang w:val="en-US"/>
        </w:rPr>
        <w:t xml:space="preserve">. </w:t>
      </w:r>
    </w:p>
    <w:p w14:paraId="3A0BB1B2" w14:textId="6684B562" w:rsidR="00DC5C3A" w:rsidRDefault="00B921D0" w:rsidP="00CA388D">
      <w:pPr>
        <w:spacing w:after="160" w:line="360" w:lineRule="auto"/>
        <w:rPr>
          <w:lang w:val="en-US"/>
        </w:rPr>
      </w:pPr>
      <w:r>
        <w:rPr>
          <w:lang w:val="en-US"/>
        </w:rPr>
        <w:t>The second</w:t>
      </w:r>
      <w:r w:rsidR="00DC5C3A">
        <w:rPr>
          <w:lang w:val="en-US"/>
        </w:rPr>
        <w:t xml:space="preserve"> of three reasons is the operational efficiency initiatives undertaken by the company</w:t>
      </w:r>
      <w:r>
        <w:rPr>
          <w:lang w:val="en-US"/>
        </w:rPr>
        <w:t>,</w:t>
      </w:r>
      <w:r w:rsidR="00DC5C3A">
        <w:rPr>
          <w:lang w:val="en-US"/>
        </w:rPr>
        <w:t xml:space="preserve"> including its PAAGR program</w:t>
      </w:r>
      <w:r>
        <w:rPr>
          <w:lang w:val="en-US"/>
        </w:rPr>
        <w:t>,</w:t>
      </w:r>
      <w:r w:rsidR="00DC5C3A">
        <w:rPr>
          <w:lang w:val="en-US"/>
        </w:rPr>
        <w:t xml:space="preserve"> which has already delivered over 1.5 billion USD </w:t>
      </w:r>
      <w:r w:rsidR="005C0DA7">
        <w:rPr>
          <w:lang w:val="en-US"/>
        </w:rPr>
        <w:t xml:space="preserve">in annual run-rate pre-tax benefits by the end of 2024. </w:t>
      </w:r>
      <w:r w:rsidR="00472BD4">
        <w:rPr>
          <w:lang w:val="en-US"/>
        </w:rPr>
        <w:t xml:space="preserve">The focus of the program has </w:t>
      </w:r>
      <w:r w:rsidR="0078500E">
        <w:rPr>
          <w:lang w:val="en-US"/>
        </w:rPr>
        <w:t xml:space="preserve">largely remained on integrating the systems, </w:t>
      </w:r>
      <w:r>
        <w:rPr>
          <w:lang w:val="en-US"/>
        </w:rPr>
        <w:t>standardising</w:t>
      </w:r>
      <w:r w:rsidR="0078500E">
        <w:rPr>
          <w:lang w:val="en-US"/>
        </w:rPr>
        <w:t xml:space="preserve"> its processes and </w:t>
      </w:r>
      <w:r>
        <w:rPr>
          <w:lang w:val="en-US"/>
        </w:rPr>
        <w:t>optimising</w:t>
      </w:r>
      <w:r w:rsidR="0078500E">
        <w:rPr>
          <w:lang w:val="en-US"/>
        </w:rPr>
        <w:t xml:space="preserve"> its manufacturing for maximum outputs</w:t>
      </w:r>
      <w:r w:rsidR="007F2F4E">
        <w:rPr>
          <w:lang w:val="en-US"/>
        </w:rPr>
        <w:t xml:space="preserve"> (</w:t>
      </w:r>
      <w:r w:rsidR="007F2F4E" w:rsidRPr="007B123D">
        <w:t>Gopal Samy</w:t>
      </w:r>
      <w:r w:rsidR="007F2F4E">
        <w:t xml:space="preserve"> and </w:t>
      </w:r>
      <w:r w:rsidR="007F2F4E" w:rsidRPr="007B123D">
        <w:t>Senthilkumar</w:t>
      </w:r>
      <w:r w:rsidR="007F2F4E">
        <w:t>, 2025)</w:t>
      </w:r>
      <w:r w:rsidR="0078500E">
        <w:rPr>
          <w:lang w:val="en-US"/>
        </w:rPr>
        <w:t xml:space="preserve">. </w:t>
      </w:r>
    </w:p>
    <w:p w14:paraId="7E87AA8A" w14:textId="556A8AE5" w:rsidR="00120A98" w:rsidRPr="000011DB" w:rsidRDefault="00120A98" w:rsidP="00CA388D">
      <w:pPr>
        <w:spacing w:after="160" w:line="360" w:lineRule="auto"/>
        <w:rPr>
          <w:lang w:val="en-US"/>
        </w:rPr>
      </w:pPr>
      <w:r>
        <w:rPr>
          <w:lang w:val="en-US"/>
        </w:rPr>
        <w:t>The last reason is the company’s geographic diversification</w:t>
      </w:r>
      <w:r w:rsidR="00B921D0">
        <w:rPr>
          <w:lang w:val="en-US"/>
        </w:rPr>
        <w:t>,</w:t>
      </w:r>
      <w:r>
        <w:rPr>
          <w:lang w:val="en-US"/>
        </w:rPr>
        <w:t xml:space="preserve"> which has strengthened materially as revenues in the USA have grown by 22%, emerging markets have grown by another 22% as well as the European market has grown by 26%.</w:t>
      </w:r>
      <w:r w:rsidR="00D10E22">
        <w:rPr>
          <w:lang w:val="en-US"/>
        </w:rPr>
        <w:t xml:space="preserve"> As the geographic mix has commemorated </w:t>
      </w:r>
      <w:r w:rsidR="00B921D0">
        <w:rPr>
          <w:lang w:val="en-US"/>
        </w:rPr>
        <w:t xml:space="preserve">a </w:t>
      </w:r>
      <w:r w:rsidR="00D10E22">
        <w:rPr>
          <w:lang w:val="en-US"/>
        </w:rPr>
        <w:t>similar level of growth, the dependency on a particular market can be said to be quite minimal for the company</w:t>
      </w:r>
      <w:r w:rsidR="00C942E9">
        <w:rPr>
          <w:lang w:val="en-US"/>
        </w:rPr>
        <w:t xml:space="preserve"> (</w:t>
      </w:r>
      <w:r w:rsidR="00C942E9" w:rsidRPr="007B123D">
        <w:t>AstraZeneca</w:t>
      </w:r>
      <w:r w:rsidR="00C942E9">
        <w:t>, 2024)</w:t>
      </w:r>
      <w:r w:rsidR="00D10E22">
        <w:rPr>
          <w:lang w:val="en-US"/>
        </w:rPr>
        <w:t xml:space="preserve">. </w:t>
      </w:r>
      <w:r w:rsidR="001E01FD">
        <w:rPr>
          <w:lang w:val="en-US"/>
        </w:rPr>
        <w:t xml:space="preserve">As the geographic mix is now quite balanced, </w:t>
      </w:r>
      <w:r w:rsidR="000D08B7">
        <w:rPr>
          <w:lang w:val="en-US"/>
        </w:rPr>
        <w:t>the company can be expected to capture growth opportunities effectively.</w:t>
      </w:r>
    </w:p>
    <w:p w14:paraId="1E8D86FF" w14:textId="1E221BFC"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14" w:name="_Toc219050008"/>
      <w:r w:rsidRPr="000011DB">
        <w:rPr>
          <w:rFonts w:eastAsiaTheme="majorEastAsia" w:cs="Times New Roman"/>
          <w:b/>
          <w:bCs/>
          <w:color w:val="2F5496" w:themeColor="accent1" w:themeShade="BF"/>
          <w:szCs w:val="28"/>
          <w:lang w:val="en-US"/>
        </w:rPr>
        <w:t xml:space="preserve">Limitations of </w:t>
      </w:r>
      <w:r w:rsidR="0087593F">
        <w:rPr>
          <w:rFonts w:eastAsiaTheme="majorEastAsia" w:cs="Times New Roman"/>
          <w:b/>
          <w:bCs/>
          <w:color w:val="2F5496" w:themeColor="accent1" w:themeShade="BF"/>
          <w:szCs w:val="28"/>
          <w:lang w:val="en-US"/>
        </w:rPr>
        <w:t xml:space="preserve">Using </w:t>
      </w:r>
      <w:r w:rsidRPr="000011DB">
        <w:rPr>
          <w:rFonts w:eastAsiaTheme="majorEastAsia" w:cs="Times New Roman"/>
          <w:b/>
          <w:bCs/>
          <w:color w:val="2F5496" w:themeColor="accent1" w:themeShade="BF"/>
          <w:szCs w:val="28"/>
          <w:lang w:val="en-US"/>
        </w:rPr>
        <w:t>Ratio Analysis</w:t>
      </w:r>
      <w:bookmarkEnd w:id="14"/>
    </w:p>
    <w:p w14:paraId="368098A3" w14:textId="598E5B96" w:rsidR="000011DB" w:rsidRDefault="00641136" w:rsidP="00CA388D">
      <w:pPr>
        <w:spacing w:after="160" w:line="360" w:lineRule="auto"/>
        <w:rPr>
          <w:lang w:val="en-US"/>
        </w:rPr>
      </w:pPr>
      <w:r>
        <w:rPr>
          <w:lang w:val="en-US"/>
        </w:rPr>
        <w:t xml:space="preserve">There are quite a lot of challenges when using ratio analysis to base any decision. Firstly, ratio analysis is historical focus, meaning past performance does not reflect prospective conditions of a company. </w:t>
      </w:r>
      <w:r w:rsidR="000D133D">
        <w:rPr>
          <w:lang w:val="en-US"/>
        </w:rPr>
        <w:t xml:space="preserve">Whilst 2024 financial performance has proven to be very effective for the company, </w:t>
      </w:r>
      <w:r w:rsidR="00514B9E">
        <w:rPr>
          <w:lang w:val="en-US"/>
        </w:rPr>
        <w:t xml:space="preserve">it is not yet guaranteed that the company will achieve </w:t>
      </w:r>
      <w:r w:rsidR="00B921D0">
        <w:rPr>
          <w:lang w:val="en-US"/>
        </w:rPr>
        <w:t xml:space="preserve">a </w:t>
      </w:r>
      <w:r w:rsidR="00514B9E">
        <w:rPr>
          <w:lang w:val="en-US"/>
        </w:rPr>
        <w:t>similar level of results in the next year, as well.</w:t>
      </w:r>
      <w:r w:rsidR="005E5544">
        <w:rPr>
          <w:lang w:val="en-US"/>
        </w:rPr>
        <w:t xml:space="preserve"> This is because macroeconomic variables will not remain the same. Also, the ratio analysis does not incorporate aspects such as </w:t>
      </w:r>
      <w:r w:rsidR="00821169">
        <w:rPr>
          <w:lang w:val="en-US"/>
        </w:rPr>
        <w:t>patent expiry, regulatory pricing interventions</w:t>
      </w:r>
      <w:r w:rsidR="00B921D0">
        <w:rPr>
          <w:lang w:val="en-US"/>
        </w:rPr>
        <w:t>,</w:t>
      </w:r>
      <w:r w:rsidR="00821169">
        <w:rPr>
          <w:lang w:val="en-US"/>
        </w:rPr>
        <w:t xml:space="preserve"> etc.</w:t>
      </w:r>
      <w:r w:rsidR="00B921D0">
        <w:rPr>
          <w:lang w:val="en-US"/>
        </w:rPr>
        <w:t>,</w:t>
      </w:r>
      <w:r w:rsidR="00821169">
        <w:rPr>
          <w:lang w:val="en-US"/>
        </w:rPr>
        <w:t xml:space="preserve"> </w:t>
      </w:r>
      <w:r w:rsidR="0018440B">
        <w:rPr>
          <w:lang w:val="en-US"/>
        </w:rPr>
        <w:t xml:space="preserve">which </w:t>
      </w:r>
      <w:r w:rsidR="00B921D0">
        <w:rPr>
          <w:lang w:val="en-US"/>
        </w:rPr>
        <w:t>hold</w:t>
      </w:r>
      <w:r w:rsidR="0018440B">
        <w:rPr>
          <w:lang w:val="en-US"/>
        </w:rPr>
        <w:t xml:space="preserve"> out information</w:t>
      </w:r>
      <w:r w:rsidR="00C942E9">
        <w:rPr>
          <w:lang w:val="en-US"/>
        </w:rPr>
        <w:t xml:space="preserve"> (</w:t>
      </w:r>
      <w:r w:rsidR="00C942E9" w:rsidRPr="00C942E9">
        <w:t>Faello</w:t>
      </w:r>
      <w:r w:rsidR="00C942E9">
        <w:t>, 2015)</w:t>
      </w:r>
      <w:r w:rsidR="0018440B">
        <w:rPr>
          <w:lang w:val="en-US"/>
        </w:rPr>
        <w:t>.</w:t>
      </w:r>
    </w:p>
    <w:p w14:paraId="0C467184" w14:textId="5D7EE262" w:rsidR="00DC2AD2" w:rsidRDefault="00DC2AD2" w:rsidP="00CA388D">
      <w:pPr>
        <w:spacing w:after="160" w:line="360" w:lineRule="auto"/>
        <w:rPr>
          <w:lang w:val="en-US"/>
        </w:rPr>
      </w:pPr>
      <w:r>
        <w:rPr>
          <w:lang w:val="en-US"/>
        </w:rPr>
        <w:t>Then, again, companies have full sway over the accounting policies they implement in recording transactions</w:t>
      </w:r>
      <w:r w:rsidR="00B921D0">
        <w:rPr>
          <w:lang w:val="en-US"/>
        </w:rPr>
        <w:t>,</w:t>
      </w:r>
      <w:r>
        <w:rPr>
          <w:lang w:val="en-US"/>
        </w:rPr>
        <w:t xml:space="preserve"> as the International Financial Reporting Standards show leniency in making </w:t>
      </w:r>
      <w:r w:rsidR="00B921D0">
        <w:rPr>
          <w:lang w:val="en-US"/>
        </w:rPr>
        <w:t>judgments</w:t>
      </w:r>
      <w:r>
        <w:rPr>
          <w:lang w:val="en-US"/>
        </w:rPr>
        <w:t xml:space="preserve"> by the companies themselves. For instance, revenue </w:t>
      </w:r>
      <w:r w:rsidR="000E1BA0">
        <w:rPr>
          <w:lang w:val="en-US"/>
        </w:rPr>
        <w:t xml:space="preserve">recognition </w:t>
      </w:r>
      <w:r w:rsidR="00C26655">
        <w:rPr>
          <w:lang w:val="en-US"/>
        </w:rPr>
        <w:t xml:space="preserve">timing and fair value measurements </w:t>
      </w:r>
      <w:r w:rsidR="002A020E">
        <w:rPr>
          <w:lang w:val="en-US"/>
        </w:rPr>
        <w:t xml:space="preserve">can significantly </w:t>
      </w:r>
      <w:r w:rsidR="00C26655">
        <w:rPr>
          <w:lang w:val="en-US"/>
        </w:rPr>
        <w:t>alter the financial reports made by a company</w:t>
      </w:r>
      <w:r w:rsidR="00C942E9">
        <w:rPr>
          <w:lang w:val="en-US"/>
        </w:rPr>
        <w:t xml:space="preserve"> (</w:t>
      </w:r>
      <w:r w:rsidR="00C942E9" w:rsidRPr="00C942E9">
        <w:t>Thomas</w:t>
      </w:r>
      <w:r w:rsidR="00C942E9">
        <w:t xml:space="preserve"> et al., 2019)</w:t>
      </w:r>
      <w:r w:rsidR="00C26655">
        <w:rPr>
          <w:lang w:val="en-US"/>
        </w:rPr>
        <w:t xml:space="preserve">. </w:t>
      </w:r>
    </w:p>
    <w:p w14:paraId="34E863E0" w14:textId="1D9AB839" w:rsidR="009F0986" w:rsidRPr="000011DB" w:rsidRDefault="009F0986" w:rsidP="00CA388D">
      <w:pPr>
        <w:spacing w:after="160" w:line="360" w:lineRule="auto"/>
        <w:rPr>
          <w:lang w:val="en-US"/>
        </w:rPr>
      </w:pPr>
      <w:r>
        <w:rPr>
          <w:lang w:val="en-US"/>
        </w:rPr>
        <w:t xml:space="preserve">More importantly, </w:t>
      </w:r>
      <w:r w:rsidR="00914B93">
        <w:rPr>
          <w:lang w:val="en-US"/>
        </w:rPr>
        <w:t xml:space="preserve">there are many pharmaceutical-specific sectoral </w:t>
      </w:r>
      <w:r w:rsidR="00E85DA3">
        <w:rPr>
          <w:lang w:val="en-US"/>
        </w:rPr>
        <w:t xml:space="preserve">factors which complicate the use of many traditional ratio interpretations. For instance, the results derived in one ratio may </w:t>
      </w:r>
      <w:r w:rsidR="00B921D0">
        <w:rPr>
          <w:lang w:val="en-US"/>
        </w:rPr>
        <w:t>seem</w:t>
      </w:r>
      <w:r w:rsidR="00E85DA3">
        <w:rPr>
          <w:lang w:val="en-US"/>
        </w:rPr>
        <w:t xml:space="preserve"> excessively high or low, but it may be considered as </w:t>
      </w:r>
      <w:r w:rsidR="00B921D0">
        <w:rPr>
          <w:lang w:val="en-US"/>
        </w:rPr>
        <w:t xml:space="preserve">the </w:t>
      </w:r>
      <w:r w:rsidR="00E85DA3">
        <w:rPr>
          <w:lang w:val="en-US"/>
        </w:rPr>
        <w:t>industry norm for the company in question</w:t>
      </w:r>
      <w:r w:rsidR="00C942E9">
        <w:rPr>
          <w:lang w:val="en-US"/>
        </w:rPr>
        <w:t xml:space="preserve"> (</w:t>
      </w:r>
      <w:r w:rsidR="00C942E9" w:rsidRPr="00C942E9">
        <w:t>Shah</w:t>
      </w:r>
      <w:r w:rsidR="00C942E9">
        <w:t>, 2020)</w:t>
      </w:r>
      <w:r w:rsidR="00E85DA3">
        <w:rPr>
          <w:lang w:val="en-US"/>
        </w:rPr>
        <w:t xml:space="preserve">. </w:t>
      </w:r>
    </w:p>
    <w:p w14:paraId="7E6C814C" w14:textId="6B8FA2A5"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15" w:name="_Toc219050009"/>
      <w:r w:rsidRPr="000011DB">
        <w:rPr>
          <w:rFonts w:eastAsiaTheme="majorEastAsia" w:cs="Times New Roman"/>
          <w:b/>
          <w:bCs/>
          <w:color w:val="2F5496" w:themeColor="accent1" w:themeShade="BF"/>
          <w:szCs w:val="28"/>
          <w:lang w:val="en-US"/>
        </w:rPr>
        <w:t>Recommendations</w:t>
      </w:r>
      <w:bookmarkEnd w:id="15"/>
    </w:p>
    <w:p w14:paraId="5E1A5078" w14:textId="77777777" w:rsidR="000708F0" w:rsidRDefault="006776B0" w:rsidP="00CA388D">
      <w:pPr>
        <w:spacing w:after="160" w:line="360" w:lineRule="auto"/>
        <w:rPr>
          <w:lang w:val="en-US"/>
        </w:rPr>
      </w:pPr>
      <w:r>
        <w:rPr>
          <w:lang w:val="en-US"/>
        </w:rPr>
        <w:t xml:space="preserve">Now, there are certain recommendations for the company to follow in order to enhance its financial performance significantly. </w:t>
      </w:r>
      <w:r w:rsidR="000708F0">
        <w:rPr>
          <w:lang w:val="en-US"/>
        </w:rPr>
        <w:t>These recommendations are as follows.</w:t>
      </w:r>
    </w:p>
    <w:p w14:paraId="4C96BB90" w14:textId="780E3855" w:rsidR="00AA374F" w:rsidRDefault="000708F0" w:rsidP="00CA388D">
      <w:pPr>
        <w:spacing w:after="160" w:line="360" w:lineRule="auto"/>
        <w:rPr>
          <w:lang w:val="en-US"/>
        </w:rPr>
      </w:pPr>
      <w:r>
        <w:rPr>
          <w:lang w:val="en-US"/>
        </w:rPr>
        <w:t xml:space="preserve">The company has posted </w:t>
      </w:r>
      <w:r w:rsidR="00B921D0">
        <w:rPr>
          <w:lang w:val="en-US"/>
        </w:rPr>
        <w:t xml:space="preserve">a </w:t>
      </w:r>
      <w:r>
        <w:rPr>
          <w:lang w:val="en-US"/>
        </w:rPr>
        <w:t>very high gross margin of 81.1%</w:t>
      </w:r>
      <w:r w:rsidR="00B921D0">
        <w:rPr>
          <w:lang w:val="en-US"/>
        </w:rPr>
        <w:t>,</w:t>
      </w:r>
      <w:r>
        <w:rPr>
          <w:lang w:val="en-US"/>
        </w:rPr>
        <w:t xml:space="preserve"> which is very strong. </w:t>
      </w:r>
      <w:r w:rsidR="00FA5E38">
        <w:rPr>
          <w:lang w:val="en-US"/>
        </w:rPr>
        <w:t xml:space="preserve">However, the company still has many opportunities to arrest margin compression by incorporating next-generation manufacturing technologies. </w:t>
      </w:r>
      <w:r w:rsidR="00A37BDB">
        <w:rPr>
          <w:lang w:val="en-US"/>
        </w:rPr>
        <w:t xml:space="preserve">By incorporating </w:t>
      </w:r>
      <w:r w:rsidR="00B921D0">
        <w:rPr>
          <w:lang w:val="en-US"/>
        </w:rPr>
        <w:t xml:space="preserve">a </w:t>
      </w:r>
      <w:r w:rsidR="00A37BDB">
        <w:rPr>
          <w:lang w:val="en-US"/>
        </w:rPr>
        <w:t>continuous manufacturing process and implementing artificial intelligence</w:t>
      </w:r>
      <w:r w:rsidR="00C06B37">
        <w:rPr>
          <w:lang w:val="en-US"/>
        </w:rPr>
        <w:t xml:space="preserve"> to control quality, the company can further increase its gross margins. </w:t>
      </w:r>
      <w:r w:rsidR="009526E7">
        <w:rPr>
          <w:lang w:val="en-US"/>
        </w:rPr>
        <w:t>At the same time, the company should focus on its sustainability commitments by enhancing its Scope 1 and 2 emissions.</w:t>
      </w:r>
    </w:p>
    <w:p w14:paraId="67806AC2" w14:textId="2EEB2328" w:rsidR="00D2618F" w:rsidRDefault="00AA374F" w:rsidP="00CA388D">
      <w:pPr>
        <w:spacing w:after="160" w:line="360" w:lineRule="auto"/>
        <w:rPr>
          <w:lang w:val="en-US"/>
        </w:rPr>
      </w:pPr>
      <w:r>
        <w:rPr>
          <w:lang w:val="en-US"/>
        </w:rPr>
        <w:t xml:space="preserve">Although the company has achieved 7% in dividend growth in 2024, </w:t>
      </w:r>
      <w:r w:rsidR="00B921D0">
        <w:rPr>
          <w:lang w:val="en-US"/>
        </w:rPr>
        <w:t>it</w:t>
      </w:r>
      <w:r>
        <w:rPr>
          <w:lang w:val="en-US"/>
        </w:rPr>
        <w:t xml:space="preserve"> has maintained a dividend payout ratio of over 60%. If it wants to ensure pipeline investments whilst maintaining its progressive dividend policy, the company should focus on greater earnings retention and commit more to its R&amp;D expenses. </w:t>
      </w:r>
    </w:p>
    <w:p w14:paraId="23A949E1" w14:textId="3D2677DE" w:rsidR="000011DB" w:rsidRPr="000011DB" w:rsidRDefault="00AC3983" w:rsidP="00CA388D">
      <w:pPr>
        <w:spacing w:after="160" w:line="360" w:lineRule="auto"/>
        <w:rPr>
          <w:lang w:val="en-US"/>
        </w:rPr>
      </w:pPr>
      <w:r>
        <w:rPr>
          <w:lang w:val="en-US"/>
        </w:rPr>
        <w:t>The company can also enhance its capital structure by incorporating more flexibility into the structure by refinancing its short-term obligations into longer-dated maturities</w:t>
      </w:r>
      <w:r w:rsidR="00B921D0">
        <w:rPr>
          <w:lang w:val="en-US"/>
        </w:rPr>
        <w:t>,</w:t>
      </w:r>
      <w:r>
        <w:rPr>
          <w:lang w:val="en-US"/>
        </w:rPr>
        <w:t xml:space="preserve"> so that the financing risk can be reduced effectively. This will help the company to achieve greater financial flexibility so that </w:t>
      </w:r>
      <w:r w:rsidR="00B921D0">
        <w:rPr>
          <w:lang w:val="en-US"/>
        </w:rPr>
        <w:t>it</w:t>
      </w:r>
      <w:r>
        <w:rPr>
          <w:lang w:val="en-US"/>
        </w:rPr>
        <w:t xml:space="preserve"> can pursue strategic acquisitions. Moreover, the company’s recent </w:t>
      </w:r>
      <w:r w:rsidR="00273370">
        <w:rPr>
          <w:lang w:val="en-US"/>
        </w:rPr>
        <w:t xml:space="preserve">bond issuances </w:t>
      </w:r>
      <w:r w:rsidR="003420C5">
        <w:rPr>
          <w:lang w:val="en-US"/>
        </w:rPr>
        <w:t xml:space="preserve">are quite attractive in terms of </w:t>
      </w:r>
      <w:r w:rsidR="00B921D0">
        <w:rPr>
          <w:lang w:val="en-US"/>
        </w:rPr>
        <w:t>their</w:t>
      </w:r>
      <w:r w:rsidR="003420C5">
        <w:rPr>
          <w:lang w:val="en-US"/>
        </w:rPr>
        <w:t xml:space="preserve"> long-term financing costs </w:t>
      </w:r>
      <w:r w:rsidR="00B73BB2">
        <w:rPr>
          <w:lang w:val="en-US"/>
        </w:rPr>
        <w:t>compared to the historical standards maintained by the company.</w:t>
      </w:r>
      <w:r w:rsidR="000011DB" w:rsidRPr="000011DB">
        <w:rPr>
          <w:lang w:val="en-US"/>
        </w:rPr>
        <w:br w:type="page"/>
      </w:r>
    </w:p>
    <w:p w14:paraId="30840D96" w14:textId="77777777" w:rsidR="000011DB" w:rsidRPr="000011DB" w:rsidRDefault="000011DB" w:rsidP="00CA388D">
      <w:pPr>
        <w:keepNext/>
        <w:keepLines/>
        <w:spacing w:before="240" w:after="120" w:line="360" w:lineRule="auto"/>
        <w:outlineLvl w:val="0"/>
        <w:rPr>
          <w:rFonts w:eastAsiaTheme="majorEastAsia" w:cstheme="majorBidi"/>
          <w:b/>
          <w:color w:val="2F5496" w:themeColor="accent1" w:themeShade="BF"/>
          <w:sz w:val="32"/>
          <w:szCs w:val="50"/>
          <w:lang w:val="en-US"/>
        </w:rPr>
      </w:pPr>
      <w:bookmarkStart w:id="16" w:name="_Toc219050010"/>
      <w:r w:rsidRPr="000011DB">
        <w:rPr>
          <w:rFonts w:eastAsiaTheme="majorEastAsia" w:cstheme="majorBidi"/>
          <w:b/>
          <w:color w:val="2F5496" w:themeColor="accent1" w:themeShade="BF"/>
          <w:sz w:val="32"/>
          <w:szCs w:val="50"/>
          <w:lang w:val="en-US"/>
        </w:rPr>
        <w:t>Part – Two: Investment Appraisal for Westward PLC</w:t>
      </w:r>
      <w:bookmarkEnd w:id="16"/>
    </w:p>
    <w:p w14:paraId="550A0CF5" w14:textId="59EDC42E" w:rsidR="000011DB" w:rsidRPr="000011DB" w:rsidRDefault="00AB14F2" w:rsidP="00CA388D">
      <w:pPr>
        <w:keepNext/>
        <w:keepLines/>
        <w:spacing w:before="40" w:after="0" w:line="360" w:lineRule="auto"/>
        <w:outlineLvl w:val="1"/>
        <w:rPr>
          <w:rFonts w:eastAsiaTheme="majorEastAsia" w:cstheme="majorBidi"/>
          <w:b/>
          <w:color w:val="2F5496" w:themeColor="accent1" w:themeShade="BF"/>
          <w:sz w:val="28"/>
          <w:szCs w:val="40"/>
          <w:lang w:val="en-US"/>
        </w:rPr>
      </w:pPr>
      <w:bookmarkStart w:id="17" w:name="_Toc219050011"/>
      <w:r>
        <w:rPr>
          <w:rFonts w:eastAsiaTheme="majorEastAsia" w:cstheme="majorBidi"/>
          <w:b/>
          <w:color w:val="2F5496" w:themeColor="accent1" w:themeShade="BF"/>
          <w:sz w:val="28"/>
          <w:szCs w:val="40"/>
          <w:lang w:val="en-US"/>
        </w:rPr>
        <w:t>Strategic Context and Available Opportunities for Westward PLC</w:t>
      </w:r>
      <w:bookmarkEnd w:id="17"/>
    </w:p>
    <w:p w14:paraId="7D9FE832" w14:textId="0ED4D417" w:rsidR="000011DB" w:rsidRPr="000011DB" w:rsidRDefault="00551310" w:rsidP="00CA388D">
      <w:pPr>
        <w:spacing w:line="360" w:lineRule="auto"/>
        <w:rPr>
          <w:lang w:val="en-US"/>
        </w:rPr>
      </w:pPr>
      <w:r>
        <w:rPr>
          <w:lang w:val="en-US"/>
        </w:rPr>
        <w:t xml:space="preserve">Westward PLC is </w:t>
      </w:r>
      <w:r w:rsidR="00E1161A">
        <w:rPr>
          <w:lang w:val="en-US"/>
        </w:rPr>
        <w:t xml:space="preserve">a popular manufacturer of high-quality curtains, facing major strategic decisions in terms of the company’s business expansion </w:t>
      </w:r>
      <w:r w:rsidR="00492FD0">
        <w:rPr>
          <w:lang w:val="en-US"/>
        </w:rPr>
        <w:t xml:space="preserve">for a four-year planning time horizon. </w:t>
      </w:r>
      <w:r w:rsidR="00643CF9">
        <w:rPr>
          <w:lang w:val="en-US"/>
        </w:rPr>
        <w:t xml:space="preserve">Currently, there are three options for the company with initial investment requirements ranging from </w:t>
      </w:r>
      <w:r w:rsidR="00643CF9" w:rsidRPr="00643CF9">
        <w:t>£</w:t>
      </w:r>
      <w:r w:rsidR="00643CF9">
        <w:t xml:space="preserve">600,000, </w:t>
      </w:r>
      <w:r w:rsidR="00643CF9" w:rsidRPr="00643CF9">
        <w:t>£</w:t>
      </w:r>
      <w:r w:rsidR="00643CF9">
        <w:t xml:space="preserve">1,000,000 and </w:t>
      </w:r>
      <w:r w:rsidR="00643CF9" w:rsidRPr="00643CF9">
        <w:t>£</w:t>
      </w:r>
      <w:r w:rsidR="00643CF9">
        <w:t xml:space="preserve">1,600,000. </w:t>
      </w:r>
      <w:r w:rsidR="0096741A">
        <w:t>The initial offer is applicable for the company’s retail outlet expansion, the second offer is applicable for internet sales platform development</w:t>
      </w:r>
      <w:r w:rsidR="00B921D0">
        <w:t>,</w:t>
      </w:r>
      <w:r w:rsidR="0096741A">
        <w:t xml:space="preserve"> and the last offer is applicable for product diversification into wooden and Roman blinds. </w:t>
      </w:r>
      <w:r w:rsidR="001272EE">
        <w:t xml:space="preserve">Each of the offers </w:t>
      </w:r>
      <w:r w:rsidR="00940A93">
        <w:t>has its own advantages and disadvantages</w:t>
      </w:r>
      <w:r w:rsidR="00B921D0">
        <w:t>,</w:t>
      </w:r>
      <w:r w:rsidR="00680380">
        <w:t xml:space="preserve"> alongside each having distinct risk-return </w:t>
      </w:r>
      <w:r w:rsidR="00DC2F2D">
        <w:t>profiles</w:t>
      </w:r>
      <w:r w:rsidR="0005750B">
        <w:t xml:space="preserve">. </w:t>
      </w:r>
      <w:r w:rsidR="005F0113">
        <w:t xml:space="preserve">In this report, </w:t>
      </w:r>
      <w:r w:rsidR="00F13C74">
        <w:t xml:space="preserve">net present value, </w:t>
      </w:r>
      <w:r w:rsidR="00B921D0">
        <w:t>internal</w:t>
      </w:r>
      <w:r w:rsidR="00F13C74">
        <w:t xml:space="preserve"> rate of return and other appraisal method</w:t>
      </w:r>
      <w:r w:rsidR="009E5F2A">
        <w:t>s will be elaborated below.</w:t>
      </w:r>
    </w:p>
    <w:p w14:paraId="7A9BB428" w14:textId="4D30CC64" w:rsidR="000011DB" w:rsidRPr="000011DB" w:rsidRDefault="00151D2D" w:rsidP="00CA388D">
      <w:pPr>
        <w:keepNext/>
        <w:keepLines/>
        <w:spacing w:before="40" w:after="0" w:line="360" w:lineRule="auto"/>
        <w:outlineLvl w:val="1"/>
        <w:rPr>
          <w:rFonts w:eastAsiaTheme="majorEastAsia" w:cstheme="majorBidi"/>
          <w:b/>
          <w:color w:val="2F5496" w:themeColor="accent1" w:themeShade="BF"/>
          <w:sz w:val="28"/>
          <w:szCs w:val="40"/>
          <w:lang w:val="en-US"/>
        </w:rPr>
      </w:pPr>
      <w:bookmarkStart w:id="18" w:name="_Toc219050012"/>
      <w:r>
        <w:rPr>
          <w:rFonts w:eastAsiaTheme="majorEastAsia" w:cstheme="majorBidi"/>
          <w:b/>
          <w:color w:val="2F5496" w:themeColor="accent1" w:themeShade="BF"/>
          <w:sz w:val="28"/>
          <w:szCs w:val="40"/>
          <w:lang w:val="en-US"/>
        </w:rPr>
        <w:t>Net Present Value, Internal Rate of Return and Other Appraisal Methods</w:t>
      </w:r>
      <w:bookmarkEnd w:id="18"/>
    </w:p>
    <w:p w14:paraId="425B553F" w14:textId="2F32E356"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19" w:name="_Toc219050013"/>
      <w:r w:rsidRPr="000011DB">
        <w:rPr>
          <w:rFonts w:eastAsiaTheme="majorEastAsia" w:cs="Times New Roman"/>
          <w:b/>
          <w:bCs/>
          <w:color w:val="2F5496" w:themeColor="accent1" w:themeShade="BF"/>
          <w:szCs w:val="28"/>
          <w:lang w:val="en-US"/>
        </w:rPr>
        <w:t>Net Present Value</w:t>
      </w:r>
      <w:bookmarkEnd w:id="19"/>
    </w:p>
    <w:p w14:paraId="44E22F53" w14:textId="200C3212" w:rsidR="000011DB" w:rsidRDefault="00382656" w:rsidP="00CA388D">
      <w:pPr>
        <w:spacing w:line="360" w:lineRule="auto"/>
        <w:rPr>
          <w:lang w:val="en-US"/>
        </w:rPr>
      </w:pPr>
      <w:r>
        <w:rPr>
          <w:lang w:val="en-US"/>
        </w:rPr>
        <w:t xml:space="preserve">Net present value </w:t>
      </w:r>
      <w:r w:rsidR="00E45809">
        <w:rPr>
          <w:lang w:val="en-US"/>
        </w:rPr>
        <w:t xml:space="preserve">is the superior </w:t>
      </w:r>
      <w:r w:rsidR="003E7AC7">
        <w:rPr>
          <w:lang w:val="en-US"/>
        </w:rPr>
        <w:t>investment appraisal method</w:t>
      </w:r>
      <w:r w:rsidR="00B921D0">
        <w:rPr>
          <w:lang w:val="en-US"/>
        </w:rPr>
        <w:t>,</w:t>
      </w:r>
      <w:r w:rsidR="003E7AC7">
        <w:rPr>
          <w:lang w:val="en-US"/>
        </w:rPr>
        <w:t xml:space="preserve"> </w:t>
      </w:r>
      <w:r w:rsidR="003334C4">
        <w:rPr>
          <w:lang w:val="en-US"/>
        </w:rPr>
        <w:t xml:space="preserve">which </w:t>
      </w:r>
      <w:r w:rsidR="005574E1">
        <w:rPr>
          <w:lang w:val="en-US"/>
        </w:rPr>
        <w:t xml:space="preserve">helps measure absolute wealth change </w:t>
      </w:r>
      <w:r w:rsidR="00AB5257">
        <w:rPr>
          <w:lang w:val="en-US"/>
        </w:rPr>
        <w:t xml:space="preserve">in terms of </w:t>
      </w:r>
      <w:r w:rsidR="007F5A3C">
        <w:rPr>
          <w:lang w:val="en-US"/>
        </w:rPr>
        <w:t xml:space="preserve">its present value. </w:t>
      </w:r>
      <w:r w:rsidR="008B33BD">
        <w:rPr>
          <w:lang w:val="en-US"/>
        </w:rPr>
        <w:t xml:space="preserve">Now, the wealth change </w:t>
      </w:r>
      <w:r w:rsidR="006B2509">
        <w:rPr>
          <w:lang w:val="en-US"/>
        </w:rPr>
        <w:t xml:space="preserve">results from project acceptance </w:t>
      </w:r>
      <w:r w:rsidR="005840AE">
        <w:rPr>
          <w:lang w:val="en-US"/>
        </w:rPr>
        <w:t xml:space="preserve">for which </w:t>
      </w:r>
      <w:r w:rsidR="00B921D0">
        <w:rPr>
          <w:lang w:val="en-US"/>
        </w:rPr>
        <w:t xml:space="preserve">the </w:t>
      </w:r>
      <w:r w:rsidR="005840AE">
        <w:rPr>
          <w:lang w:val="en-US"/>
        </w:rPr>
        <w:t>net present value method can be used to discount all future cash flows to present value by applying the firm’s cost of capital</w:t>
      </w:r>
      <w:r w:rsidR="00B921D0">
        <w:rPr>
          <w:lang w:val="en-US"/>
        </w:rPr>
        <w:t>,</w:t>
      </w:r>
      <w:r w:rsidR="005840AE">
        <w:rPr>
          <w:lang w:val="en-US"/>
        </w:rPr>
        <w:t xml:space="preserve"> from which </w:t>
      </w:r>
      <w:r w:rsidR="00B921D0">
        <w:rPr>
          <w:lang w:val="en-US"/>
        </w:rPr>
        <w:t xml:space="preserve">the </w:t>
      </w:r>
      <w:r w:rsidR="005840AE">
        <w:rPr>
          <w:lang w:val="en-US"/>
        </w:rPr>
        <w:t xml:space="preserve">initial investment </w:t>
      </w:r>
      <w:r w:rsidR="00A6347A">
        <w:rPr>
          <w:lang w:val="en-US"/>
        </w:rPr>
        <w:t>is to be deducted</w:t>
      </w:r>
      <w:r w:rsidR="007A3BEB">
        <w:rPr>
          <w:lang w:val="en-US"/>
        </w:rPr>
        <w:t xml:space="preserve"> (</w:t>
      </w:r>
      <w:r w:rsidR="007A3BEB" w:rsidRPr="007A3BEB">
        <w:t>Shou</w:t>
      </w:r>
      <w:r w:rsidR="007A3BEB">
        <w:t>, 2022)</w:t>
      </w:r>
      <w:r w:rsidR="00A6347A">
        <w:rPr>
          <w:lang w:val="en-US"/>
        </w:rPr>
        <w:t xml:space="preserve">. </w:t>
      </w:r>
      <w:r w:rsidR="006E7DE7">
        <w:rPr>
          <w:lang w:val="en-US"/>
        </w:rPr>
        <w:t xml:space="preserve">Now, the three options are evaluated below using net present value at 6% discount rate </w:t>
      </w:r>
      <w:r w:rsidR="00996CC5">
        <w:rPr>
          <w:lang w:val="en-US"/>
        </w:rPr>
        <w:t xml:space="preserve">using </w:t>
      </w:r>
      <w:r w:rsidR="006E7DE7">
        <w:rPr>
          <w:lang w:val="en-US"/>
        </w:rPr>
        <w:t>their respective capital allowance and tax shield</w:t>
      </w:r>
      <w:r w:rsidR="00C137DE">
        <w:rPr>
          <w:lang w:val="en-US"/>
        </w:rPr>
        <w:t>.</w:t>
      </w:r>
    </w:p>
    <w:p w14:paraId="48002412" w14:textId="3D8C492F" w:rsidR="00BD1F1D" w:rsidRDefault="00BD1F1D" w:rsidP="00CA388D">
      <w:pPr>
        <w:spacing w:line="360" w:lineRule="auto"/>
        <w:rPr>
          <w:b/>
          <w:bCs/>
          <w:lang w:val="en-US"/>
        </w:rPr>
      </w:pPr>
      <w:r>
        <w:rPr>
          <w:b/>
          <w:bCs/>
          <w:lang w:val="en-US"/>
        </w:rPr>
        <w:t>Option – A: Retail Outlet Expansion</w:t>
      </w:r>
    </w:p>
    <w:p w14:paraId="34B20CAF" w14:textId="27DCB6C5" w:rsidR="0036708A" w:rsidRDefault="00B921D0" w:rsidP="00CA388D">
      <w:pPr>
        <w:spacing w:line="360" w:lineRule="auto"/>
      </w:pPr>
      <w:r>
        <w:rPr>
          <w:lang w:val="en-US"/>
        </w:rPr>
        <w:t>The initial investment</w:t>
      </w:r>
      <w:r w:rsidR="00802817">
        <w:rPr>
          <w:lang w:val="en-US"/>
        </w:rPr>
        <w:t xml:space="preserve"> required is </w:t>
      </w:r>
      <w:r w:rsidR="00802817" w:rsidRPr="00802817">
        <w:t>£</w:t>
      </w:r>
      <w:r w:rsidR="00802817">
        <w:t>600,000</w:t>
      </w:r>
      <w:r>
        <w:t>,</w:t>
      </w:r>
      <w:r w:rsidR="00802817">
        <w:t xml:space="preserve"> with </w:t>
      </w:r>
      <w:r>
        <w:t xml:space="preserve">a </w:t>
      </w:r>
      <w:r w:rsidR="00802817">
        <w:t xml:space="preserve">capital allowance per annum calculated to </w:t>
      </w:r>
      <w:r w:rsidR="00802817" w:rsidRPr="00802817">
        <w:t>£</w:t>
      </w:r>
      <w:r w:rsidR="00802817">
        <w:t>120,000</w:t>
      </w:r>
      <w:r>
        <w:t>,</w:t>
      </w:r>
      <w:r w:rsidR="00802817">
        <w:t xml:space="preserve"> and </w:t>
      </w:r>
      <w:r>
        <w:t xml:space="preserve">the </w:t>
      </w:r>
      <w:r w:rsidR="00802817">
        <w:t xml:space="preserve">tax shield arising is </w:t>
      </w:r>
      <w:r w:rsidR="00802817" w:rsidRPr="00802817">
        <w:t>£</w:t>
      </w:r>
      <w:r w:rsidR="00802817">
        <w:t xml:space="preserve">30,000 per annum. </w:t>
      </w:r>
      <w:r w:rsidR="0036708A">
        <w:t xml:space="preserve">Now, the after-tax cash flow </w:t>
      </w:r>
      <w:r w:rsidR="003B189A">
        <w:t>is calculated for the project.</w:t>
      </w:r>
    </w:p>
    <w:tbl>
      <w:tblPr>
        <w:tblStyle w:val="TableGrid"/>
        <w:tblW w:w="0" w:type="auto"/>
        <w:tblLook w:val="04A0" w:firstRow="1" w:lastRow="0" w:firstColumn="1" w:lastColumn="0" w:noHBand="0" w:noVBand="1"/>
      </w:tblPr>
      <w:tblGrid>
        <w:gridCol w:w="1803"/>
        <w:gridCol w:w="1803"/>
        <w:gridCol w:w="1803"/>
        <w:gridCol w:w="1803"/>
        <w:gridCol w:w="1804"/>
      </w:tblGrid>
      <w:tr w:rsidR="00313A45" w14:paraId="00E81336" w14:textId="77777777" w:rsidTr="00313A45">
        <w:tc>
          <w:tcPr>
            <w:tcW w:w="1803" w:type="dxa"/>
          </w:tcPr>
          <w:p w14:paraId="51BBD316" w14:textId="710DD0B2" w:rsidR="00313A45" w:rsidRPr="00313A45" w:rsidRDefault="00313A45" w:rsidP="00313A45">
            <w:pPr>
              <w:spacing w:line="360" w:lineRule="auto"/>
              <w:jc w:val="center"/>
              <w:rPr>
                <w:b/>
                <w:bCs/>
              </w:rPr>
            </w:pPr>
            <w:r>
              <w:rPr>
                <w:b/>
                <w:bCs/>
              </w:rPr>
              <w:t>Year</w:t>
            </w:r>
          </w:p>
        </w:tc>
        <w:tc>
          <w:tcPr>
            <w:tcW w:w="1803" w:type="dxa"/>
          </w:tcPr>
          <w:p w14:paraId="2D9DD1A1" w14:textId="2334A2FB" w:rsidR="00313A45" w:rsidRPr="00313A45" w:rsidRDefault="00313A45" w:rsidP="00313A45">
            <w:pPr>
              <w:spacing w:line="360" w:lineRule="auto"/>
              <w:jc w:val="center"/>
              <w:rPr>
                <w:b/>
                <w:bCs/>
              </w:rPr>
            </w:pPr>
            <w:r>
              <w:rPr>
                <w:b/>
                <w:bCs/>
              </w:rPr>
              <w:t>Pre-Tax Cash Flow</w:t>
            </w:r>
          </w:p>
        </w:tc>
        <w:tc>
          <w:tcPr>
            <w:tcW w:w="1803" w:type="dxa"/>
          </w:tcPr>
          <w:p w14:paraId="1A7FD0C7" w14:textId="13F235EA" w:rsidR="00313A45" w:rsidRPr="00313A45" w:rsidRDefault="00313A45" w:rsidP="00313A45">
            <w:pPr>
              <w:spacing w:line="360" w:lineRule="auto"/>
              <w:jc w:val="center"/>
              <w:rPr>
                <w:b/>
                <w:bCs/>
              </w:rPr>
            </w:pPr>
            <w:r>
              <w:rPr>
                <w:b/>
                <w:bCs/>
              </w:rPr>
              <w:t>Tax (25%)</w:t>
            </w:r>
          </w:p>
        </w:tc>
        <w:tc>
          <w:tcPr>
            <w:tcW w:w="1803" w:type="dxa"/>
          </w:tcPr>
          <w:p w14:paraId="34791A1E" w14:textId="08DF97AB" w:rsidR="00313A45" w:rsidRPr="00313A45" w:rsidRDefault="00313A45" w:rsidP="00313A45">
            <w:pPr>
              <w:spacing w:line="360" w:lineRule="auto"/>
              <w:jc w:val="center"/>
              <w:rPr>
                <w:b/>
                <w:bCs/>
              </w:rPr>
            </w:pPr>
            <w:r>
              <w:rPr>
                <w:b/>
                <w:bCs/>
              </w:rPr>
              <w:t>Tax Shield</w:t>
            </w:r>
          </w:p>
        </w:tc>
        <w:tc>
          <w:tcPr>
            <w:tcW w:w="1804" w:type="dxa"/>
          </w:tcPr>
          <w:p w14:paraId="24EBB0BD" w14:textId="458F4258" w:rsidR="00313A45" w:rsidRPr="00313A45" w:rsidRDefault="00313A45" w:rsidP="00313A45">
            <w:pPr>
              <w:spacing w:line="360" w:lineRule="auto"/>
              <w:jc w:val="center"/>
              <w:rPr>
                <w:b/>
                <w:bCs/>
              </w:rPr>
            </w:pPr>
            <w:r>
              <w:rPr>
                <w:b/>
                <w:bCs/>
              </w:rPr>
              <w:t>After-Tax Cash Flow</w:t>
            </w:r>
          </w:p>
        </w:tc>
      </w:tr>
      <w:tr w:rsidR="00313A45" w14:paraId="02B4AC9F" w14:textId="77777777" w:rsidTr="00313A45">
        <w:tc>
          <w:tcPr>
            <w:tcW w:w="1803" w:type="dxa"/>
          </w:tcPr>
          <w:p w14:paraId="6235BC35" w14:textId="0AF3DB15" w:rsidR="00313A45" w:rsidRDefault="00C64AE2" w:rsidP="00313A45">
            <w:pPr>
              <w:spacing w:line="360" w:lineRule="auto"/>
              <w:jc w:val="center"/>
            </w:pPr>
            <w:r>
              <w:t>0</w:t>
            </w:r>
          </w:p>
        </w:tc>
        <w:tc>
          <w:tcPr>
            <w:tcW w:w="1803" w:type="dxa"/>
          </w:tcPr>
          <w:p w14:paraId="428222EF" w14:textId="75328D44" w:rsidR="00313A45" w:rsidRDefault="00C64AE2" w:rsidP="00313A45">
            <w:pPr>
              <w:spacing w:line="360" w:lineRule="auto"/>
              <w:jc w:val="center"/>
            </w:pPr>
            <w:r>
              <w:t>(</w:t>
            </w:r>
            <w:r w:rsidRPr="00C64AE2">
              <w:t>£</w:t>
            </w:r>
            <w:r>
              <w:t>600,000)</w:t>
            </w:r>
          </w:p>
        </w:tc>
        <w:tc>
          <w:tcPr>
            <w:tcW w:w="1803" w:type="dxa"/>
          </w:tcPr>
          <w:p w14:paraId="1582FC6D" w14:textId="77777777" w:rsidR="00313A45" w:rsidRDefault="00313A45" w:rsidP="00313A45">
            <w:pPr>
              <w:spacing w:line="360" w:lineRule="auto"/>
              <w:jc w:val="center"/>
            </w:pPr>
          </w:p>
        </w:tc>
        <w:tc>
          <w:tcPr>
            <w:tcW w:w="1803" w:type="dxa"/>
          </w:tcPr>
          <w:p w14:paraId="5D1A8DA7" w14:textId="77777777" w:rsidR="00313A45" w:rsidRDefault="00313A45" w:rsidP="00313A45">
            <w:pPr>
              <w:spacing w:line="360" w:lineRule="auto"/>
              <w:jc w:val="center"/>
            </w:pPr>
          </w:p>
        </w:tc>
        <w:tc>
          <w:tcPr>
            <w:tcW w:w="1804" w:type="dxa"/>
          </w:tcPr>
          <w:p w14:paraId="5EB93860" w14:textId="40E3D885" w:rsidR="00313A45" w:rsidRDefault="00C64AE2" w:rsidP="00313A45">
            <w:pPr>
              <w:spacing w:line="360" w:lineRule="auto"/>
              <w:jc w:val="center"/>
            </w:pPr>
            <w:r>
              <w:t>(</w:t>
            </w:r>
            <w:r w:rsidRPr="00C64AE2">
              <w:t>£</w:t>
            </w:r>
            <w:r>
              <w:t>600,000)</w:t>
            </w:r>
          </w:p>
        </w:tc>
      </w:tr>
      <w:tr w:rsidR="00313A45" w14:paraId="12BCDDA4" w14:textId="77777777" w:rsidTr="00313A45">
        <w:tc>
          <w:tcPr>
            <w:tcW w:w="1803" w:type="dxa"/>
          </w:tcPr>
          <w:p w14:paraId="684EF8E5" w14:textId="48287B70" w:rsidR="00313A45" w:rsidRDefault="00C64AE2" w:rsidP="00313A45">
            <w:pPr>
              <w:spacing w:line="360" w:lineRule="auto"/>
              <w:jc w:val="center"/>
            </w:pPr>
            <w:r>
              <w:t>1</w:t>
            </w:r>
          </w:p>
        </w:tc>
        <w:tc>
          <w:tcPr>
            <w:tcW w:w="1803" w:type="dxa"/>
          </w:tcPr>
          <w:p w14:paraId="38AF5EAF" w14:textId="37B004E0" w:rsidR="00313A45" w:rsidRDefault="00C64AE2" w:rsidP="00313A45">
            <w:pPr>
              <w:spacing w:line="360" w:lineRule="auto"/>
              <w:jc w:val="center"/>
            </w:pPr>
            <w:r w:rsidRPr="00C64AE2">
              <w:t>£</w:t>
            </w:r>
            <w:r>
              <w:t>200,000</w:t>
            </w:r>
          </w:p>
        </w:tc>
        <w:tc>
          <w:tcPr>
            <w:tcW w:w="1803" w:type="dxa"/>
          </w:tcPr>
          <w:p w14:paraId="3AD022DC" w14:textId="35D7B034" w:rsidR="00313A45" w:rsidRDefault="00C64AE2" w:rsidP="00313A45">
            <w:pPr>
              <w:spacing w:line="360" w:lineRule="auto"/>
              <w:jc w:val="center"/>
            </w:pPr>
            <w:r>
              <w:t>(</w:t>
            </w:r>
            <w:r w:rsidRPr="00C64AE2">
              <w:t>£</w:t>
            </w:r>
            <w:r>
              <w:t>50,000)</w:t>
            </w:r>
          </w:p>
        </w:tc>
        <w:tc>
          <w:tcPr>
            <w:tcW w:w="1803" w:type="dxa"/>
          </w:tcPr>
          <w:p w14:paraId="5DD6301B" w14:textId="042224DE" w:rsidR="00313A45" w:rsidRDefault="00C64AE2" w:rsidP="00313A45">
            <w:pPr>
              <w:spacing w:line="360" w:lineRule="auto"/>
              <w:jc w:val="center"/>
            </w:pPr>
            <w:r w:rsidRPr="00C64AE2">
              <w:t>£</w:t>
            </w:r>
            <w:r>
              <w:t>30,000</w:t>
            </w:r>
          </w:p>
        </w:tc>
        <w:tc>
          <w:tcPr>
            <w:tcW w:w="1804" w:type="dxa"/>
          </w:tcPr>
          <w:p w14:paraId="7D006202" w14:textId="1DCF2B46" w:rsidR="00313A45" w:rsidRDefault="00C64AE2" w:rsidP="00313A45">
            <w:pPr>
              <w:spacing w:line="360" w:lineRule="auto"/>
              <w:jc w:val="center"/>
            </w:pPr>
            <w:r w:rsidRPr="00C64AE2">
              <w:t>£</w:t>
            </w:r>
            <w:r>
              <w:t>180,000</w:t>
            </w:r>
          </w:p>
        </w:tc>
      </w:tr>
      <w:tr w:rsidR="00313A45" w14:paraId="4E7EC5A6" w14:textId="77777777" w:rsidTr="00313A45">
        <w:tc>
          <w:tcPr>
            <w:tcW w:w="1803" w:type="dxa"/>
          </w:tcPr>
          <w:p w14:paraId="728F9A3E" w14:textId="5414441D" w:rsidR="00313A45" w:rsidRDefault="00C64AE2" w:rsidP="00313A45">
            <w:pPr>
              <w:spacing w:line="360" w:lineRule="auto"/>
              <w:jc w:val="center"/>
            </w:pPr>
            <w:r>
              <w:t>2</w:t>
            </w:r>
          </w:p>
        </w:tc>
        <w:tc>
          <w:tcPr>
            <w:tcW w:w="1803" w:type="dxa"/>
          </w:tcPr>
          <w:p w14:paraId="0A1D292C" w14:textId="7F844119" w:rsidR="00313A45" w:rsidRDefault="00C64AE2" w:rsidP="00313A45">
            <w:pPr>
              <w:spacing w:line="360" w:lineRule="auto"/>
              <w:jc w:val="center"/>
            </w:pPr>
            <w:r w:rsidRPr="00C64AE2">
              <w:t>£</w:t>
            </w:r>
            <w:r>
              <w:t>400,000</w:t>
            </w:r>
          </w:p>
        </w:tc>
        <w:tc>
          <w:tcPr>
            <w:tcW w:w="1803" w:type="dxa"/>
          </w:tcPr>
          <w:p w14:paraId="1BC13F26" w14:textId="125B647D" w:rsidR="00313A45" w:rsidRDefault="00C64AE2" w:rsidP="00313A45">
            <w:pPr>
              <w:spacing w:line="360" w:lineRule="auto"/>
              <w:jc w:val="center"/>
            </w:pPr>
            <w:r>
              <w:t>(</w:t>
            </w:r>
            <w:r w:rsidRPr="00C64AE2">
              <w:t>£</w:t>
            </w:r>
            <w:r>
              <w:t>100,000)</w:t>
            </w:r>
          </w:p>
        </w:tc>
        <w:tc>
          <w:tcPr>
            <w:tcW w:w="1803" w:type="dxa"/>
          </w:tcPr>
          <w:p w14:paraId="5FA05731" w14:textId="0B4FB3DD" w:rsidR="00313A45" w:rsidRDefault="00C64AE2" w:rsidP="00313A45">
            <w:pPr>
              <w:spacing w:line="360" w:lineRule="auto"/>
              <w:jc w:val="center"/>
            </w:pPr>
            <w:r w:rsidRPr="00C64AE2">
              <w:t>£</w:t>
            </w:r>
            <w:r>
              <w:t>30,000</w:t>
            </w:r>
          </w:p>
        </w:tc>
        <w:tc>
          <w:tcPr>
            <w:tcW w:w="1804" w:type="dxa"/>
          </w:tcPr>
          <w:p w14:paraId="253DCA18" w14:textId="5F072A66" w:rsidR="00313A45" w:rsidRDefault="00C64AE2" w:rsidP="00313A45">
            <w:pPr>
              <w:spacing w:line="360" w:lineRule="auto"/>
              <w:jc w:val="center"/>
            </w:pPr>
            <w:r w:rsidRPr="00C64AE2">
              <w:t>£</w:t>
            </w:r>
            <w:r>
              <w:t>330,000</w:t>
            </w:r>
          </w:p>
        </w:tc>
      </w:tr>
      <w:tr w:rsidR="00313A45" w14:paraId="1EAC3BE2" w14:textId="77777777" w:rsidTr="00313A45">
        <w:tc>
          <w:tcPr>
            <w:tcW w:w="1803" w:type="dxa"/>
          </w:tcPr>
          <w:p w14:paraId="70713D5B" w14:textId="2885F0DE" w:rsidR="00313A45" w:rsidRDefault="00C64AE2" w:rsidP="00313A45">
            <w:pPr>
              <w:spacing w:line="360" w:lineRule="auto"/>
              <w:jc w:val="center"/>
            </w:pPr>
            <w:r>
              <w:t>3</w:t>
            </w:r>
          </w:p>
        </w:tc>
        <w:tc>
          <w:tcPr>
            <w:tcW w:w="1803" w:type="dxa"/>
          </w:tcPr>
          <w:p w14:paraId="434BB3E9" w14:textId="61E224DB" w:rsidR="00313A45" w:rsidRDefault="00C64AE2" w:rsidP="00313A45">
            <w:pPr>
              <w:spacing w:line="360" w:lineRule="auto"/>
              <w:jc w:val="center"/>
            </w:pPr>
            <w:r w:rsidRPr="00C64AE2">
              <w:t>£</w:t>
            </w:r>
            <w:r>
              <w:t>500,000</w:t>
            </w:r>
          </w:p>
        </w:tc>
        <w:tc>
          <w:tcPr>
            <w:tcW w:w="1803" w:type="dxa"/>
          </w:tcPr>
          <w:p w14:paraId="4A41C231" w14:textId="09E9D4B3" w:rsidR="00313A45" w:rsidRDefault="00C64AE2" w:rsidP="00313A45">
            <w:pPr>
              <w:spacing w:line="360" w:lineRule="auto"/>
              <w:jc w:val="center"/>
            </w:pPr>
            <w:r>
              <w:t>(</w:t>
            </w:r>
            <w:r w:rsidRPr="00C64AE2">
              <w:t>£</w:t>
            </w:r>
            <w:r>
              <w:t>125,000)</w:t>
            </w:r>
          </w:p>
        </w:tc>
        <w:tc>
          <w:tcPr>
            <w:tcW w:w="1803" w:type="dxa"/>
          </w:tcPr>
          <w:p w14:paraId="57C3B5C1" w14:textId="0A5E1FFD" w:rsidR="00313A45" w:rsidRDefault="00C64AE2" w:rsidP="00313A45">
            <w:pPr>
              <w:spacing w:line="360" w:lineRule="auto"/>
              <w:jc w:val="center"/>
            </w:pPr>
            <w:r w:rsidRPr="00C64AE2">
              <w:t>£</w:t>
            </w:r>
            <w:r>
              <w:t>30,000</w:t>
            </w:r>
          </w:p>
        </w:tc>
        <w:tc>
          <w:tcPr>
            <w:tcW w:w="1804" w:type="dxa"/>
          </w:tcPr>
          <w:p w14:paraId="0A2092CB" w14:textId="6D7AE327" w:rsidR="00313A45" w:rsidRDefault="00C64AE2" w:rsidP="00313A45">
            <w:pPr>
              <w:spacing w:line="360" w:lineRule="auto"/>
              <w:jc w:val="center"/>
            </w:pPr>
            <w:r w:rsidRPr="00C64AE2">
              <w:t>£</w:t>
            </w:r>
            <w:r>
              <w:t>405,000</w:t>
            </w:r>
          </w:p>
        </w:tc>
      </w:tr>
      <w:tr w:rsidR="00313A45" w14:paraId="19ED4559" w14:textId="77777777" w:rsidTr="00313A45">
        <w:tc>
          <w:tcPr>
            <w:tcW w:w="1803" w:type="dxa"/>
          </w:tcPr>
          <w:p w14:paraId="5082012D" w14:textId="35763071" w:rsidR="00313A45" w:rsidRDefault="00C64AE2" w:rsidP="00313A45">
            <w:pPr>
              <w:spacing w:line="360" w:lineRule="auto"/>
              <w:jc w:val="center"/>
            </w:pPr>
            <w:r>
              <w:t>4</w:t>
            </w:r>
          </w:p>
        </w:tc>
        <w:tc>
          <w:tcPr>
            <w:tcW w:w="1803" w:type="dxa"/>
          </w:tcPr>
          <w:p w14:paraId="2673FE68" w14:textId="22808B30" w:rsidR="00313A45" w:rsidRDefault="00C64AE2" w:rsidP="00313A45">
            <w:pPr>
              <w:spacing w:line="360" w:lineRule="auto"/>
              <w:jc w:val="center"/>
            </w:pPr>
            <w:r w:rsidRPr="00C64AE2">
              <w:t>£</w:t>
            </w:r>
            <w:r>
              <w:t>700,000</w:t>
            </w:r>
          </w:p>
        </w:tc>
        <w:tc>
          <w:tcPr>
            <w:tcW w:w="1803" w:type="dxa"/>
          </w:tcPr>
          <w:p w14:paraId="4AF39434" w14:textId="2DCF61D3" w:rsidR="00313A45" w:rsidRDefault="00C64AE2" w:rsidP="00313A45">
            <w:pPr>
              <w:spacing w:line="360" w:lineRule="auto"/>
              <w:jc w:val="center"/>
            </w:pPr>
            <w:r>
              <w:t>(</w:t>
            </w:r>
            <w:r w:rsidRPr="00C64AE2">
              <w:t>£</w:t>
            </w:r>
            <w:r>
              <w:t>175,000)</w:t>
            </w:r>
          </w:p>
        </w:tc>
        <w:tc>
          <w:tcPr>
            <w:tcW w:w="1803" w:type="dxa"/>
          </w:tcPr>
          <w:p w14:paraId="7D89601C" w14:textId="6A470391" w:rsidR="00313A45" w:rsidRDefault="00C64AE2" w:rsidP="00313A45">
            <w:pPr>
              <w:spacing w:line="360" w:lineRule="auto"/>
              <w:jc w:val="center"/>
            </w:pPr>
            <w:r w:rsidRPr="00C64AE2">
              <w:t>£</w:t>
            </w:r>
            <w:r>
              <w:t>30,000</w:t>
            </w:r>
          </w:p>
        </w:tc>
        <w:tc>
          <w:tcPr>
            <w:tcW w:w="1804" w:type="dxa"/>
          </w:tcPr>
          <w:p w14:paraId="1A390E7B" w14:textId="59830895" w:rsidR="00313A45" w:rsidRDefault="00C64AE2" w:rsidP="00313A45">
            <w:pPr>
              <w:spacing w:line="360" w:lineRule="auto"/>
              <w:jc w:val="center"/>
            </w:pPr>
            <w:r w:rsidRPr="00C64AE2">
              <w:t>£</w:t>
            </w:r>
            <w:r>
              <w:t>555,000</w:t>
            </w:r>
          </w:p>
        </w:tc>
      </w:tr>
    </w:tbl>
    <w:p w14:paraId="6DEAFB6F" w14:textId="1735BABA" w:rsidR="00C64AE2" w:rsidRDefault="00C64AE2" w:rsidP="00C64AE2">
      <w:pPr>
        <w:spacing w:line="360" w:lineRule="auto"/>
        <w:rPr>
          <w:b/>
          <w:bCs/>
          <w:lang w:val="en-US"/>
        </w:rPr>
      </w:pPr>
      <w:r>
        <w:rPr>
          <w:b/>
          <w:bCs/>
          <w:lang w:val="en-US"/>
        </w:rPr>
        <w:t>Option – B: Internet Sales Development</w:t>
      </w:r>
    </w:p>
    <w:p w14:paraId="6ABCBF3E" w14:textId="61D4BC0C" w:rsidR="00C64AE2" w:rsidRDefault="00C64AE2" w:rsidP="00C64AE2">
      <w:pPr>
        <w:spacing w:line="360" w:lineRule="auto"/>
      </w:pPr>
      <w:r>
        <w:rPr>
          <w:lang w:val="en-US"/>
        </w:rPr>
        <w:t xml:space="preserve">Initial Investment required is </w:t>
      </w:r>
      <w:r w:rsidRPr="00802817">
        <w:t>£</w:t>
      </w:r>
      <w:r>
        <w:t>1,000,000</w:t>
      </w:r>
      <w:r w:rsidR="00B921D0">
        <w:t>,</w:t>
      </w:r>
      <w:r>
        <w:t xml:space="preserve"> with capital allowance per annum calculated to </w:t>
      </w:r>
      <w:r w:rsidRPr="00802817">
        <w:t>£</w:t>
      </w:r>
      <w:r>
        <w:t>200,000</w:t>
      </w:r>
      <w:r w:rsidR="00B921D0">
        <w:t>,</w:t>
      </w:r>
      <w:r>
        <w:t xml:space="preserve"> and tax shield arising is </w:t>
      </w:r>
      <w:r w:rsidRPr="00802817">
        <w:t>£</w:t>
      </w:r>
      <w:r>
        <w:t>50,000 per annum. Now, the after-tax cash flow is calculated for the project.</w:t>
      </w:r>
    </w:p>
    <w:tbl>
      <w:tblPr>
        <w:tblStyle w:val="TableGrid"/>
        <w:tblW w:w="0" w:type="auto"/>
        <w:tblLook w:val="04A0" w:firstRow="1" w:lastRow="0" w:firstColumn="1" w:lastColumn="0" w:noHBand="0" w:noVBand="1"/>
      </w:tblPr>
      <w:tblGrid>
        <w:gridCol w:w="1803"/>
        <w:gridCol w:w="1803"/>
        <w:gridCol w:w="1803"/>
        <w:gridCol w:w="1803"/>
        <w:gridCol w:w="1804"/>
      </w:tblGrid>
      <w:tr w:rsidR="00C64AE2" w14:paraId="6A434BA5" w14:textId="77777777" w:rsidTr="00F4524F">
        <w:tc>
          <w:tcPr>
            <w:tcW w:w="1803" w:type="dxa"/>
          </w:tcPr>
          <w:p w14:paraId="66019958" w14:textId="77777777" w:rsidR="00C64AE2" w:rsidRPr="00313A45" w:rsidRDefault="00C64AE2" w:rsidP="00F4524F">
            <w:pPr>
              <w:spacing w:line="360" w:lineRule="auto"/>
              <w:jc w:val="center"/>
              <w:rPr>
                <w:b/>
                <w:bCs/>
              </w:rPr>
            </w:pPr>
            <w:r>
              <w:rPr>
                <w:b/>
                <w:bCs/>
              </w:rPr>
              <w:t>Year</w:t>
            </w:r>
          </w:p>
        </w:tc>
        <w:tc>
          <w:tcPr>
            <w:tcW w:w="1803" w:type="dxa"/>
          </w:tcPr>
          <w:p w14:paraId="6664AD6B" w14:textId="77777777" w:rsidR="00C64AE2" w:rsidRPr="00313A45" w:rsidRDefault="00C64AE2" w:rsidP="00F4524F">
            <w:pPr>
              <w:spacing w:line="360" w:lineRule="auto"/>
              <w:jc w:val="center"/>
              <w:rPr>
                <w:b/>
                <w:bCs/>
              </w:rPr>
            </w:pPr>
            <w:r>
              <w:rPr>
                <w:b/>
                <w:bCs/>
              </w:rPr>
              <w:t>Pre-Tax Cash Flow</w:t>
            </w:r>
          </w:p>
        </w:tc>
        <w:tc>
          <w:tcPr>
            <w:tcW w:w="1803" w:type="dxa"/>
          </w:tcPr>
          <w:p w14:paraId="3F5DC3A7" w14:textId="77777777" w:rsidR="00C64AE2" w:rsidRPr="00313A45" w:rsidRDefault="00C64AE2" w:rsidP="00F4524F">
            <w:pPr>
              <w:spacing w:line="360" w:lineRule="auto"/>
              <w:jc w:val="center"/>
              <w:rPr>
                <w:b/>
                <w:bCs/>
              </w:rPr>
            </w:pPr>
            <w:r>
              <w:rPr>
                <w:b/>
                <w:bCs/>
              </w:rPr>
              <w:t>Tax (25%)</w:t>
            </w:r>
          </w:p>
        </w:tc>
        <w:tc>
          <w:tcPr>
            <w:tcW w:w="1803" w:type="dxa"/>
          </w:tcPr>
          <w:p w14:paraId="0B27B916" w14:textId="77777777" w:rsidR="00C64AE2" w:rsidRPr="00313A45" w:rsidRDefault="00C64AE2" w:rsidP="00F4524F">
            <w:pPr>
              <w:spacing w:line="360" w:lineRule="auto"/>
              <w:jc w:val="center"/>
              <w:rPr>
                <w:b/>
                <w:bCs/>
              </w:rPr>
            </w:pPr>
            <w:r>
              <w:rPr>
                <w:b/>
                <w:bCs/>
              </w:rPr>
              <w:t>Tax Shield</w:t>
            </w:r>
          </w:p>
        </w:tc>
        <w:tc>
          <w:tcPr>
            <w:tcW w:w="1804" w:type="dxa"/>
          </w:tcPr>
          <w:p w14:paraId="0DF42530" w14:textId="77777777" w:rsidR="00C64AE2" w:rsidRPr="00313A45" w:rsidRDefault="00C64AE2" w:rsidP="00F4524F">
            <w:pPr>
              <w:spacing w:line="360" w:lineRule="auto"/>
              <w:jc w:val="center"/>
              <w:rPr>
                <w:b/>
                <w:bCs/>
              </w:rPr>
            </w:pPr>
            <w:r>
              <w:rPr>
                <w:b/>
                <w:bCs/>
              </w:rPr>
              <w:t>After-Tax Cash Flow</w:t>
            </w:r>
          </w:p>
        </w:tc>
      </w:tr>
      <w:tr w:rsidR="00C64AE2" w14:paraId="7EABB6EF" w14:textId="77777777" w:rsidTr="00F4524F">
        <w:tc>
          <w:tcPr>
            <w:tcW w:w="1803" w:type="dxa"/>
          </w:tcPr>
          <w:p w14:paraId="32B9F566" w14:textId="77777777" w:rsidR="00C64AE2" w:rsidRDefault="00C64AE2" w:rsidP="00F4524F">
            <w:pPr>
              <w:spacing w:line="360" w:lineRule="auto"/>
              <w:jc w:val="center"/>
            </w:pPr>
            <w:r>
              <w:t>0</w:t>
            </w:r>
          </w:p>
        </w:tc>
        <w:tc>
          <w:tcPr>
            <w:tcW w:w="1803" w:type="dxa"/>
          </w:tcPr>
          <w:p w14:paraId="23081895" w14:textId="3898D20C" w:rsidR="00C64AE2" w:rsidRDefault="00C64AE2" w:rsidP="00F4524F">
            <w:pPr>
              <w:spacing w:line="360" w:lineRule="auto"/>
              <w:jc w:val="center"/>
            </w:pPr>
            <w:r>
              <w:t>(</w:t>
            </w:r>
            <w:r w:rsidRPr="00C64AE2">
              <w:t>£</w:t>
            </w:r>
            <w:r>
              <w:t>1,000,000)</w:t>
            </w:r>
          </w:p>
        </w:tc>
        <w:tc>
          <w:tcPr>
            <w:tcW w:w="1803" w:type="dxa"/>
          </w:tcPr>
          <w:p w14:paraId="08A3CD65" w14:textId="77777777" w:rsidR="00C64AE2" w:rsidRDefault="00C64AE2" w:rsidP="00F4524F">
            <w:pPr>
              <w:spacing w:line="360" w:lineRule="auto"/>
              <w:jc w:val="center"/>
            </w:pPr>
          </w:p>
        </w:tc>
        <w:tc>
          <w:tcPr>
            <w:tcW w:w="1803" w:type="dxa"/>
          </w:tcPr>
          <w:p w14:paraId="0F0B5730" w14:textId="77777777" w:rsidR="00C64AE2" w:rsidRDefault="00C64AE2" w:rsidP="00F4524F">
            <w:pPr>
              <w:spacing w:line="360" w:lineRule="auto"/>
              <w:jc w:val="center"/>
            </w:pPr>
          </w:p>
        </w:tc>
        <w:tc>
          <w:tcPr>
            <w:tcW w:w="1804" w:type="dxa"/>
          </w:tcPr>
          <w:p w14:paraId="411C8875" w14:textId="5775990A" w:rsidR="00C64AE2" w:rsidRDefault="00C64AE2" w:rsidP="00F4524F">
            <w:pPr>
              <w:spacing w:line="360" w:lineRule="auto"/>
              <w:jc w:val="center"/>
            </w:pPr>
            <w:r>
              <w:t>(</w:t>
            </w:r>
            <w:r w:rsidRPr="00C64AE2">
              <w:t>£</w:t>
            </w:r>
            <w:r>
              <w:t>1,000,000)</w:t>
            </w:r>
          </w:p>
        </w:tc>
      </w:tr>
      <w:tr w:rsidR="00C64AE2" w14:paraId="5F5BBA34" w14:textId="77777777" w:rsidTr="00F4524F">
        <w:tc>
          <w:tcPr>
            <w:tcW w:w="1803" w:type="dxa"/>
          </w:tcPr>
          <w:p w14:paraId="1C95E523" w14:textId="77777777" w:rsidR="00C64AE2" w:rsidRDefault="00C64AE2" w:rsidP="00F4524F">
            <w:pPr>
              <w:spacing w:line="360" w:lineRule="auto"/>
              <w:jc w:val="center"/>
            </w:pPr>
            <w:r>
              <w:t>1</w:t>
            </w:r>
          </w:p>
        </w:tc>
        <w:tc>
          <w:tcPr>
            <w:tcW w:w="1803" w:type="dxa"/>
          </w:tcPr>
          <w:p w14:paraId="3D84425C" w14:textId="48CBF013" w:rsidR="00C64AE2" w:rsidRDefault="00C64AE2" w:rsidP="00F4524F">
            <w:pPr>
              <w:spacing w:line="360" w:lineRule="auto"/>
              <w:jc w:val="center"/>
            </w:pPr>
            <w:r w:rsidRPr="00C64AE2">
              <w:t>£</w:t>
            </w:r>
            <w:r>
              <w:t>400,000</w:t>
            </w:r>
          </w:p>
        </w:tc>
        <w:tc>
          <w:tcPr>
            <w:tcW w:w="1803" w:type="dxa"/>
          </w:tcPr>
          <w:p w14:paraId="15F2AAAD" w14:textId="441426B2" w:rsidR="00C64AE2" w:rsidRDefault="00C64AE2" w:rsidP="00F4524F">
            <w:pPr>
              <w:spacing w:line="360" w:lineRule="auto"/>
              <w:jc w:val="center"/>
            </w:pPr>
            <w:r>
              <w:t>(</w:t>
            </w:r>
            <w:r w:rsidRPr="00C64AE2">
              <w:t>£</w:t>
            </w:r>
            <w:r>
              <w:t>100,000)</w:t>
            </w:r>
          </w:p>
        </w:tc>
        <w:tc>
          <w:tcPr>
            <w:tcW w:w="1803" w:type="dxa"/>
          </w:tcPr>
          <w:p w14:paraId="198A6DDD" w14:textId="33F17AB3" w:rsidR="00C64AE2" w:rsidRDefault="00C64AE2" w:rsidP="00F4524F">
            <w:pPr>
              <w:spacing w:line="360" w:lineRule="auto"/>
              <w:jc w:val="center"/>
            </w:pPr>
            <w:r w:rsidRPr="00C64AE2">
              <w:t>£</w:t>
            </w:r>
            <w:r>
              <w:t>50,000</w:t>
            </w:r>
          </w:p>
        </w:tc>
        <w:tc>
          <w:tcPr>
            <w:tcW w:w="1804" w:type="dxa"/>
          </w:tcPr>
          <w:p w14:paraId="6EA587E8" w14:textId="701DD27D" w:rsidR="00C64AE2" w:rsidRDefault="00C64AE2" w:rsidP="00F4524F">
            <w:pPr>
              <w:spacing w:line="360" w:lineRule="auto"/>
              <w:jc w:val="center"/>
            </w:pPr>
            <w:r w:rsidRPr="00C64AE2">
              <w:t>£</w:t>
            </w:r>
            <w:r>
              <w:t>350,000</w:t>
            </w:r>
          </w:p>
        </w:tc>
      </w:tr>
      <w:tr w:rsidR="00C64AE2" w14:paraId="6D2C2265" w14:textId="77777777" w:rsidTr="00F4524F">
        <w:tc>
          <w:tcPr>
            <w:tcW w:w="1803" w:type="dxa"/>
          </w:tcPr>
          <w:p w14:paraId="5D033E85" w14:textId="77777777" w:rsidR="00C64AE2" w:rsidRDefault="00C64AE2" w:rsidP="00F4524F">
            <w:pPr>
              <w:spacing w:line="360" w:lineRule="auto"/>
              <w:jc w:val="center"/>
            </w:pPr>
            <w:r>
              <w:t>2</w:t>
            </w:r>
          </w:p>
        </w:tc>
        <w:tc>
          <w:tcPr>
            <w:tcW w:w="1803" w:type="dxa"/>
          </w:tcPr>
          <w:p w14:paraId="60826827" w14:textId="0B0E966B" w:rsidR="00C64AE2" w:rsidRDefault="00C64AE2" w:rsidP="00F4524F">
            <w:pPr>
              <w:spacing w:line="360" w:lineRule="auto"/>
              <w:jc w:val="center"/>
            </w:pPr>
            <w:r w:rsidRPr="00C64AE2">
              <w:t>£</w:t>
            </w:r>
            <w:r>
              <w:t>450,000</w:t>
            </w:r>
          </w:p>
        </w:tc>
        <w:tc>
          <w:tcPr>
            <w:tcW w:w="1803" w:type="dxa"/>
          </w:tcPr>
          <w:p w14:paraId="05E29955" w14:textId="7ECCAA5F" w:rsidR="00C64AE2" w:rsidRDefault="00C64AE2" w:rsidP="00F4524F">
            <w:pPr>
              <w:spacing w:line="360" w:lineRule="auto"/>
              <w:jc w:val="center"/>
            </w:pPr>
            <w:r>
              <w:t>(</w:t>
            </w:r>
            <w:r w:rsidRPr="00C64AE2">
              <w:t>£</w:t>
            </w:r>
            <w:r>
              <w:t>112,500)</w:t>
            </w:r>
          </w:p>
        </w:tc>
        <w:tc>
          <w:tcPr>
            <w:tcW w:w="1803" w:type="dxa"/>
          </w:tcPr>
          <w:p w14:paraId="6120FA57" w14:textId="7129638F" w:rsidR="00C64AE2" w:rsidRDefault="00C64AE2" w:rsidP="00F4524F">
            <w:pPr>
              <w:spacing w:line="360" w:lineRule="auto"/>
              <w:jc w:val="center"/>
            </w:pPr>
            <w:r w:rsidRPr="00C64AE2">
              <w:t>£</w:t>
            </w:r>
            <w:r>
              <w:t>50,000</w:t>
            </w:r>
          </w:p>
        </w:tc>
        <w:tc>
          <w:tcPr>
            <w:tcW w:w="1804" w:type="dxa"/>
          </w:tcPr>
          <w:p w14:paraId="4930B8BE" w14:textId="02C2DBE3" w:rsidR="00C64AE2" w:rsidRDefault="00C64AE2" w:rsidP="00F4524F">
            <w:pPr>
              <w:spacing w:line="360" w:lineRule="auto"/>
              <w:jc w:val="center"/>
            </w:pPr>
            <w:r w:rsidRPr="00C64AE2">
              <w:t>£</w:t>
            </w:r>
            <w:r>
              <w:t>387,500</w:t>
            </w:r>
          </w:p>
        </w:tc>
      </w:tr>
      <w:tr w:rsidR="00C64AE2" w14:paraId="4B3FCDBE" w14:textId="77777777" w:rsidTr="00F4524F">
        <w:tc>
          <w:tcPr>
            <w:tcW w:w="1803" w:type="dxa"/>
          </w:tcPr>
          <w:p w14:paraId="51306092" w14:textId="77777777" w:rsidR="00C64AE2" w:rsidRDefault="00C64AE2" w:rsidP="00F4524F">
            <w:pPr>
              <w:spacing w:line="360" w:lineRule="auto"/>
              <w:jc w:val="center"/>
            </w:pPr>
            <w:r>
              <w:t>3</w:t>
            </w:r>
          </w:p>
        </w:tc>
        <w:tc>
          <w:tcPr>
            <w:tcW w:w="1803" w:type="dxa"/>
          </w:tcPr>
          <w:p w14:paraId="47F59FD3" w14:textId="6D7C98B8" w:rsidR="00C64AE2" w:rsidRDefault="00C64AE2" w:rsidP="00F4524F">
            <w:pPr>
              <w:spacing w:line="360" w:lineRule="auto"/>
              <w:jc w:val="center"/>
            </w:pPr>
            <w:r w:rsidRPr="00C64AE2">
              <w:t>£</w:t>
            </w:r>
            <w:r>
              <w:t>720,000</w:t>
            </w:r>
          </w:p>
        </w:tc>
        <w:tc>
          <w:tcPr>
            <w:tcW w:w="1803" w:type="dxa"/>
          </w:tcPr>
          <w:p w14:paraId="350132E0" w14:textId="60CCA13B" w:rsidR="00C64AE2" w:rsidRDefault="00C64AE2" w:rsidP="00F4524F">
            <w:pPr>
              <w:spacing w:line="360" w:lineRule="auto"/>
              <w:jc w:val="center"/>
            </w:pPr>
            <w:r>
              <w:t>(</w:t>
            </w:r>
            <w:r w:rsidRPr="00C64AE2">
              <w:t>£</w:t>
            </w:r>
            <w:r>
              <w:t>180,000)</w:t>
            </w:r>
          </w:p>
        </w:tc>
        <w:tc>
          <w:tcPr>
            <w:tcW w:w="1803" w:type="dxa"/>
          </w:tcPr>
          <w:p w14:paraId="0A099152" w14:textId="57841AA8" w:rsidR="00C64AE2" w:rsidRDefault="00C64AE2" w:rsidP="00F4524F">
            <w:pPr>
              <w:spacing w:line="360" w:lineRule="auto"/>
              <w:jc w:val="center"/>
            </w:pPr>
            <w:r w:rsidRPr="00C64AE2">
              <w:t>£</w:t>
            </w:r>
            <w:r>
              <w:t>50,000</w:t>
            </w:r>
          </w:p>
        </w:tc>
        <w:tc>
          <w:tcPr>
            <w:tcW w:w="1804" w:type="dxa"/>
          </w:tcPr>
          <w:p w14:paraId="2C18B761" w14:textId="62EE9469" w:rsidR="00C64AE2" w:rsidRDefault="00C64AE2" w:rsidP="00F4524F">
            <w:pPr>
              <w:spacing w:line="360" w:lineRule="auto"/>
              <w:jc w:val="center"/>
            </w:pPr>
            <w:r w:rsidRPr="00C64AE2">
              <w:t>£</w:t>
            </w:r>
            <w:r>
              <w:t>590,000</w:t>
            </w:r>
          </w:p>
        </w:tc>
      </w:tr>
      <w:tr w:rsidR="00C64AE2" w14:paraId="6A385686" w14:textId="77777777" w:rsidTr="00F4524F">
        <w:tc>
          <w:tcPr>
            <w:tcW w:w="1803" w:type="dxa"/>
          </w:tcPr>
          <w:p w14:paraId="69C4D321" w14:textId="77777777" w:rsidR="00C64AE2" w:rsidRDefault="00C64AE2" w:rsidP="00F4524F">
            <w:pPr>
              <w:spacing w:line="360" w:lineRule="auto"/>
              <w:jc w:val="center"/>
            </w:pPr>
            <w:r>
              <w:t>4</w:t>
            </w:r>
          </w:p>
        </w:tc>
        <w:tc>
          <w:tcPr>
            <w:tcW w:w="1803" w:type="dxa"/>
          </w:tcPr>
          <w:p w14:paraId="3EE4826A" w14:textId="01686E52" w:rsidR="00C64AE2" w:rsidRDefault="00C64AE2" w:rsidP="00F4524F">
            <w:pPr>
              <w:spacing w:line="360" w:lineRule="auto"/>
              <w:jc w:val="center"/>
            </w:pPr>
            <w:r w:rsidRPr="00C64AE2">
              <w:t>£</w:t>
            </w:r>
            <w:r>
              <w:t>980,000</w:t>
            </w:r>
          </w:p>
        </w:tc>
        <w:tc>
          <w:tcPr>
            <w:tcW w:w="1803" w:type="dxa"/>
          </w:tcPr>
          <w:p w14:paraId="5F6BE5C9" w14:textId="558ED96B" w:rsidR="00C64AE2" w:rsidRDefault="00C64AE2" w:rsidP="00F4524F">
            <w:pPr>
              <w:spacing w:line="360" w:lineRule="auto"/>
              <w:jc w:val="center"/>
            </w:pPr>
            <w:r>
              <w:t>(</w:t>
            </w:r>
            <w:r w:rsidRPr="00C64AE2">
              <w:t>£</w:t>
            </w:r>
            <w:r>
              <w:t>245,000)</w:t>
            </w:r>
          </w:p>
        </w:tc>
        <w:tc>
          <w:tcPr>
            <w:tcW w:w="1803" w:type="dxa"/>
          </w:tcPr>
          <w:p w14:paraId="495B4296" w14:textId="408AB7A9" w:rsidR="00C64AE2" w:rsidRDefault="00C64AE2" w:rsidP="00F4524F">
            <w:pPr>
              <w:spacing w:line="360" w:lineRule="auto"/>
              <w:jc w:val="center"/>
            </w:pPr>
            <w:r w:rsidRPr="00C64AE2">
              <w:t>£</w:t>
            </w:r>
            <w:r>
              <w:t>50,000</w:t>
            </w:r>
          </w:p>
        </w:tc>
        <w:tc>
          <w:tcPr>
            <w:tcW w:w="1804" w:type="dxa"/>
          </w:tcPr>
          <w:p w14:paraId="4D1643EA" w14:textId="39A6CFB8" w:rsidR="00C64AE2" w:rsidRDefault="00C64AE2" w:rsidP="00F4524F">
            <w:pPr>
              <w:spacing w:line="360" w:lineRule="auto"/>
              <w:jc w:val="center"/>
            </w:pPr>
            <w:r w:rsidRPr="00C64AE2">
              <w:t>£</w:t>
            </w:r>
            <w:r>
              <w:t>785,000</w:t>
            </w:r>
          </w:p>
        </w:tc>
      </w:tr>
    </w:tbl>
    <w:p w14:paraId="70945AEF" w14:textId="736E952B" w:rsidR="00C64AE2" w:rsidRDefault="00C64AE2" w:rsidP="00C64AE2">
      <w:pPr>
        <w:spacing w:line="360" w:lineRule="auto"/>
        <w:rPr>
          <w:b/>
          <w:bCs/>
          <w:lang w:val="en-US"/>
        </w:rPr>
      </w:pPr>
      <w:r>
        <w:rPr>
          <w:b/>
          <w:bCs/>
          <w:lang w:val="en-US"/>
        </w:rPr>
        <w:t xml:space="preserve">Option – </w:t>
      </w:r>
      <w:r w:rsidR="005E5938">
        <w:rPr>
          <w:b/>
          <w:bCs/>
          <w:lang w:val="en-US"/>
        </w:rPr>
        <w:t>C</w:t>
      </w:r>
      <w:r>
        <w:rPr>
          <w:b/>
          <w:bCs/>
          <w:lang w:val="en-US"/>
        </w:rPr>
        <w:t xml:space="preserve">: </w:t>
      </w:r>
      <w:r w:rsidR="005E5938">
        <w:rPr>
          <w:b/>
          <w:bCs/>
          <w:lang w:val="en-US"/>
        </w:rPr>
        <w:t>Wooden and Roman Blinds</w:t>
      </w:r>
    </w:p>
    <w:p w14:paraId="06717252" w14:textId="4E2DEE2D" w:rsidR="00C64AE2" w:rsidRDefault="00C64AE2" w:rsidP="00C64AE2">
      <w:pPr>
        <w:spacing w:line="360" w:lineRule="auto"/>
      </w:pPr>
      <w:r>
        <w:rPr>
          <w:lang w:val="en-US"/>
        </w:rPr>
        <w:t xml:space="preserve">Initial Investment required is </w:t>
      </w:r>
      <w:r w:rsidRPr="00802817">
        <w:t>£</w:t>
      </w:r>
      <w:r w:rsidR="0018437C">
        <w:t>1,</w:t>
      </w:r>
      <w:r>
        <w:t>600,000</w:t>
      </w:r>
      <w:r w:rsidR="00B921D0">
        <w:t>,</w:t>
      </w:r>
      <w:r>
        <w:t xml:space="preserve"> with capital allowance per annum calculated to </w:t>
      </w:r>
      <w:r w:rsidRPr="00802817">
        <w:t>£</w:t>
      </w:r>
      <w:r w:rsidR="0018437C">
        <w:t>3</w:t>
      </w:r>
      <w:r>
        <w:t>20,000</w:t>
      </w:r>
      <w:r w:rsidR="00B921D0">
        <w:t>,</w:t>
      </w:r>
      <w:r>
        <w:t xml:space="preserve"> and tax shield arising is </w:t>
      </w:r>
      <w:r w:rsidRPr="00802817">
        <w:t>£</w:t>
      </w:r>
      <w:r w:rsidR="0018437C">
        <w:t>8</w:t>
      </w:r>
      <w:r>
        <w:t>0,000 per annum. Now, the after-tax cash flow is calculated for the project.</w:t>
      </w:r>
    </w:p>
    <w:tbl>
      <w:tblPr>
        <w:tblStyle w:val="TableGrid"/>
        <w:tblW w:w="0" w:type="auto"/>
        <w:tblLook w:val="04A0" w:firstRow="1" w:lastRow="0" w:firstColumn="1" w:lastColumn="0" w:noHBand="0" w:noVBand="1"/>
      </w:tblPr>
      <w:tblGrid>
        <w:gridCol w:w="1803"/>
        <w:gridCol w:w="1803"/>
        <w:gridCol w:w="1803"/>
        <w:gridCol w:w="1803"/>
        <w:gridCol w:w="1804"/>
      </w:tblGrid>
      <w:tr w:rsidR="00C64AE2" w14:paraId="76EE217B" w14:textId="77777777" w:rsidTr="00F4524F">
        <w:tc>
          <w:tcPr>
            <w:tcW w:w="1803" w:type="dxa"/>
          </w:tcPr>
          <w:p w14:paraId="493B720E" w14:textId="77777777" w:rsidR="00C64AE2" w:rsidRPr="00313A45" w:rsidRDefault="00C64AE2" w:rsidP="00F4524F">
            <w:pPr>
              <w:spacing w:line="360" w:lineRule="auto"/>
              <w:jc w:val="center"/>
              <w:rPr>
                <w:b/>
                <w:bCs/>
              </w:rPr>
            </w:pPr>
            <w:r>
              <w:rPr>
                <w:b/>
                <w:bCs/>
              </w:rPr>
              <w:t>Year</w:t>
            </w:r>
          </w:p>
        </w:tc>
        <w:tc>
          <w:tcPr>
            <w:tcW w:w="1803" w:type="dxa"/>
          </w:tcPr>
          <w:p w14:paraId="08935AC1" w14:textId="77777777" w:rsidR="00C64AE2" w:rsidRPr="00313A45" w:rsidRDefault="00C64AE2" w:rsidP="00F4524F">
            <w:pPr>
              <w:spacing w:line="360" w:lineRule="auto"/>
              <w:jc w:val="center"/>
              <w:rPr>
                <w:b/>
                <w:bCs/>
              </w:rPr>
            </w:pPr>
            <w:r>
              <w:rPr>
                <w:b/>
                <w:bCs/>
              </w:rPr>
              <w:t>Pre-Tax Cash Flow</w:t>
            </w:r>
          </w:p>
        </w:tc>
        <w:tc>
          <w:tcPr>
            <w:tcW w:w="1803" w:type="dxa"/>
          </w:tcPr>
          <w:p w14:paraId="180D6586" w14:textId="77777777" w:rsidR="00C64AE2" w:rsidRPr="00313A45" w:rsidRDefault="00C64AE2" w:rsidP="00F4524F">
            <w:pPr>
              <w:spacing w:line="360" w:lineRule="auto"/>
              <w:jc w:val="center"/>
              <w:rPr>
                <w:b/>
                <w:bCs/>
              </w:rPr>
            </w:pPr>
            <w:r>
              <w:rPr>
                <w:b/>
                <w:bCs/>
              </w:rPr>
              <w:t>Tax (25%)</w:t>
            </w:r>
          </w:p>
        </w:tc>
        <w:tc>
          <w:tcPr>
            <w:tcW w:w="1803" w:type="dxa"/>
          </w:tcPr>
          <w:p w14:paraId="54FC7D20" w14:textId="77777777" w:rsidR="00C64AE2" w:rsidRPr="00313A45" w:rsidRDefault="00C64AE2" w:rsidP="00F4524F">
            <w:pPr>
              <w:spacing w:line="360" w:lineRule="auto"/>
              <w:jc w:val="center"/>
              <w:rPr>
                <w:b/>
                <w:bCs/>
              </w:rPr>
            </w:pPr>
            <w:r>
              <w:rPr>
                <w:b/>
                <w:bCs/>
              </w:rPr>
              <w:t>Tax Shield</w:t>
            </w:r>
          </w:p>
        </w:tc>
        <w:tc>
          <w:tcPr>
            <w:tcW w:w="1804" w:type="dxa"/>
          </w:tcPr>
          <w:p w14:paraId="75591E59" w14:textId="77777777" w:rsidR="00C64AE2" w:rsidRPr="00313A45" w:rsidRDefault="00C64AE2" w:rsidP="00F4524F">
            <w:pPr>
              <w:spacing w:line="360" w:lineRule="auto"/>
              <w:jc w:val="center"/>
              <w:rPr>
                <w:b/>
                <w:bCs/>
              </w:rPr>
            </w:pPr>
            <w:r>
              <w:rPr>
                <w:b/>
                <w:bCs/>
              </w:rPr>
              <w:t>After-Tax Cash Flow</w:t>
            </w:r>
          </w:p>
        </w:tc>
      </w:tr>
      <w:tr w:rsidR="00C64AE2" w14:paraId="5D2A7AD4" w14:textId="77777777" w:rsidTr="00F4524F">
        <w:tc>
          <w:tcPr>
            <w:tcW w:w="1803" w:type="dxa"/>
          </w:tcPr>
          <w:p w14:paraId="28877448" w14:textId="77777777" w:rsidR="00C64AE2" w:rsidRDefault="00C64AE2" w:rsidP="00F4524F">
            <w:pPr>
              <w:spacing w:line="360" w:lineRule="auto"/>
              <w:jc w:val="center"/>
            </w:pPr>
            <w:r>
              <w:t>0</w:t>
            </w:r>
          </w:p>
        </w:tc>
        <w:tc>
          <w:tcPr>
            <w:tcW w:w="1803" w:type="dxa"/>
          </w:tcPr>
          <w:p w14:paraId="6F84A6B9" w14:textId="40E153F0" w:rsidR="00C64AE2" w:rsidRDefault="00C64AE2" w:rsidP="00F4524F">
            <w:pPr>
              <w:spacing w:line="360" w:lineRule="auto"/>
              <w:jc w:val="center"/>
            </w:pPr>
            <w:r>
              <w:t>(</w:t>
            </w:r>
            <w:r w:rsidRPr="00C64AE2">
              <w:t>£</w:t>
            </w:r>
            <w:r w:rsidR="0018437C">
              <w:t>1,</w:t>
            </w:r>
            <w:r>
              <w:t>600,000)</w:t>
            </w:r>
          </w:p>
        </w:tc>
        <w:tc>
          <w:tcPr>
            <w:tcW w:w="1803" w:type="dxa"/>
          </w:tcPr>
          <w:p w14:paraId="4EFD0CBB" w14:textId="77777777" w:rsidR="00C64AE2" w:rsidRDefault="00C64AE2" w:rsidP="00F4524F">
            <w:pPr>
              <w:spacing w:line="360" w:lineRule="auto"/>
              <w:jc w:val="center"/>
            </w:pPr>
          </w:p>
        </w:tc>
        <w:tc>
          <w:tcPr>
            <w:tcW w:w="1803" w:type="dxa"/>
          </w:tcPr>
          <w:p w14:paraId="5CDE2FC8" w14:textId="77777777" w:rsidR="00C64AE2" w:rsidRDefault="00C64AE2" w:rsidP="00F4524F">
            <w:pPr>
              <w:spacing w:line="360" w:lineRule="auto"/>
              <w:jc w:val="center"/>
            </w:pPr>
          </w:p>
        </w:tc>
        <w:tc>
          <w:tcPr>
            <w:tcW w:w="1804" w:type="dxa"/>
          </w:tcPr>
          <w:p w14:paraId="52DC014B" w14:textId="72D01869" w:rsidR="00C64AE2" w:rsidRDefault="00C64AE2" w:rsidP="00F4524F">
            <w:pPr>
              <w:spacing w:line="360" w:lineRule="auto"/>
              <w:jc w:val="center"/>
            </w:pPr>
            <w:r>
              <w:t>(</w:t>
            </w:r>
            <w:r w:rsidRPr="00C64AE2">
              <w:t>£</w:t>
            </w:r>
            <w:r w:rsidR="0018437C">
              <w:t>1,</w:t>
            </w:r>
            <w:r>
              <w:t>600,000)</w:t>
            </w:r>
          </w:p>
        </w:tc>
      </w:tr>
      <w:tr w:rsidR="00C64AE2" w14:paraId="6003CC4B" w14:textId="77777777" w:rsidTr="00F4524F">
        <w:tc>
          <w:tcPr>
            <w:tcW w:w="1803" w:type="dxa"/>
          </w:tcPr>
          <w:p w14:paraId="41B6F606" w14:textId="77777777" w:rsidR="00C64AE2" w:rsidRDefault="00C64AE2" w:rsidP="00F4524F">
            <w:pPr>
              <w:spacing w:line="360" w:lineRule="auto"/>
              <w:jc w:val="center"/>
            </w:pPr>
            <w:r>
              <w:t>1</w:t>
            </w:r>
          </w:p>
        </w:tc>
        <w:tc>
          <w:tcPr>
            <w:tcW w:w="1803" w:type="dxa"/>
          </w:tcPr>
          <w:p w14:paraId="23092A4F" w14:textId="76774613" w:rsidR="00C64AE2" w:rsidRDefault="00C64AE2" w:rsidP="00F4524F">
            <w:pPr>
              <w:spacing w:line="360" w:lineRule="auto"/>
              <w:jc w:val="center"/>
            </w:pPr>
            <w:r w:rsidRPr="00C64AE2">
              <w:t>£</w:t>
            </w:r>
            <w:r w:rsidR="0018437C">
              <w:t>45</w:t>
            </w:r>
            <w:r>
              <w:t>0,000</w:t>
            </w:r>
          </w:p>
        </w:tc>
        <w:tc>
          <w:tcPr>
            <w:tcW w:w="1803" w:type="dxa"/>
          </w:tcPr>
          <w:p w14:paraId="31A8E248" w14:textId="0425ED02" w:rsidR="00C64AE2" w:rsidRDefault="00C64AE2" w:rsidP="00F4524F">
            <w:pPr>
              <w:spacing w:line="360" w:lineRule="auto"/>
              <w:jc w:val="center"/>
            </w:pPr>
            <w:r>
              <w:t>(</w:t>
            </w:r>
            <w:r w:rsidRPr="00C64AE2">
              <w:t>£</w:t>
            </w:r>
            <w:r w:rsidR="0018437C">
              <w:t>112</w:t>
            </w:r>
            <w:r>
              <w:t>,</w:t>
            </w:r>
            <w:r w:rsidR="0018437C">
              <w:t>5</w:t>
            </w:r>
            <w:r>
              <w:t>00)</w:t>
            </w:r>
          </w:p>
        </w:tc>
        <w:tc>
          <w:tcPr>
            <w:tcW w:w="1803" w:type="dxa"/>
          </w:tcPr>
          <w:p w14:paraId="36FDA5DF" w14:textId="71E0A1B3" w:rsidR="00C64AE2" w:rsidRDefault="00C64AE2" w:rsidP="00F4524F">
            <w:pPr>
              <w:spacing w:line="360" w:lineRule="auto"/>
              <w:jc w:val="center"/>
            </w:pPr>
            <w:r w:rsidRPr="00C64AE2">
              <w:t>£</w:t>
            </w:r>
            <w:r w:rsidR="0018437C">
              <w:t>8</w:t>
            </w:r>
            <w:r>
              <w:t>0,000</w:t>
            </w:r>
          </w:p>
        </w:tc>
        <w:tc>
          <w:tcPr>
            <w:tcW w:w="1804" w:type="dxa"/>
          </w:tcPr>
          <w:p w14:paraId="3BD11AF4" w14:textId="726C5290" w:rsidR="00C64AE2" w:rsidRDefault="00C64AE2" w:rsidP="00F4524F">
            <w:pPr>
              <w:spacing w:line="360" w:lineRule="auto"/>
              <w:jc w:val="center"/>
            </w:pPr>
            <w:r w:rsidRPr="00C64AE2">
              <w:t>£</w:t>
            </w:r>
            <w:r w:rsidR="0018437C">
              <w:t>417</w:t>
            </w:r>
            <w:r>
              <w:t>,</w:t>
            </w:r>
            <w:r w:rsidR="0018437C">
              <w:t>5</w:t>
            </w:r>
            <w:r>
              <w:t>00</w:t>
            </w:r>
          </w:p>
        </w:tc>
      </w:tr>
      <w:tr w:rsidR="00C64AE2" w14:paraId="65BF3EC3" w14:textId="77777777" w:rsidTr="00F4524F">
        <w:tc>
          <w:tcPr>
            <w:tcW w:w="1803" w:type="dxa"/>
          </w:tcPr>
          <w:p w14:paraId="0CC1484B" w14:textId="77777777" w:rsidR="00C64AE2" w:rsidRDefault="00C64AE2" w:rsidP="00F4524F">
            <w:pPr>
              <w:spacing w:line="360" w:lineRule="auto"/>
              <w:jc w:val="center"/>
            </w:pPr>
            <w:r>
              <w:t>2</w:t>
            </w:r>
          </w:p>
        </w:tc>
        <w:tc>
          <w:tcPr>
            <w:tcW w:w="1803" w:type="dxa"/>
          </w:tcPr>
          <w:p w14:paraId="6DFF2010" w14:textId="25390404" w:rsidR="00C64AE2" w:rsidRDefault="00C64AE2" w:rsidP="00F4524F">
            <w:pPr>
              <w:spacing w:line="360" w:lineRule="auto"/>
              <w:jc w:val="center"/>
            </w:pPr>
            <w:r w:rsidRPr="00C64AE2">
              <w:t>£</w:t>
            </w:r>
            <w:r w:rsidR="0018437C">
              <w:t>70</w:t>
            </w:r>
            <w:r>
              <w:t>0,000</w:t>
            </w:r>
          </w:p>
        </w:tc>
        <w:tc>
          <w:tcPr>
            <w:tcW w:w="1803" w:type="dxa"/>
          </w:tcPr>
          <w:p w14:paraId="6F7DF634" w14:textId="38D866AB" w:rsidR="00C64AE2" w:rsidRDefault="00C64AE2" w:rsidP="00F4524F">
            <w:pPr>
              <w:spacing w:line="360" w:lineRule="auto"/>
              <w:jc w:val="center"/>
            </w:pPr>
            <w:r>
              <w:t>(</w:t>
            </w:r>
            <w:r w:rsidRPr="00C64AE2">
              <w:t>£</w:t>
            </w:r>
            <w:r>
              <w:t>1</w:t>
            </w:r>
            <w:r w:rsidR="0018437C">
              <w:t>75</w:t>
            </w:r>
            <w:r>
              <w:t>,000)</w:t>
            </w:r>
          </w:p>
        </w:tc>
        <w:tc>
          <w:tcPr>
            <w:tcW w:w="1803" w:type="dxa"/>
          </w:tcPr>
          <w:p w14:paraId="4E5B146A" w14:textId="3FF2A66D" w:rsidR="00C64AE2" w:rsidRDefault="00C64AE2" w:rsidP="00F4524F">
            <w:pPr>
              <w:spacing w:line="360" w:lineRule="auto"/>
              <w:jc w:val="center"/>
            </w:pPr>
            <w:r w:rsidRPr="00C64AE2">
              <w:t>£</w:t>
            </w:r>
            <w:r w:rsidR="0018437C">
              <w:t>8</w:t>
            </w:r>
            <w:r>
              <w:t>0,000</w:t>
            </w:r>
          </w:p>
        </w:tc>
        <w:tc>
          <w:tcPr>
            <w:tcW w:w="1804" w:type="dxa"/>
          </w:tcPr>
          <w:p w14:paraId="172AF32A" w14:textId="0F1BBF23" w:rsidR="00C64AE2" w:rsidRDefault="00C64AE2" w:rsidP="00F4524F">
            <w:pPr>
              <w:spacing w:line="360" w:lineRule="auto"/>
              <w:jc w:val="center"/>
            </w:pPr>
            <w:r w:rsidRPr="00C64AE2">
              <w:t>£</w:t>
            </w:r>
            <w:r w:rsidR="0018437C">
              <w:t>605</w:t>
            </w:r>
            <w:r>
              <w:t>,000</w:t>
            </w:r>
          </w:p>
        </w:tc>
      </w:tr>
      <w:tr w:rsidR="00C64AE2" w14:paraId="584BC950" w14:textId="77777777" w:rsidTr="00F4524F">
        <w:tc>
          <w:tcPr>
            <w:tcW w:w="1803" w:type="dxa"/>
          </w:tcPr>
          <w:p w14:paraId="74D7BAFE" w14:textId="77777777" w:rsidR="00C64AE2" w:rsidRDefault="00C64AE2" w:rsidP="00F4524F">
            <w:pPr>
              <w:spacing w:line="360" w:lineRule="auto"/>
              <w:jc w:val="center"/>
            </w:pPr>
            <w:r>
              <w:t>3</w:t>
            </w:r>
          </w:p>
        </w:tc>
        <w:tc>
          <w:tcPr>
            <w:tcW w:w="1803" w:type="dxa"/>
          </w:tcPr>
          <w:p w14:paraId="132DA1A8" w14:textId="361F1AF8" w:rsidR="00C64AE2" w:rsidRDefault="00C64AE2" w:rsidP="00F4524F">
            <w:pPr>
              <w:spacing w:line="360" w:lineRule="auto"/>
              <w:jc w:val="center"/>
            </w:pPr>
            <w:r w:rsidRPr="00C64AE2">
              <w:t>£</w:t>
            </w:r>
            <w:r w:rsidR="0018437C">
              <w:t>9</w:t>
            </w:r>
            <w:r>
              <w:t>00,000</w:t>
            </w:r>
          </w:p>
        </w:tc>
        <w:tc>
          <w:tcPr>
            <w:tcW w:w="1803" w:type="dxa"/>
          </w:tcPr>
          <w:p w14:paraId="589F556A" w14:textId="7EC5A48D" w:rsidR="00C64AE2" w:rsidRDefault="00C64AE2" w:rsidP="00F4524F">
            <w:pPr>
              <w:spacing w:line="360" w:lineRule="auto"/>
              <w:jc w:val="center"/>
            </w:pPr>
            <w:r>
              <w:t>(</w:t>
            </w:r>
            <w:r w:rsidRPr="00C64AE2">
              <w:t>£</w:t>
            </w:r>
            <w:r w:rsidR="0018437C">
              <w:t>225</w:t>
            </w:r>
            <w:r>
              <w:t>,000)</w:t>
            </w:r>
          </w:p>
        </w:tc>
        <w:tc>
          <w:tcPr>
            <w:tcW w:w="1803" w:type="dxa"/>
          </w:tcPr>
          <w:p w14:paraId="739CA3DD" w14:textId="7E119FDD" w:rsidR="00C64AE2" w:rsidRDefault="00C64AE2" w:rsidP="00F4524F">
            <w:pPr>
              <w:spacing w:line="360" w:lineRule="auto"/>
              <w:jc w:val="center"/>
            </w:pPr>
            <w:r w:rsidRPr="00C64AE2">
              <w:t>£</w:t>
            </w:r>
            <w:r w:rsidR="0018437C">
              <w:t>8</w:t>
            </w:r>
            <w:r>
              <w:t>0,000</w:t>
            </w:r>
          </w:p>
        </w:tc>
        <w:tc>
          <w:tcPr>
            <w:tcW w:w="1804" w:type="dxa"/>
          </w:tcPr>
          <w:p w14:paraId="5B4745C0" w14:textId="50A81834" w:rsidR="00C64AE2" w:rsidRDefault="00C64AE2" w:rsidP="00F4524F">
            <w:pPr>
              <w:spacing w:line="360" w:lineRule="auto"/>
              <w:jc w:val="center"/>
            </w:pPr>
            <w:r w:rsidRPr="00C64AE2">
              <w:t>£</w:t>
            </w:r>
            <w:r w:rsidR="0018437C">
              <w:t>755</w:t>
            </w:r>
            <w:r>
              <w:t>,000</w:t>
            </w:r>
          </w:p>
        </w:tc>
      </w:tr>
      <w:tr w:rsidR="00C64AE2" w14:paraId="0930FA2B" w14:textId="77777777" w:rsidTr="00F4524F">
        <w:tc>
          <w:tcPr>
            <w:tcW w:w="1803" w:type="dxa"/>
          </w:tcPr>
          <w:p w14:paraId="6E76F7D9" w14:textId="77777777" w:rsidR="00C64AE2" w:rsidRDefault="00C64AE2" w:rsidP="00F4524F">
            <w:pPr>
              <w:spacing w:line="360" w:lineRule="auto"/>
              <w:jc w:val="center"/>
            </w:pPr>
            <w:r>
              <w:t>4</w:t>
            </w:r>
          </w:p>
        </w:tc>
        <w:tc>
          <w:tcPr>
            <w:tcW w:w="1803" w:type="dxa"/>
          </w:tcPr>
          <w:p w14:paraId="650F2E59" w14:textId="7A58B37F" w:rsidR="00C64AE2" w:rsidRDefault="00C64AE2" w:rsidP="00F4524F">
            <w:pPr>
              <w:spacing w:line="360" w:lineRule="auto"/>
              <w:jc w:val="center"/>
            </w:pPr>
            <w:r w:rsidRPr="00C64AE2">
              <w:t>£</w:t>
            </w:r>
            <w:r w:rsidR="0018437C">
              <w:t>1,2</w:t>
            </w:r>
            <w:r>
              <w:t>00,000</w:t>
            </w:r>
          </w:p>
        </w:tc>
        <w:tc>
          <w:tcPr>
            <w:tcW w:w="1803" w:type="dxa"/>
          </w:tcPr>
          <w:p w14:paraId="1272098A" w14:textId="6C913BB3" w:rsidR="00C64AE2" w:rsidRDefault="00C64AE2" w:rsidP="00F4524F">
            <w:pPr>
              <w:spacing w:line="360" w:lineRule="auto"/>
              <w:jc w:val="center"/>
            </w:pPr>
            <w:r>
              <w:t>(</w:t>
            </w:r>
            <w:r w:rsidRPr="00C64AE2">
              <w:t>£</w:t>
            </w:r>
            <w:r w:rsidR="0018437C">
              <w:t>300</w:t>
            </w:r>
            <w:r>
              <w:t>,000)</w:t>
            </w:r>
          </w:p>
        </w:tc>
        <w:tc>
          <w:tcPr>
            <w:tcW w:w="1803" w:type="dxa"/>
          </w:tcPr>
          <w:p w14:paraId="3BE4BA9D" w14:textId="730EA442" w:rsidR="00C64AE2" w:rsidRDefault="00C64AE2" w:rsidP="00F4524F">
            <w:pPr>
              <w:spacing w:line="360" w:lineRule="auto"/>
              <w:jc w:val="center"/>
            </w:pPr>
            <w:r w:rsidRPr="00C64AE2">
              <w:t>£</w:t>
            </w:r>
            <w:r w:rsidR="0018437C">
              <w:t>8</w:t>
            </w:r>
            <w:r>
              <w:t>0,000</w:t>
            </w:r>
          </w:p>
        </w:tc>
        <w:tc>
          <w:tcPr>
            <w:tcW w:w="1804" w:type="dxa"/>
          </w:tcPr>
          <w:p w14:paraId="50D7FDD0" w14:textId="439C706D" w:rsidR="00C64AE2" w:rsidRDefault="00C64AE2" w:rsidP="00F4524F">
            <w:pPr>
              <w:spacing w:line="360" w:lineRule="auto"/>
              <w:jc w:val="center"/>
            </w:pPr>
            <w:r w:rsidRPr="00C64AE2">
              <w:t>£</w:t>
            </w:r>
            <w:r w:rsidR="0018437C">
              <w:t>980</w:t>
            </w:r>
            <w:r>
              <w:t>,000</w:t>
            </w:r>
          </w:p>
        </w:tc>
      </w:tr>
    </w:tbl>
    <w:p w14:paraId="5DF24699" w14:textId="3CEBA345" w:rsidR="00313A45" w:rsidRDefault="00CD393F" w:rsidP="00CA388D">
      <w:pPr>
        <w:spacing w:line="360" w:lineRule="auto"/>
        <w:rPr>
          <w:b/>
          <w:bCs/>
        </w:rPr>
      </w:pPr>
      <w:r>
        <w:rPr>
          <w:b/>
          <w:bCs/>
        </w:rPr>
        <w:t>Present Value Factor Calculation</w:t>
      </w:r>
    </w:p>
    <w:tbl>
      <w:tblPr>
        <w:tblStyle w:val="TableGrid"/>
        <w:tblW w:w="0" w:type="auto"/>
        <w:tblLook w:val="04A0" w:firstRow="1" w:lastRow="0" w:firstColumn="1" w:lastColumn="0" w:noHBand="0" w:noVBand="1"/>
      </w:tblPr>
      <w:tblGrid>
        <w:gridCol w:w="4508"/>
        <w:gridCol w:w="4508"/>
      </w:tblGrid>
      <w:tr w:rsidR="00CD393F" w14:paraId="7FA68BFE" w14:textId="77777777" w:rsidTr="00CD393F">
        <w:tc>
          <w:tcPr>
            <w:tcW w:w="4508" w:type="dxa"/>
          </w:tcPr>
          <w:p w14:paraId="2CA67408" w14:textId="4D5FE4E3" w:rsidR="00CD393F" w:rsidRPr="00CD393F" w:rsidRDefault="00CD393F" w:rsidP="00CD393F">
            <w:pPr>
              <w:spacing w:line="360" w:lineRule="auto"/>
              <w:jc w:val="center"/>
              <w:rPr>
                <w:b/>
                <w:bCs/>
              </w:rPr>
            </w:pPr>
            <w:r w:rsidRPr="00CD393F">
              <w:rPr>
                <w:b/>
                <w:bCs/>
              </w:rPr>
              <w:t>Year</w:t>
            </w:r>
          </w:p>
        </w:tc>
        <w:tc>
          <w:tcPr>
            <w:tcW w:w="4508" w:type="dxa"/>
          </w:tcPr>
          <w:p w14:paraId="08BE17DF" w14:textId="2C183802" w:rsidR="00CD393F" w:rsidRPr="00CD393F" w:rsidRDefault="00CD393F" w:rsidP="00CD393F">
            <w:pPr>
              <w:spacing w:line="360" w:lineRule="auto"/>
              <w:jc w:val="center"/>
              <w:rPr>
                <w:b/>
                <w:bCs/>
              </w:rPr>
            </w:pPr>
            <w:r>
              <w:rPr>
                <w:b/>
                <w:bCs/>
              </w:rPr>
              <w:t>PV Factor</w:t>
            </w:r>
          </w:p>
        </w:tc>
      </w:tr>
      <w:tr w:rsidR="00CD393F" w14:paraId="10028500" w14:textId="77777777" w:rsidTr="00CD393F">
        <w:tc>
          <w:tcPr>
            <w:tcW w:w="4508" w:type="dxa"/>
          </w:tcPr>
          <w:p w14:paraId="33558224" w14:textId="38295D99" w:rsidR="00CD393F" w:rsidRPr="00CD393F" w:rsidRDefault="00CD393F" w:rsidP="00CD393F">
            <w:pPr>
              <w:spacing w:line="360" w:lineRule="auto"/>
              <w:jc w:val="center"/>
            </w:pPr>
            <w:r w:rsidRPr="00CD393F">
              <w:t>1</w:t>
            </w:r>
          </w:p>
        </w:tc>
        <w:tc>
          <w:tcPr>
            <w:tcW w:w="4508" w:type="dxa"/>
          </w:tcPr>
          <w:p w14:paraId="726E6416" w14:textId="485368B4" w:rsidR="00CD393F" w:rsidRPr="00CD393F" w:rsidRDefault="00CD393F" w:rsidP="00CD393F">
            <w:pPr>
              <w:spacing w:line="360" w:lineRule="auto"/>
              <w:jc w:val="center"/>
            </w:pPr>
            <w:r>
              <w:t>0.9434</w:t>
            </w:r>
          </w:p>
        </w:tc>
      </w:tr>
      <w:tr w:rsidR="00CD393F" w14:paraId="6761B2F8" w14:textId="77777777" w:rsidTr="00CD393F">
        <w:tc>
          <w:tcPr>
            <w:tcW w:w="4508" w:type="dxa"/>
          </w:tcPr>
          <w:p w14:paraId="4BB4FEC8" w14:textId="25F88B41" w:rsidR="00CD393F" w:rsidRPr="00CD393F" w:rsidRDefault="00CD393F" w:rsidP="00CD393F">
            <w:pPr>
              <w:spacing w:line="360" w:lineRule="auto"/>
              <w:jc w:val="center"/>
            </w:pPr>
            <w:r w:rsidRPr="00CD393F">
              <w:t>2</w:t>
            </w:r>
          </w:p>
        </w:tc>
        <w:tc>
          <w:tcPr>
            <w:tcW w:w="4508" w:type="dxa"/>
          </w:tcPr>
          <w:p w14:paraId="799F17D1" w14:textId="35699676" w:rsidR="00CD393F" w:rsidRPr="00CD393F" w:rsidRDefault="00CD393F" w:rsidP="00CD393F">
            <w:pPr>
              <w:spacing w:line="360" w:lineRule="auto"/>
              <w:jc w:val="center"/>
            </w:pPr>
            <w:r>
              <w:t>0.8900</w:t>
            </w:r>
          </w:p>
        </w:tc>
      </w:tr>
      <w:tr w:rsidR="00CD393F" w14:paraId="58113EF3" w14:textId="77777777" w:rsidTr="00CD393F">
        <w:tc>
          <w:tcPr>
            <w:tcW w:w="4508" w:type="dxa"/>
          </w:tcPr>
          <w:p w14:paraId="2A1BD2A6" w14:textId="4B02F9D4" w:rsidR="00CD393F" w:rsidRPr="00CD393F" w:rsidRDefault="00CD393F" w:rsidP="00CD393F">
            <w:pPr>
              <w:spacing w:line="360" w:lineRule="auto"/>
              <w:jc w:val="center"/>
            </w:pPr>
            <w:r w:rsidRPr="00CD393F">
              <w:t>3</w:t>
            </w:r>
          </w:p>
        </w:tc>
        <w:tc>
          <w:tcPr>
            <w:tcW w:w="4508" w:type="dxa"/>
          </w:tcPr>
          <w:p w14:paraId="086CFC21" w14:textId="61E09C9E" w:rsidR="00CD393F" w:rsidRPr="00CD393F" w:rsidRDefault="00CD393F" w:rsidP="00CD393F">
            <w:pPr>
              <w:spacing w:line="360" w:lineRule="auto"/>
              <w:jc w:val="center"/>
            </w:pPr>
            <w:r>
              <w:t>0.8396</w:t>
            </w:r>
          </w:p>
        </w:tc>
      </w:tr>
      <w:tr w:rsidR="00CD393F" w14:paraId="27E58F6D" w14:textId="77777777" w:rsidTr="00CD393F">
        <w:tc>
          <w:tcPr>
            <w:tcW w:w="4508" w:type="dxa"/>
          </w:tcPr>
          <w:p w14:paraId="28A8DCA0" w14:textId="4C372337" w:rsidR="00CD393F" w:rsidRPr="00CD393F" w:rsidRDefault="00CD393F" w:rsidP="00CD393F">
            <w:pPr>
              <w:spacing w:line="360" w:lineRule="auto"/>
              <w:jc w:val="center"/>
            </w:pPr>
            <w:r w:rsidRPr="00CD393F">
              <w:t>4</w:t>
            </w:r>
          </w:p>
        </w:tc>
        <w:tc>
          <w:tcPr>
            <w:tcW w:w="4508" w:type="dxa"/>
          </w:tcPr>
          <w:p w14:paraId="7124B2A0" w14:textId="55133647" w:rsidR="00CD393F" w:rsidRPr="00CD393F" w:rsidRDefault="00CD393F" w:rsidP="00CD393F">
            <w:pPr>
              <w:spacing w:line="360" w:lineRule="auto"/>
              <w:jc w:val="center"/>
            </w:pPr>
            <w:r>
              <w:t>0.7921</w:t>
            </w:r>
          </w:p>
        </w:tc>
      </w:tr>
    </w:tbl>
    <w:p w14:paraId="4A6F9F79" w14:textId="07B99BA1" w:rsidR="00CD393F" w:rsidRDefault="00CD393F" w:rsidP="00CA388D">
      <w:pPr>
        <w:spacing w:line="360" w:lineRule="auto"/>
        <w:rPr>
          <w:b/>
          <w:bCs/>
        </w:rPr>
      </w:pPr>
      <w:r>
        <w:rPr>
          <w:b/>
          <w:bCs/>
        </w:rPr>
        <w:t>Calculation of Option A’s NPV</w:t>
      </w:r>
    </w:p>
    <w:p w14:paraId="7ACB36AF" w14:textId="347101C0" w:rsidR="00CD393F" w:rsidRDefault="00CD393F" w:rsidP="00CD393F">
      <w:pPr>
        <w:spacing w:line="360" w:lineRule="auto"/>
      </w:pPr>
      <w:r>
        <w:t>PV Year 1: £180,000 × 0.9434 = £169,812</w:t>
      </w:r>
    </w:p>
    <w:p w14:paraId="046009A6" w14:textId="79F483CB" w:rsidR="00CD393F" w:rsidRDefault="00CD393F" w:rsidP="00CD393F">
      <w:pPr>
        <w:spacing w:line="360" w:lineRule="auto"/>
      </w:pPr>
      <w:r>
        <w:t>PV Year 2: £330,000 × 0.8900 = £293,700</w:t>
      </w:r>
    </w:p>
    <w:p w14:paraId="188FA3C1" w14:textId="66FFAF49" w:rsidR="00CD393F" w:rsidRDefault="00CD393F" w:rsidP="00CD393F">
      <w:pPr>
        <w:spacing w:line="360" w:lineRule="auto"/>
      </w:pPr>
      <w:r>
        <w:t>PV Year 3: £405,000 × 0.8396 = £340,038</w:t>
      </w:r>
    </w:p>
    <w:p w14:paraId="18F72526" w14:textId="50C314BE" w:rsidR="00CD393F" w:rsidRDefault="00CD393F" w:rsidP="00CD393F">
      <w:pPr>
        <w:spacing w:line="360" w:lineRule="auto"/>
      </w:pPr>
      <w:r>
        <w:t>PV Year 4: £555,000 × 0.7921 = £439,616</w:t>
      </w:r>
    </w:p>
    <w:p w14:paraId="5A34F664" w14:textId="7F613F37" w:rsidR="00CD393F" w:rsidRDefault="00CD393F" w:rsidP="00CD393F">
      <w:pPr>
        <w:spacing w:line="360" w:lineRule="auto"/>
      </w:pPr>
      <w:r>
        <w:t>Total PV of Inflows: £1,243,166</w:t>
      </w:r>
    </w:p>
    <w:p w14:paraId="10578291" w14:textId="760A2CAF" w:rsidR="00CD393F" w:rsidRDefault="00CD393F" w:rsidP="00CD393F">
      <w:pPr>
        <w:spacing w:line="360" w:lineRule="auto"/>
      </w:pPr>
      <w:r>
        <w:t>Less: Initial Investment: £600,000</w:t>
      </w:r>
    </w:p>
    <w:p w14:paraId="2D2AC29A" w14:textId="0838BA96" w:rsidR="00CD393F" w:rsidRDefault="00CD393F" w:rsidP="00CD393F">
      <w:pPr>
        <w:spacing w:line="360" w:lineRule="auto"/>
        <w:rPr>
          <w:b/>
          <w:bCs/>
        </w:rPr>
      </w:pPr>
      <w:r w:rsidRPr="00CD393F">
        <w:rPr>
          <w:b/>
          <w:bCs/>
        </w:rPr>
        <w:t>NPV Option A: £643,166</w:t>
      </w:r>
    </w:p>
    <w:p w14:paraId="5540A596" w14:textId="658EC220" w:rsidR="00CD393F" w:rsidRDefault="00CD393F" w:rsidP="00CD393F">
      <w:pPr>
        <w:spacing w:line="360" w:lineRule="auto"/>
        <w:rPr>
          <w:b/>
          <w:bCs/>
        </w:rPr>
      </w:pPr>
      <w:r>
        <w:rPr>
          <w:b/>
          <w:bCs/>
        </w:rPr>
        <w:t>Calculation of Option B’s NPV</w:t>
      </w:r>
    </w:p>
    <w:p w14:paraId="2313FC80" w14:textId="77777777" w:rsidR="00CD393F" w:rsidRPr="00CD393F" w:rsidRDefault="00CD393F" w:rsidP="00CD393F">
      <w:pPr>
        <w:spacing w:line="360" w:lineRule="auto"/>
      </w:pPr>
      <w:r w:rsidRPr="00CD393F">
        <w:t>PV Year 1: £350,000 × 0.9434 = £330,190</w:t>
      </w:r>
    </w:p>
    <w:p w14:paraId="50CA75EB" w14:textId="77777777" w:rsidR="00CD393F" w:rsidRPr="00CD393F" w:rsidRDefault="00CD393F" w:rsidP="00CD393F">
      <w:pPr>
        <w:spacing w:line="360" w:lineRule="auto"/>
      </w:pPr>
      <w:r w:rsidRPr="00CD393F">
        <w:t>PV Year 2: £387,500 × 0.8900 = £344,875</w:t>
      </w:r>
    </w:p>
    <w:p w14:paraId="021A93CA" w14:textId="77777777" w:rsidR="00CD393F" w:rsidRPr="00CD393F" w:rsidRDefault="00CD393F" w:rsidP="00CD393F">
      <w:pPr>
        <w:spacing w:line="360" w:lineRule="auto"/>
      </w:pPr>
      <w:r w:rsidRPr="00CD393F">
        <w:t>PV Year 3: £590,000 × 0.8396 = £495,364</w:t>
      </w:r>
    </w:p>
    <w:p w14:paraId="50A45093" w14:textId="77777777" w:rsidR="00CD393F" w:rsidRPr="00CD393F" w:rsidRDefault="00CD393F" w:rsidP="00CD393F">
      <w:pPr>
        <w:spacing w:line="360" w:lineRule="auto"/>
      </w:pPr>
      <w:r w:rsidRPr="00CD393F">
        <w:t>PV Year 4: £785,000 × 0.7921 = £621,800</w:t>
      </w:r>
    </w:p>
    <w:p w14:paraId="4AB3E6FA" w14:textId="77777777" w:rsidR="00CD393F" w:rsidRPr="00CD393F" w:rsidRDefault="00CD393F" w:rsidP="00CD393F">
      <w:pPr>
        <w:spacing w:line="360" w:lineRule="auto"/>
      </w:pPr>
      <w:r w:rsidRPr="00CD393F">
        <w:t>Total PV of Inflows: £1,792,229</w:t>
      </w:r>
    </w:p>
    <w:p w14:paraId="72B0F1EA" w14:textId="77777777" w:rsidR="00CD393F" w:rsidRPr="00CD393F" w:rsidRDefault="00CD393F" w:rsidP="00CD393F">
      <w:pPr>
        <w:spacing w:line="360" w:lineRule="auto"/>
      </w:pPr>
      <w:r w:rsidRPr="00CD393F">
        <w:t>Less: Initial Investment: £1,000,000</w:t>
      </w:r>
    </w:p>
    <w:p w14:paraId="093D89D5" w14:textId="77777777" w:rsidR="00CD393F" w:rsidRPr="00CD393F" w:rsidRDefault="00CD393F" w:rsidP="00CD393F">
      <w:pPr>
        <w:spacing w:line="360" w:lineRule="auto"/>
      </w:pPr>
      <w:r w:rsidRPr="00CD393F">
        <w:rPr>
          <w:b/>
          <w:bCs/>
        </w:rPr>
        <w:t>NPV Option B: £792,229</w:t>
      </w:r>
    </w:p>
    <w:p w14:paraId="5F71D8C1" w14:textId="70D438B3" w:rsidR="00CD393F" w:rsidRDefault="00CD393F" w:rsidP="00CD393F">
      <w:pPr>
        <w:spacing w:line="360" w:lineRule="auto"/>
        <w:rPr>
          <w:b/>
          <w:bCs/>
        </w:rPr>
      </w:pPr>
      <w:r>
        <w:rPr>
          <w:b/>
          <w:bCs/>
        </w:rPr>
        <w:t>Calculation of Option C’s NPV</w:t>
      </w:r>
    </w:p>
    <w:p w14:paraId="43847ACF" w14:textId="77777777" w:rsidR="00CD393F" w:rsidRPr="00CD393F" w:rsidRDefault="00CD393F" w:rsidP="00CD393F">
      <w:pPr>
        <w:spacing w:line="360" w:lineRule="auto"/>
      </w:pPr>
      <w:r w:rsidRPr="00CD393F">
        <w:t>PV Year 1: £417,500 × 0.9434 = £393,869</w:t>
      </w:r>
    </w:p>
    <w:p w14:paraId="4C683CF4" w14:textId="77777777" w:rsidR="00CD393F" w:rsidRPr="00CD393F" w:rsidRDefault="00CD393F" w:rsidP="00CD393F">
      <w:pPr>
        <w:spacing w:line="360" w:lineRule="auto"/>
      </w:pPr>
      <w:r w:rsidRPr="00CD393F">
        <w:t>PV Year 2: £605,000 × 0.8900 = £538,450</w:t>
      </w:r>
    </w:p>
    <w:p w14:paraId="55F729BE" w14:textId="77777777" w:rsidR="00CD393F" w:rsidRPr="00CD393F" w:rsidRDefault="00CD393F" w:rsidP="00CD393F">
      <w:pPr>
        <w:spacing w:line="360" w:lineRule="auto"/>
      </w:pPr>
      <w:r w:rsidRPr="00CD393F">
        <w:t>PV Year 3: £755,000 × 0.8396 = £633,898</w:t>
      </w:r>
    </w:p>
    <w:p w14:paraId="06093458" w14:textId="77777777" w:rsidR="00CD393F" w:rsidRPr="00CD393F" w:rsidRDefault="00CD393F" w:rsidP="00CD393F">
      <w:pPr>
        <w:spacing w:line="360" w:lineRule="auto"/>
      </w:pPr>
      <w:r w:rsidRPr="00CD393F">
        <w:t>PV Year 4: £980,000 × 0.7921 = £776,258</w:t>
      </w:r>
    </w:p>
    <w:p w14:paraId="2A29D109" w14:textId="77777777" w:rsidR="00CD393F" w:rsidRPr="00CD393F" w:rsidRDefault="00CD393F" w:rsidP="00CD393F">
      <w:pPr>
        <w:spacing w:line="360" w:lineRule="auto"/>
      </w:pPr>
      <w:r w:rsidRPr="00CD393F">
        <w:t>Total PV of Inflows: £2,342,475</w:t>
      </w:r>
    </w:p>
    <w:p w14:paraId="21452189" w14:textId="77777777" w:rsidR="00CD393F" w:rsidRPr="00CD393F" w:rsidRDefault="00CD393F" w:rsidP="00CD393F">
      <w:pPr>
        <w:spacing w:line="360" w:lineRule="auto"/>
      </w:pPr>
      <w:r w:rsidRPr="00CD393F">
        <w:t>Less: Initial Investment: £1,600,000</w:t>
      </w:r>
    </w:p>
    <w:p w14:paraId="3B304562" w14:textId="41085383" w:rsidR="00CD393F" w:rsidRDefault="00CD393F" w:rsidP="00CD393F">
      <w:pPr>
        <w:spacing w:line="360" w:lineRule="auto"/>
        <w:rPr>
          <w:b/>
          <w:bCs/>
        </w:rPr>
      </w:pPr>
      <w:r w:rsidRPr="00CD393F">
        <w:rPr>
          <w:b/>
          <w:bCs/>
        </w:rPr>
        <w:t>NPV Option C: £742,475</w:t>
      </w:r>
    </w:p>
    <w:p w14:paraId="30AE6D95" w14:textId="6CF323A8" w:rsidR="00CD393F" w:rsidRPr="000011DB" w:rsidRDefault="00CD393F" w:rsidP="00CD393F">
      <w:pPr>
        <w:spacing w:line="360" w:lineRule="auto"/>
      </w:pPr>
      <w:r w:rsidRPr="00CD393F">
        <w:rPr>
          <w:b/>
          <w:bCs/>
        </w:rPr>
        <w:t xml:space="preserve">Conclusion: </w:t>
      </w:r>
      <w:r>
        <w:t>The company should invest in Option B as it has the highest net present value of all the options available to it</w:t>
      </w:r>
      <w:r w:rsidR="004F0012">
        <w:t xml:space="preserve"> based on the acceptance criteria for projects using the net present value appraisal method.</w:t>
      </w:r>
    </w:p>
    <w:p w14:paraId="343E4A09" w14:textId="306747C4" w:rsidR="000011DB" w:rsidRPr="000011DB" w:rsidRDefault="00243250"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0" w:name="_Toc219050014"/>
      <w:r>
        <w:rPr>
          <w:rFonts w:eastAsiaTheme="majorEastAsia" w:cs="Times New Roman"/>
          <w:b/>
          <w:bCs/>
          <w:color w:val="2F5496" w:themeColor="accent1" w:themeShade="BF"/>
          <w:szCs w:val="28"/>
          <w:lang w:val="en-US"/>
        </w:rPr>
        <w:t>I</w:t>
      </w:r>
      <w:r w:rsidR="000011DB" w:rsidRPr="000011DB">
        <w:rPr>
          <w:rFonts w:eastAsiaTheme="majorEastAsia" w:cs="Times New Roman"/>
          <w:b/>
          <w:bCs/>
          <w:color w:val="2F5496" w:themeColor="accent1" w:themeShade="BF"/>
          <w:szCs w:val="28"/>
          <w:lang w:val="en-US"/>
        </w:rPr>
        <w:t>nternal Rate of Return</w:t>
      </w:r>
      <w:bookmarkEnd w:id="20"/>
    </w:p>
    <w:p w14:paraId="54AB0EAA" w14:textId="3B6DF5EA" w:rsidR="000011DB" w:rsidRDefault="00B840A8" w:rsidP="00CA388D">
      <w:pPr>
        <w:spacing w:after="160" w:line="360" w:lineRule="auto"/>
        <w:rPr>
          <w:lang w:val="en-US"/>
        </w:rPr>
      </w:pPr>
      <w:r>
        <w:rPr>
          <w:lang w:val="en-US"/>
        </w:rPr>
        <w:t xml:space="preserve">Internal rate of return </w:t>
      </w:r>
      <w:r w:rsidR="008706DD">
        <w:rPr>
          <w:lang w:val="en-US"/>
        </w:rPr>
        <w:t xml:space="preserve">is the discount rate at which </w:t>
      </w:r>
      <w:r w:rsidR="00B921D0">
        <w:rPr>
          <w:lang w:val="en-US"/>
        </w:rPr>
        <w:t xml:space="preserve">the </w:t>
      </w:r>
      <w:r w:rsidR="008706DD">
        <w:rPr>
          <w:lang w:val="en-US"/>
        </w:rPr>
        <w:t>net present value of a project equals zero</w:t>
      </w:r>
      <w:r w:rsidR="00B921D0">
        <w:rPr>
          <w:lang w:val="en-US"/>
        </w:rPr>
        <w:t>,</w:t>
      </w:r>
      <w:r w:rsidR="008706DD">
        <w:rPr>
          <w:lang w:val="en-US"/>
        </w:rPr>
        <w:t xml:space="preserve"> which showcases the inherent rate of return of a project, helping to understand the minimum required return based on which a project is either accepted or rejected</w:t>
      </w:r>
      <w:r w:rsidR="007A3BEB">
        <w:rPr>
          <w:lang w:val="en-US"/>
        </w:rPr>
        <w:t xml:space="preserve"> (</w:t>
      </w:r>
      <w:r w:rsidR="007A3BEB" w:rsidRPr="007A3BEB">
        <w:t>Magni</w:t>
      </w:r>
      <w:r w:rsidR="007A3BEB">
        <w:t>, 2010)</w:t>
      </w:r>
      <w:r w:rsidR="008706DD">
        <w:rPr>
          <w:lang w:val="en-US"/>
        </w:rPr>
        <w:t xml:space="preserve">. </w:t>
      </w:r>
      <w:r w:rsidR="00E91716">
        <w:rPr>
          <w:lang w:val="en-US"/>
        </w:rPr>
        <w:t xml:space="preserve">On one hand, it helps to communicate with people with no knowledge of such appraisal methods efficiently and on </w:t>
      </w:r>
      <w:r w:rsidR="00B921D0">
        <w:rPr>
          <w:lang w:val="en-US"/>
        </w:rPr>
        <w:t xml:space="preserve">the </w:t>
      </w:r>
      <w:r w:rsidR="00E91716">
        <w:rPr>
          <w:lang w:val="en-US"/>
        </w:rPr>
        <w:t xml:space="preserve">other hand, </w:t>
      </w:r>
      <w:r w:rsidR="007F543E">
        <w:rPr>
          <w:lang w:val="en-US"/>
        </w:rPr>
        <w:t>it can make the comparison of various projects easier to undertake.</w:t>
      </w:r>
    </w:p>
    <w:p w14:paraId="356A08F1" w14:textId="7E5AAB8F" w:rsidR="00702133" w:rsidRDefault="001F2871" w:rsidP="00CA388D">
      <w:pPr>
        <w:spacing w:after="160" w:line="360" w:lineRule="auto"/>
        <w:rPr>
          <w:lang w:val="en-US"/>
        </w:rPr>
      </w:pPr>
      <w:r>
        <w:rPr>
          <w:lang w:val="en-US"/>
        </w:rPr>
        <w:t xml:space="preserve">In order to calculate </w:t>
      </w:r>
      <w:r w:rsidR="00B921D0">
        <w:rPr>
          <w:lang w:val="en-US"/>
        </w:rPr>
        <w:t xml:space="preserve">the </w:t>
      </w:r>
      <w:r>
        <w:rPr>
          <w:lang w:val="en-US"/>
        </w:rPr>
        <w:t>internal rate of return of a project, firstly, two discount rates need to be identified at which both positive and negative net present values can be achieved</w:t>
      </w:r>
      <w:r w:rsidR="00B921D0">
        <w:rPr>
          <w:lang w:val="en-US"/>
        </w:rPr>
        <w:t>,</w:t>
      </w:r>
      <w:r w:rsidR="005D7D2A">
        <w:rPr>
          <w:lang w:val="en-US"/>
        </w:rPr>
        <w:t xml:space="preserve"> after which, through interpolation, the zero-NPV rate is calculated. </w:t>
      </w:r>
      <w:r w:rsidR="00702133">
        <w:rPr>
          <w:lang w:val="en-US"/>
        </w:rPr>
        <w:t>Now, as Option B has been chosen as the most value-generating project for Westward PLC, the internal rate of return for the project is calculated below.</w:t>
      </w:r>
    </w:p>
    <w:p w14:paraId="2CFAAFB9" w14:textId="2A5E403E" w:rsidR="00702133" w:rsidRDefault="00702133" w:rsidP="00CA388D">
      <w:pPr>
        <w:spacing w:after="160" w:line="360" w:lineRule="auto"/>
      </w:pPr>
      <w:r>
        <w:rPr>
          <w:lang w:val="en-US"/>
        </w:rPr>
        <w:t xml:space="preserve">NPV at 6% discount rate has been calculated to be </w:t>
      </w:r>
      <w:r w:rsidRPr="00CD393F">
        <w:t>£</w:t>
      </w:r>
      <w:r>
        <w:t>792,229</w:t>
      </w:r>
      <w:r w:rsidR="00B921D0">
        <w:t>,</w:t>
      </w:r>
      <w:r>
        <w:t xml:space="preserve"> which is a positive net present value. Now, for achieving the negative net present value, the discount rate is being set at 37% and calculated below.</w:t>
      </w:r>
    </w:p>
    <w:p w14:paraId="3B246B03" w14:textId="77777777" w:rsidR="00702133" w:rsidRDefault="00702133" w:rsidP="00702133">
      <w:pPr>
        <w:spacing w:line="360" w:lineRule="auto"/>
        <w:rPr>
          <w:b/>
          <w:bCs/>
        </w:rPr>
      </w:pPr>
      <w:r>
        <w:rPr>
          <w:b/>
          <w:bCs/>
        </w:rPr>
        <w:t>Present Value Factor Calculation</w:t>
      </w:r>
    </w:p>
    <w:tbl>
      <w:tblPr>
        <w:tblStyle w:val="TableGrid"/>
        <w:tblW w:w="0" w:type="auto"/>
        <w:tblLook w:val="04A0" w:firstRow="1" w:lastRow="0" w:firstColumn="1" w:lastColumn="0" w:noHBand="0" w:noVBand="1"/>
      </w:tblPr>
      <w:tblGrid>
        <w:gridCol w:w="4508"/>
        <w:gridCol w:w="4508"/>
      </w:tblGrid>
      <w:tr w:rsidR="00702133" w14:paraId="065A8EDB" w14:textId="77777777" w:rsidTr="00F4524F">
        <w:tc>
          <w:tcPr>
            <w:tcW w:w="4508" w:type="dxa"/>
          </w:tcPr>
          <w:p w14:paraId="7F2A15F9" w14:textId="77777777" w:rsidR="00702133" w:rsidRPr="00CD393F" w:rsidRDefault="00702133" w:rsidP="00F4524F">
            <w:pPr>
              <w:spacing w:line="360" w:lineRule="auto"/>
              <w:jc w:val="center"/>
              <w:rPr>
                <w:b/>
                <w:bCs/>
              </w:rPr>
            </w:pPr>
            <w:r w:rsidRPr="00CD393F">
              <w:rPr>
                <w:b/>
                <w:bCs/>
              </w:rPr>
              <w:t>Year</w:t>
            </w:r>
          </w:p>
        </w:tc>
        <w:tc>
          <w:tcPr>
            <w:tcW w:w="4508" w:type="dxa"/>
          </w:tcPr>
          <w:p w14:paraId="0C99E107" w14:textId="77777777" w:rsidR="00702133" w:rsidRPr="00CD393F" w:rsidRDefault="00702133" w:rsidP="00F4524F">
            <w:pPr>
              <w:spacing w:line="360" w:lineRule="auto"/>
              <w:jc w:val="center"/>
              <w:rPr>
                <w:b/>
                <w:bCs/>
              </w:rPr>
            </w:pPr>
            <w:r>
              <w:rPr>
                <w:b/>
                <w:bCs/>
              </w:rPr>
              <w:t>PV Factor</w:t>
            </w:r>
          </w:p>
        </w:tc>
      </w:tr>
      <w:tr w:rsidR="00702133" w14:paraId="7FAF24F4" w14:textId="77777777" w:rsidTr="00F4524F">
        <w:tc>
          <w:tcPr>
            <w:tcW w:w="4508" w:type="dxa"/>
          </w:tcPr>
          <w:p w14:paraId="5B271BB5" w14:textId="77777777" w:rsidR="00702133" w:rsidRPr="00CD393F" w:rsidRDefault="00702133" w:rsidP="00F4524F">
            <w:pPr>
              <w:spacing w:line="360" w:lineRule="auto"/>
              <w:jc w:val="center"/>
            </w:pPr>
            <w:r w:rsidRPr="00CD393F">
              <w:t>1</w:t>
            </w:r>
          </w:p>
        </w:tc>
        <w:tc>
          <w:tcPr>
            <w:tcW w:w="4508" w:type="dxa"/>
          </w:tcPr>
          <w:p w14:paraId="065ED8C8" w14:textId="5E9DD3C6" w:rsidR="00702133" w:rsidRPr="00CD393F" w:rsidRDefault="00702133" w:rsidP="00F4524F">
            <w:pPr>
              <w:spacing w:line="360" w:lineRule="auto"/>
              <w:jc w:val="center"/>
            </w:pPr>
            <w:r>
              <w:t>0.7299</w:t>
            </w:r>
          </w:p>
        </w:tc>
      </w:tr>
      <w:tr w:rsidR="00702133" w14:paraId="2D23D271" w14:textId="77777777" w:rsidTr="00F4524F">
        <w:tc>
          <w:tcPr>
            <w:tcW w:w="4508" w:type="dxa"/>
          </w:tcPr>
          <w:p w14:paraId="7D299C99" w14:textId="77777777" w:rsidR="00702133" w:rsidRPr="00CD393F" w:rsidRDefault="00702133" w:rsidP="00F4524F">
            <w:pPr>
              <w:spacing w:line="360" w:lineRule="auto"/>
              <w:jc w:val="center"/>
            </w:pPr>
            <w:r w:rsidRPr="00CD393F">
              <w:t>2</w:t>
            </w:r>
          </w:p>
        </w:tc>
        <w:tc>
          <w:tcPr>
            <w:tcW w:w="4508" w:type="dxa"/>
          </w:tcPr>
          <w:p w14:paraId="40699271" w14:textId="63AA7800" w:rsidR="00702133" w:rsidRPr="00CD393F" w:rsidRDefault="00702133" w:rsidP="00F4524F">
            <w:pPr>
              <w:spacing w:line="360" w:lineRule="auto"/>
              <w:jc w:val="center"/>
            </w:pPr>
            <w:r>
              <w:t>0.5328</w:t>
            </w:r>
          </w:p>
        </w:tc>
      </w:tr>
      <w:tr w:rsidR="00702133" w14:paraId="22C498D7" w14:textId="77777777" w:rsidTr="00F4524F">
        <w:tc>
          <w:tcPr>
            <w:tcW w:w="4508" w:type="dxa"/>
          </w:tcPr>
          <w:p w14:paraId="524D0746" w14:textId="77777777" w:rsidR="00702133" w:rsidRPr="00CD393F" w:rsidRDefault="00702133" w:rsidP="00F4524F">
            <w:pPr>
              <w:spacing w:line="360" w:lineRule="auto"/>
              <w:jc w:val="center"/>
            </w:pPr>
            <w:r w:rsidRPr="00CD393F">
              <w:t>3</w:t>
            </w:r>
          </w:p>
        </w:tc>
        <w:tc>
          <w:tcPr>
            <w:tcW w:w="4508" w:type="dxa"/>
          </w:tcPr>
          <w:p w14:paraId="701CFA8B" w14:textId="6A6DBFB2" w:rsidR="00702133" w:rsidRPr="00CD393F" w:rsidRDefault="00702133" w:rsidP="00F4524F">
            <w:pPr>
              <w:spacing w:line="360" w:lineRule="auto"/>
              <w:jc w:val="center"/>
            </w:pPr>
            <w:r>
              <w:t>0.3888</w:t>
            </w:r>
          </w:p>
        </w:tc>
      </w:tr>
      <w:tr w:rsidR="00702133" w14:paraId="6A303383" w14:textId="77777777" w:rsidTr="00F4524F">
        <w:tc>
          <w:tcPr>
            <w:tcW w:w="4508" w:type="dxa"/>
          </w:tcPr>
          <w:p w14:paraId="6B282AC6" w14:textId="77777777" w:rsidR="00702133" w:rsidRPr="00CD393F" w:rsidRDefault="00702133" w:rsidP="00F4524F">
            <w:pPr>
              <w:spacing w:line="360" w:lineRule="auto"/>
              <w:jc w:val="center"/>
            </w:pPr>
            <w:r w:rsidRPr="00CD393F">
              <w:t>4</w:t>
            </w:r>
          </w:p>
        </w:tc>
        <w:tc>
          <w:tcPr>
            <w:tcW w:w="4508" w:type="dxa"/>
          </w:tcPr>
          <w:p w14:paraId="7EFDD062" w14:textId="2EE148E9" w:rsidR="00702133" w:rsidRPr="00CD393F" w:rsidRDefault="00702133" w:rsidP="00F4524F">
            <w:pPr>
              <w:spacing w:line="360" w:lineRule="auto"/>
              <w:jc w:val="center"/>
            </w:pPr>
            <w:r>
              <w:t>0.2838</w:t>
            </w:r>
          </w:p>
        </w:tc>
      </w:tr>
    </w:tbl>
    <w:p w14:paraId="080B6E4E" w14:textId="00E410F6" w:rsidR="00702133" w:rsidRDefault="00091206" w:rsidP="00CA388D">
      <w:pPr>
        <w:spacing w:after="160" w:line="360" w:lineRule="auto"/>
        <w:rPr>
          <w:b/>
          <w:bCs/>
        </w:rPr>
      </w:pPr>
      <w:r>
        <w:rPr>
          <w:b/>
          <w:bCs/>
        </w:rPr>
        <w:t>Internal Rate of Return of Option B</w:t>
      </w:r>
    </w:p>
    <w:p w14:paraId="6D7939F0" w14:textId="77777777" w:rsidR="00091206" w:rsidRPr="00091206" w:rsidRDefault="00091206" w:rsidP="00091206">
      <w:pPr>
        <w:spacing w:after="160" w:line="360" w:lineRule="auto"/>
      </w:pPr>
      <w:r w:rsidRPr="00091206">
        <w:t>PV Year 1: £350,000 × 0.7299 = £255,465</w:t>
      </w:r>
    </w:p>
    <w:p w14:paraId="5EB0AB0A" w14:textId="77777777" w:rsidR="00091206" w:rsidRPr="00091206" w:rsidRDefault="00091206" w:rsidP="00091206">
      <w:pPr>
        <w:spacing w:after="160" w:line="360" w:lineRule="auto"/>
      </w:pPr>
      <w:r w:rsidRPr="00091206">
        <w:t>PV Year 2: £387,500 × 0.5328 = £206,460</w:t>
      </w:r>
    </w:p>
    <w:p w14:paraId="3A9E8C67" w14:textId="77777777" w:rsidR="00091206" w:rsidRPr="00091206" w:rsidRDefault="00091206" w:rsidP="00091206">
      <w:pPr>
        <w:spacing w:after="160" w:line="360" w:lineRule="auto"/>
      </w:pPr>
      <w:r w:rsidRPr="00091206">
        <w:t>PV Year 3: £590,000 × 0.3888 = £229,392</w:t>
      </w:r>
    </w:p>
    <w:p w14:paraId="6F7D293A" w14:textId="77777777" w:rsidR="00091206" w:rsidRPr="00091206" w:rsidRDefault="00091206" w:rsidP="00091206">
      <w:pPr>
        <w:spacing w:after="160" w:line="360" w:lineRule="auto"/>
      </w:pPr>
      <w:r w:rsidRPr="00091206">
        <w:t>PV Year 4: £785,000 × 0.2838 = £222,783</w:t>
      </w:r>
    </w:p>
    <w:p w14:paraId="2FA37FCC" w14:textId="77777777" w:rsidR="00091206" w:rsidRPr="00091206" w:rsidRDefault="00091206" w:rsidP="00091206">
      <w:pPr>
        <w:spacing w:after="160" w:line="360" w:lineRule="auto"/>
      </w:pPr>
      <w:r w:rsidRPr="00091206">
        <w:t>Total PV of Inflows: £914,100</w:t>
      </w:r>
    </w:p>
    <w:p w14:paraId="2E6A73FA" w14:textId="77777777" w:rsidR="00091206" w:rsidRPr="00091206" w:rsidRDefault="00091206" w:rsidP="00091206">
      <w:pPr>
        <w:spacing w:after="160" w:line="360" w:lineRule="auto"/>
      </w:pPr>
      <w:r w:rsidRPr="00091206">
        <w:t>Less: Initial Investment: £1,000,000</w:t>
      </w:r>
    </w:p>
    <w:p w14:paraId="5C381B94" w14:textId="219A7AB5" w:rsidR="00091206" w:rsidRDefault="00091206" w:rsidP="00091206">
      <w:pPr>
        <w:spacing w:after="160" w:line="360" w:lineRule="auto"/>
        <w:rPr>
          <w:b/>
          <w:bCs/>
        </w:rPr>
      </w:pPr>
      <w:r w:rsidRPr="00091206">
        <w:rPr>
          <w:b/>
          <w:bCs/>
        </w:rPr>
        <w:t>NPV at 37%: (£85,900)</w:t>
      </w:r>
    </w:p>
    <w:p w14:paraId="61413CBC" w14:textId="6B06C4E3" w:rsidR="00E143D4" w:rsidRDefault="00E143D4" w:rsidP="00091206">
      <w:pPr>
        <w:spacing w:after="160" w:line="360" w:lineRule="auto"/>
      </w:pPr>
      <w:r>
        <w:t>Now, IRR is = 6% + [792,229 / {792,229 – (-85,900)}] = 34%</w:t>
      </w:r>
    </w:p>
    <w:p w14:paraId="13EE7ACB" w14:textId="48C91759" w:rsidR="007F24BA" w:rsidRPr="000011DB" w:rsidRDefault="007F24BA" w:rsidP="00091206">
      <w:pPr>
        <w:spacing w:after="160" w:line="360" w:lineRule="auto"/>
      </w:pPr>
      <w:r>
        <w:rPr>
          <w:b/>
          <w:bCs/>
        </w:rPr>
        <w:t xml:space="preserve">Interpretation: </w:t>
      </w:r>
      <w:r>
        <w:t xml:space="preserve">Option B generates 34% of </w:t>
      </w:r>
      <w:r w:rsidR="00B921D0">
        <w:t xml:space="preserve">the </w:t>
      </w:r>
      <w:r>
        <w:t>internal rate of return</w:t>
      </w:r>
      <w:r w:rsidR="00B921D0">
        <w:t>,</w:t>
      </w:r>
      <w:r>
        <w:t xml:space="preserve"> which exceeds the cost of capital of 6% and</w:t>
      </w:r>
      <w:r w:rsidR="00B921D0">
        <w:t>,</w:t>
      </w:r>
      <w:r>
        <w:t xml:space="preserve"> creating a gap of 28%. </w:t>
      </w:r>
      <w:r w:rsidR="0056331C">
        <w:t xml:space="preserve">What this gap means is that there exists </w:t>
      </w:r>
      <w:r w:rsidR="00B921D0">
        <w:t xml:space="preserve">a </w:t>
      </w:r>
      <w:r w:rsidR="0056331C">
        <w:t>significantly greater value creation opportunity for the project</w:t>
      </w:r>
      <w:r w:rsidR="00B921D0">
        <w:t>,</w:t>
      </w:r>
      <w:r w:rsidR="0056331C">
        <w:t xml:space="preserve"> even if there </w:t>
      </w:r>
      <w:r w:rsidR="00215B88">
        <w:t>exist</w:t>
      </w:r>
      <w:r w:rsidR="0056331C">
        <w:t xml:space="preserve"> certain errors in </w:t>
      </w:r>
      <w:r w:rsidR="00B921D0">
        <w:t xml:space="preserve">the </w:t>
      </w:r>
      <w:r w:rsidR="0056331C">
        <w:t>estimation of the cash flows.</w:t>
      </w:r>
    </w:p>
    <w:p w14:paraId="415E6FF7" w14:textId="468EF3BE" w:rsidR="000011DB" w:rsidRPr="000011DB" w:rsidRDefault="00243250"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1" w:name="_Toc219050015"/>
      <w:r>
        <w:rPr>
          <w:rFonts w:eastAsiaTheme="majorEastAsia" w:cs="Times New Roman"/>
          <w:b/>
          <w:bCs/>
          <w:color w:val="2F5496" w:themeColor="accent1" w:themeShade="BF"/>
          <w:szCs w:val="28"/>
          <w:lang w:val="en-US"/>
        </w:rPr>
        <w:t>Net Present Value: T</w:t>
      </w:r>
      <w:r w:rsidR="000011DB" w:rsidRPr="000011DB">
        <w:rPr>
          <w:rFonts w:eastAsiaTheme="majorEastAsia" w:cs="Times New Roman"/>
          <w:b/>
          <w:bCs/>
          <w:color w:val="2F5496" w:themeColor="accent1" w:themeShade="BF"/>
          <w:szCs w:val="28"/>
          <w:lang w:val="en-US"/>
        </w:rPr>
        <w:t>he Superior Investment Appraisal Method</w:t>
      </w:r>
      <w:bookmarkEnd w:id="21"/>
    </w:p>
    <w:p w14:paraId="5EFA3942" w14:textId="6A4D07B1" w:rsidR="000011DB" w:rsidRDefault="00BA3E0D" w:rsidP="00CA388D">
      <w:pPr>
        <w:spacing w:after="160" w:line="360" w:lineRule="auto"/>
        <w:rPr>
          <w:lang w:val="en-US"/>
        </w:rPr>
      </w:pPr>
      <w:r>
        <w:rPr>
          <w:lang w:val="en-US"/>
        </w:rPr>
        <w:t xml:space="preserve">Net present value helps to quantify the amount of wealth change that can be achieved by undertaking a project. </w:t>
      </w:r>
      <w:r w:rsidR="00215B88">
        <w:rPr>
          <w:lang w:val="en-US"/>
        </w:rPr>
        <w:t xml:space="preserve">The NPV of a project directly represents the amount of wealth a project can generate for the shareholders of a company. </w:t>
      </w:r>
      <w:r w:rsidR="00571F59">
        <w:rPr>
          <w:lang w:val="en-US"/>
        </w:rPr>
        <w:t>Now, there are various reasons as to why NPV is a superior investment appraisal method compared to other discounting and non-discounting methods.</w:t>
      </w:r>
      <w:r w:rsidR="009E3463">
        <w:rPr>
          <w:lang w:val="en-US"/>
        </w:rPr>
        <w:t xml:space="preserve"> These reasons are as follows.</w:t>
      </w:r>
    </w:p>
    <w:p w14:paraId="6244E7B5" w14:textId="4919388C" w:rsidR="009E3463" w:rsidRDefault="009E3463" w:rsidP="00CA388D">
      <w:pPr>
        <w:spacing w:after="160" w:line="360" w:lineRule="auto"/>
        <w:rPr>
          <w:lang w:val="en-US"/>
        </w:rPr>
      </w:pPr>
      <w:r>
        <w:rPr>
          <w:b/>
          <w:bCs/>
          <w:lang w:val="en-US"/>
        </w:rPr>
        <w:t xml:space="preserve">Direct Wealth Measurement: </w:t>
      </w:r>
      <w:r w:rsidR="001C31D0">
        <w:rPr>
          <w:lang w:val="en-US"/>
        </w:rPr>
        <w:t xml:space="preserve">Net present value directly showcases the amount of value </w:t>
      </w:r>
      <w:r w:rsidR="00E36C53">
        <w:rPr>
          <w:lang w:val="en-US"/>
        </w:rPr>
        <w:t xml:space="preserve">which gets added to a firm’s overall value. </w:t>
      </w:r>
      <w:r w:rsidR="001E3C51">
        <w:rPr>
          <w:lang w:val="en-US"/>
        </w:rPr>
        <w:t xml:space="preserve">As Option B is expected to yield </w:t>
      </w:r>
      <w:r w:rsidR="001E3C51" w:rsidRPr="00091206">
        <w:t>£</w:t>
      </w:r>
      <w:r w:rsidR="001E3C51">
        <w:t xml:space="preserve">792,229 in net present value, it is expected that the firm value will increase precisely by that amount. </w:t>
      </w:r>
      <w:r w:rsidR="0092112A">
        <w:t xml:space="preserve">In this regard, </w:t>
      </w:r>
      <w:r w:rsidR="00B921D0">
        <w:t xml:space="preserve">the </w:t>
      </w:r>
      <w:r w:rsidR="0092112A">
        <w:t>use of IRR only shows the percentage return</w:t>
      </w:r>
      <w:r w:rsidR="00B921D0">
        <w:t>,</w:t>
      </w:r>
      <w:r w:rsidR="0092112A">
        <w:t xml:space="preserve"> which is not in conformity with absolute wealth impacts</w:t>
      </w:r>
      <w:r w:rsidR="007A3BEB">
        <w:t xml:space="preserve"> (</w:t>
      </w:r>
      <w:r w:rsidR="007A3BEB" w:rsidRPr="007A3BEB">
        <w:t>Willigers</w:t>
      </w:r>
      <w:r w:rsidR="007A3BEB">
        <w:t xml:space="preserve"> et al., 2017)</w:t>
      </w:r>
      <w:r w:rsidR="0092112A">
        <w:t>.</w:t>
      </w:r>
    </w:p>
    <w:p w14:paraId="05CACA52" w14:textId="71B02184" w:rsidR="009E3463" w:rsidRDefault="009E3463" w:rsidP="00CA388D">
      <w:pPr>
        <w:spacing w:after="160" w:line="360" w:lineRule="auto"/>
        <w:rPr>
          <w:lang w:val="en-US"/>
        </w:rPr>
      </w:pPr>
      <w:r>
        <w:rPr>
          <w:b/>
          <w:bCs/>
          <w:lang w:val="en-US"/>
        </w:rPr>
        <w:t>Time Value of Money Recognition:</w:t>
      </w:r>
      <w:r w:rsidR="00063D4F">
        <w:rPr>
          <w:b/>
          <w:bCs/>
          <w:lang w:val="en-US"/>
        </w:rPr>
        <w:t xml:space="preserve"> </w:t>
      </w:r>
      <w:r w:rsidR="00063D4F">
        <w:rPr>
          <w:lang w:val="en-US"/>
        </w:rPr>
        <w:t xml:space="preserve">Net present value </w:t>
      </w:r>
      <w:r w:rsidR="00B921D0">
        <w:rPr>
          <w:lang w:val="en-US"/>
        </w:rPr>
        <w:t>recognises</w:t>
      </w:r>
      <w:r w:rsidR="007461A1">
        <w:rPr>
          <w:lang w:val="en-US"/>
        </w:rPr>
        <w:t xml:space="preserve"> that money in today’s date is more valuable than money in a later date. </w:t>
      </w:r>
      <w:r w:rsidR="001671FB">
        <w:rPr>
          <w:lang w:val="en-US"/>
        </w:rPr>
        <w:t>This is because identical amounts of money tend to lose value in the future due to inflation. This is why net present value uses discounting in order to calculate the present value of all cash flows available to a firm</w:t>
      </w:r>
      <w:r w:rsidR="00B921D0">
        <w:rPr>
          <w:lang w:val="en-US"/>
        </w:rPr>
        <w:t>,</w:t>
      </w:r>
      <w:r w:rsidR="001671FB">
        <w:rPr>
          <w:lang w:val="en-US"/>
        </w:rPr>
        <w:t xml:space="preserve"> which showcases the inherent project risk and financing costs</w:t>
      </w:r>
      <w:r w:rsidR="007A3BEB">
        <w:rPr>
          <w:lang w:val="en-US"/>
        </w:rPr>
        <w:t xml:space="preserve"> (</w:t>
      </w:r>
      <w:r w:rsidR="007A3BEB" w:rsidRPr="007A3BEB">
        <w:t>Shou</w:t>
      </w:r>
      <w:r w:rsidR="007A3BEB">
        <w:t>, 2022)</w:t>
      </w:r>
      <w:r w:rsidR="001671FB">
        <w:rPr>
          <w:lang w:val="en-US"/>
        </w:rPr>
        <w:t>.</w:t>
      </w:r>
    </w:p>
    <w:p w14:paraId="5758DDE5" w14:textId="00E40026" w:rsidR="009E3463" w:rsidRPr="000011DB" w:rsidRDefault="009E3463" w:rsidP="00CA388D">
      <w:pPr>
        <w:spacing w:after="160" w:line="360" w:lineRule="auto"/>
        <w:rPr>
          <w:lang w:val="en-US"/>
        </w:rPr>
      </w:pPr>
      <w:r>
        <w:rPr>
          <w:b/>
          <w:bCs/>
          <w:lang w:val="en-US"/>
        </w:rPr>
        <w:t xml:space="preserve">Comprehensive Cash Flow Consideration: </w:t>
      </w:r>
      <w:r w:rsidR="002A7003">
        <w:rPr>
          <w:lang w:val="en-US"/>
        </w:rPr>
        <w:t xml:space="preserve">Unlike non-discounting methods such as payback period, net present value </w:t>
      </w:r>
      <w:r w:rsidR="00B921D0">
        <w:rPr>
          <w:lang w:val="en-US"/>
        </w:rPr>
        <w:t>utilises</w:t>
      </w:r>
      <w:r w:rsidR="002A7003">
        <w:rPr>
          <w:lang w:val="en-US"/>
        </w:rPr>
        <w:t xml:space="preserve"> all of the cash flows available to a project over a specific period of time</w:t>
      </w:r>
      <w:r w:rsidR="00B921D0">
        <w:rPr>
          <w:lang w:val="en-US"/>
        </w:rPr>
        <w:t>,</w:t>
      </w:r>
      <w:r w:rsidR="002A7003">
        <w:rPr>
          <w:lang w:val="en-US"/>
        </w:rPr>
        <w:t xml:space="preserve"> for which the results derived tend to be accurate in real-life, as well</w:t>
      </w:r>
      <w:r w:rsidR="006B61B5">
        <w:rPr>
          <w:lang w:val="en-US"/>
        </w:rPr>
        <w:t xml:space="preserve"> (</w:t>
      </w:r>
      <w:r w:rsidR="006B61B5" w:rsidRPr="006B61B5">
        <w:t>Willigers</w:t>
      </w:r>
      <w:r w:rsidR="006B61B5">
        <w:t xml:space="preserve"> et al., 2017)</w:t>
      </w:r>
      <w:r w:rsidR="002A7003">
        <w:rPr>
          <w:lang w:val="en-US"/>
        </w:rPr>
        <w:t>.</w:t>
      </w:r>
    </w:p>
    <w:p w14:paraId="407393B6" w14:textId="60CEE9DF"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2" w:name="_Toc219050016"/>
      <w:r w:rsidRPr="000011DB">
        <w:rPr>
          <w:rFonts w:eastAsiaTheme="majorEastAsia" w:cs="Times New Roman"/>
          <w:b/>
          <w:bCs/>
          <w:color w:val="2F5496" w:themeColor="accent1" w:themeShade="BF"/>
          <w:szCs w:val="28"/>
          <w:lang w:val="en-US"/>
        </w:rPr>
        <w:t>Non-Discounting Methods</w:t>
      </w:r>
      <w:bookmarkEnd w:id="22"/>
    </w:p>
    <w:p w14:paraId="2CF674D3" w14:textId="31BA92B8" w:rsidR="000011DB" w:rsidRDefault="001C465F" w:rsidP="00CA388D">
      <w:pPr>
        <w:spacing w:after="160" w:line="360" w:lineRule="auto"/>
        <w:rPr>
          <w:lang w:val="en-US"/>
        </w:rPr>
      </w:pPr>
      <w:r>
        <w:rPr>
          <w:lang w:val="en-US"/>
        </w:rPr>
        <w:t>There are many reasons as to why non-discounting methods</w:t>
      </w:r>
      <w:r w:rsidR="00B921D0">
        <w:rPr>
          <w:lang w:val="en-US"/>
        </w:rPr>
        <w:t>,</w:t>
      </w:r>
      <w:r>
        <w:rPr>
          <w:lang w:val="en-US"/>
        </w:rPr>
        <w:t xml:space="preserve"> such as payback period, accounting rate of return</w:t>
      </w:r>
      <w:r w:rsidR="00B921D0">
        <w:rPr>
          <w:lang w:val="en-US"/>
        </w:rPr>
        <w:t>,</w:t>
      </w:r>
      <w:r>
        <w:rPr>
          <w:lang w:val="en-US"/>
        </w:rPr>
        <w:t xml:space="preserve"> etc.</w:t>
      </w:r>
      <w:r w:rsidR="00B921D0">
        <w:rPr>
          <w:lang w:val="en-US"/>
        </w:rPr>
        <w:t>,</w:t>
      </w:r>
      <w:r>
        <w:rPr>
          <w:lang w:val="en-US"/>
        </w:rPr>
        <w:t xml:space="preserve"> are still popular despite discounting methods such as net present value, internal rate of return and others yielding more accurate results to base a decision</w:t>
      </w:r>
      <w:r w:rsidR="006E427E">
        <w:rPr>
          <w:lang w:val="en-US"/>
        </w:rPr>
        <w:t>. These reasons are as follows.</w:t>
      </w:r>
    </w:p>
    <w:p w14:paraId="0FB48FF7" w14:textId="2512EF6C" w:rsidR="006E427E" w:rsidRDefault="006E427E" w:rsidP="006E427E">
      <w:pPr>
        <w:pStyle w:val="ListParagraph"/>
        <w:numPr>
          <w:ilvl w:val="0"/>
          <w:numId w:val="5"/>
        </w:numPr>
        <w:spacing w:after="160" w:line="360" w:lineRule="auto"/>
        <w:rPr>
          <w:lang w:val="en-US"/>
        </w:rPr>
      </w:pPr>
      <w:r>
        <w:rPr>
          <w:lang w:val="en-US"/>
        </w:rPr>
        <w:t xml:space="preserve">Non-discounting methods are simpler to use as they tend to answer complex questions in a simple figure. For instance, accounting rate of return </w:t>
      </w:r>
      <w:r w:rsidR="006C5C00">
        <w:rPr>
          <w:lang w:val="en-US"/>
        </w:rPr>
        <w:t>provides an immediate understanding of a project’s profitability</w:t>
      </w:r>
      <w:r w:rsidR="00B921D0">
        <w:rPr>
          <w:lang w:val="en-US"/>
        </w:rPr>
        <w:t>,</w:t>
      </w:r>
      <w:r w:rsidR="006C5C00">
        <w:rPr>
          <w:lang w:val="en-US"/>
        </w:rPr>
        <w:t xml:space="preserve"> whereas payback period helps to calculate the time required to recoup the initial investment</w:t>
      </w:r>
      <w:r w:rsidR="00666310">
        <w:rPr>
          <w:lang w:val="en-US"/>
        </w:rPr>
        <w:t xml:space="preserve"> (</w:t>
      </w:r>
      <w:r w:rsidR="00666310" w:rsidRPr="00666310">
        <w:t>Chadha</w:t>
      </w:r>
      <w:r w:rsidR="00666310">
        <w:t xml:space="preserve"> and Sharma, 2019)</w:t>
      </w:r>
      <w:r w:rsidR="006C5C00">
        <w:rPr>
          <w:lang w:val="en-US"/>
        </w:rPr>
        <w:t>.</w:t>
      </w:r>
    </w:p>
    <w:p w14:paraId="59082B11" w14:textId="674C266A" w:rsidR="00E0504F" w:rsidRDefault="00E0504F" w:rsidP="006E427E">
      <w:pPr>
        <w:pStyle w:val="ListParagraph"/>
        <w:numPr>
          <w:ilvl w:val="0"/>
          <w:numId w:val="5"/>
        </w:numPr>
        <w:spacing w:after="160" w:line="360" w:lineRule="auto"/>
        <w:rPr>
          <w:lang w:val="en-US"/>
        </w:rPr>
      </w:pPr>
      <w:r>
        <w:rPr>
          <w:lang w:val="en-US"/>
        </w:rPr>
        <w:t xml:space="preserve">Discounting methods such as net present value and internal rate of return do not showcase any risk proxies arising due to liquidity. </w:t>
      </w:r>
      <w:r w:rsidR="00C56C63">
        <w:rPr>
          <w:lang w:val="en-US"/>
        </w:rPr>
        <w:t xml:space="preserve">For firms that are </w:t>
      </w:r>
      <w:r w:rsidR="00B921D0">
        <w:rPr>
          <w:lang w:val="en-US"/>
        </w:rPr>
        <w:t>cash-constrained</w:t>
      </w:r>
      <w:r w:rsidR="00C56C63">
        <w:rPr>
          <w:lang w:val="en-US"/>
        </w:rPr>
        <w:t xml:space="preserve">, </w:t>
      </w:r>
      <w:r w:rsidR="00837D2E">
        <w:rPr>
          <w:lang w:val="en-US"/>
        </w:rPr>
        <w:t xml:space="preserve">shorter payback periods help to make decisions more decisively as </w:t>
      </w:r>
      <w:r w:rsidR="00B921D0">
        <w:rPr>
          <w:lang w:val="en-US"/>
        </w:rPr>
        <w:t xml:space="preserve">the </w:t>
      </w:r>
      <w:r w:rsidR="00837D2E">
        <w:rPr>
          <w:lang w:val="en-US"/>
        </w:rPr>
        <w:t>availability of funds remains limited</w:t>
      </w:r>
      <w:r w:rsidR="00214AF4">
        <w:rPr>
          <w:lang w:val="en-US"/>
        </w:rPr>
        <w:t xml:space="preserve"> (</w:t>
      </w:r>
      <w:r w:rsidR="00214AF4" w:rsidRPr="00214AF4">
        <w:t>BULAMA</w:t>
      </w:r>
      <w:r w:rsidR="00214AF4">
        <w:t xml:space="preserve"> and MUSA, 2023)</w:t>
      </w:r>
      <w:r w:rsidR="00837D2E">
        <w:rPr>
          <w:lang w:val="en-US"/>
        </w:rPr>
        <w:t>.</w:t>
      </w:r>
    </w:p>
    <w:p w14:paraId="2160DC98" w14:textId="41468854" w:rsidR="00BA4B71" w:rsidRPr="006E427E" w:rsidRDefault="00BA4B71" w:rsidP="006E427E">
      <w:pPr>
        <w:pStyle w:val="ListParagraph"/>
        <w:numPr>
          <w:ilvl w:val="0"/>
          <w:numId w:val="5"/>
        </w:numPr>
        <w:spacing w:after="160" w:line="360" w:lineRule="auto"/>
        <w:rPr>
          <w:lang w:val="en-US"/>
        </w:rPr>
      </w:pPr>
      <w:r>
        <w:rPr>
          <w:lang w:val="en-US"/>
        </w:rPr>
        <w:t xml:space="preserve">As non-discounting methods are easier to use and implement, they tend to work as great initial screeners to commit resources to use more complicated appraisal methods. </w:t>
      </w:r>
      <w:r w:rsidR="000E3ABC">
        <w:rPr>
          <w:lang w:val="en-US"/>
        </w:rPr>
        <w:t xml:space="preserve">This tiered approach helps to create balance </w:t>
      </w:r>
      <w:r w:rsidR="00185080">
        <w:rPr>
          <w:lang w:val="en-US"/>
        </w:rPr>
        <w:t xml:space="preserve">between analytical </w:t>
      </w:r>
      <w:r w:rsidR="00B921D0">
        <w:rPr>
          <w:lang w:val="en-US"/>
        </w:rPr>
        <w:t>rigour</w:t>
      </w:r>
      <w:r w:rsidR="00185080">
        <w:rPr>
          <w:lang w:val="en-US"/>
        </w:rPr>
        <w:t xml:space="preserve"> and practical resource constraints</w:t>
      </w:r>
      <w:r w:rsidR="00DD30E0">
        <w:rPr>
          <w:lang w:val="en-US"/>
        </w:rPr>
        <w:t xml:space="preserve"> (</w:t>
      </w:r>
      <w:r w:rsidR="00DD30E0" w:rsidRPr="00DD30E0">
        <w:t>Olakunle</w:t>
      </w:r>
      <w:r w:rsidR="00DD30E0">
        <w:t xml:space="preserve"> and </w:t>
      </w:r>
      <w:r w:rsidR="00DD30E0" w:rsidRPr="00DD30E0">
        <w:t>Ogundeyi</w:t>
      </w:r>
      <w:r w:rsidR="00DD30E0">
        <w:t>, 2011)</w:t>
      </w:r>
      <w:r w:rsidR="00185080">
        <w:rPr>
          <w:lang w:val="en-US"/>
        </w:rPr>
        <w:t>.</w:t>
      </w:r>
    </w:p>
    <w:p w14:paraId="05EC95FA" w14:textId="1DF39542"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3" w:name="_Toc219050017"/>
      <w:r w:rsidRPr="000011DB">
        <w:rPr>
          <w:rFonts w:eastAsiaTheme="majorEastAsia" w:cs="Times New Roman"/>
          <w:b/>
          <w:bCs/>
          <w:color w:val="2F5496" w:themeColor="accent1" w:themeShade="BF"/>
          <w:szCs w:val="28"/>
          <w:lang w:val="en-US"/>
        </w:rPr>
        <w:t xml:space="preserve">Factors </w:t>
      </w:r>
      <w:r w:rsidR="00243250">
        <w:rPr>
          <w:rFonts w:eastAsiaTheme="majorEastAsia" w:cs="Times New Roman"/>
          <w:b/>
          <w:bCs/>
          <w:color w:val="2F5496" w:themeColor="accent1" w:themeShade="BF"/>
          <w:szCs w:val="28"/>
          <w:lang w:val="en-US"/>
        </w:rPr>
        <w:t>Affecting</w:t>
      </w:r>
      <w:r w:rsidRPr="000011DB">
        <w:rPr>
          <w:rFonts w:eastAsiaTheme="majorEastAsia" w:cs="Times New Roman"/>
          <w:b/>
          <w:bCs/>
          <w:color w:val="2F5496" w:themeColor="accent1" w:themeShade="BF"/>
          <w:szCs w:val="28"/>
          <w:lang w:val="en-US"/>
        </w:rPr>
        <w:t xml:space="preserve"> Investment Decisions</w:t>
      </w:r>
      <w:bookmarkEnd w:id="23"/>
    </w:p>
    <w:p w14:paraId="60424AB2" w14:textId="65066D32" w:rsidR="000011DB" w:rsidRDefault="00D71B5F" w:rsidP="00CA388D">
      <w:pPr>
        <w:spacing w:after="160" w:line="360" w:lineRule="auto"/>
        <w:rPr>
          <w:lang w:val="en-US"/>
        </w:rPr>
      </w:pPr>
      <w:r>
        <w:rPr>
          <w:lang w:val="en-US"/>
        </w:rPr>
        <w:t>Quantitative models provide necessary decision input from one perspective only, but an investment decision cannot be based on quantitative aspects only</w:t>
      </w:r>
      <w:r w:rsidR="00B921D0">
        <w:rPr>
          <w:lang w:val="en-US"/>
        </w:rPr>
        <w:t>,</w:t>
      </w:r>
      <w:r>
        <w:rPr>
          <w:lang w:val="en-US"/>
        </w:rPr>
        <w:t xml:space="preserve"> as there are also qualitative aspects involved, as well</w:t>
      </w:r>
      <w:r w:rsidR="007875E1">
        <w:rPr>
          <w:lang w:val="en-US"/>
        </w:rPr>
        <w:t xml:space="preserve"> (</w:t>
      </w:r>
      <w:r w:rsidR="007875E1" w:rsidRPr="007875E1">
        <w:t>Jaiyeoba</w:t>
      </w:r>
      <w:r w:rsidR="007875E1">
        <w:t xml:space="preserve"> and Haron, 2016)</w:t>
      </w:r>
      <w:r>
        <w:rPr>
          <w:lang w:val="en-US"/>
        </w:rPr>
        <w:t xml:space="preserve">. </w:t>
      </w:r>
      <w:r w:rsidR="000A7CC0">
        <w:rPr>
          <w:lang w:val="en-US"/>
        </w:rPr>
        <w:t>Now, the major factors affecting investment decisions are outlined below.</w:t>
      </w:r>
    </w:p>
    <w:p w14:paraId="59773191" w14:textId="0F8E242E" w:rsidR="000A7CC0" w:rsidRDefault="000A7CC0" w:rsidP="000A7CC0">
      <w:pPr>
        <w:pStyle w:val="ListParagraph"/>
        <w:numPr>
          <w:ilvl w:val="0"/>
          <w:numId w:val="6"/>
        </w:numPr>
        <w:spacing w:after="160" w:line="360" w:lineRule="auto"/>
        <w:rPr>
          <w:lang w:val="en-US"/>
        </w:rPr>
      </w:pPr>
      <w:r>
        <w:rPr>
          <w:b/>
          <w:bCs/>
          <w:lang w:val="en-US"/>
        </w:rPr>
        <w:t xml:space="preserve">Strategic Fit and Alignment: </w:t>
      </w:r>
      <w:r>
        <w:rPr>
          <w:lang w:val="en-US"/>
        </w:rPr>
        <w:t xml:space="preserve">Projects offering profitability as </w:t>
      </w:r>
      <w:r w:rsidR="00B921D0">
        <w:rPr>
          <w:lang w:val="en-US"/>
        </w:rPr>
        <w:t xml:space="preserve">a </w:t>
      </w:r>
      <w:r>
        <w:rPr>
          <w:lang w:val="en-US"/>
        </w:rPr>
        <w:t xml:space="preserve">viability </w:t>
      </w:r>
      <w:r w:rsidR="00B921D0">
        <w:rPr>
          <w:lang w:val="en-US"/>
        </w:rPr>
        <w:t>criterion</w:t>
      </w:r>
      <w:r>
        <w:rPr>
          <w:lang w:val="en-US"/>
        </w:rPr>
        <w:t xml:space="preserve"> are not </w:t>
      </w:r>
      <w:r w:rsidR="00B921D0">
        <w:rPr>
          <w:lang w:val="en-US"/>
        </w:rPr>
        <w:t>sufficient on their own</w:t>
      </w:r>
      <w:r>
        <w:rPr>
          <w:lang w:val="en-US"/>
        </w:rPr>
        <w:t xml:space="preserve"> to make a decision. Rather, it is important that the project is also strategically fit and aligned with the objectives of a company. </w:t>
      </w:r>
      <w:r w:rsidR="00B10042">
        <w:rPr>
          <w:lang w:val="en-US"/>
        </w:rPr>
        <w:t>For instance, a company that operates in the pharmaceutical sector undertaking a project in foreign exchange does not make any sense</w:t>
      </w:r>
      <w:r w:rsidR="00D05714">
        <w:rPr>
          <w:lang w:val="en-US"/>
        </w:rPr>
        <w:t xml:space="preserve"> (</w:t>
      </w:r>
      <w:r w:rsidR="00D05714" w:rsidRPr="007875E1">
        <w:t>Jaiyeoba</w:t>
      </w:r>
      <w:r w:rsidR="00D05714">
        <w:t xml:space="preserve"> and Haron, 2016)</w:t>
      </w:r>
      <w:r w:rsidR="00B10042">
        <w:rPr>
          <w:lang w:val="en-US"/>
        </w:rPr>
        <w:t>.</w:t>
      </w:r>
    </w:p>
    <w:p w14:paraId="1D18DE4A" w14:textId="3E1BF82E" w:rsidR="000A7CC0" w:rsidRDefault="000A7CC0" w:rsidP="000A7CC0">
      <w:pPr>
        <w:pStyle w:val="ListParagraph"/>
        <w:numPr>
          <w:ilvl w:val="0"/>
          <w:numId w:val="6"/>
        </w:numPr>
        <w:spacing w:after="160" w:line="360" w:lineRule="auto"/>
        <w:rPr>
          <w:lang w:val="en-US"/>
        </w:rPr>
      </w:pPr>
      <w:r>
        <w:rPr>
          <w:b/>
          <w:bCs/>
          <w:lang w:val="en-US"/>
        </w:rPr>
        <w:t>Implementation Feasibility and Capabilities:</w:t>
      </w:r>
      <w:r>
        <w:rPr>
          <w:lang w:val="en-US"/>
        </w:rPr>
        <w:t xml:space="preserve"> </w:t>
      </w:r>
      <w:r w:rsidR="00B921D0">
        <w:rPr>
          <w:lang w:val="en-US"/>
        </w:rPr>
        <w:t>To</w:t>
      </w:r>
      <w:r w:rsidR="00B5371D">
        <w:rPr>
          <w:lang w:val="en-US"/>
        </w:rPr>
        <w:t xml:space="preserve"> execute projects successfully, </w:t>
      </w:r>
      <w:r w:rsidR="008052D4">
        <w:rPr>
          <w:lang w:val="en-US"/>
        </w:rPr>
        <w:t xml:space="preserve">a business must also have operational capabilities, </w:t>
      </w:r>
      <w:r w:rsidR="00AC50C8">
        <w:rPr>
          <w:lang w:val="en-US"/>
        </w:rPr>
        <w:t xml:space="preserve">management expertise and organisational prudence, </w:t>
      </w:r>
      <w:r w:rsidR="008052D4">
        <w:rPr>
          <w:lang w:val="en-US"/>
        </w:rPr>
        <w:t>as well</w:t>
      </w:r>
      <w:r w:rsidR="00AC50C8">
        <w:rPr>
          <w:lang w:val="en-US"/>
        </w:rPr>
        <w:t xml:space="preserve">. </w:t>
      </w:r>
      <w:r w:rsidR="008A7FC3">
        <w:rPr>
          <w:lang w:val="en-US"/>
        </w:rPr>
        <w:t xml:space="preserve">If a business is well-aware of its strengths and weaknesses, it can also prevent too much optimism or pessimism </w:t>
      </w:r>
      <w:r w:rsidR="00B921D0">
        <w:rPr>
          <w:lang w:val="en-US"/>
        </w:rPr>
        <w:t xml:space="preserve">from </w:t>
      </w:r>
      <w:r w:rsidR="008A7FC3">
        <w:rPr>
          <w:lang w:val="en-US"/>
        </w:rPr>
        <w:t>being mixed in the analysis</w:t>
      </w:r>
      <w:r w:rsidR="0026263C">
        <w:rPr>
          <w:lang w:val="en-US"/>
        </w:rPr>
        <w:t xml:space="preserve"> (</w:t>
      </w:r>
      <w:r w:rsidR="0026263C" w:rsidRPr="0026263C">
        <w:t>Abdul Kareem</w:t>
      </w:r>
      <w:r w:rsidR="0026263C">
        <w:t xml:space="preserve"> et al., 2023)</w:t>
      </w:r>
      <w:r w:rsidR="008A7FC3">
        <w:rPr>
          <w:lang w:val="en-US"/>
        </w:rPr>
        <w:t>.</w:t>
      </w:r>
    </w:p>
    <w:p w14:paraId="394CC2F3" w14:textId="2E0BC204" w:rsidR="000A7CC0" w:rsidRPr="000A7CC0" w:rsidRDefault="000A7CC0" w:rsidP="000A7CC0">
      <w:pPr>
        <w:pStyle w:val="ListParagraph"/>
        <w:numPr>
          <w:ilvl w:val="0"/>
          <w:numId w:val="6"/>
        </w:numPr>
        <w:spacing w:after="160" w:line="360" w:lineRule="auto"/>
        <w:rPr>
          <w:lang w:val="en-US"/>
        </w:rPr>
      </w:pPr>
      <w:r>
        <w:rPr>
          <w:b/>
          <w:bCs/>
          <w:lang w:val="en-US"/>
        </w:rPr>
        <w:t>Stakeholder Impacts and Social License:</w:t>
      </w:r>
      <w:r>
        <w:rPr>
          <w:lang w:val="en-US"/>
        </w:rPr>
        <w:t xml:space="preserve"> </w:t>
      </w:r>
      <w:r w:rsidR="007A17B5">
        <w:rPr>
          <w:lang w:val="en-US"/>
        </w:rPr>
        <w:t xml:space="preserve">Making an investment decision not only </w:t>
      </w:r>
      <w:r w:rsidR="00B921D0">
        <w:rPr>
          <w:lang w:val="en-US"/>
        </w:rPr>
        <w:t>affects</w:t>
      </w:r>
      <w:r w:rsidR="007A17B5">
        <w:rPr>
          <w:lang w:val="en-US"/>
        </w:rPr>
        <w:t xml:space="preserve"> the business itself but also other stakeholders such as employees, customers, suppliers, communities</w:t>
      </w:r>
      <w:r w:rsidR="00B921D0">
        <w:rPr>
          <w:lang w:val="en-US"/>
        </w:rPr>
        <w:t>,</w:t>
      </w:r>
      <w:r w:rsidR="007A17B5">
        <w:rPr>
          <w:lang w:val="en-US"/>
        </w:rPr>
        <w:t xml:space="preserve"> etc. </w:t>
      </w:r>
      <w:r w:rsidR="0026263C">
        <w:rPr>
          <w:lang w:val="en-US"/>
        </w:rPr>
        <w:t>(</w:t>
      </w:r>
      <w:r w:rsidR="0026263C" w:rsidRPr="0026263C">
        <w:t>Jaiyeoba</w:t>
      </w:r>
      <w:r w:rsidR="0026263C">
        <w:t xml:space="preserve"> et al., 2018). </w:t>
      </w:r>
      <w:r w:rsidR="002F3D24">
        <w:rPr>
          <w:lang w:val="en-US"/>
        </w:rPr>
        <w:t xml:space="preserve">For instance, undertaking Option A as the strategic investment can increase employability as well as high-street presence for the company. Option B can disrupt existing distributor relationships and reduce reliance on </w:t>
      </w:r>
      <w:r w:rsidR="00B921D0">
        <w:rPr>
          <w:lang w:val="en-US"/>
        </w:rPr>
        <w:t xml:space="preserve">the </w:t>
      </w:r>
      <w:r w:rsidR="002F3D24">
        <w:rPr>
          <w:lang w:val="en-US"/>
        </w:rPr>
        <w:t xml:space="preserve">physical presence of the company. Option C can further diversify its products </w:t>
      </w:r>
      <w:r w:rsidR="00C45262">
        <w:rPr>
          <w:lang w:val="en-US"/>
        </w:rPr>
        <w:t xml:space="preserve">and reduce </w:t>
      </w:r>
      <w:r w:rsidR="00B921D0">
        <w:rPr>
          <w:lang w:val="en-US"/>
        </w:rPr>
        <w:t xml:space="preserve">the </w:t>
      </w:r>
      <w:r w:rsidR="00C45262">
        <w:rPr>
          <w:lang w:val="en-US"/>
        </w:rPr>
        <w:t>overall risk of existing products for the business.</w:t>
      </w:r>
      <w:r w:rsidR="00282EAF">
        <w:rPr>
          <w:lang w:val="en-US"/>
        </w:rPr>
        <w:t xml:space="preserve"> This is why the company needs to move beyond just quantitative aspects and incorporate qualitative factors, as well. </w:t>
      </w:r>
    </w:p>
    <w:p w14:paraId="6A387550" w14:textId="10EFAF28"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4" w:name="_Toc219050018"/>
      <w:r w:rsidRPr="000011DB">
        <w:rPr>
          <w:rFonts w:eastAsiaTheme="majorEastAsia" w:cs="Times New Roman"/>
          <w:b/>
          <w:bCs/>
          <w:color w:val="2F5496" w:themeColor="accent1" w:themeShade="BF"/>
          <w:szCs w:val="28"/>
          <w:lang w:val="en-US"/>
        </w:rPr>
        <w:t>Capital Rationing</w:t>
      </w:r>
      <w:bookmarkEnd w:id="24"/>
    </w:p>
    <w:p w14:paraId="12F9786C" w14:textId="6D933B2F" w:rsidR="000011DB" w:rsidRDefault="00182C56" w:rsidP="00CA388D">
      <w:pPr>
        <w:spacing w:after="160" w:line="360" w:lineRule="auto"/>
      </w:pPr>
      <w:r>
        <w:rPr>
          <w:lang w:val="en-US"/>
        </w:rPr>
        <w:t>It is an important process for companies with budget constraints</w:t>
      </w:r>
      <w:r w:rsidR="00B921D0">
        <w:rPr>
          <w:lang w:val="en-US"/>
        </w:rPr>
        <w:t>,</w:t>
      </w:r>
      <w:r>
        <w:rPr>
          <w:lang w:val="en-US"/>
        </w:rPr>
        <w:t xml:space="preserve"> as it helps to prevent the acceptance of all positive-NPV projects and rather helps to invest in projects </w:t>
      </w:r>
      <w:r w:rsidR="00B55CA2">
        <w:rPr>
          <w:lang w:val="en-US"/>
        </w:rPr>
        <w:t>which align directly with optimal capital allocation</w:t>
      </w:r>
      <w:r w:rsidR="0026263C">
        <w:rPr>
          <w:lang w:val="en-US"/>
        </w:rPr>
        <w:t xml:space="preserve"> (</w:t>
      </w:r>
      <w:r w:rsidR="0026263C" w:rsidRPr="0026263C">
        <w:t>Beraldi</w:t>
      </w:r>
      <w:r w:rsidR="0026263C">
        <w:t xml:space="preserve"> et al., 2012)</w:t>
      </w:r>
      <w:r w:rsidR="00B55CA2">
        <w:rPr>
          <w:lang w:val="en-US"/>
        </w:rPr>
        <w:t xml:space="preserve">. </w:t>
      </w:r>
      <w:r w:rsidR="00B8697B">
        <w:rPr>
          <w:lang w:val="en-US"/>
        </w:rPr>
        <w:t xml:space="preserve">As funds available to Westward PLC </w:t>
      </w:r>
      <w:r w:rsidR="00B921D0">
        <w:rPr>
          <w:lang w:val="en-US"/>
        </w:rPr>
        <w:t>are</w:t>
      </w:r>
      <w:r w:rsidR="00F8192D">
        <w:rPr>
          <w:lang w:val="en-US"/>
        </w:rPr>
        <w:t xml:space="preserve"> limited to </w:t>
      </w:r>
      <w:r w:rsidR="00F8192D" w:rsidRPr="00091206">
        <w:t>£</w:t>
      </w:r>
      <w:r w:rsidR="00F8192D">
        <w:t>2,500,000</w:t>
      </w:r>
      <w:r w:rsidR="00422023">
        <w:t xml:space="preserve">, it must make choices amongst the available options to make the most out of its available funds. </w:t>
      </w:r>
      <w:r w:rsidR="004410C4">
        <w:t xml:space="preserve">In order to make capital rationing of the available </w:t>
      </w:r>
      <w:r w:rsidR="004410C4" w:rsidRPr="00091206">
        <w:t>£</w:t>
      </w:r>
      <w:r w:rsidR="004410C4">
        <w:t xml:space="preserve">2,500,000 fund, using </w:t>
      </w:r>
      <w:r w:rsidR="00B921D0">
        <w:t xml:space="preserve">the </w:t>
      </w:r>
      <w:r w:rsidR="004410C4">
        <w:t xml:space="preserve">profitability index is a great way to optimally curate the investment policy for the company. </w:t>
      </w:r>
      <w:r w:rsidR="00836929">
        <w:t>Now, the profitability index of the company’s three options is calculated below.</w:t>
      </w:r>
    </w:p>
    <w:p w14:paraId="57621B77" w14:textId="0E301EEE" w:rsidR="00836929" w:rsidRDefault="00836929" w:rsidP="00CA388D">
      <w:pPr>
        <w:spacing w:after="160" w:line="360" w:lineRule="auto"/>
      </w:pPr>
      <w:r>
        <w:rPr>
          <w:b/>
          <w:bCs/>
        </w:rPr>
        <w:t xml:space="preserve">Formula of Profitability Index = </w:t>
      </w:r>
      <w:r>
        <w:t>Net Present Value / Initial Investment</w:t>
      </w:r>
    </w:p>
    <w:p w14:paraId="1C570327" w14:textId="77777777" w:rsidR="00561578" w:rsidRPr="00561578" w:rsidRDefault="00561578" w:rsidP="00561578">
      <w:pPr>
        <w:numPr>
          <w:ilvl w:val="0"/>
          <w:numId w:val="7"/>
        </w:numPr>
        <w:spacing w:after="160" w:line="360" w:lineRule="auto"/>
      </w:pPr>
      <w:r w:rsidRPr="00561578">
        <w:rPr>
          <w:b/>
          <w:bCs/>
        </w:rPr>
        <w:t>Option A:</w:t>
      </w:r>
      <w:r w:rsidRPr="00561578">
        <w:t> £643,166 / £600,000 = 1.072</w:t>
      </w:r>
    </w:p>
    <w:p w14:paraId="5120B945" w14:textId="77777777" w:rsidR="00561578" w:rsidRPr="00561578" w:rsidRDefault="00561578" w:rsidP="00561578">
      <w:pPr>
        <w:numPr>
          <w:ilvl w:val="0"/>
          <w:numId w:val="7"/>
        </w:numPr>
        <w:spacing w:after="160" w:line="360" w:lineRule="auto"/>
      </w:pPr>
      <w:r w:rsidRPr="00561578">
        <w:rPr>
          <w:b/>
          <w:bCs/>
        </w:rPr>
        <w:t>Option B:</w:t>
      </w:r>
      <w:r w:rsidRPr="00561578">
        <w:t> £792,229 / £1,000,000 = 0.792</w:t>
      </w:r>
    </w:p>
    <w:p w14:paraId="6F707E8E" w14:textId="77777777" w:rsidR="00561578" w:rsidRPr="00561578" w:rsidRDefault="00561578" w:rsidP="00561578">
      <w:pPr>
        <w:numPr>
          <w:ilvl w:val="0"/>
          <w:numId w:val="7"/>
        </w:numPr>
        <w:spacing w:after="160" w:line="360" w:lineRule="auto"/>
      </w:pPr>
      <w:r w:rsidRPr="00561578">
        <w:rPr>
          <w:b/>
          <w:bCs/>
        </w:rPr>
        <w:t>Option C:</w:t>
      </w:r>
      <w:r w:rsidRPr="00561578">
        <w:t> £742,475 / £1,600,000 = 0.464</w:t>
      </w:r>
    </w:p>
    <w:p w14:paraId="505C3E2B" w14:textId="522232EB" w:rsidR="00561578" w:rsidRDefault="00561578" w:rsidP="00CA388D">
      <w:pPr>
        <w:spacing w:after="160" w:line="360" w:lineRule="auto"/>
        <w:rPr>
          <w:lang w:val="en-US"/>
        </w:rPr>
      </w:pPr>
      <w:r>
        <w:rPr>
          <w:lang w:val="en-US"/>
        </w:rPr>
        <w:t xml:space="preserve">Based on the above calculations, </w:t>
      </w:r>
      <w:r w:rsidR="007A29BA">
        <w:rPr>
          <w:lang w:val="en-US"/>
        </w:rPr>
        <w:t>the company can adopt the following investment policy.</w:t>
      </w:r>
    </w:p>
    <w:p w14:paraId="7A448893" w14:textId="10922CCF" w:rsidR="006B2CF8" w:rsidRDefault="006B2CF8" w:rsidP="00CA388D">
      <w:pPr>
        <w:spacing w:after="160" w:line="360" w:lineRule="auto"/>
        <w:rPr>
          <w:lang w:val="en-US"/>
        </w:rPr>
      </w:pPr>
      <w:r>
        <w:rPr>
          <w:b/>
          <w:bCs/>
          <w:lang w:val="en-US"/>
        </w:rPr>
        <w:t xml:space="preserve">Step – 01: </w:t>
      </w:r>
      <w:r>
        <w:rPr>
          <w:lang w:val="en-US"/>
        </w:rPr>
        <w:t>Invest fully in Option A as it has the greatest profitability index</w:t>
      </w:r>
      <w:r w:rsidR="00CC6FDF">
        <w:rPr>
          <w:lang w:val="en-US"/>
        </w:rPr>
        <w:t xml:space="preserve"> and can be covered using the available funds.</w:t>
      </w:r>
    </w:p>
    <w:p w14:paraId="38FADE20" w14:textId="767316CE" w:rsidR="00CC6FDF" w:rsidRDefault="00CC6FDF" w:rsidP="00CA388D">
      <w:pPr>
        <w:spacing w:after="160" w:line="360" w:lineRule="auto"/>
        <w:rPr>
          <w:lang w:val="en-US"/>
        </w:rPr>
      </w:pPr>
      <w:r>
        <w:rPr>
          <w:b/>
          <w:bCs/>
          <w:lang w:val="en-US"/>
        </w:rPr>
        <w:t xml:space="preserve">Step – 02: </w:t>
      </w:r>
      <w:r>
        <w:rPr>
          <w:lang w:val="en-US"/>
        </w:rPr>
        <w:t>Invest fully in Option B as it has the second greatest profitability index and can still be covered using the available funds.</w:t>
      </w:r>
    </w:p>
    <w:p w14:paraId="783CB4CA" w14:textId="06F54DAC" w:rsidR="00931A73" w:rsidRDefault="00370991" w:rsidP="00CA388D">
      <w:pPr>
        <w:spacing w:after="160" w:line="360" w:lineRule="auto"/>
      </w:pPr>
      <w:r>
        <w:rPr>
          <w:b/>
          <w:bCs/>
          <w:lang w:val="en-US"/>
        </w:rPr>
        <w:t xml:space="preserve">Step – 03: </w:t>
      </w:r>
      <w:r>
        <w:rPr>
          <w:lang w:val="en-US"/>
        </w:rPr>
        <w:t xml:space="preserve">Invest partially in Option C as the company will have only </w:t>
      </w:r>
      <w:r w:rsidRPr="00561578">
        <w:t>£</w:t>
      </w:r>
      <w:r>
        <w:t xml:space="preserve">900,000 </w:t>
      </w:r>
      <w:r w:rsidR="005959D5">
        <w:t xml:space="preserve">funds available </w:t>
      </w:r>
      <w:r w:rsidR="007266D9">
        <w:t>to the company.</w:t>
      </w:r>
      <w:r w:rsidR="00931A73">
        <w:t xml:space="preserve"> For this reason, the company should invest 56.25% </w:t>
      </w:r>
      <w:r w:rsidR="00BC1F8F">
        <w:t>into the third option and leverage the most out of the available funds.</w:t>
      </w:r>
    </w:p>
    <w:p w14:paraId="48055C0B" w14:textId="220B7E23" w:rsidR="009D5178" w:rsidRPr="000011DB" w:rsidRDefault="009D5178" w:rsidP="00CA388D">
      <w:pPr>
        <w:spacing w:after="160" w:line="360" w:lineRule="auto"/>
        <w:rPr>
          <w:lang w:val="en-US"/>
        </w:rPr>
      </w:pPr>
      <w:r>
        <w:rPr>
          <w:b/>
          <w:bCs/>
        </w:rPr>
        <w:t>Total NPV</w:t>
      </w:r>
      <w:r>
        <w:t xml:space="preserve"> = </w:t>
      </w:r>
      <w:r w:rsidRPr="00561578">
        <w:t>£</w:t>
      </w:r>
      <w:r>
        <w:t xml:space="preserve">643,166 + </w:t>
      </w:r>
      <w:r w:rsidRPr="00561578">
        <w:t>£</w:t>
      </w:r>
      <w:r>
        <w:t xml:space="preserve">792,229 + </w:t>
      </w:r>
      <w:r w:rsidRPr="00561578">
        <w:t>£</w:t>
      </w:r>
      <w:r>
        <w:t xml:space="preserve">417,642 [0.5625 * 742,475] = </w:t>
      </w:r>
      <w:r w:rsidRPr="00561578">
        <w:t>£</w:t>
      </w:r>
      <w:r>
        <w:t>1,853,037</w:t>
      </w:r>
    </w:p>
    <w:p w14:paraId="078D9277" w14:textId="67F7EEA1"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5" w:name="_Toc219050019"/>
      <w:r w:rsidRPr="000011DB">
        <w:rPr>
          <w:rFonts w:eastAsiaTheme="majorEastAsia" w:cs="Times New Roman"/>
          <w:b/>
          <w:bCs/>
          <w:color w:val="2F5496" w:themeColor="accent1" w:themeShade="BF"/>
          <w:szCs w:val="28"/>
          <w:lang w:val="en-US"/>
        </w:rPr>
        <w:t>Financing Sources</w:t>
      </w:r>
      <w:bookmarkEnd w:id="25"/>
    </w:p>
    <w:p w14:paraId="5D38A0CB" w14:textId="5E627282" w:rsidR="000011DB" w:rsidRDefault="00B921D0" w:rsidP="00CA388D">
      <w:pPr>
        <w:spacing w:after="160" w:line="360" w:lineRule="auto"/>
        <w:rPr>
          <w:lang w:val="en-US"/>
        </w:rPr>
      </w:pPr>
      <w:r>
        <w:rPr>
          <w:lang w:val="en-US"/>
        </w:rPr>
        <w:t>Utilising</w:t>
      </w:r>
      <w:r w:rsidR="00B54188">
        <w:rPr>
          <w:lang w:val="en-US"/>
        </w:rPr>
        <w:t xml:space="preserve"> </w:t>
      </w:r>
      <w:r w:rsidR="0020686B">
        <w:rPr>
          <w:lang w:val="en-US"/>
        </w:rPr>
        <w:t xml:space="preserve">available financing sources </w:t>
      </w:r>
      <w:r w:rsidR="003D310B">
        <w:rPr>
          <w:lang w:val="en-US"/>
        </w:rPr>
        <w:t xml:space="preserve">is a crucial step towards making an investment policy because </w:t>
      </w:r>
      <w:r w:rsidR="00293146">
        <w:rPr>
          <w:lang w:val="en-US"/>
        </w:rPr>
        <w:t xml:space="preserve">making the right choice in choosing the most adequate financing </w:t>
      </w:r>
      <w:r w:rsidR="00DF1C97">
        <w:rPr>
          <w:lang w:val="en-US"/>
        </w:rPr>
        <w:t xml:space="preserve">source is also crucial for a company. </w:t>
      </w:r>
      <w:r w:rsidR="003E4A9F">
        <w:rPr>
          <w:lang w:val="en-US"/>
        </w:rPr>
        <w:t xml:space="preserve">Now, there are various types of financing sources available for Westward PLC to fund its investment projects. </w:t>
      </w:r>
      <w:r w:rsidR="00135E47">
        <w:rPr>
          <w:lang w:val="en-US"/>
        </w:rPr>
        <w:t xml:space="preserve">They include equity financing and debt financing through which it can issue </w:t>
      </w:r>
      <w:r>
        <w:rPr>
          <w:lang w:val="en-US"/>
        </w:rPr>
        <w:t>new</w:t>
      </w:r>
      <w:r w:rsidR="00135E47">
        <w:rPr>
          <w:lang w:val="en-US"/>
        </w:rPr>
        <w:t xml:space="preserve"> ordinary shares, leverage its available retained earnings</w:t>
      </w:r>
      <w:r w:rsidR="00354920">
        <w:rPr>
          <w:lang w:val="en-US"/>
        </w:rPr>
        <w:t xml:space="preserve"> or </w:t>
      </w:r>
      <w:r w:rsidR="00135E47">
        <w:rPr>
          <w:lang w:val="en-US"/>
        </w:rPr>
        <w:t xml:space="preserve">take a bank </w:t>
      </w:r>
      <w:r w:rsidR="00354920">
        <w:rPr>
          <w:lang w:val="en-US"/>
        </w:rPr>
        <w:t>loan.</w:t>
      </w:r>
      <w:r w:rsidR="00D642E0">
        <w:rPr>
          <w:lang w:val="en-US"/>
        </w:rPr>
        <w:t xml:space="preserve"> All of these financing sources have their advantages and disadvantages</w:t>
      </w:r>
      <w:r>
        <w:rPr>
          <w:lang w:val="en-US"/>
        </w:rPr>
        <w:t>,</w:t>
      </w:r>
      <w:r w:rsidR="00D642E0">
        <w:rPr>
          <w:lang w:val="en-US"/>
        </w:rPr>
        <w:t xml:space="preserve"> which are all laid out below.</w:t>
      </w:r>
    </w:p>
    <w:p w14:paraId="053DD495" w14:textId="55FE7573" w:rsidR="003E2795" w:rsidRDefault="003E2795" w:rsidP="00CA388D">
      <w:pPr>
        <w:spacing w:after="160" w:line="360" w:lineRule="auto"/>
        <w:rPr>
          <w:b/>
          <w:bCs/>
          <w:lang w:val="en-US"/>
        </w:rPr>
      </w:pPr>
      <w:r>
        <w:rPr>
          <w:b/>
          <w:bCs/>
          <w:lang w:val="en-US"/>
        </w:rPr>
        <w:t>Advantages of Using Ordinary Share Issuance</w:t>
      </w:r>
    </w:p>
    <w:p w14:paraId="12E5184C" w14:textId="7A865232" w:rsidR="003E2795" w:rsidRDefault="00A1308C" w:rsidP="003E2795">
      <w:pPr>
        <w:pStyle w:val="ListParagraph"/>
        <w:numPr>
          <w:ilvl w:val="0"/>
          <w:numId w:val="8"/>
        </w:numPr>
        <w:spacing w:after="160" w:line="360" w:lineRule="auto"/>
        <w:rPr>
          <w:lang w:val="en-US"/>
        </w:rPr>
      </w:pPr>
      <w:r>
        <w:rPr>
          <w:lang w:val="en-US"/>
        </w:rPr>
        <w:t>There is no fixed obligation to repay the capital financed with no interest payments attached</w:t>
      </w:r>
      <w:r w:rsidR="00B921D0">
        <w:rPr>
          <w:lang w:val="en-US"/>
        </w:rPr>
        <w:t>,</w:t>
      </w:r>
      <w:r>
        <w:rPr>
          <w:lang w:val="en-US"/>
        </w:rPr>
        <w:t xml:space="preserve"> unlike loans</w:t>
      </w:r>
      <w:r w:rsidR="002512B7">
        <w:rPr>
          <w:lang w:val="en-US"/>
        </w:rPr>
        <w:t xml:space="preserve"> (</w:t>
      </w:r>
      <w:r w:rsidR="002512B7" w:rsidRPr="002512B7">
        <w:t>Nashtaei</w:t>
      </w:r>
      <w:r w:rsidR="002512B7">
        <w:t xml:space="preserve"> et al., 2017)</w:t>
      </w:r>
      <w:r>
        <w:rPr>
          <w:lang w:val="en-US"/>
        </w:rPr>
        <w:t>.</w:t>
      </w:r>
    </w:p>
    <w:p w14:paraId="4BD88BF7" w14:textId="1827ED94" w:rsidR="00A1308C" w:rsidRDefault="00A1308C" w:rsidP="003E2795">
      <w:pPr>
        <w:pStyle w:val="ListParagraph"/>
        <w:numPr>
          <w:ilvl w:val="0"/>
          <w:numId w:val="8"/>
        </w:numPr>
        <w:spacing w:after="160" w:line="360" w:lineRule="auto"/>
        <w:rPr>
          <w:lang w:val="en-US"/>
        </w:rPr>
      </w:pPr>
      <w:r>
        <w:rPr>
          <w:lang w:val="en-US"/>
        </w:rPr>
        <w:t xml:space="preserve">There is no requirement </w:t>
      </w:r>
      <w:r w:rsidR="00B921D0">
        <w:rPr>
          <w:lang w:val="en-US"/>
        </w:rPr>
        <w:t>to put</w:t>
      </w:r>
      <w:r>
        <w:rPr>
          <w:lang w:val="en-US"/>
        </w:rPr>
        <w:t xml:space="preserve"> up </w:t>
      </w:r>
      <w:r w:rsidR="00B921D0">
        <w:rPr>
          <w:lang w:val="en-US"/>
        </w:rPr>
        <w:t>collateral</w:t>
      </w:r>
      <w:r>
        <w:rPr>
          <w:lang w:val="en-US"/>
        </w:rPr>
        <w:t xml:space="preserve"> for issuing equity.</w:t>
      </w:r>
    </w:p>
    <w:p w14:paraId="1171F6F4" w14:textId="1A357574" w:rsidR="003E2795" w:rsidRPr="003E2795" w:rsidRDefault="003E2795" w:rsidP="003E2795">
      <w:pPr>
        <w:spacing w:after="160" w:line="360" w:lineRule="auto"/>
        <w:rPr>
          <w:b/>
          <w:bCs/>
          <w:lang w:val="en-US"/>
        </w:rPr>
      </w:pPr>
      <w:r>
        <w:rPr>
          <w:b/>
          <w:bCs/>
          <w:lang w:val="en-US"/>
        </w:rPr>
        <w:t>Disa</w:t>
      </w:r>
      <w:r w:rsidRPr="003E2795">
        <w:rPr>
          <w:b/>
          <w:bCs/>
          <w:lang w:val="en-US"/>
        </w:rPr>
        <w:t>dvantages of Using Ordinary Share Issuance</w:t>
      </w:r>
    </w:p>
    <w:p w14:paraId="64C058DF" w14:textId="4211E571" w:rsidR="003E2795" w:rsidRDefault="0044447B" w:rsidP="003E2795">
      <w:pPr>
        <w:pStyle w:val="ListParagraph"/>
        <w:numPr>
          <w:ilvl w:val="0"/>
          <w:numId w:val="8"/>
        </w:numPr>
        <w:spacing w:after="160" w:line="360" w:lineRule="auto"/>
        <w:rPr>
          <w:lang w:val="en-US"/>
        </w:rPr>
      </w:pPr>
      <w:r>
        <w:rPr>
          <w:lang w:val="en-US"/>
        </w:rPr>
        <w:t>Ownership dilution is one of the major problems that issuing new shares has.</w:t>
      </w:r>
    </w:p>
    <w:p w14:paraId="7435B4E1" w14:textId="6F5FAD40" w:rsidR="00D341D6" w:rsidRPr="003E2795" w:rsidRDefault="00D341D6" w:rsidP="003E2795">
      <w:pPr>
        <w:pStyle w:val="ListParagraph"/>
        <w:numPr>
          <w:ilvl w:val="0"/>
          <w:numId w:val="8"/>
        </w:numPr>
        <w:spacing w:after="160" w:line="360" w:lineRule="auto"/>
        <w:rPr>
          <w:lang w:val="en-US"/>
        </w:rPr>
      </w:pPr>
      <w:r>
        <w:rPr>
          <w:lang w:val="en-US"/>
        </w:rPr>
        <w:t>Equity financing typically bears more costs to finance any projects or initiatives than debt financing does</w:t>
      </w:r>
      <w:r w:rsidR="002512B7">
        <w:rPr>
          <w:lang w:val="en-US"/>
        </w:rPr>
        <w:t xml:space="preserve"> (</w:t>
      </w:r>
      <w:r w:rsidR="002512B7" w:rsidRPr="002512B7">
        <w:t>Nashtaei</w:t>
      </w:r>
      <w:r w:rsidR="002512B7">
        <w:t xml:space="preserve"> et al., 2017)</w:t>
      </w:r>
      <w:r>
        <w:rPr>
          <w:lang w:val="en-US"/>
        </w:rPr>
        <w:t>.</w:t>
      </w:r>
    </w:p>
    <w:p w14:paraId="360F66A9" w14:textId="627C6530" w:rsidR="003E2795" w:rsidRDefault="003E2795" w:rsidP="003E2795">
      <w:pPr>
        <w:spacing w:after="160" w:line="360" w:lineRule="auto"/>
        <w:rPr>
          <w:b/>
          <w:bCs/>
          <w:lang w:val="en-US"/>
        </w:rPr>
      </w:pPr>
      <w:r>
        <w:rPr>
          <w:b/>
          <w:bCs/>
          <w:lang w:val="en-US"/>
        </w:rPr>
        <w:t xml:space="preserve">Advantages of Using </w:t>
      </w:r>
      <w:r w:rsidR="00C10EB8">
        <w:rPr>
          <w:b/>
          <w:bCs/>
          <w:lang w:val="en-US"/>
        </w:rPr>
        <w:t>Retained Earnings</w:t>
      </w:r>
    </w:p>
    <w:p w14:paraId="2175FCD1" w14:textId="4BE93AEE" w:rsidR="003E2795" w:rsidRDefault="00131608" w:rsidP="00C10EB8">
      <w:pPr>
        <w:pStyle w:val="ListParagraph"/>
        <w:numPr>
          <w:ilvl w:val="0"/>
          <w:numId w:val="8"/>
        </w:numPr>
        <w:spacing w:after="160" w:line="360" w:lineRule="auto"/>
        <w:rPr>
          <w:lang w:val="en-US"/>
        </w:rPr>
      </w:pPr>
      <w:r>
        <w:rPr>
          <w:lang w:val="en-US"/>
        </w:rPr>
        <w:t>There is no issuance cost involved with retained earnings</w:t>
      </w:r>
      <w:r w:rsidR="00B921D0">
        <w:rPr>
          <w:lang w:val="en-US"/>
        </w:rPr>
        <w:t>,</w:t>
      </w:r>
      <w:r>
        <w:rPr>
          <w:lang w:val="en-US"/>
        </w:rPr>
        <w:t xml:space="preserve"> which can be used without running into the risk of diluting ownership</w:t>
      </w:r>
      <w:r w:rsidR="002512B7">
        <w:rPr>
          <w:lang w:val="en-US"/>
        </w:rPr>
        <w:t xml:space="preserve"> (</w:t>
      </w:r>
      <w:r w:rsidR="002512B7" w:rsidRPr="002512B7">
        <w:t>Royer</w:t>
      </w:r>
      <w:r w:rsidR="002512B7">
        <w:t>, 2017)</w:t>
      </w:r>
      <w:r>
        <w:rPr>
          <w:lang w:val="en-US"/>
        </w:rPr>
        <w:t>.</w:t>
      </w:r>
    </w:p>
    <w:p w14:paraId="183FD86A" w14:textId="58385ADC" w:rsidR="00A16507" w:rsidRPr="00C10EB8" w:rsidRDefault="00A16507" w:rsidP="00C10EB8">
      <w:pPr>
        <w:pStyle w:val="ListParagraph"/>
        <w:numPr>
          <w:ilvl w:val="0"/>
          <w:numId w:val="8"/>
        </w:numPr>
        <w:spacing w:after="160" w:line="360" w:lineRule="auto"/>
        <w:rPr>
          <w:lang w:val="en-US"/>
        </w:rPr>
      </w:pPr>
      <w:r>
        <w:rPr>
          <w:lang w:val="en-US"/>
        </w:rPr>
        <w:t>It is immediately available to a business without having to wait for clearance or approval from any parties.</w:t>
      </w:r>
    </w:p>
    <w:p w14:paraId="657052C7" w14:textId="65455E9F" w:rsidR="003E2795" w:rsidRDefault="00C10EB8" w:rsidP="003E2795">
      <w:pPr>
        <w:spacing w:after="160" w:line="360" w:lineRule="auto"/>
        <w:rPr>
          <w:b/>
          <w:bCs/>
          <w:lang w:val="en-US"/>
        </w:rPr>
      </w:pPr>
      <w:r>
        <w:rPr>
          <w:b/>
          <w:bCs/>
          <w:lang w:val="en-US"/>
        </w:rPr>
        <w:t>Disa</w:t>
      </w:r>
      <w:r w:rsidR="003E2795">
        <w:rPr>
          <w:b/>
          <w:bCs/>
          <w:lang w:val="en-US"/>
        </w:rPr>
        <w:t xml:space="preserve">dvantages of Using </w:t>
      </w:r>
      <w:r>
        <w:rPr>
          <w:b/>
          <w:bCs/>
          <w:lang w:val="en-US"/>
        </w:rPr>
        <w:t>Retained Earnings</w:t>
      </w:r>
    </w:p>
    <w:p w14:paraId="10995576" w14:textId="12B611F0" w:rsidR="003E2795" w:rsidRDefault="00F707A5" w:rsidP="00C10EB8">
      <w:pPr>
        <w:pStyle w:val="ListParagraph"/>
        <w:numPr>
          <w:ilvl w:val="0"/>
          <w:numId w:val="8"/>
        </w:numPr>
        <w:spacing w:after="160" w:line="360" w:lineRule="auto"/>
        <w:rPr>
          <w:lang w:val="en-US"/>
        </w:rPr>
      </w:pPr>
      <w:r>
        <w:rPr>
          <w:lang w:val="en-US"/>
        </w:rPr>
        <w:t>There exists an opportunity cost for shareholders as they can invest the retained earnings in other projects if received through dividends.</w:t>
      </w:r>
    </w:p>
    <w:p w14:paraId="7FB2E4E0" w14:textId="19527E49" w:rsidR="00F707A5" w:rsidRPr="00C10EB8" w:rsidRDefault="009456B1" w:rsidP="00C10EB8">
      <w:pPr>
        <w:pStyle w:val="ListParagraph"/>
        <w:numPr>
          <w:ilvl w:val="0"/>
          <w:numId w:val="8"/>
        </w:numPr>
        <w:spacing w:after="160" w:line="360" w:lineRule="auto"/>
        <w:rPr>
          <w:lang w:val="en-US"/>
        </w:rPr>
      </w:pPr>
      <w:r>
        <w:rPr>
          <w:lang w:val="en-US"/>
        </w:rPr>
        <w:t>Using retained earnings can reduce financial flexibility to fulfil future unexpected needs</w:t>
      </w:r>
      <w:r w:rsidR="002512B7">
        <w:rPr>
          <w:lang w:val="en-US"/>
        </w:rPr>
        <w:t xml:space="preserve"> (</w:t>
      </w:r>
      <w:r w:rsidR="002512B7" w:rsidRPr="002512B7">
        <w:t>Royer</w:t>
      </w:r>
      <w:r w:rsidR="002512B7">
        <w:t>, 2017)</w:t>
      </w:r>
      <w:r>
        <w:rPr>
          <w:lang w:val="en-US"/>
        </w:rPr>
        <w:t>.</w:t>
      </w:r>
    </w:p>
    <w:p w14:paraId="5EB0E4A5" w14:textId="76447F57" w:rsidR="003E2795" w:rsidRDefault="003E2795" w:rsidP="003E2795">
      <w:pPr>
        <w:spacing w:after="160" w:line="360" w:lineRule="auto"/>
        <w:rPr>
          <w:b/>
          <w:bCs/>
          <w:lang w:val="en-US"/>
        </w:rPr>
      </w:pPr>
      <w:r>
        <w:rPr>
          <w:b/>
          <w:bCs/>
          <w:lang w:val="en-US"/>
        </w:rPr>
        <w:t xml:space="preserve">Advantages of Using </w:t>
      </w:r>
      <w:r w:rsidR="00B921D0">
        <w:rPr>
          <w:b/>
          <w:bCs/>
          <w:lang w:val="en-US"/>
        </w:rPr>
        <w:t xml:space="preserve">a </w:t>
      </w:r>
      <w:r w:rsidR="00C10EB8">
        <w:rPr>
          <w:b/>
          <w:bCs/>
          <w:lang w:val="en-US"/>
        </w:rPr>
        <w:t>Bank Loan</w:t>
      </w:r>
    </w:p>
    <w:p w14:paraId="333FF63F" w14:textId="06FFA7DE" w:rsidR="003E2795" w:rsidRDefault="00C86DE6" w:rsidP="00C10EB8">
      <w:pPr>
        <w:pStyle w:val="ListParagraph"/>
        <w:numPr>
          <w:ilvl w:val="0"/>
          <w:numId w:val="8"/>
        </w:numPr>
        <w:spacing w:after="160" w:line="360" w:lineRule="auto"/>
        <w:rPr>
          <w:lang w:val="en-US"/>
        </w:rPr>
      </w:pPr>
      <w:r>
        <w:rPr>
          <w:lang w:val="en-US"/>
        </w:rPr>
        <w:t>Interest payments have the feature of tax deductibility</w:t>
      </w:r>
      <w:r w:rsidR="00B921D0">
        <w:rPr>
          <w:lang w:val="en-US"/>
        </w:rPr>
        <w:t>,</w:t>
      </w:r>
      <w:r>
        <w:rPr>
          <w:lang w:val="en-US"/>
        </w:rPr>
        <w:t xml:space="preserve"> which reduces the effective cost to borrow and the overall financing.</w:t>
      </w:r>
    </w:p>
    <w:p w14:paraId="6C45A01B" w14:textId="11743D5C" w:rsidR="001D7A52" w:rsidRPr="00C10EB8" w:rsidRDefault="001D7A52" w:rsidP="00C10EB8">
      <w:pPr>
        <w:pStyle w:val="ListParagraph"/>
        <w:numPr>
          <w:ilvl w:val="0"/>
          <w:numId w:val="8"/>
        </w:numPr>
        <w:spacing w:after="160" w:line="360" w:lineRule="auto"/>
        <w:rPr>
          <w:lang w:val="en-US"/>
        </w:rPr>
      </w:pPr>
      <w:r>
        <w:rPr>
          <w:lang w:val="en-US"/>
        </w:rPr>
        <w:t>There is no ownership dilution involved</w:t>
      </w:r>
      <w:r w:rsidR="00B921D0">
        <w:rPr>
          <w:lang w:val="en-US"/>
        </w:rPr>
        <w:t>,</w:t>
      </w:r>
      <w:r>
        <w:rPr>
          <w:lang w:val="en-US"/>
        </w:rPr>
        <w:t xml:space="preserve"> </w:t>
      </w:r>
      <w:r w:rsidR="009D66E0">
        <w:rPr>
          <w:lang w:val="en-US"/>
        </w:rPr>
        <w:t>which preserves both control and earnings of the owners of a company</w:t>
      </w:r>
      <w:r w:rsidR="002512B7">
        <w:rPr>
          <w:lang w:val="en-US"/>
        </w:rPr>
        <w:t xml:space="preserve"> (</w:t>
      </w:r>
      <w:r w:rsidR="002512B7" w:rsidRPr="002512B7">
        <w:t>Nashtaei</w:t>
      </w:r>
      <w:r w:rsidR="002512B7">
        <w:t xml:space="preserve"> et al., 2017)</w:t>
      </w:r>
      <w:r w:rsidR="009D66E0">
        <w:rPr>
          <w:lang w:val="en-US"/>
        </w:rPr>
        <w:t>.</w:t>
      </w:r>
    </w:p>
    <w:p w14:paraId="6E60C398" w14:textId="29A783F5" w:rsidR="003E2795" w:rsidRDefault="00C10EB8" w:rsidP="003E2795">
      <w:pPr>
        <w:spacing w:after="160" w:line="360" w:lineRule="auto"/>
        <w:rPr>
          <w:b/>
          <w:bCs/>
          <w:lang w:val="en-US"/>
        </w:rPr>
      </w:pPr>
      <w:r>
        <w:rPr>
          <w:b/>
          <w:bCs/>
          <w:lang w:val="en-US"/>
        </w:rPr>
        <w:t>Disa</w:t>
      </w:r>
      <w:r w:rsidR="003E2795">
        <w:rPr>
          <w:b/>
          <w:bCs/>
          <w:lang w:val="en-US"/>
        </w:rPr>
        <w:t xml:space="preserve">dvantages of Using </w:t>
      </w:r>
      <w:r>
        <w:rPr>
          <w:b/>
          <w:bCs/>
          <w:lang w:val="en-US"/>
        </w:rPr>
        <w:t>Bank L</w:t>
      </w:r>
      <w:r w:rsidR="004D7A3A">
        <w:rPr>
          <w:b/>
          <w:bCs/>
          <w:lang w:val="en-US"/>
        </w:rPr>
        <w:t>oan</w:t>
      </w:r>
    </w:p>
    <w:p w14:paraId="0E0B9BB2" w14:textId="18C85033" w:rsidR="003E2795" w:rsidRDefault="00507C3B" w:rsidP="00C10EB8">
      <w:pPr>
        <w:pStyle w:val="ListParagraph"/>
        <w:numPr>
          <w:ilvl w:val="0"/>
          <w:numId w:val="8"/>
        </w:numPr>
        <w:spacing w:after="160" w:line="360" w:lineRule="auto"/>
        <w:rPr>
          <w:lang w:val="en-US"/>
        </w:rPr>
      </w:pPr>
      <w:r>
        <w:rPr>
          <w:lang w:val="en-US"/>
        </w:rPr>
        <w:t>There exist fixed repayment obligations for companies</w:t>
      </w:r>
      <w:r w:rsidR="00B921D0">
        <w:rPr>
          <w:lang w:val="en-US"/>
        </w:rPr>
        <w:t>,</w:t>
      </w:r>
      <w:r>
        <w:rPr>
          <w:lang w:val="en-US"/>
        </w:rPr>
        <w:t xml:space="preserve"> and if not repaid, the company can run into bankruptcy</w:t>
      </w:r>
      <w:r w:rsidR="002512B7">
        <w:rPr>
          <w:lang w:val="en-US"/>
        </w:rPr>
        <w:t xml:space="preserve"> (</w:t>
      </w:r>
      <w:r w:rsidR="002512B7" w:rsidRPr="002512B7">
        <w:t>Nashtaei</w:t>
      </w:r>
      <w:r w:rsidR="002512B7">
        <w:t xml:space="preserve"> et al., 2017)</w:t>
      </w:r>
      <w:r>
        <w:rPr>
          <w:lang w:val="en-US"/>
        </w:rPr>
        <w:t>.</w:t>
      </w:r>
    </w:p>
    <w:p w14:paraId="75E78314" w14:textId="58DF75FC" w:rsidR="00307E52" w:rsidRPr="00C10EB8" w:rsidRDefault="00307E52" w:rsidP="00C10EB8">
      <w:pPr>
        <w:pStyle w:val="ListParagraph"/>
        <w:numPr>
          <w:ilvl w:val="0"/>
          <w:numId w:val="8"/>
        </w:numPr>
        <w:spacing w:after="160" w:line="360" w:lineRule="auto"/>
        <w:rPr>
          <w:lang w:val="en-US"/>
        </w:rPr>
      </w:pPr>
      <w:r>
        <w:rPr>
          <w:lang w:val="en-US"/>
        </w:rPr>
        <w:t xml:space="preserve">Collateral is a major part </w:t>
      </w:r>
      <w:r w:rsidR="00B921D0">
        <w:rPr>
          <w:lang w:val="en-US"/>
        </w:rPr>
        <w:t>of why</w:t>
      </w:r>
      <w:r>
        <w:rPr>
          <w:lang w:val="en-US"/>
        </w:rPr>
        <w:t xml:space="preserve"> bank loans remain inaccessible to many businesses.</w:t>
      </w:r>
    </w:p>
    <w:p w14:paraId="607D631C" w14:textId="4D3260B3" w:rsidR="000011DB" w:rsidRPr="000011DB" w:rsidRDefault="000011DB" w:rsidP="00CA388D">
      <w:pPr>
        <w:keepNext/>
        <w:keepLines/>
        <w:spacing w:before="160" w:after="80" w:line="360" w:lineRule="auto"/>
        <w:outlineLvl w:val="2"/>
        <w:rPr>
          <w:rFonts w:eastAsiaTheme="majorEastAsia" w:cs="Times New Roman"/>
          <w:b/>
          <w:bCs/>
          <w:color w:val="2F5496" w:themeColor="accent1" w:themeShade="BF"/>
          <w:szCs w:val="28"/>
          <w:lang w:val="en-US"/>
        </w:rPr>
      </w:pPr>
      <w:bookmarkStart w:id="26" w:name="_Toc219050020"/>
      <w:r w:rsidRPr="000011DB">
        <w:rPr>
          <w:rFonts w:eastAsiaTheme="majorEastAsia" w:cs="Times New Roman"/>
          <w:b/>
          <w:bCs/>
          <w:color w:val="2F5496" w:themeColor="accent1" w:themeShade="BF"/>
          <w:szCs w:val="28"/>
          <w:lang w:val="en-US"/>
        </w:rPr>
        <w:t>Recommendation</w:t>
      </w:r>
      <w:r w:rsidR="00243250">
        <w:rPr>
          <w:rFonts w:eastAsiaTheme="majorEastAsia" w:cs="Times New Roman"/>
          <w:b/>
          <w:bCs/>
          <w:color w:val="2F5496" w:themeColor="accent1" w:themeShade="BF"/>
          <w:szCs w:val="28"/>
          <w:lang w:val="en-US"/>
        </w:rPr>
        <w:t>s</w:t>
      </w:r>
      <w:bookmarkEnd w:id="26"/>
    </w:p>
    <w:p w14:paraId="4550216F" w14:textId="052CD090" w:rsidR="000011DB" w:rsidRPr="000011DB" w:rsidRDefault="00A055C4" w:rsidP="00CA388D">
      <w:pPr>
        <w:spacing w:after="160" w:line="360" w:lineRule="auto"/>
        <w:rPr>
          <w:lang w:val="en-US"/>
        </w:rPr>
      </w:pPr>
      <w:r>
        <w:rPr>
          <w:lang w:val="en-US"/>
        </w:rPr>
        <w:t xml:space="preserve">Based on the above description of </w:t>
      </w:r>
      <w:r w:rsidR="00B921D0">
        <w:rPr>
          <w:lang w:val="en-US"/>
        </w:rPr>
        <w:t xml:space="preserve">the </w:t>
      </w:r>
      <w:r>
        <w:rPr>
          <w:lang w:val="en-US"/>
        </w:rPr>
        <w:t xml:space="preserve">advantages and disadvantages of all the available sources, </w:t>
      </w:r>
      <w:r w:rsidR="00574FB9">
        <w:rPr>
          <w:lang w:val="en-US"/>
        </w:rPr>
        <w:t xml:space="preserve">Westward PLC should opt for a mixed financing strategy by incorporating both equity financing and debt financing so that financing costs can be better </w:t>
      </w:r>
      <w:r w:rsidR="00B921D0">
        <w:rPr>
          <w:lang w:val="en-US"/>
        </w:rPr>
        <w:t>optimised</w:t>
      </w:r>
      <w:r w:rsidR="00574FB9">
        <w:rPr>
          <w:lang w:val="en-US"/>
        </w:rPr>
        <w:t>.</w:t>
      </w:r>
      <w:r w:rsidR="000011DB" w:rsidRPr="000011DB">
        <w:rPr>
          <w:lang w:val="en-US"/>
        </w:rPr>
        <w:br w:type="page"/>
      </w:r>
    </w:p>
    <w:p w14:paraId="2E1F6742" w14:textId="5A1212D4" w:rsidR="000011DB" w:rsidRPr="000011DB" w:rsidRDefault="000011DB" w:rsidP="00CA388D">
      <w:pPr>
        <w:keepNext/>
        <w:keepLines/>
        <w:spacing w:before="240" w:after="120" w:line="360" w:lineRule="auto"/>
        <w:outlineLvl w:val="0"/>
        <w:rPr>
          <w:rFonts w:eastAsiaTheme="majorEastAsia" w:cstheme="majorBidi"/>
          <w:b/>
          <w:color w:val="2F5496" w:themeColor="accent1" w:themeShade="BF"/>
          <w:sz w:val="32"/>
          <w:szCs w:val="50"/>
          <w:lang w:val="en-US"/>
        </w:rPr>
      </w:pPr>
      <w:bookmarkStart w:id="27" w:name="_Toc219050021"/>
      <w:r w:rsidRPr="000011DB">
        <w:rPr>
          <w:rFonts w:eastAsiaTheme="majorEastAsia" w:cstheme="majorBidi"/>
          <w:b/>
          <w:color w:val="2F5496" w:themeColor="accent1" w:themeShade="BF"/>
          <w:sz w:val="32"/>
          <w:szCs w:val="50"/>
          <w:lang w:val="en-US"/>
        </w:rPr>
        <w:t>Conclusion</w:t>
      </w:r>
      <w:bookmarkEnd w:id="27"/>
    </w:p>
    <w:p w14:paraId="05C910D8" w14:textId="610DDC8F" w:rsidR="000011DB" w:rsidRPr="000011DB" w:rsidRDefault="00574BCD" w:rsidP="00CA388D">
      <w:pPr>
        <w:spacing w:line="360" w:lineRule="auto"/>
        <w:rPr>
          <w:lang w:val="en-US"/>
        </w:rPr>
      </w:pPr>
      <w:r>
        <w:rPr>
          <w:lang w:val="en-US"/>
        </w:rPr>
        <w:t xml:space="preserve">In this comprehensive financial analysis of AstraZeneca PLC and Westward PLC, </w:t>
      </w:r>
      <w:r w:rsidR="00973F13">
        <w:rPr>
          <w:lang w:val="en-US"/>
        </w:rPr>
        <w:t xml:space="preserve">both ratio analysis and investment appraisal analysis have been provided. </w:t>
      </w:r>
      <w:r w:rsidR="00525177">
        <w:rPr>
          <w:lang w:val="en-US"/>
        </w:rPr>
        <w:t xml:space="preserve">In doing so, the importance of rigorous and analytical frameworks has been upheld effectively. </w:t>
      </w:r>
      <w:r w:rsidR="0006284A">
        <w:rPr>
          <w:lang w:val="en-US"/>
        </w:rPr>
        <w:t xml:space="preserve">Through the dual-examination of AstraZeneca PLC’s 2024 financial results and Westward PLC’s investment opportunities, </w:t>
      </w:r>
      <w:r w:rsidR="0009550D">
        <w:rPr>
          <w:lang w:val="en-US"/>
        </w:rPr>
        <w:t>fundamental financial management principles have been unveiled whilst highlighting their practical use cases in terms of both quantitative and qualitative assessments of companies.</w:t>
      </w:r>
      <w:r w:rsidR="00B152D0">
        <w:rPr>
          <w:lang w:val="en-US"/>
        </w:rPr>
        <w:t xml:space="preserve"> Now, from the ratio analysis of AstraZeneca PLC, it has been established that the company has made substantial progress in terms of profitability, efficiency</w:t>
      </w:r>
      <w:r w:rsidR="00B921D0">
        <w:rPr>
          <w:lang w:val="en-US"/>
        </w:rPr>
        <w:t>,</w:t>
      </w:r>
      <w:r w:rsidR="00B152D0">
        <w:rPr>
          <w:lang w:val="en-US"/>
        </w:rPr>
        <w:t xml:space="preserve"> </w:t>
      </w:r>
      <w:r w:rsidR="00B921D0">
        <w:rPr>
          <w:lang w:val="en-US"/>
        </w:rPr>
        <w:t>and</w:t>
      </w:r>
      <w:r w:rsidR="00B152D0">
        <w:rPr>
          <w:lang w:val="en-US"/>
        </w:rPr>
        <w:t xml:space="preserve"> gearing metrics. Gross profit margin has increased with the company’s operating cash flow </w:t>
      </w:r>
      <w:r w:rsidR="00274157">
        <w:rPr>
          <w:lang w:val="en-US"/>
        </w:rPr>
        <w:t>exceeding</w:t>
      </w:r>
      <w:r w:rsidR="00B152D0">
        <w:rPr>
          <w:lang w:val="en-US"/>
        </w:rPr>
        <w:t xml:space="preserve"> almost 12 billion USD. </w:t>
      </w:r>
      <w:r w:rsidR="00274157">
        <w:rPr>
          <w:lang w:val="en-US"/>
        </w:rPr>
        <w:t>Moreover, Debt-to-Equity has remained conservative at 0.60</w:t>
      </w:r>
      <w:r w:rsidR="007C76E9">
        <w:rPr>
          <w:lang w:val="en-US"/>
        </w:rPr>
        <w:t xml:space="preserve">x. </w:t>
      </w:r>
      <w:r w:rsidR="00090686">
        <w:rPr>
          <w:lang w:val="en-US"/>
        </w:rPr>
        <w:t xml:space="preserve">Moreover, the company has delivered record distributions to its shareholders with 7% dividend increases while increasing its R&amp;D expenses by 24% from 2023 to 2024. </w:t>
      </w:r>
      <w:r w:rsidR="004233F7">
        <w:rPr>
          <w:lang w:val="en-US"/>
        </w:rPr>
        <w:t xml:space="preserve">Again, the company is enroute to achieve its Ambition 2030 objectives, too. </w:t>
      </w:r>
      <w:r w:rsidR="007B7070">
        <w:rPr>
          <w:lang w:val="en-US"/>
        </w:rPr>
        <w:t>Yet, the critical analysis undertaken of the ratio analysis has revealed that ratio analysis has its limitations</w:t>
      </w:r>
      <w:r w:rsidR="00B921D0">
        <w:rPr>
          <w:lang w:val="en-US"/>
        </w:rPr>
        <w:t>,</w:t>
      </w:r>
      <w:r w:rsidR="007B7070">
        <w:rPr>
          <w:lang w:val="en-US"/>
        </w:rPr>
        <w:t xml:space="preserve"> and all the results derived must be </w:t>
      </w:r>
      <w:r w:rsidR="00B921D0">
        <w:rPr>
          <w:lang w:val="en-US"/>
        </w:rPr>
        <w:t>interpreted</w:t>
      </w:r>
      <w:r w:rsidR="007B7070">
        <w:rPr>
          <w:lang w:val="en-US"/>
        </w:rPr>
        <w:t xml:space="preserve"> with caution for optimum results in the future. </w:t>
      </w:r>
      <w:r w:rsidR="00EE58A3">
        <w:rPr>
          <w:lang w:val="en-US"/>
        </w:rPr>
        <w:t xml:space="preserve">Now, as for Westward PLC, </w:t>
      </w:r>
      <w:r w:rsidR="0058077C">
        <w:rPr>
          <w:lang w:val="en-US"/>
        </w:rPr>
        <w:t>the investment appraisal showcases that Option B has the most optimum value ongoing for itself</w:t>
      </w:r>
      <w:r w:rsidR="00B01F3D">
        <w:rPr>
          <w:lang w:val="en-US"/>
        </w:rPr>
        <w:t xml:space="preserve"> with a net present value of </w:t>
      </w:r>
      <w:r w:rsidR="00B01F3D" w:rsidRPr="00B01F3D">
        <w:t>£</w:t>
      </w:r>
      <w:r w:rsidR="00B01F3D">
        <w:rPr>
          <w:lang w:val="en-US"/>
        </w:rPr>
        <w:t xml:space="preserve">792,229. Again, the IRR has been calculated to reach 34%, creating a marginable spread between </w:t>
      </w:r>
      <w:r w:rsidR="00B921D0">
        <w:rPr>
          <w:lang w:val="en-US"/>
        </w:rPr>
        <w:t xml:space="preserve">the </w:t>
      </w:r>
      <w:r w:rsidR="00B01F3D">
        <w:rPr>
          <w:lang w:val="en-US"/>
        </w:rPr>
        <w:t>cost of capital and itself, making the project very viable and lucrative for the company to undertake</w:t>
      </w:r>
      <w:r w:rsidR="000512FE">
        <w:rPr>
          <w:lang w:val="en-US"/>
        </w:rPr>
        <w:t>. From the integrated analysis undertaken, three insights can be found. Firstly, financial metrics are able to only guide a decision-maker</w:t>
      </w:r>
      <w:r w:rsidR="00B921D0">
        <w:rPr>
          <w:lang w:val="en-US"/>
        </w:rPr>
        <w:t>,</w:t>
      </w:r>
      <w:r w:rsidR="000512FE">
        <w:rPr>
          <w:lang w:val="en-US"/>
        </w:rPr>
        <w:t xml:space="preserve"> but cannot establish any solid grounds</w:t>
      </w:r>
      <w:r w:rsidR="006D7605">
        <w:rPr>
          <w:lang w:val="en-US"/>
        </w:rPr>
        <w:t>. For solid decision-making, the decision-maker must move with caution and be aware of other qualitative factors</w:t>
      </w:r>
      <w:r w:rsidR="00B921D0">
        <w:rPr>
          <w:lang w:val="en-US"/>
        </w:rPr>
        <w:t>,</w:t>
      </w:r>
      <w:r w:rsidR="006D7605">
        <w:rPr>
          <w:lang w:val="en-US"/>
        </w:rPr>
        <w:t xml:space="preserve"> such as </w:t>
      </w:r>
      <w:r w:rsidR="00B921D0">
        <w:rPr>
          <w:lang w:val="en-US"/>
        </w:rPr>
        <w:t xml:space="preserve">the </w:t>
      </w:r>
      <w:r w:rsidR="006D7605">
        <w:rPr>
          <w:lang w:val="en-US"/>
        </w:rPr>
        <w:t xml:space="preserve">regulatory environment and its impact on the company, </w:t>
      </w:r>
      <w:r w:rsidR="00A4469D">
        <w:rPr>
          <w:lang w:val="en-US"/>
        </w:rPr>
        <w:t>long-term sustainability imperatives of the company</w:t>
      </w:r>
      <w:r w:rsidR="00B921D0">
        <w:rPr>
          <w:lang w:val="en-US"/>
        </w:rPr>
        <w:t>,</w:t>
      </w:r>
      <w:r w:rsidR="00A4469D">
        <w:rPr>
          <w:lang w:val="en-US"/>
        </w:rPr>
        <w:t xml:space="preserve"> etc.</w:t>
      </w:r>
      <w:r w:rsidR="00B921D0">
        <w:rPr>
          <w:lang w:val="en-US"/>
        </w:rPr>
        <w:t>,</w:t>
      </w:r>
      <w:r w:rsidR="00A4469D">
        <w:rPr>
          <w:lang w:val="en-US"/>
        </w:rPr>
        <w:t xml:space="preserve"> </w:t>
      </w:r>
      <w:r w:rsidR="000046C2">
        <w:rPr>
          <w:lang w:val="en-US"/>
        </w:rPr>
        <w:t>so that the decision made is effective.</w:t>
      </w:r>
      <w:r w:rsidR="00EE654D">
        <w:rPr>
          <w:lang w:val="en-US"/>
        </w:rPr>
        <w:t xml:space="preserve"> In this report, financial analysis has been underpinned using </w:t>
      </w:r>
      <w:r w:rsidR="00B921D0">
        <w:rPr>
          <w:lang w:val="en-US"/>
        </w:rPr>
        <w:t xml:space="preserve">the </w:t>
      </w:r>
      <w:r w:rsidR="00EE654D">
        <w:rPr>
          <w:lang w:val="en-US"/>
        </w:rPr>
        <w:t xml:space="preserve">necessary theoretical foundation alongside effective </w:t>
      </w:r>
      <w:r w:rsidR="00256AFE">
        <w:rPr>
          <w:lang w:val="en-US"/>
        </w:rPr>
        <w:t>quantitative models.</w:t>
      </w:r>
    </w:p>
    <w:p w14:paraId="0D97D4FC" w14:textId="77777777" w:rsidR="000011DB" w:rsidRPr="000011DB" w:rsidRDefault="000011DB" w:rsidP="00CA388D">
      <w:pPr>
        <w:spacing w:after="160" w:line="360" w:lineRule="auto"/>
        <w:rPr>
          <w:lang w:val="en-US"/>
        </w:rPr>
      </w:pPr>
      <w:r w:rsidRPr="000011DB">
        <w:rPr>
          <w:lang w:val="en-US"/>
        </w:rPr>
        <w:br w:type="page"/>
      </w:r>
    </w:p>
    <w:p w14:paraId="14D288F6" w14:textId="77777777" w:rsidR="000011DB" w:rsidRPr="000011DB" w:rsidRDefault="000011DB" w:rsidP="00CA388D">
      <w:pPr>
        <w:keepNext/>
        <w:keepLines/>
        <w:spacing w:before="240" w:after="120" w:line="360" w:lineRule="auto"/>
        <w:outlineLvl w:val="0"/>
        <w:rPr>
          <w:rFonts w:eastAsiaTheme="majorEastAsia" w:cstheme="majorBidi"/>
          <w:b/>
          <w:color w:val="2F5496" w:themeColor="accent1" w:themeShade="BF"/>
          <w:sz w:val="32"/>
          <w:szCs w:val="50"/>
          <w:lang w:val="en-US"/>
        </w:rPr>
      </w:pPr>
      <w:bookmarkStart w:id="28" w:name="_Toc219050022"/>
      <w:r w:rsidRPr="000011DB">
        <w:rPr>
          <w:rFonts w:eastAsiaTheme="majorEastAsia" w:cstheme="majorBidi"/>
          <w:b/>
          <w:color w:val="2F5496" w:themeColor="accent1" w:themeShade="BF"/>
          <w:sz w:val="32"/>
          <w:szCs w:val="50"/>
          <w:lang w:val="en-US"/>
        </w:rPr>
        <w:t>References</w:t>
      </w:r>
      <w:bookmarkEnd w:id="28"/>
    </w:p>
    <w:p w14:paraId="0572328F" w14:textId="77777777" w:rsidR="002E5D4A" w:rsidRDefault="002E5D4A" w:rsidP="002E5D4A">
      <w:pPr>
        <w:spacing w:line="360" w:lineRule="auto"/>
      </w:pPr>
      <w:r w:rsidRPr="006436BB">
        <w:t>Abdul Kareem, A.A., Fayed, Z.T., Rady, S., Amin El-Regaily, S. and Nema, B.M. (2023) Factors influencing investment decisions in financial investment companies. </w:t>
      </w:r>
      <w:r w:rsidRPr="002E5D4A">
        <w:rPr>
          <w:i/>
          <w:iCs/>
        </w:rPr>
        <w:t>Systems</w:t>
      </w:r>
      <w:r w:rsidRPr="006436BB">
        <w:t>, </w:t>
      </w:r>
      <w:r w:rsidRPr="002E5D4A">
        <w:rPr>
          <w:i/>
          <w:iCs/>
        </w:rPr>
        <w:t>11</w:t>
      </w:r>
      <w:r w:rsidRPr="006436BB">
        <w:t>(3), p.146.</w:t>
      </w:r>
    </w:p>
    <w:p w14:paraId="67A07A5C" w14:textId="3EB65664" w:rsidR="002E5D4A" w:rsidRPr="006436BB" w:rsidRDefault="002E5D4A" w:rsidP="002E5D4A">
      <w:pPr>
        <w:spacing w:line="360" w:lineRule="auto"/>
      </w:pPr>
      <w:r w:rsidRPr="002E5D4A">
        <w:t xml:space="preserve">Amin, T. (2024). Big Tech Antitrust Scrutiny - IR Global. </w:t>
      </w:r>
      <w:r w:rsidRPr="002E5D4A">
        <w:rPr>
          <w:i/>
          <w:iCs/>
        </w:rPr>
        <w:t>IR Global</w:t>
      </w:r>
      <w:r w:rsidRPr="002E5D4A">
        <w:t xml:space="preserve">. [online] </w:t>
      </w:r>
      <w:r>
        <w:t>DOI</w:t>
      </w:r>
      <w:r w:rsidRPr="002E5D4A">
        <w:t>:</w:t>
      </w:r>
      <w:r>
        <w:t xml:space="preserve"> </w:t>
      </w:r>
      <w:r w:rsidRPr="002E5D4A">
        <w:t>https://doi.org/10/05151433/cropped-favicon-32x32.</w:t>
      </w:r>
    </w:p>
    <w:p w14:paraId="682806DC" w14:textId="77777777" w:rsidR="002E5D4A" w:rsidRPr="006436BB" w:rsidRDefault="002E5D4A" w:rsidP="002E5D4A">
      <w:pPr>
        <w:spacing w:line="360" w:lineRule="auto"/>
      </w:pPr>
      <w:r w:rsidRPr="006436BB">
        <w:t>Andjelic, S. and Vesic, T. (2017) The importance of financial analysis for business decision making. In </w:t>
      </w:r>
      <w:r w:rsidRPr="002E5D4A">
        <w:rPr>
          <w:i/>
          <w:iCs/>
        </w:rPr>
        <w:t>Book of proceedings from Sixth International Scientific Conference Employment, Education and Entrepreneurship</w:t>
      </w:r>
      <w:r w:rsidRPr="006436BB">
        <w:t> (pp. 9-25).</w:t>
      </w:r>
    </w:p>
    <w:p w14:paraId="629C0202" w14:textId="77777777" w:rsidR="002E5D4A" w:rsidRDefault="002E5D4A" w:rsidP="002E5D4A">
      <w:pPr>
        <w:spacing w:line="360" w:lineRule="auto"/>
      </w:pPr>
      <w:r w:rsidRPr="00A32D25">
        <w:t>Arjunan, K.</w:t>
      </w:r>
      <w:r>
        <w:t xml:space="preserve"> (</w:t>
      </w:r>
      <w:r w:rsidRPr="00A32D25">
        <w:t>2022</w:t>
      </w:r>
      <w:r>
        <w:t>)</w:t>
      </w:r>
      <w:r w:rsidRPr="00A32D25">
        <w:t xml:space="preserve"> A new method to estimate NPV and IRR from the capital amortization schedule and the advantages of the new method. </w:t>
      </w:r>
      <w:r w:rsidRPr="002E5D4A">
        <w:rPr>
          <w:i/>
          <w:iCs/>
        </w:rPr>
        <w:t>Australasian Accounting, Business and Finance Journal</w:t>
      </w:r>
      <w:r w:rsidRPr="00A32D25">
        <w:t>, </w:t>
      </w:r>
      <w:r w:rsidRPr="002E5D4A">
        <w:rPr>
          <w:i/>
          <w:iCs/>
        </w:rPr>
        <w:t>16</w:t>
      </w:r>
      <w:r w:rsidRPr="00A32D25">
        <w:t>(6).</w:t>
      </w:r>
    </w:p>
    <w:p w14:paraId="7BE0BCB2" w14:textId="77777777" w:rsidR="002E5D4A" w:rsidRPr="006436BB" w:rsidRDefault="002E5D4A" w:rsidP="002E5D4A">
      <w:pPr>
        <w:spacing w:line="360" w:lineRule="auto"/>
      </w:pPr>
      <w:r w:rsidRPr="006436BB">
        <w:t xml:space="preserve">AstraZeneca (2024) </w:t>
      </w:r>
      <w:r w:rsidRPr="002E5D4A">
        <w:rPr>
          <w:i/>
          <w:iCs/>
        </w:rPr>
        <w:t>What science can do</w:t>
      </w:r>
      <w:r w:rsidRPr="006436BB">
        <w:t>. [online] Available at: https://www.astrazeneca.com/content/dam/az/Investor_Relations/annual-report-2024/pdf/AstraZeneca_AR_2024.pdf [Accessed 1 Jan. 2026].</w:t>
      </w:r>
    </w:p>
    <w:p w14:paraId="77B3F87D" w14:textId="77777777" w:rsidR="002E5D4A" w:rsidRPr="006436BB" w:rsidRDefault="002E5D4A" w:rsidP="002E5D4A">
      <w:pPr>
        <w:spacing w:line="360" w:lineRule="auto"/>
      </w:pPr>
      <w:r w:rsidRPr="006436BB">
        <w:t>Bendjazia, N. (2023) </w:t>
      </w:r>
      <w:r w:rsidRPr="002E5D4A">
        <w:rPr>
          <w:i/>
          <w:iCs/>
        </w:rPr>
        <w:t>Does the capital structure impact the company performance: empirical research of the effect of financing decisions on a company’s profitability? Evidence from the UK Pharmaceutical and biotechnology sector</w:t>
      </w:r>
      <w:r w:rsidRPr="006436BB">
        <w:t> (Master's thesis, University of Wales Trinity Saint David (United Kingdom)).</w:t>
      </w:r>
    </w:p>
    <w:p w14:paraId="4E50CF1E" w14:textId="77777777" w:rsidR="002E5D4A" w:rsidRDefault="002E5D4A" w:rsidP="002E5D4A">
      <w:pPr>
        <w:spacing w:line="360" w:lineRule="auto"/>
      </w:pPr>
      <w:r w:rsidRPr="00A32D25">
        <w:t>Benlakhdar, N.</w:t>
      </w:r>
      <w:r>
        <w:t xml:space="preserve"> (</w:t>
      </w:r>
      <w:r w:rsidRPr="00A32D25">
        <w:t>2018</w:t>
      </w:r>
      <w:r>
        <w:t>)</w:t>
      </w:r>
      <w:r w:rsidRPr="00A32D25">
        <w:t> </w:t>
      </w:r>
      <w:r w:rsidRPr="002E5D4A">
        <w:rPr>
          <w:i/>
          <w:iCs/>
        </w:rPr>
        <w:t>Performance evaluation through financial ratios: Comparative analysis of Pfizer, INC. and Novartis AG</w:t>
      </w:r>
      <w:r w:rsidRPr="00A32D25">
        <w:t> (Doctoral dissertation, Bachelor’s thesis, Department of Business Administration, University of Tallinn).</w:t>
      </w:r>
    </w:p>
    <w:p w14:paraId="0D26878B" w14:textId="77777777" w:rsidR="002E5D4A" w:rsidRPr="006436BB" w:rsidRDefault="002E5D4A" w:rsidP="002E5D4A">
      <w:pPr>
        <w:spacing w:line="360" w:lineRule="auto"/>
      </w:pPr>
      <w:r w:rsidRPr="006436BB">
        <w:t>Beraldi, P., Bruni, M.E. and Violi, A. (2012) Capital rationing problems under uncertainty and risk. </w:t>
      </w:r>
      <w:r w:rsidRPr="002E5D4A">
        <w:rPr>
          <w:i/>
          <w:iCs/>
        </w:rPr>
        <w:t>Computational Optimization and Applications</w:t>
      </w:r>
      <w:r w:rsidRPr="006436BB">
        <w:t>, </w:t>
      </w:r>
      <w:r w:rsidRPr="002E5D4A">
        <w:rPr>
          <w:i/>
          <w:iCs/>
        </w:rPr>
        <w:t>51</w:t>
      </w:r>
      <w:r w:rsidRPr="006436BB">
        <w:t>(3), pp.1375-1396.</w:t>
      </w:r>
    </w:p>
    <w:p w14:paraId="1A2AAA94" w14:textId="77777777" w:rsidR="002E5D4A" w:rsidRDefault="002E5D4A" w:rsidP="002E5D4A">
      <w:pPr>
        <w:spacing w:line="360" w:lineRule="auto"/>
      </w:pPr>
      <w:r w:rsidRPr="00A32D25">
        <w:t>Boldeanu, D.M. and Pugna, I.B.</w:t>
      </w:r>
      <w:r>
        <w:t xml:space="preserve"> (</w:t>
      </w:r>
      <w:r w:rsidRPr="00A32D25">
        <w:t>2014</w:t>
      </w:r>
      <w:r>
        <w:t>)</w:t>
      </w:r>
      <w:r w:rsidRPr="00A32D25">
        <w:t xml:space="preserve"> The analysis of the influence factors affecting the performance of pharmaceutical companies. </w:t>
      </w:r>
      <w:r w:rsidRPr="002E5D4A">
        <w:rPr>
          <w:i/>
          <w:iCs/>
        </w:rPr>
        <w:t>Theoretical &amp; Applied Economics</w:t>
      </w:r>
      <w:r w:rsidRPr="00A32D25">
        <w:t>, </w:t>
      </w:r>
      <w:r w:rsidRPr="002E5D4A">
        <w:rPr>
          <w:i/>
          <w:iCs/>
        </w:rPr>
        <w:t>21</w:t>
      </w:r>
      <w:r w:rsidRPr="00A32D25">
        <w:t>(7).</w:t>
      </w:r>
    </w:p>
    <w:p w14:paraId="71DEA363" w14:textId="77777777" w:rsidR="002E5D4A" w:rsidRPr="006436BB" w:rsidRDefault="002E5D4A" w:rsidP="002E5D4A">
      <w:pPr>
        <w:spacing w:line="360" w:lineRule="auto"/>
      </w:pPr>
      <w:r w:rsidRPr="006436BB">
        <w:t>BULAMA, M. and MUSA, D.I. (2023) THE ROLE OF INVESTMENT APPRAISAL/CAPITAL BUDGETTING TECHNIQUES IN EVALUATING THE PROFITABILITY OF PROJECTS: A REVIEW OF LITERATURE.</w:t>
      </w:r>
    </w:p>
    <w:p w14:paraId="052F12F1" w14:textId="77777777" w:rsidR="002E5D4A" w:rsidRDefault="002E5D4A" w:rsidP="002E5D4A">
      <w:pPr>
        <w:spacing w:line="360" w:lineRule="auto"/>
      </w:pPr>
      <w:r w:rsidRPr="006436BB">
        <w:t>Chadha, S. and Sharma, S.K. (2019) Capital budgeting practices: a survey in the selected Indian manufacturing firms. </w:t>
      </w:r>
      <w:r w:rsidRPr="002E5D4A">
        <w:rPr>
          <w:i/>
          <w:iCs/>
        </w:rPr>
        <w:t>International Journal of Indian Culture and Business Management</w:t>
      </w:r>
      <w:r w:rsidRPr="006436BB">
        <w:t>, </w:t>
      </w:r>
      <w:r w:rsidRPr="002E5D4A">
        <w:rPr>
          <w:i/>
          <w:iCs/>
        </w:rPr>
        <w:t>18</w:t>
      </w:r>
      <w:r w:rsidRPr="006436BB">
        <w:t>(4), pp.381-390.</w:t>
      </w:r>
    </w:p>
    <w:p w14:paraId="1EC145A3" w14:textId="7CDA6FC5" w:rsidR="002E5D4A" w:rsidRPr="006436BB" w:rsidRDefault="002E5D4A" w:rsidP="002E5D4A">
      <w:pPr>
        <w:spacing w:line="360" w:lineRule="auto"/>
      </w:pPr>
      <w:r w:rsidRPr="002E5D4A">
        <w:t>Chen, X.</w:t>
      </w:r>
      <w:r>
        <w:t xml:space="preserve"> (</w:t>
      </w:r>
      <w:r w:rsidRPr="002E5D4A">
        <w:t>2022</w:t>
      </w:r>
      <w:r>
        <w:t>)</w:t>
      </w:r>
      <w:r w:rsidRPr="002E5D4A">
        <w:t xml:space="preserve"> Theoretical Analysis of Net Present Value. </w:t>
      </w:r>
      <w:r w:rsidRPr="002E5D4A">
        <w:rPr>
          <w:i/>
          <w:iCs/>
        </w:rPr>
        <w:t>BCP Bus. Manag</w:t>
      </w:r>
      <w:r w:rsidRPr="002E5D4A">
        <w:t>, </w:t>
      </w:r>
      <w:r w:rsidRPr="002E5D4A">
        <w:rPr>
          <w:i/>
          <w:iCs/>
        </w:rPr>
        <w:t>30</w:t>
      </w:r>
      <w:r w:rsidRPr="002E5D4A">
        <w:t>, pp.683-686.</w:t>
      </w:r>
    </w:p>
    <w:p w14:paraId="79F65255" w14:textId="77777777" w:rsidR="002E5D4A" w:rsidRDefault="002E5D4A" w:rsidP="002E5D4A">
      <w:pPr>
        <w:spacing w:line="360" w:lineRule="auto"/>
      </w:pPr>
      <w:r w:rsidRPr="002E5D4A">
        <w:t>Dai, H., Li, N., Wang, Y. and Zhao, X.</w:t>
      </w:r>
      <w:r>
        <w:t xml:space="preserve"> (</w:t>
      </w:r>
      <w:r w:rsidRPr="002E5D4A">
        <w:t>2022</w:t>
      </w:r>
      <w:r>
        <w:t>)</w:t>
      </w:r>
      <w:r w:rsidRPr="002E5D4A">
        <w:t xml:space="preserve"> The analysis of three main investment criteria: NPV IRR and payback period. In </w:t>
      </w:r>
      <w:r w:rsidRPr="002E5D4A">
        <w:rPr>
          <w:i/>
          <w:iCs/>
        </w:rPr>
        <w:t>2022 7th International Conference on Financial Innovation and Economic Development (ICFIED 2022)</w:t>
      </w:r>
      <w:r w:rsidRPr="002E5D4A">
        <w:t> (pp. 185-189). Atlantis Press.</w:t>
      </w:r>
    </w:p>
    <w:p w14:paraId="79C17C37" w14:textId="77777777" w:rsidR="002E5D4A" w:rsidRDefault="002E5D4A" w:rsidP="002E5D4A">
      <w:pPr>
        <w:spacing w:line="360" w:lineRule="auto"/>
      </w:pPr>
      <w:r w:rsidRPr="00A32D25">
        <w:t>Daryanto, C. and Daryanto, W.M.</w:t>
      </w:r>
      <w:r>
        <w:t xml:space="preserve"> (</w:t>
      </w:r>
      <w:r w:rsidRPr="00A32D25">
        <w:t>2019</w:t>
      </w:r>
      <w:r>
        <w:t>)</w:t>
      </w:r>
      <w:r w:rsidRPr="00A32D25">
        <w:t xml:space="preserve"> Financial performance analysis and evaluation of pharmaceutical companies in Indonesia. </w:t>
      </w:r>
      <w:r w:rsidRPr="002E5D4A">
        <w:rPr>
          <w:i/>
          <w:iCs/>
        </w:rPr>
        <w:t>International Journal of Innovation, Creativity and Change</w:t>
      </w:r>
      <w:r w:rsidRPr="00A32D25">
        <w:t>, </w:t>
      </w:r>
      <w:r w:rsidRPr="002E5D4A">
        <w:rPr>
          <w:i/>
          <w:iCs/>
        </w:rPr>
        <w:t>6</w:t>
      </w:r>
      <w:r w:rsidRPr="00A32D25">
        <w:t>(3), pp.207-224.</w:t>
      </w:r>
    </w:p>
    <w:p w14:paraId="0EC73535" w14:textId="77777777" w:rsidR="002E5D4A" w:rsidRDefault="002E5D4A" w:rsidP="002E5D4A">
      <w:pPr>
        <w:spacing w:line="360" w:lineRule="auto"/>
      </w:pPr>
      <w:r w:rsidRPr="00A32D25">
        <w:t>Donelan, R., Walker, S. and Salek, S.</w:t>
      </w:r>
      <w:r>
        <w:t xml:space="preserve"> (</w:t>
      </w:r>
      <w:r w:rsidRPr="00A32D25">
        <w:t>2015</w:t>
      </w:r>
      <w:r>
        <w:t>)</w:t>
      </w:r>
      <w:r w:rsidRPr="00A32D25">
        <w:t xml:space="preserve"> Factors influencing quality decision‐making: regulatory and pharmaceutical industry perspectives. </w:t>
      </w:r>
      <w:r w:rsidRPr="002E5D4A">
        <w:rPr>
          <w:i/>
          <w:iCs/>
        </w:rPr>
        <w:t>Pharmacoepidemiology and drug safety</w:t>
      </w:r>
      <w:r w:rsidRPr="00A32D25">
        <w:t>, </w:t>
      </w:r>
      <w:r w:rsidRPr="002E5D4A">
        <w:rPr>
          <w:i/>
          <w:iCs/>
        </w:rPr>
        <w:t>24</w:t>
      </w:r>
      <w:r w:rsidRPr="00A32D25">
        <w:t>(3), pp.319-328.</w:t>
      </w:r>
    </w:p>
    <w:p w14:paraId="0B50E309" w14:textId="77777777" w:rsidR="002E5D4A" w:rsidRDefault="002E5D4A" w:rsidP="002E5D4A">
      <w:pPr>
        <w:spacing w:line="360" w:lineRule="auto"/>
      </w:pPr>
      <w:r w:rsidRPr="00A32D25">
        <w:t>Endri, E., Susanti, D., Hutabarat, L., Simanjuntak, T.P. and Handayani, S.</w:t>
      </w:r>
      <w:r>
        <w:t xml:space="preserve"> (</w:t>
      </w:r>
      <w:r w:rsidRPr="00A32D25">
        <w:t>2020</w:t>
      </w:r>
      <w:r>
        <w:t xml:space="preserve">) </w:t>
      </w:r>
      <w:r w:rsidRPr="00A32D25">
        <w:t>Financial performance evaluation: Empirical evidence of pharmaceutical companies in Indonesia. </w:t>
      </w:r>
      <w:r w:rsidRPr="002E5D4A">
        <w:rPr>
          <w:i/>
          <w:iCs/>
        </w:rPr>
        <w:t>Systematic Reviews in Pharmacy</w:t>
      </w:r>
      <w:r w:rsidRPr="00A32D25">
        <w:t>, </w:t>
      </w:r>
      <w:r w:rsidRPr="002E5D4A">
        <w:rPr>
          <w:i/>
          <w:iCs/>
        </w:rPr>
        <w:t>11</w:t>
      </w:r>
      <w:r w:rsidRPr="00A32D25">
        <w:t>(6), pp.803-816.</w:t>
      </w:r>
    </w:p>
    <w:p w14:paraId="39228D43" w14:textId="77777777" w:rsidR="002E5D4A" w:rsidRPr="006436BB" w:rsidRDefault="002E5D4A" w:rsidP="002E5D4A">
      <w:pPr>
        <w:spacing w:line="360" w:lineRule="auto"/>
      </w:pPr>
      <w:r w:rsidRPr="006436BB">
        <w:t>Faello, J. (2015) Understanding the limitations of financial ratios. </w:t>
      </w:r>
      <w:r w:rsidRPr="002E5D4A">
        <w:rPr>
          <w:i/>
          <w:iCs/>
        </w:rPr>
        <w:t>Academy of accounting and financial studies journal</w:t>
      </w:r>
      <w:r w:rsidRPr="006436BB">
        <w:t>, </w:t>
      </w:r>
      <w:r w:rsidRPr="002E5D4A">
        <w:rPr>
          <w:i/>
          <w:iCs/>
        </w:rPr>
        <w:t>19</w:t>
      </w:r>
      <w:r w:rsidRPr="006436BB">
        <w:t>(3), p.75.</w:t>
      </w:r>
    </w:p>
    <w:p w14:paraId="7D9217A1" w14:textId="77777777" w:rsidR="002E5D4A" w:rsidRDefault="002E5D4A" w:rsidP="002E5D4A">
      <w:pPr>
        <w:spacing w:line="360" w:lineRule="auto"/>
      </w:pPr>
      <w:r w:rsidRPr="00A32D25">
        <w:t>Frecknall-Hughes, J., Simpson, M., Padmore, J. and Padmore, J.</w:t>
      </w:r>
      <w:r>
        <w:t xml:space="preserve"> (</w:t>
      </w:r>
      <w:r w:rsidRPr="00A32D25">
        <w:t>2007</w:t>
      </w:r>
      <w:r>
        <w:t>)</w:t>
      </w:r>
      <w:r w:rsidRPr="00A32D25">
        <w:t> </w:t>
      </w:r>
      <w:r w:rsidRPr="002E5D4A">
        <w:rPr>
          <w:i/>
          <w:iCs/>
        </w:rPr>
        <w:t>Inherent limitations in using financial ratio analysis to assess small and medium sized company performance</w:t>
      </w:r>
      <w:r w:rsidRPr="00A32D25">
        <w:t> (pp. 2007-01). Working Paper.</w:t>
      </w:r>
    </w:p>
    <w:p w14:paraId="68A188F3" w14:textId="77777777" w:rsidR="002E5D4A" w:rsidRPr="006436BB" w:rsidRDefault="002E5D4A" w:rsidP="002E5D4A">
      <w:pPr>
        <w:spacing w:line="360" w:lineRule="auto"/>
      </w:pPr>
      <w:r w:rsidRPr="006436BB">
        <w:t>Gascón, F., Lozano, J., Ponte, B. and de la Fuente, D. (2017) Measuring the efficiency of large pharmaceutical companies: an industry analysis. </w:t>
      </w:r>
      <w:r w:rsidRPr="002E5D4A">
        <w:rPr>
          <w:i/>
          <w:iCs/>
        </w:rPr>
        <w:t>The European Journal of Health Economics</w:t>
      </w:r>
      <w:r w:rsidRPr="006436BB">
        <w:t>, </w:t>
      </w:r>
      <w:r w:rsidRPr="002E5D4A">
        <w:rPr>
          <w:i/>
          <w:iCs/>
        </w:rPr>
        <w:t>18</w:t>
      </w:r>
      <w:r w:rsidRPr="006436BB">
        <w:t>(5), pp.587-608.</w:t>
      </w:r>
    </w:p>
    <w:p w14:paraId="180FD016" w14:textId="77777777" w:rsidR="002E5D4A" w:rsidRPr="006436BB" w:rsidRDefault="002E5D4A" w:rsidP="002E5D4A">
      <w:pPr>
        <w:spacing w:line="360" w:lineRule="auto"/>
      </w:pPr>
      <w:r w:rsidRPr="006436BB">
        <w:t xml:space="preserve">Gopal Samy, N. and Senthilkumar, M. (2025) A Comparative Study of Financial Analysis of Pharmaceutical Industry. </w:t>
      </w:r>
      <w:r w:rsidRPr="002E5D4A">
        <w:rPr>
          <w:i/>
          <w:iCs/>
        </w:rPr>
        <w:t>IJFMR250451000</w:t>
      </w:r>
      <w:r w:rsidRPr="006436BB">
        <w:t>, [online] 7(4). Available at: https://www.ijfmr.com/papers/2025/4/51000.pdf [Accessed 31 Dec. 2025].</w:t>
      </w:r>
    </w:p>
    <w:p w14:paraId="31AE8E7F" w14:textId="77777777" w:rsidR="002E5D4A" w:rsidRDefault="002E5D4A" w:rsidP="002E5D4A">
      <w:pPr>
        <w:spacing w:line="360" w:lineRule="auto"/>
      </w:pPr>
      <w:r w:rsidRPr="00A32D25">
        <w:t>Huang, J., Tong, J., Wang, P. and Zheng, X.</w:t>
      </w:r>
      <w:r>
        <w:t xml:space="preserve"> (</w:t>
      </w:r>
      <w:r w:rsidRPr="00A32D25">
        <w:t>2022</w:t>
      </w:r>
      <w:r>
        <w:t>)</w:t>
      </w:r>
      <w:r w:rsidRPr="00A32D25">
        <w:t xml:space="preserve"> Application and comparison of NPV and IRR methods in the company investment decision. In </w:t>
      </w:r>
      <w:r w:rsidRPr="002E5D4A">
        <w:rPr>
          <w:i/>
          <w:iCs/>
        </w:rPr>
        <w:t>2022 7th International Conference on Financial Innovation and Economic Development (ICFIED 2022)</w:t>
      </w:r>
      <w:r w:rsidRPr="00A32D25">
        <w:t> (pp. 71-78). Atlantis Press.</w:t>
      </w:r>
    </w:p>
    <w:p w14:paraId="109D61F3" w14:textId="77777777" w:rsidR="002E5D4A" w:rsidRDefault="002E5D4A" w:rsidP="002E5D4A">
      <w:pPr>
        <w:spacing w:line="360" w:lineRule="auto"/>
      </w:pPr>
      <w:r w:rsidRPr="00A32D25">
        <w:t>Islam, M.A.</w:t>
      </w:r>
      <w:r>
        <w:t xml:space="preserve"> (</w:t>
      </w:r>
      <w:r w:rsidRPr="00A32D25">
        <w:t>2014</w:t>
      </w:r>
      <w:r>
        <w:t>)</w:t>
      </w:r>
      <w:r w:rsidRPr="00A32D25">
        <w:t xml:space="preserve"> An analysis of the financial performance of national bank limited using financial ratio. </w:t>
      </w:r>
      <w:r w:rsidRPr="002E5D4A">
        <w:rPr>
          <w:i/>
          <w:iCs/>
        </w:rPr>
        <w:t>Journal of Behavioural Economics, Finance, Entrepreneurship, Accounting and Transport</w:t>
      </w:r>
      <w:r w:rsidRPr="00A32D25">
        <w:t>, </w:t>
      </w:r>
      <w:r w:rsidRPr="002E5D4A">
        <w:rPr>
          <w:i/>
          <w:iCs/>
        </w:rPr>
        <w:t>2</w:t>
      </w:r>
      <w:r w:rsidRPr="00A32D25">
        <w:t>(5), pp.121-129.</w:t>
      </w:r>
    </w:p>
    <w:p w14:paraId="00C36985" w14:textId="77777777" w:rsidR="002E5D4A" w:rsidRPr="006436BB" w:rsidRDefault="002E5D4A" w:rsidP="002E5D4A">
      <w:pPr>
        <w:spacing w:line="360" w:lineRule="auto"/>
      </w:pPr>
      <w:r w:rsidRPr="006436BB">
        <w:t>Jaiyeoba, H.B. and Haron, R. (2016) A qualitative inquiry into the investment decision behaviour of the Malaysian stock market investors. </w:t>
      </w:r>
      <w:r w:rsidRPr="002E5D4A">
        <w:rPr>
          <w:i/>
          <w:iCs/>
        </w:rPr>
        <w:t>Qualitative Research in Financial Markets</w:t>
      </w:r>
      <w:r w:rsidRPr="006436BB">
        <w:t>, </w:t>
      </w:r>
      <w:r w:rsidRPr="002E5D4A">
        <w:rPr>
          <w:i/>
          <w:iCs/>
        </w:rPr>
        <w:t>8</w:t>
      </w:r>
      <w:r w:rsidRPr="006436BB">
        <w:t>(3), pp.246-267.</w:t>
      </w:r>
    </w:p>
    <w:p w14:paraId="63B3B64E" w14:textId="77777777" w:rsidR="002E5D4A" w:rsidRPr="006436BB" w:rsidRDefault="002E5D4A" w:rsidP="002E5D4A">
      <w:pPr>
        <w:spacing w:line="360" w:lineRule="auto"/>
      </w:pPr>
      <w:r w:rsidRPr="006436BB">
        <w:t>Jaiyeoba, H.B., Adewale, A.A., Haron, R. and Che Ismail, C.M.H. (2018) Investment decision behaviour of the Malaysian retail investors and fund managers: A qualitative inquiry. </w:t>
      </w:r>
      <w:r w:rsidRPr="002E5D4A">
        <w:rPr>
          <w:i/>
          <w:iCs/>
        </w:rPr>
        <w:t>Qualitative Research in Financial Markets</w:t>
      </w:r>
      <w:r w:rsidRPr="006436BB">
        <w:t>, </w:t>
      </w:r>
      <w:r w:rsidRPr="002E5D4A">
        <w:rPr>
          <w:i/>
          <w:iCs/>
        </w:rPr>
        <w:t>10</w:t>
      </w:r>
      <w:r w:rsidRPr="006436BB">
        <w:t>(2), pp.134-151.</w:t>
      </w:r>
    </w:p>
    <w:p w14:paraId="0065C7E0" w14:textId="77777777" w:rsidR="002E5D4A" w:rsidRDefault="002E5D4A" w:rsidP="002E5D4A">
      <w:pPr>
        <w:spacing w:line="360" w:lineRule="auto"/>
      </w:pPr>
      <w:r w:rsidRPr="00A32D25">
        <w:t>Kim, Y. and Tuluca, S.</w:t>
      </w:r>
      <w:r>
        <w:t xml:space="preserve"> (</w:t>
      </w:r>
      <w:r w:rsidRPr="00A32D25">
        <w:t>2024</w:t>
      </w:r>
      <w:r>
        <w:t>)</w:t>
      </w:r>
      <w:r w:rsidRPr="00A32D25">
        <w:t xml:space="preserve"> A Practical Approach to Determine NPV, IRR, and MIRR Ranking Conflicts With Excel. </w:t>
      </w:r>
      <w:r w:rsidRPr="002E5D4A">
        <w:rPr>
          <w:i/>
          <w:iCs/>
        </w:rPr>
        <w:t>Journal of Applied Business &amp; Economics</w:t>
      </w:r>
      <w:r w:rsidRPr="00A32D25">
        <w:t>, </w:t>
      </w:r>
      <w:r w:rsidRPr="002E5D4A">
        <w:rPr>
          <w:i/>
          <w:iCs/>
        </w:rPr>
        <w:t>26</w:t>
      </w:r>
      <w:r w:rsidRPr="00A32D25">
        <w:t>(3).</w:t>
      </w:r>
    </w:p>
    <w:p w14:paraId="5BB18CC7" w14:textId="77777777" w:rsidR="002E5D4A" w:rsidRDefault="002E5D4A" w:rsidP="002E5D4A">
      <w:pPr>
        <w:spacing w:line="360" w:lineRule="auto"/>
      </w:pPr>
      <w:r w:rsidRPr="00A32D25">
        <w:t>Larsen, J.E.</w:t>
      </w:r>
      <w:r>
        <w:t xml:space="preserve"> (</w:t>
      </w:r>
      <w:r w:rsidRPr="00A32D25">
        <w:t>2024</w:t>
      </w:r>
      <w:r>
        <w:t>)</w:t>
      </w:r>
      <w:r w:rsidRPr="00A32D25">
        <w:t xml:space="preserve"> Education Briefing: A review of problematic investment selection issues associated with IRR and NPV benchmarks. </w:t>
      </w:r>
      <w:r w:rsidRPr="002E5D4A">
        <w:rPr>
          <w:i/>
          <w:iCs/>
        </w:rPr>
        <w:t>Journal of Property Investment &amp; Finance</w:t>
      </w:r>
      <w:r w:rsidRPr="00A32D25">
        <w:t>, </w:t>
      </w:r>
      <w:r w:rsidRPr="002E5D4A">
        <w:rPr>
          <w:i/>
          <w:iCs/>
        </w:rPr>
        <w:t>42</w:t>
      </w:r>
      <w:r w:rsidRPr="00A32D25">
        <w:t>(6), pp.604-613.</w:t>
      </w:r>
    </w:p>
    <w:p w14:paraId="4572952C" w14:textId="77777777" w:rsidR="002E5D4A" w:rsidRDefault="002E5D4A" w:rsidP="002E5D4A">
      <w:pPr>
        <w:spacing w:line="360" w:lineRule="auto"/>
      </w:pPr>
      <w:r w:rsidRPr="00A32D25">
        <w:t>Lim, H. and Rokhim, R.</w:t>
      </w:r>
      <w:r>
        <w:t xml:space="preserve"> (</w:t>
      </w:r>
      <w:r w:rsidRPr="00A32D25">
        <w:t>2021</w:t>
      </w:r>
      <w:r>
        <w:t>)</w:t>
      </w:r>
      <w:r w:rsidRPr="00A32D25">
        <w:t xml:space="preserve"> Factors affecting profitability of pharmaceutical company: an Indonesian evidence. </w:t>
      </w:r>
      <w:r w:rsidRPr="002E5D4A">
        <w:rPr>
          <w:i/>
          <w:iCs/>
        </w:rPr>
        <w:t>Journal of Economic Studies</w:t>
      </w:r>
      <w:r w:rsidRPr="00A32D25">
        <w:t>, </w:t>
      </w:r>
      <w:r w:rsidRPr="002E5D4A">
        <w:rPr>
          <w:i/>
          <w:iCs/>
        </w:rPr>
        <w:t>48</w:t>
      </w:r>
      <w:r w:rsidRPr="00A32D25">
        <w:t>(5), pp.981-995.</w:t>
      </w:r>
    </w:p>
    <w:p w14:paraId="57D189E8" w14:textId="77777777" w:rsidR="002E5D4A" w:rsidRDefault="002E5D4A" w:rsidP="002E5D4A">
      <w:pPr>
        <w:spacing w:line="360" w:lineRule="auto"/>
      </w:pPr>
      <w:r w:rsidRPr="00A32D25">
        <w:t>Liu, Y.</w:t>
      </w:r>
      <w:r>
        <w:t xml:space="preserve"> (</w:t>
      </w:r>
      <w:r w:rsidRPr="00A32D25">
        <w:t>2022</w:t>
      </w:r>
      <w:r>
        <w:t xml:space="preserve">) </w:t>
      </w:r>
      <w:r w:rsidRPr="00A32D25">
        <w:t>Evaluation method based on NPV and IRR. In </w:t>
      </w:r>
      <w:r w:rsidRPr="002E5D4A">
        <w:rPr>
          <w:i/>
          <w:iCs/>
        </w:rPr>
        <w:t>2022 2nd International Conference on Enterprise Management and Economic Development (ICEMED 2022)</w:t>
      </w:r>
      <w:r w:rsidRPr="00A32D25">
        <w:t> (pp. 816-820). Atlantis Press.</w:t>
      </w:r>
    </w:p>
    <w:p w14:paraId="1CA469B7" w14:textId="77777777" w:rsidR="002E5D4A" w:rsidRPr="006436BB" w:rsidRDefault="002E5D4A" w:rsidP="002E5D4A">
      <w:pPr>
        <w:spacing w:line="360" w:lineRule="auto"/>
      </w:pPr>
      <w:r w:rsidRPr="006436BB">
        <w:t>Magni, C.A. (2010) Average internal rate of return and investment decisions: a new perspective. </w:t>
      </w:r>
      <w:r w:rsidRPr="002E5D4A">
        <w:rPr>
          <w:i/>
          <w:iCs/>
        </w:rPr>
        <w:t>The Engineering Economist</w:t>
      </w:r>
      <w:r w:rsidRPr="006436BB">
        <w:t>, </w:t>
      </w:r>
      <w:r w:rsidRPr="002E5D4A">
        <w:rPr>
          <w:i/>
          <w:iCs/>
        </w:rPr>
        <w:t>55</w:t>
      </w:r>
      <w:r w:rsidRPr="006436BB">
        <w:t>(2), pp.150-180.</w:t>
      </w:r>
    </w:p>
    <w:p w14:paraId="6A78628D" w14:textId="77777777" w:rsidR="002E5D4A" w:rsidRDefault="002E5D4A" w:rsidP="002E5D4A">
      <w:pPr>
        <w:spacing w:line="360" w:lineRule="auto"/>
      </w:pPr>
      <w:r w:rsidRPr="00A32D25">
        <w:t>Majumder, M.T.H. and Rahman, M.M.</w:t>
      </w:r>
      <w:r>
        <w:t xml:space="preserve"> (</w:t>
      </w:r>
      <w:r w:rsidRPr="00A32D25">
        <w:t>2011</w:t>
      </w:r>
      <w:r>
        <w:t>)</w:t>
      </w:r>
      <w:r w:rsidRPr="00A32D25">
        <w:t xml:space="preserve"> Financial analysis of selected pharmaceutical companies in Bangladesh. </w:t>
      </w:r>
      <w:r w:rsidRPr="002E5D4A">
        <w:rPr>
          <w:i/>
          <w:iCs/>
        </w:rPr>
        <w:t>European Journal of Business and Management</w:t>
      </w:r>
      <w:r w:rsidRPr="00A32D25">
        <w:t>, </w:t>
      </w:r>
      <w:r w:rsidRPr="002E5D4A">
        <w:rPr>
          <w:i/>
          <w:iCs/>
        </w:rPr>
        <w:t>3</w:t>
      </w:r>
      <w:r w:rsidRPr="00A32D25">
        <w:t>(2).</w:t>
      </w:r>
    </w:p>
    <w:p w14:paraId="2769A998" w14:textId="77777777" w:rsidR="002E5D4A" w:rsidRDefault="002E5D4A" w:rsidP="002E5D4A">
      <w:pPr>
        <w:spacing w:line="360" w:lineRule="auto"/>
      </w:pPr>
      <w:r w:rsidRPr="00A32D25">
        <w:t>Nadar, D.S.</w:t>
      </w:r>
      <w:r>
        <w:t xml:space="preserve"> (</w:t>
      </w:r>
      <w:r w:rsidRPr="00A32D25">
        <w:t>2019</w:t>
      </w:r>
      <w:r>
        <w:t>)</w:t>
      </w:r>
      <w:r w:rsidRPr="00A32D25">
        <w:t xml:space="preserve"> Theoretical review of the role of financial ratios. </w:t>
      </w:r>
      <w:r w:rsidRPr="002E5D4A">
        <w:rPr>
          <w:i/>
          <w:iCs/>
        </w:rPr>
        <w:t>Available at SSRN 3472673</w:t>
      </w:r>
      <w:r w:rsidRPr="00A32D25">
        <w:t>.</w:t>
      </w:r>
    </w:p>
    <w:p w14:paraId="1B9BF50D" w14:textId="77777777" w:rsidR="002E5D4A" w:rsidRPr="006436BB" w:rsidRDefault="002E5D4A" w:rsidP="002E5D4A">
      <w:pPr>
        <w:spacing w:line="360" w:lineRule="auto"/>
      </w:pPr>
      <w:r w:rsidRPr="006436BB">
        <w:t>Nashtaei, R.A., Chirani, E. and Chegini, M.G. (2017) External financing method: Financing through debt and stock issuance. </w:t>
      </w:r>
      <w:r w:rsidRPr="002E5D4A">
        <w:rPr>
          <w:i/>
          <w:iCs/>
        </w:rPr>
        <w:t>International Journal of Agricultural Management and Development (IJAMAD)</w:t>
      </w:r>
      <w:r w:rsidRPr="006436BB">
        <w:t>, </w:t>
      </w:r>
      <w:r w:rsidRPr="002E5D4A">
        <w:rPr>
          <w:i/>
          <w:iCs/>
        </w:rPr>
        <w:t>7</w:t>
      </w:r>
      <w:r w:rsidRPr="006436BB">
        <w:t>(4), pp.517-524.</w:t>
      </w:r>
    </w:p>
    <w:p w14:paraId="4914BC7A" w14:textId="77777777" w:rsidR="002E5D4A" w:rsidRPr="006436BB" w:rsidRDefault="002E5D4A" w:rsidP="002E5D4A">
      <w:pPr>
        <w:spacing w:line="360" w:lineRule="auto"/>
      </w:pPr>
      <w:r w:rsidRPr="006436BB">
        <w:t>Noviyana, S., Febriyola, A.S. and Koranti, K. (2023) Analysis of financial performance using liquidity ratio, solvency ratio, activity ratio, profitability ratio in pharmaceutical Sub-sector manufacturing companies on the Indonesia stock exchange for the 2018-2020 period in Dki Jakarta. </w:t>
      </w:r>
      <w:r w:rsidRPr="002E5D4A">
        <w:rPr>
          <w:i/>
          <w:iCs/>
        </w:rPr>
        <w:t>Jurnal Syntax Transformation</w:t>
      </w:r>
      <w:r w:rsidRPr="006436BB">
        <w:t>, </w:t>
      </w:r>
      <w:r w:rsidRPr="002E5D4A">
        <w:rPr>
          <w:i/>
          <w:iCs/>
        </w:rPr>
        <w:t>4</w:t>
      </w:r>
      <w:r w:rsidRPr="006436BB">
        <w:t>(8), pp.79-89.</w:t>
      </w:r>
    </w:p>
    <w:p w14:paraId="3B8F7C79" w14:textId="77777777" w:rsidR="002E5D4A" w:rsidRDefault="002E5D4A" w:rsidP="002E5D4A">
      <w:pPr>
        <w:spacing w:line="360" w:lineRule="auto"/>
      </w:pPr>
      <w:r w:rsidRPr="00A32D25">
        <w:t>Obeidat, B.Y., Al-Hadidi, A., Tarhini, A. and Masa’deh, R.E.</w:t>
      </w:r>
      <w:r>
        <w:t xml:space="preserve"> (</w:t>
      </w:r>
      <w:r w:rsidRPr="00A32D25">
        <w:t>2017</w:t>
      </w:r>
      <w:r>
        <w:t>)</w:t>
      </w:r>
      <w:r w:rsidRPr="00A32D25">
        <w:t xml:space="preserve"> Factors affecting strategy implementation: a case study of pharmaceutical companies in the Middle East. </w:t>
      </w:r>
      <w:r w:rsidRPr="002E5D4A">
        <w:rPr>
          <w:i/>
          <w:iCs/>
        </w:rPr>
        <w:t>Review of international Business and Strategy</w:t>
      </w:r>
      <w:r w:rsidRPr="00A32D25">
        <w:t>, </w:t>
      </w:r>
      <w:r w:rsidRPr="002E5D4A">
        <w:rPr>
          <w:i/>
          <w:iCs/>
        </w:rPr>
        <w:t>27</w:t>
      </w:r>
      <w:r w:rsidRPr="00A32D25">
        <w:t>(3), pp.386-408.</w:t>
      </w:r>
    </w:p>
    <w:p w14:paraId="0AA6F3DE" w14:textId="77777777" w:rsidR="002E5D4A" w:rsidRPr="006436BB" w:rsidRDefault="002E5D4A" w:rsidP="002E5D4A">
      <w:pPr>
        <w:spacing w:line="360" w:lineRule="auto"/>
      </w:pPr>
      <w:r w:rsidRPr="006436BB">
        <w:t>Olakunle, O.O. and Ogundeyi, O.A. (2011) An Evaluation of the Usage of Capital Investment Appraisal Techniques in Manufacturing. </w:t>
      </w:r>
      <w:r w:rsidRPr="002E5D4A">
        <w:rPr>
          <w:i/>
          <w:iCs/>
        </w:rPr>
        <w:t>Bachelor Dissertation, Obafemi Awolowo University, Ile-Ife, Nigeria</w:t>
      </w:r>
      <w:r w:rsidRPr="006436BB">
        <w:t>.</w:t>
      </w:r>
    </w:p>
    <w:p w14:paraId="41E6512F" w14:textId="77777777" w:rsidR="002E5D4A" w:rsidRDefault="002E5D4A" w:rsidP="002E5D4A">
      <w:pPr>
        <w:spacing w:line="360" w:lineRule="auto"/>
      </w:pPr>
      <w:r w:rsidRPr="00A32D25">
        <w:t>Panigrahi, D.A.K.</w:t>
      </w:r>
      <w:r>
        <w:t xml:space="preserve"> (</w:t>
      </w:r>
      <w:r w:rsidRPr="00A32D25">
        <w:t>2019</w:t>
      </w:r>
      <w:r>
        <w:t>)</w:t>
      </w:r>
      <w:r w:rsidRPr="00A32D25">
        <w:t xml:space="preserve"> Analysis of financial performance: A study of selected pharmaceutical companies. </w:t>
      </w:r>
      <w:r w:rsidRPr="002E5D4A">
        <w:rPr>
          <w:i/>
          <w:iCs/>
        </w:rPr>
        <w:t>Global Management Horizon, Annual Referred Journal of Global Institute of Management</w:t>
      </w:r>
      <w:r w:rsidRPr="00A32D25">
        <w:t>, </w:t>
      </w:r>
      <w:r w:rsidRPr="002E5D4A">
        <w:rPr>
          <w:i/>
          <w:iCs/>
        </w:rPr>
        <w:t>8</w:t>
      </w:r>
      <w:r w:rsidRPr="00A32D25">
        <w:t>.</w:t>
      </w:r>
    </w:p>
    <w:p w14:paraId="3BC54121" w14:textId="77777777" w:rsidR="002E5D4A" w:rsidRPr="006436BB" w:rsidRDefault="002E5D4A" w:rsidP="002E5D4A">
      <w:pPr>
        <w:spacing w:line="360" w:lineRule="auto"/>
      </w:pPr>
      <w:r w:rsidRPr="006436BB">
        <w:t>Pruchnicka-Grabias, I. (2022) Pharmaceutical companies as portfolio investments. </w:t>
      </w:r>
      <w:r w:rsidRPr="002E5D4A">
        <w:rPr>
          <w:i/>
          <w:iCs/>
        </w:rPr>
        <w:t>Economics and Mathematical Modeling in Health-Related Research</w:t>
      </w:r>
      <w:r w:rsidRPr="006436BB">
        <w:t>, p.196.</w:t>
      </w:r>
    </w:p>
    <w:p w14:paraId="19606CA7" w14:textId="77777777" w:rsidR="002E5D4A" w:rsidRPr="006436BB" w:rsidRDefault="002E5D4A" w:rsidP="002E5D4A">
      <w:pPr>
        <w:spacing w:line="360" w:lineRule="auto"/>
      </w:pPr>
      <w:r w:rsidRPr="006436BB">
        <w:t>Royer, J. (2017) Financing agricultural cooperatives with retained earnings. </w:t>
      </w:r>
      <w:r w:rsidRPr="002E5D4A">
        <w:rPr>
          <w:i/>
          <w:iCs/>
        </w:rPr>
        <w:t>Agricultural Finance Review</w:t>
      </w:r>
      <w:r w:rsidRPr="006436BB">
        <w:t>, </w:t>
      </w:r>
      <w:r w:rsidRPr="002E5D4A">
        <w:rPr>
          <w:i/>
          <w:iCs/>
        </w:rPr>
        <w:t>77</w:t>
      </w:r>
      <w:r w:rsidRPr="006436BB">
        <w:t>(3), pp.393-411.</w:t>
      </w:r>
    </w:p>
    <w:p w14:paraId="2334F818" w14:textId="77777777" w:rsidR="002E5D4A" w:rsidRPr="006436BB" w:rsidRDefault="002E5D4A" w:rsidP="002E5D4A">
      <w:pPr>
        <w:spacing w:line="360" w:lineRule="auto"/>
      </w:pPr>
      <w:r w:rsidRPr="006436BB">
        <w:t>Rutkowska-Ziarko, A. (2020) Profitability ratios in risk analysis. In </w:t>
      </w:r>
      <w:r w:rsidRPr="002E5D4A">
        <w:rPr>
          <w:i/>
          <w:iCs/>
        </w:rPr>
        <w:t>Contemporary Trends and Challenges in Finance: Proceedings from the 5th Wroclaw International Conference in Finance</w:t>
      </w:r>
      <w:r w:rsidRPr="006436BB">
        <w:t> (pp. 77-88). Cham: Springer International Publishing.</w:t>
      </w:r>
    </w:p>
    <w:p w14:paraId="421E77C0" w14:textId="77777777" w:rsidR="002E5D4A" w:rsidRDefault="002E5D4A" w:rsidP="002E5D4A">
      <w:pPr>
        <w:spacing w:line="360" w:lineRule="auto"/>
      </w:pPr>
      <w:r w:rsidRPr="00A32D25">
        <w:t>Sahoo, S.K. and Goswami, S.S.</w:t>
      </w:r>
      <w:r>
        <w:t xml:space="preserve"> (</w:t>
      </w:r>
      <w:r w:rsidRPr="00A32D25">
        <w:t>2023</w:t>
      </w:r>
      <w:r>
        <w:t>)</w:t>
      </w:r>
      <w:r w:rsidRPr="00A32D25">
        <w:t xml:space="preserve"> A comprehensive review of multiple criteria decision-making (MCDM) methods: advancements, applications, and future directions. </w:t>
      </w:r>
      <w:r w:rsidRPr="002E5D4A">
        <w:rPr>
          <w:i/>
          <w:iCs/>
        </w:rPr>
        <w:t>Decision Making Advances</w:t>
      </w:r>
      <w:r w:rsidRPr="00A32D25">
        <w:t>, </w:t>
      </w:r>
      <w:r w:rsidRPr="002E5D4A">
        <w:rPr>
          <w:i/>
          <w:iCs/>
        </w:rPr>
        <w:t>1</w:t>
      </w:r>
      <w:r w:rsidRPr="00A32D25">
        <w:t>(1), pp.25-48.</w:t>
      </w:r>
    </w:p>
    <w:p w14:paraId="25E4E215" w14:textId="77777777" w:rsidR="002E5D4A" w:rsidRDefault="002E5D4A" w:rsidP="002E5D4A">
      <w:pPr>
        <w:spacing w:line="360" w:lineRule="auto"/>
      </w:pPr>
      <w:r w:rsidRPr="00A32D25">
        <w:t>Saleh, S.R., Mohammadi, A. and Mahmoodi Khoshroo, O.</w:t>
      </w:r>
      <w:r>
        <w:t xml:space="preserve"> (</w:t>
      </w:r>
      <w:r w:rsidRPr="00A32D25">
        <w:t>2026</w:t>
      </w:r>
      <w:r>
        <w:t>)</w:t>
      </w:r>
      <w:r w:rsidRPr="00A32D25">
        <w:t xml:space="preserve"> Explaining the factors affecting the profitability of pharmaceutical companies with an emphasis on the conditions of risk and crisis. </w:t>
      </w:r>
      <w:r w:rsidRPr="002E5D4A">
        <w:rPr>
          <w:i/>
          <w:iCs/>
        </w:rPr>
        <w:t>International Journal of Finance &amp; Managerial Accounting</w:t>
      </w:r>
      <w:r w:rsidRPr="00A32D25">
        <w:t>, </w:t>
      </w:r>
      <w:r w:rsidRPr="002E5D4A">
        <w:rPr>
          <w:i/>
          <w:iCs/>
        </w:rPr>
        <w:t>11</w:t>
      </w:r>
      <w:r w:rsidRPr="00A32D25">
        <w:t>(43), pp.169-176.</w:t>
      </w:r>
    </w:p>
    <w:p w14:paraId="58C21798" w14:textId="77777777" w:rsidR="002E5D4A" w:rsidRPr="006436BB" w:rsidRDefault="002E5D4A" w:rsidP="002E5D4A">
      <w:pPr>
        <w:spacing w:line="360" w:lineRule="auto"/>
      </w:pPr>
      <w:r w:rsidRPr="006436BB">
        <w:t>Shah, N.K. (2020) Financial Statement Analysis Through Ratio Analysis of Selected Pharmaceutical Companies. </w:t>
      </w:r>
      <w:r w:rsidRPr="002E5D4A">
        <w:rPr>
          <w:i/>
          <w:iCs/>
        </w:rPr>
        <w:t>GAP Interdisciplinarities</w:t>
      </w:r>
      <w:r w:rsidRPr="006436BB">
        <w:t>, </w:t>
      </w:r>
      <w:r w:rsidRPr="002E5D4A">
        <w:rPr>
          <w:i/>
          <w:iCs/>
        </w:rPr>
        <w:t>3</w:t>
      </w:r>
      <w:r w:rsidRPr="006436BB">
        <w:t>(6), pp.321-331.</w:t>
      </w:r>
    </w:p>
    <w:p w14:paraId="66AFCCD3" w14:textId="77777777" w:rsidR="002E5D4A" w:rsidRPr="006436BB" w:rsidRDefault="002E5D4A" w:rsidP="002E5D4A">
      <w:pPr>
        <w:spacing w:line="360" w:lineRule="auto"/>
      </w:pPr>
      <w:r w:rsidRPr="006436BB">
        <w:t>Shou, T. (2022) A literature review on the net present value (NPV) valuation method. In </w:t>
      </w:r>
      <w:r w:rsidRPr="002E5D4A">
        <w:rPr>
          <w:i/>
          <w:iCs/>
        </w:rPr>
        <w:t>2022 2nd International Conference on Enterprise Management and Economic Development (ICEMED 2022)</w:t>
      </w:r>
      <w:r w:rsidRPr="006436BB">
        <w:t> (pp. 826-830). Atlantis Press.</w:t>
      </w:r>
    </w:p>
    <w:p w14:paraId="34555971" w14:textId="77777777" w:rsidR="002E5D4A" w:rsidRDefault="002E5D4A" w:rsidP="002E5D4A">
      <w:pPr>
        <w:spacing w:line="360" w:lineRule="auto"/>
      </w:pPr>
      <w:r w:rsidRPr="00A32D25">
        <w:t>Sneps-Sneppe, M.</w:t>
      </w:r>
      <w:r>
        <w:t xml:space="preserve"> (</w:t>
      </w:r>
      <w:r w:rsidRPr="00A32D25">
        <w:t>2023</w:t>
      </w:r>
      <w:r>
        <w:t>)</w:t>
      </w:r>
      <w:r w:rsidRPr="00A32D25">
        <w:t xml:space="preserve"> Use of criteria NPV and IRR for choosing among investment projects. In </w:t>
      </w:r>
      <w:r w:rsidRPr="002E5D4A">
        <w:rPr>
          <w:i/>
          <w:iCs/>
        </w:rPr>
        <w:t>22nd International Scientific Conference Engineering for Rural Development Proceedings</w:t>
      </w:r>
      <w:r w:rsidRPr="00A32D25">
        <w:t> (pp. 745-750).</w:t>
      </w:r>
    </w:p>
    <w:p w14:paraId="49552070" w14:textId="77777777" w:rsidR="002E5D4A" w:rsidRDefault="002E5D4A" w:rsidP="002E5D4A">
      <w:pPr>
        <w:spacing w:line="360" w:lineRule="auto"/>
      </w:pPr>
      <w:r w:rsidRPr="00A32D25">
        <w:t>Tan, C.</w:t>
      </w:r>
      <w:r>
        <w:t xml:space="preserve"> (</w:t>
      </w:r>
      <w:r w:rsidRPr="00A32D25">
        <w:t>2022</w:t>
      </w:r>
      <w:r>
        <w:t xml:space="preserve">) </w:t>
      </w:r>
      <w:r w:rsidRPr="00A32D25">
        <w:t>Investment Decision Analysis Based on NPV, IRR, and the Fisher Separation Theorem. In </w:t>
      </w:r>
      <w:r w:rsidRPr="002E5D4A">
        <w:rPr>
          <w:i/>
          <w:iCs/>
        </w:rPr>
        <w:t>2022 7th International Conference on Financial Innovation and Economic Development (ICFIED 2022)</w:t>
      </w:r>
      <w:r w:rsidRPr="00A32D25">
        <w:t> (pp. 2680-2684). Atlantis Press.</w:t>
      </w:r>
    </w:p>
    <w:p w14:paraId="61CA4C9A" w14:textId="77777777" w:rsidR="002E5D4A" w:rsidRDefault="002E5D4A" w:rsidP="002E5D4A">
      <w:pPr>
        <w:spacing w:line="360" w:lineRule="auto"/>
      </w:pPr>
      <w:r w:rsidRPr="006436BB">
        <w:t>Thomas, J. and Rabiyathul Basariya, S. (2019) A Study on the Issues of Financial Ratio Analysis. </w:t>
      </w:r>
      <w:r w:rsidRPr="002E5D4A">
        <w:rPr>
          <w:i/>
          <w:iCs/>
        </w:rPr>
        <w:t>Indian Journal of Public Health Research &amp; Development</w:t>
      </w:r>
      <w:r w:rsidRPr="006436BB">
        <w:t>, </w:t>
      </w:r>
      <w:r w:rsidRPr="002E5D4A">
        <w:rPr>
          <w:i/>
          <w:iCs/>
        </w:rPr>
        <w:t>10</w:t>
      </w:r>
      <w:r w:rsidRPr="006436BB">
        <w:t>(3).</w:t>
      </w:r>
    </w:p>
    <w:p w14:paraId="1BD1F954" w14:textId="4464560E" w:rsidR="002E5D4A" w:rsidRPr="006436BB" w:rsidRDefault="002E5D4A" w:rsidP="002E5D4A">
      <w:pPr>
        <w:spacing w:line="360" w:lineRule="auto"/>
      </w:pPr>
      <w:r w:rsidRPr="002E5D4A">
        <w:t xml:space="preserve">UGC MOOCs (2025). </w:t>
      </w:r>
      <w:r w:rsidRPr="002E5D4A">
        <w:rPr>
          <w:i/>
          <w:iCs/>
        </w:rPr>
        <w:t>Financial Analysis Using Discounting and Non- Discounting Techniques-I Script</w:t>
      </w:r>
      <w:r w:rsidRPr="002E5D4A">
        <w:t>. [online] Available at: https://ugcmoocs.inflibnet.ac.in/assets/uploads/1/233/7086/et/7_Script_Fina%20Ana%20Using%20Dis%20&amp;%20Non-Dis-%20I200320070703031616.pdf [Accessed 9 Jan. 2026].</w:t>
      </w:r>
    </w:p>
    <w:p w14:paraId="2676A63B" w14:textId="77777777" w:rsidR="002E5D4A" w:rsidRPr="006436BB" w:rsidRDefault="002E5D4A" w:rsidP="002E5D4A">
      <w:pPr>
        <w:spacing w:line="360" w:lineRule="auto"/>
      </w:pPr>
      <w:r w:rsidRPr="006436BB">
        <w:t>Willigers, B.J., Jones, B. and Bratvold, R.B. (2017) The net-present-value paradox: Criticized by many, applied by all. </w:t>
      </w:r>
      <w:r w:rsidRPr="002E5D4A">
        <w:rPr>
          <w:i/>
          <w:iCs/>
        </w:rPr>
        <w:t>SPE Economics &amp; Management</w:t>
      </w:r>
      <w:r w:rsidRPr="006436BB">
        <w:t>, </w:t>
      </w:r>
      <w:r w:rsidRPr="002E5D4A">
        <w:rPr>
          <w:i/>
          <w:iCs/>
        </w:rPr>
        <w:t>9</w:t>
      </w:r>
      <w:r w:rsidRPr="006436BB">
        <w:t>(04), pp.090-102.</w:t>
      </w:r>
    </w:p>
    <w:p w14:paraId="30D3EE91" w14:textId="77777777" w:rsidR="002E5D4A" w:rsidRDefault="002E5D4A" w:rsidP="002E5D4A">
      <w:pPr>
        <w:spacing w:line="360" w:lineRule="auto"/>
      </w:pPr>
      <w:r w:rsidRPr="006436BB">
        <w:t xml:space="preserve">Yahoo Finance (2025) </w:t>
      </w:r>
      <w:r w:rsidRPr="002E5D4A">
        <w:rPr>
          <w:i/>
          <w:iCs/>
        </w:rPr>
        <w:t>AstraZeneca Full Year 2024 Earnings: Revenues Beat Expectations, EPS Lags</w:t>
      </w:r>
      <w:r w:rsidRPr="006436BB">
        <w:t>. [online] Yahoo Finance. Available at: https://finance.yahoo.com/news/astrazeneca-full-2024-earnings-revenues-061921154.html [Accessed 1 Jan. 2026].</w:t>
      </w:r>
    </w:p>
    <w:p w14:paraId="4D73EEF1" w14:textId="77777777" w:rsidR="002E5D4A" w:rsidRDefault="002E5D4A" w:rsidP="002E5D4A">
      <w:pPr>
        <w:spacing w:line="360" w:lineRule="auto"/>
      </w:pPr>
      <w:r w:rsidRPr="00A32D25">
        <w:t>Yan, R. and Zhang, Y.</w:t>
      </w:r>
      <w:r>
        <w:t xml:space="preserve"> (</w:t>
      </w:r>
      <w:r w:rsidRPr="00A32D25">
        <w:t>2022</w:t>
      </w:r>
      <w:r>
        <w:t>)</w:t>
      </w:r>
      <w:r w:rsidRPr="00A32D25">
        <w:t xml:space="preserve"> The Introduction of NPV and IRR. In </w:t>
      </w:r>
      <w:r w:rsidRPr="002E5D4A">
        <w:rPr>
          <w:i/>
          <w:iCs/>
        </w:rPr>
        <w:t>2022 7th International Conference on Financial Innovation and Economic Development (ICFIED 2022)</w:t>
      </w:r>
      <w:r w:rsidRPr="00A32D25">
        <w:t> (pp. 1472-1476). Atlantis Press.</w:t>
      </w:r>
    </w:p>
    <w:p w14:paraId="73A26B37" w14:textId="77777777" w:rsidR="002E5D4A" w:rsidRDefault="002E5D4A" w:rsidP="002E5D4A">
      <w:pPr>
        <w:spacing w:line="360" w:lineRule="auto"/>
      </w:pPr>
      <w:r w:rsidRPr="00A32D25">
        <w:t>Yuyan, G.</w:t>
      </w:r>
      <w:r>
        <w:t xml:space="preserve"> (</w:t>
      </w:r>
      <w:r w:rsidRPr="00A32D25">
        <w:t>2023</w:t>
      </w:r>
      <w:r>
        <w:t>)</w:t>
      </w:r>
      <w:r w:rsidRPr="00A32D25">
        <w:t xml:space="preserve"> A financial analysis report of three typical biopharmaceutical companies in UK. </w:t>
      </w:r>
      <w:r w:rsidRPr="002E5D4A">
        <w:rPr>
          <w:i/>
          <w:iCs/>
        </w:rPr>
        <w:t>Academic Journal of Business &amp; Management</w:t>
      </w:r>
      <w:r w:rsidRPr="00A32D25">
        <w:t>, </w:t>
      </w:r>
      <w:r w:rsidRPr="002E5D4A">
        <w:rPr>
          <w:i/>
          <w:iCs/>
        </w:rPr>
        <w:t>5</w:t>
      </w:r>
      <w:r w:rsidRPr="00A32D25">
        <w:t>(1), pp.165-170.</w:t>
      </w:r>
    </w:p>
    <w:p w14:paraId="1A8D8240" w14:textId="77777777" w:rsidR="000011DB" w:rsidRPr="000011DB" w:rsidRDefault="000011DB" w:rsidP="00CA388D">
      <w:pPr>
        <w:spacing w:after="160" w:line="360" w:lineRule="auto"/>
        <w:rPr>
          <w:lang w:val="en-US"/>
        </w:rPr>
      </w:pPr>
      <w:r w:rsidRPr="000011DB">
        <w:rPr>
          <w:lang w:val="en-US"/>
        </w:rPr>
        <w:br w:type="page"/>
      </w:r>
    </w:p>
    <w:p w14:paraId="41CA9882" w14:textId="77777777" w:rsidR="000011DB" w:rsidRPr="000011DB" w:rsidRDefault="000011DB" w:rsidP="00CA388D">
      <w:pPr>
        <w:keepNext/>
        <w:keepLines/>
        <w:spacing w:before="240" w:after="120" w:line="360" w:lineRule="auto"/>
        <w:outlineLvl w:val="0"/>
        <w:rPr>
          <w:rFonts w:eastAsiaTheme="majorEastAsia" w:cstheme="majorBidi"/>
          <w:b/>
          <w:color w:val="2F5496" w:themeColor="accent1" w:themeShade="BF"/>
          <w:sz w:val="32"/>
          <w:szCs w:val="50"/>
          <w:lang w:val="en-US"/>
        </w:rPr>
      </w:pPr>
      <w:bookmarkStart w:id="29" w:name="_Toc219050023"/>
      <w:r w:rsidRPr="000011DB">
        <w:rPr>
          <w:rFonts w:eastAsiaTheme="majorEastAsia" w:cstheme="majorBidi"/>
          <w:b/>
          <w:color w:val="2F5496" w:themeColor="accent1" w:themeShade="BF"/>
          <w:sz w:val="32"/>
          <w:szCs w:val="50"/>
          <w:lang w:val="en-US"/>
        </w:rPr>
        <w:t>Appendix</w:t>
      </w:r>
      <w:bookmarkEnd w:id="29"/>
    </w:p>
    <w:p w14:paraId="042115DE" w14:textId="5EFE3132" w:rsidR="00D84B6D" w:rsidRDefault="001B2B81" w:rsidP="00CA388D">
      <w:pPr>
        <w:spacing w:line="360" w:lineRule="auto"/>
        <w:rPr>
          <w:b/>
          <w:bCs/>
          <w:sz w:val="28"/>
          <w:szCs w:val="32"/>
          <w:lang w:val="en-US"/>
        </w:rPr>
      </w:pPr>
      <w:r>
        <w:rPr>
          <w:b/>
          <w:bCs/>
          <w:sz w:val="28"/>
          <w:szCs w:val="32"/>
          <w:lang w:val="en-US"/>
        </w:rPr>
        <w:t>Financial Statement of AstraZeneca PLC</w:t>
      </w:r>
    </w:p>
    <w:p w14:paraId="47B50CD8" w14:textId="16792004" w:rsidR="001B2B81" w:rsidRPr="001B2B81" w:rsidRDefault="001B2B81" w:rsidP="00CA388D">
      <w:pPr>
        <w:spacing w:line="360" w:lineRule="auto"/>
        <w:rPr>
          <w:b/>
          <w:bCs/>
          <w:sz w:val="28"/>
          <w:szCs w:val="32"/>
          <w:lang w:val="en-US"/>
        </w:rPr>
      </w:pPr>
      <w:r>
        <w:rPr>
          <w:b/>
          <w:bCs/>
          <w:sz w:val="28"/>
          <w:szCs w:val="32"/>
          <w:lang w:val="en-US"/>
        </w:rPr>
        <w:object w:dxaOrig="1520" w:dyaOrig="988" w14:anchorId="3FCDEB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4" o:title=""/>
          </v:shape>
          <o:OLEObject Type="Embed" ProgID="FoxitPhantomPDF.Document" ShapeID="_x0000_i1025" DrawAspect="Icon" ObjectID="_1829683345" r:id="rId15"/>
        </w:object>
      </w:r>
    </w:p>
    <w:sectPr w:rsidR="001B2B81" w:rsidRPr="001B2B8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F3D68" w14:textId="77777777" w:rsidR="00DE5C0A" w:rsidRDefault="00DE5C0A" w:rsidP="00B921D0">
      <w:pPr>
        <w:spacing w:after="0" w:line="240" w:lineRule="auto"/>
      </w:pPr>
      <w:r>
        <w:separator/>
      </w:r>
    </w:p>
  </w:endnote>
  <w:endnote w:type="continuationSeparator" w:id="0">
    <w:p w14:paraId="6C43AC94" w14:textId="77777777" w:rsidR="00DE5C0A" w:rsidRDefault="00DE5C0A" w:rsidP="00B92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223F8" w14:textId="77777777" w:rsidR="00DE5C0A" w:rsidRDefault="00DE5C0A" w:rsidP="00B921D0">
      <w:pPr>
        <w:spacing w:after="0" w:line="240" w:lineRule="auto"/>
      </w:pPr>
      <w:r>
        <w:separator/>
      </w:r>
    </w:p>
  </w:footnote>
  <w:footnote w:type="continuationSeparator" w:id="0">
    <w:p w14:paraId="2CC34836" w14:textId="77777777" w:rsidR="00DE5C0A" w:rsidRDefault="00DE5C0A" w:rsidP="00B921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32DA"/>
    <w:multiLevelType w:val="hybridMultilevel"/>
    <w:tmpl w:val="9438D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4842C2"/>
    <w:multiLevelType w:val="hybridMultilevel"/>
    <w:tmpl w:val="B6DC9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28014E"/>
    <w:multiLevelType w:val="multilevel"/>
    <w:tmpl w:val="7CC07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0A3288"/>
    <w:multiLevelType w:val="multilevel"/>
    <w:tmpl w:val="6F7A2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BB270C"/>
    <w:multiLevelType w:val="multilevel"/>
    <w:tmpl w:val="8508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B97158"/>
    <w:multiLevelType w:val="hybridMultilevel"/>
    <w:tmpl w:val="CE449876"/>
    <w:lvl w:ilvl="0" w:tplc="039E04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85DF6"/>
    <w:multiLevelType w:val="multilevel"/>
    <w:tmpl w:val="DE9C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C879DD"/>
    <w:multiLevelType w:val="hybridMultilevel"/>
    <w:tmpl w:val="CBD2C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AD7F19"/>
    <w:multiLevelType w:val="multilevel"/>
    <w:tmpl w:val="8AC08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8"/>
  </w:num>
  <w:num w:numId="4">
    <w:abstractNumId w:val="3"/>
  </w:num>
  <w:num w:numId="5">
    <w:abstractNumId w:val="0"/>
  </w:num>
  <w:num w:numId="6">
    <w:abstractNumId w:val="1"/>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DB"/>
    <w:rsid w:val="000011DB"/>
    <w:rsid w:val="000046C2"/>
    <w:rsid w:val="0003438F"/>
    <w:rsid w:val="000512FE"/>
    <w:rsid w:val="0005750B"/>
    <w:rsid w:val="0006284A"/>
    <w:rsid w:val="00063D4F"/>
    <w:rsid w:val="000708F0"/>
    <w:rsid w:val="00086E53"/>
    <w:rsid w:val="00090686"/>
    <w:rsid w:val="00091206"/>
    <w:rsid w:val="00093EFB"/>
    <w:rsid w:val="0009550D"/>
    <w:rsid w:val="000A3AF9"/>
    <w:rsid w:val="000A47C8"/>
    <w:rsid w:val="000A7CC0"/>
    <w:rsid w:val="000C635E"/>
    <w:rsid w:val="000D08B7"/>
    <w:rsid w:val="000D133D"/>
    <w:rsid w:val="000E1BA0"/>
    <w:rsid w:val="000E33FE"/>
    <w:rsid w:val="000E3ABC"/>
    <w:rsid w:val="000F2947"/>
    <w:rsid w:val="00100DBE"/>
    <w:rsid w:val="00117C5F"/>
    <w:rsid w:val="00120A98"/>
    <w:rsid w:val="001272EE"/>
    <w:rsid w:val="00131608"/>
    <w:rsid w:val="00134943"/>
    <w:rsid w:val="00135E47"/>
    <w:rsid w:val="00151D2D"/>
    <w:rsid w:val="00166B37"/>
    <w:rsid w:val="001671FB"/>
    <w:rsid w:val="0017326B"/>
    <w:rsid w:val="00182C56"/>
    <w:rsid w:val="001842DD"/>
    <w:rsid w:val="0018437C"/>
    <w:rsid w:val="0018440B"/>
    <w:rsid w:val="00184451"/>
    <w:rsid w:val="00185080"/>
    <w:rsid w:val="001A4E3B"/>
    <w:rsid w:val="001B2B81"/>
    <w:rsid w:val="001B58DB"/>
    <w:rsid w:val="001C1E6A"/>
    <w:rsid w:val="001C31D0"/>
    <w:rsid w:val="001C465F"/>
    <w:rsid w:val="001D161A"/>
    <w:rsid w:val="001D3719"/>
    <w:rsid w:val="001D7A52"/>
    <w:rsid w:val="001E01FD"/>
    <w:rsid w:val="001E3C51"/>
    <w:rsid w:val="001F2871"/>
    <w:rsid w:val="001F7181"/>
    <w:rsid w:val="0020686B"/>
    <w:rsid w:val="00214563"/>
    <w:rsid w:val="00214AF4"/>
    <w:rsid w:val="00215B88"/>
    <w:rsid w:val="00243250"/>
    <w:rsid w:val="00246AED"/>
    <w:rsid w:val="002512B7"/>
    <w:rsid w:val="00256AFE"/>
    <w:rsid w:val="00261582"/>
    <w:rsid w:val="0026263C"/>
    <w:rsid w:val="00273370"/>
    <w:rsid w:val="00274157"/>
    <w:rsid w:val="00277114"/>
    <w:rsid w:val="00282EAF"/>
    <w:rsid w:val="00283A59"/>
    <w:rsid w:val="0028604C"/>
    <w:rsid w:val="00293146"/>
    <w:rsid w:val="002A020E"/>
    <w:rsid w:val="002A44F9"/>
    <w:rsid w:val="002A7003"/>
    <w:rsid w:val="002E5D4A"/>
    <w:rsid w:val="002F3D24"/>
    <w:rsid w:val="00306B03"/>
    <w:rsid w:val="00307E52"/>
    <w:rsid w:val="00313A45"/>
    <w:rsid w:val="0033254A"/>
    <w:rsid w:val="00332980"/>
    <w:rsid w:val="003334C4"/>
    <w:rsid w:val="003420C5"/>
    <w:rsid w:val="00354920"/>
    <w:rsid w:val="0036708A"/>
    <w:rsid w:val="00370991"/>
    <w:rsid w:val="00382656"/>
    <w:rsid w:val="00383585"/>
    <w:rsid w:val="003B189A"/>
    <w:rsid w:val="003C0A6D"/>
    <w:rsid w:val="003C1980"/>
    <w:rsid w:val="003C201D"/>
    <w:rsid w:val="003C41E7"/>
    <w:rsid w:val="003D310B"/>
    <w:rsid w:val="003E2795"/>
    <w:rsid w:val="003E4A9F"/>
    <w:rsid w:val="003E7AC7"/>
    <w:rsid w:val="003F3FD8"/>
    <w:rsid w:val="00407B63"/>
    <w:rsid w:val="00412D2C"/>
    <w:rsid w:val="0042087B"/>
    <w:rsid w:val="00422023"/>
    <w:rsid w:val="004233F7"/>
    <w:rsid w:val="0043336E"/>
    <w:rsid w:val="004410C4"/>
    <w:rsid w:val="0044447B"/>
    <w:rsid w:val="00451292"/>
    <w:rsid w:val="00472BD4"/>
    <w:rsid w:val="004806AB"/>
    <w:rsid w:val="00492FD0"/>
    <w:rsid w:val="004D7A3A"/>
    <w:rsid w:val="004F0012"/>
    <w:rsid w:val="004F358E"/>
    <w:rsid w:val="00507C3B"/>
    <w:rsid w:val="00511B1B"/>
    <w:rsid w:val="005124AF"/>
    <w:rsid w:val="00514B9E"/>
    <w:rsid w:val="00525177"/>
    <w:rsid w:val="00527F2A"/>
    <w:rsid w:val="005338A4"/>
    <w:rsid w:val="0054358B"/>
    <w:rsid w:val="00551310"/>
    <w:rsid w:val="00552DFC"/>
    <w:rsid w:val="005574E1"/>
    <w:rsid w:val="00561578"/>
    <w:rsid w:val="0056331C"/>
    <w:rsid w:val="00571F59"/>
    <w:rsid w:val="00574BCD"/>
    <w:rsid w:val="00574FB9"/>
    <w:rsid w:val="0057578C"/>
    <w:rsid w:val="0058077C"/>
    <w:rsid w:val="005840AE"/>
    <w:rsid w:val="005959D5"/>
    <w:rsid w:val="005A3DE1"/>
    <w:rsid w:val="005A5402"/>
    <w:rsid w:val="005A6057"/>
    <w:rsid w:val="005B7066"/>
    <w:rsid w:val="005C0DA7"/>
    <w:rsid w:val="005D7D2A"/>
    <w:rsid w:val="005E0005"/>
    <w:rsid w:val="005E0630"/>
    <w:rsid w:val="005E5544"/>
    <w:rsid w:val="005E5938"/>
    <w:rsid w:val="005F0113"/>
    <w:rsid w:val="00610EF5"/>
    <w:rsid w:val="00616639"/>
    <w:rsid w:val="00621F3C"/>
    <w:rsid w:val="00641136"/>
    <w:rsid w:val="006436BB"/>
    <w:rsid w:val="00643CF9"/>
    <w:rsid w:val="0064535E"/>
    <w:rsid w:val="006526BA"/>
    <w:rsid w:val="00666310"/>
    <w:rsid w:val="0066731A"/>
    <w:rsid w:val="006776B0"/>
    <w:rsid w:val="00680380"/>
    <w:rsid w:val="006B1DEE"/>
    <w:rsid w:val="006B2509"/>
    <w:rsid w:val="006B2CF8"/>
    <w:rsid w:val="006B61B5"/>
    <w:rsid w:val="006C0C95"/>
    <w:rsid w:val="006C5C00"/>
    <w:rsid w:val="006D7605"/>
    <w:rsid w:val="006E427E"/>
    <w:rsid w:val="006E5929"/>
    <w:rsid w:val="006E7DE7"/>
    <w:rsid w:val="00702133"/>
    <w:rsid w:val="0070381B"/>
    <w:rsid w:val="00711764"/>
    <w:rsid w:val="007266D9"/>
    <w:rsid w:val="007461A1"/>
    <w:rsid w:val="00756F4C"/>
    <w:rsid w:val="00774043"/>
    <w:rsid w:val="0078048B"/>
    <w:rsid w:val="0078500E"/>
    <w:rsid w:val="007875E1"/>
    <w:rsid w:val="007A17B5"/>
    <w:rsid w:val="007A29BA"/>
    <w:rsid w:val="007A37DC"/>
    <w:rsid w:val="007A3BEB"/>
    <w:rsid w:val="007B7070"/>
    <w:rsid w:val="007C76E9"/>
    <w:rsid w:val="007D0C67"/>
    <w:rsid w:val="007E3221"/>
    <w:rsid w:val="007F0AB0"/>
    <w:rsid w:val="007F24BA"/>
    <w:rsid w:val="007F2F4E"/>
    <w:rsid w:val="007F543E"/>
    <w:rsid w:val="007F5A3C"/>
    <w:rsid w:val="007F5B59"/>
    <w:rsid w:val="00802817"/>
    <w:rsid w:val="00802FD9"/>
    <w:rsid w:val="008052D4"/>
    <w:rsid w:val="008134E4"/>
    <w:rsid w:val="00821169"/>
    <w:rsid w:val="008253CE"/>
    <w:rsid w:val="00831988"/>
    <w:rsid w:val="00836929"/>
    <w:rsid w:val="00837D2E"/>
    <w:rsid w:val="00842A40"/>
    <w:rsid w:val="008706DD"/>
    <w:rsid w:val="0087311E"/>
    <w:rsid w:val="0087593F"/>
    <w:rsid w:val="00877219"/>
    <w:rsid w:val="008A190D"/>
    <w:rsid w:val="008A7FC3"/>
    <w:rsid w:val="008B33BD"/>
    <w:rsid w:val="008B3FA4"/>
    <w:rsid w:val="008B7967"/>
    <w:rsid w:val="008C4DC5"/>
    <w:rsid w:val="008E154C"/>
    <w:rsid w:val="008F5F4F"/>
    <w:rsid w:val="008F7D05"/>
    <w:rsid w:val="00904874"/>
    <w:rsid w:val="009113B3"/>
    <w:rsid w:val="009116B6"/>
    <w:rsid w:val="00914B93"/>
    <w:rsid w:val="0092112A"/>
    <w:rsid w:val="00931A73"/>
    <w:rsid w:val="009345A7"/>
    <w:rsid w:val="00940A93"/>
    <w:rsid w:val="009456B1"/>
    <w:rsid w:val="00946724"/>
    <w:rsid w:val="009526E7"/>
    <w:rsid w:val="0096741A"/>
    <w:rsid w:val="00973F13"/>
    <w:rsid w:val="00996CC5"/>
    <w:rsid w:val="009A10E7"/>
    <w:rsid w:val="009B3201"/>
    <w:rsid w:val="009D09E5"/>
    <w:rsid w:val="009D5178"/>
    <w:rsid w:val="009D5C3E"/>
    <w:rsid w:val="009D66E0"/>
    <w:rsid w:val="009E3463"/>
    <w:rsid w:val="009E5F2A"/>
    <w:rsid w:val="009F0986"/>
    <w:rsid w:val="00A055C4"/>
    <w:rsid w:val="00A1308C"/>
    <w:rsid w:val="00A16507"/>
    <w:rsid w:val="00A243DF"/>
    <w:rsid w:val="00A25F04"/>
    <w:rsid w:val="00A32D25"/>
    <w:rsid w:val="00A37BDB"/>
    <w:rsid w:val="00A435BD"/>
    <w:rsid w:val="00A4469D"/>
    <w:rsid w:val="00A6347A"/>
    <w:rsid w:val="00A7600F"/>
    <w:rsid w:val="00A91DA7"/>
    <w:rsid w:val="00A964E8"/>
    <w:rsid w:val="00AA374F"/>
    <w:rsid w:val="00AB14F2"/>
    <w:rsid w:val="00AB317D"/>
    <w:rsid w:val="00AB5257"/>
    <w:rsid w:val="00AC0E85"/>
    <w:rsid w:val="00AC1882"/>
    <w:rsid w:val="00AC3983"/>
    <w:rsid w:val="00AC50C8"/>
    <w:rsid w:val="00B01D91"/>
    <w:rsid w:val="00B01F3D"/>
    <w:rsid w:val="00B10042"/>
    <w:rsid w:val="00B152D0"/>
    <w:rsid w:val="00B171B7"/>
    <w:rsid w:val="00B415A8"/>
    <w:rsid w:val="00B5371D"/>
    <w:rsid w:val="00B54188"/>
    <w:rsid w:val="00B55CA2"/>
    <w:rsid w:val="00B73BB2"/>
    <w:rsid w:val="00B83A91"/>
    <w:rsid w:val="00B840A8"/>
    <w:rsid w:val="00B8697B"/>
    <w:rsid w:val="00B91592"/>
    <w:rsid w:val="00B921D0"/>
    <w:rsid w:val="00B9377C"/>
    <w:rsid w:val="00B96752"/>
    <w:rsid w:val="00BA0BC1"/>
    <w:rsid w:val="00BA3E0D"/>
    <w:rsid w:val="00BA4B71"/>
    <w:rsid w:val="00BB1B7F"/>
    <w:rsid w:val="00BC1F8F"/>
    <w:rsid w:val="00BD1F1D"/>
    <w:rsid w:val="00BD42CD"/>
    <w:rsid w:val="00BD7F25"/>
    <w:rsid w:val="00BE6ED5"/>
    <w:rsid w:val="00BF150F"/>
    <w:rsid w:val="00C06B37"/>
    <w:rsid w:val="00C10EB8"/>
    <w:rsid w:val="00C137DE"/>
    <w:rsid w:val="00C17CAF"/>
    <w:rsid w:val="00C21A8A"/>
    <w:rsid w:val="00C236C3"/>
    <w:rsid w:val="00C25E2D"/>
    <w:rsid w:val="00C26655"/>
    <w:rsid w:val="00C45262"/>
    <w:rsid w:val="00C56C63"/>
    <w:rsid w:val="00C64AE2"/>
    <w:rsid w:val="00C86DE6"/>
    <w:rsid w:val="00C92687"/>
    <w:rsid w:val="00C942E9"/>
    <w:rsid w:val="00CA388D"/>
    <w:rsid w:val="00CB2670"/>
    <w:rsid w:val="00CC6FDF"/>
    <w:rsid w:val="00CD393F"/>
    <w:rsid w:val="00D05714"/>
    <w:rsid w:val="00D10E22"/>
    <w:rsid w:val="00D203E0"/>
    <w:rsid w:val="00D2618F"/>
    <w:rsid w:val="00D3283B"/>
    <w:rsid w:val="00D341D6"/>
    <w:rsid w:val="00D642E0"/>
    <w:rsid w:val="00D71B5F"/>
    <w:rsid w:val="00D84B6D"/>
    <w:rsid w:val="00D86446"/>
    <w:rsid w:val="00DC2AD2"/>
    <w:rsid w:val="00DC2F2D"/>
    <w:rsid w:val="00DC5C3A"/>
    <w:rsid w:val="00DD30E0"/>
    <w:rsid w:val="00DE5C0A"/>
    <w:rsid w:val="00DF1C97"/>
    <w:rsid w:val="00E0504F"/>
    <w:rsid w:val="00E1161A"/>
    <w:rsid w:val="00E143D4"/>
    <w:rsid w:val="00E149B3"/>
    <w:rsid w:val="00E30925"/>
    <w:rsid w:val="00E34180"/>
    <w:rsid w:val="00E36C53"/>
    <w:rsid w:val="00E457FD"/>
    <w:rsid w:val="00E45809"/>
    <w:rsid w:val="00E67648"/>
    <w:rsid w:val="00E85DA3"/>
    <w:rsid w:val="00E90C63"/>
    <w:rsid w:val="00E91716"/>
    <w:rsid w:val="00ED6ED3"/>
    <w:rsid w:val="00EE2FF1"/>
    <w:rsid w:val="00EE45AF"/>
    <w:rsid w:val="00EE58A3"/>
    <w:rsid w:val="00EE654D"/>
    <w:rsid w:val="00EF4A54"/>
    <w:rsid w:val="00F07441"/>
    <w:rsid w:val="00F13C74"/>
    <w:rsid w:val="00F237A3"/>
    <w:rsid w:val="00F2400D"/>
    <w:rsid w:val="00F24325"/>
    <w:rsid w:val="00F440DF"/>
    <w:rsid w:val="00F53198"/>
    <w:rsid w:val="00F652A2"/>
    <w:rsid w:val="00F707A5"/>
    <w:rsid w:val="00F71AD3"/>
    <w:rsid w:val="00F80598"/>
    <w:rsid w:val="00F8192D"/>
    <w:rsid w:val="00F96081"/>
    <w:rsid w:val="00FA5E38"/>
    <w:rsid w:val="00FC179A"/>
    <w:rsid w:val="00FD20A4"/>
    <w:rsid w:val="00FD5D1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4313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670"/>
    <w:pPr>
      <w:spacing w:after="40"/>
      <w:jc w:val="both"/>
    </w:pPr>
    <w:rPr>
      <w:rFonts w:ascii="Times New Roman" w:hAnsi="Times New Roman"/>
    </w:rPr>
  </w:style>
  <w:style w:type="paragraph" w:styleId="Heading1">
    <w:name w:val="heading 1"/>
    <w:basedOn w:val="Normal"/>
    <w:next w:val="Normal"/>
    <w:link w:val="Heading1Char"/>
    <w:autoRedefine/>
    <w:uiPriority w:val="9"/>
    <w:qFormat/>
    <w:rsid w:val="009345A7"/>
    <w:pPr>
      <w:keepNext/>
      <w:keepLines/>
      <w:spacing w:before="240" w:after="120"/>
      <w:outlineLvl w:val="0"/>
    </w:pPr>
    <w:rPr>
      <w:rFonts w:eastAsiaTheme="majorEastAsia" w:cstheme="majorBidi"/>
      <w:b/>
      <w:color w:val="2F5496" w:themeColor="accent1" w:themeShade="BF"/>
      <w:sz w:val="32"/>
      <w:szCs w:val="50"/>
    </w:rPr>
  </w:style>
  <w:style w:type="paragraph" w:styleId="Heading2">
    <w:name w:val="heading 2"/>
    <w:basedOn w:val="Normal"/>
    <w:next w:val="Normal"/>
    <w:link w:val="Heading2Char"/>
    <w:autoRedefine/>
    <w:uiPriority w:val="9"/>
    <w:semiHidden/>
    <w:unhideWhenUsed/>
    <w:qFormat/>
    <w:rsid w:val="00D84B6D"/>
    <w:pPr>
      <w:keepNext/>
      <w:keepLines/>
      <w:spacing w:before="40" w:after="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0011DB"/>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011DB"/>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011DB"/>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011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11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11D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11D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5A7"/>
    <w:rPr>
      <w:rFonts w:ascii="Times New Roman" w:eastAsiaTheme="majorEastAsia" w:hAnsi="Times New Roman" w:cstheme="majorBidi"/>
      <w:b/>
      <w:color w:val="2F5496" w:themeColor="accent1" w:themeShade="BF"/>
      <w:sz w:val="32"/>
      <w:szCs w:val="50"/>
    </w:rPr>
  </w:style>
  <w:style w:type="character" w:customStyle="1" w:styleId="Heading2Char">
    <w:name w:val="Heading 2 Char"/>
    <w:basedOn w:val="DefaultParagraphFont"/>
    <w:link w:val="Heading2"/>
    <w:uiPriority w:val="9"/>
    <w:semiHidden/>
    <w:rsid w:val="00D84B6D"/>
    <w:rPr>
      <w:rFonts w:ascii="Times New Roman" w:eastAsiaTheme="majorEastAsia" w:hAnsi="Times New Roman"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0011DB"/>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0011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11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11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1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1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1DB"/>
    <w:rPr>
      <w:rFonts w:eastAsiaTheme="majorEastAsia" w:cstheme="majorBidi"/>
      <w:color w:val="272727" w:themeColor="text1" w:themeTint="D8"/>
    </w:rPr>
  </w:style>
  <w:style w:type="paragraph" w:styleId="Title">
    <w:name w:val="Title"/>
    <w:basedOn w:val="Normal"/>
    <w:next w:val="Normal"/>
    <w:link w:val="TitleChar"/>
    <w:uiPriority w:val="10"/>
    <w:qFormat/>
    <w:rsid w:val="000011D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011D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0011DB"/>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011D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0011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11DB"/>
    <w:rPr>
      <w:rFonts w:ascii="Times New Roman" w:hAnsi="Times New Roman"/>
      <w:i/>
      <w:iCs/>
      <w:color w:val="404040" w:themeColor="text1" w:themeTint="BF"/>
    </w:rPr>
  </w:style>
  <w:style w:type="paragraph" w:styleId="ListParagraph">
    <w:name w:val="List Paragraph"/>
    <w:basedOn w:val="Normal"/>
    <w:uiPriority w:val="34"/>
    <w:qFormat/>
    <w:rsid w:val="000011DB"/>
    <w:pPr>
      <w:ind w:left="720"/>
      <w:contextualSpacing/>
    </w:pPr>
  </w:style>
  <w:style w:type="character" w:styleId="IntenseEmphasis">
    <w:name w:val="Intense Emphasis"/>
    <w:basedOn w:val="DefaultParagraphFont"/>
    <w:uiPriority w:val="21"/>
    <w:qFormat/>
    <w:rsid w:val="000011DB"/>
    <w:rPr>
      <w:i/>
      <w:iCs/>
      <w:color w:val="2F5496" w:themeColor="accent1" w:themeShade="BF"/>
    </w:rPr>
  </w:style>
  <w:style w:type="paragraph" w:styleId="IntenseQuote">
    <w:name w:val="Intense Quote"/>
    <w:basedOn w:val="Normal"/>
    <w:next w:val="Normal"/>
    <w:link w:val="IntenseQuoteChar"/>
    <w:uiPriority w:val="30"/>
    <w:qFormat/>
    <w:rsid w:val="000011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11DB"/>
    <w:rPr>
      <w:rFonts w:ascii="Times New Roman" w:hAnsi="Times New Roman"/>
      <w:i/>
      <w:iCs/>
      <w:color w:val="2F5496" w:themeColor="accent1" w:themeShade="BF"/>
    </w:rPr>
  </w:style>
  <w:style w:type="character" w:styleId="IntenseReference">
    <w:name w:val="Intense Reference"/>
    <w:basedOn w:val="DefaultParagraphFont"/>
    <w:uiPriority w:val="32"/>
    <w:qFormat/>
    <w:rsid w:val="000011DB"/>
    <w:rPr>
      <w:b/>
      <w:bCs/>
      <w:smallCaps/>
      <w:color w:val="2F5496" w:themeColor="accent1" w:themeShade="BF"/>
      <w:spacing w:val="5"/>
    </w:rPr>
  </w:style>
  <w:style w:type="table" w:styleId="TableGrid">
    <w:name w:val="Table Grid"/>
    <w:basedOn w:val="TableNormal"/>
    <w:uiPriority w:val="39"/>
    <w:rsid w:val="00313A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B2B81"/>
    <w:pPr>
      <w:spacing w:after="100"/>
    </w:pPr>
  </w:style>
  <w:style w:type="paragraph" w:styleId="TOC2">
    <w:name w:val="toc 2"/>
    <w:basedOn w:val="Normal"/>
    <w:next w:val="Normal"/>
    <w:autoRedefine/>
    <w:uiPriority w:val="39"/>
    <w:unhideWhenUsed/>
    <w:rsid w:val="001B2B81"/>
    <w:pPr>
      <w:spacing w:after="100"/>
      <w:ind w:left="240"/>
    </w:pPr>
  </w:style>
  <w:style w:type="paragraph" w:styleId="TOC3">
    <w:name w:val="toc 3"/>
    <w:basedOn w:val="Normal"/>
    <w:next w:val="Normal"/>
    <w:autoRedefine/>
    <w:uiPriority w:val="39"/>
    <w:unhideWhenUsed/>
    <w:rsid w:val="001B2B81"/>
    <w:pPr>
      <w:spacing w:after="100"/>
      <w:ind w:left="480"/>
    </w:pPr>
  </w:style>
  <w:style w:type="character" w:styleId="Hyperlink">
    <w:name w:val="Hyperlink"/>
    <w:basedOn w:val="DefaultParagraphFont"/>
    <w:uiPriority w:val="99"/>
    <w:unhideWhenUsed/>
    <w:rsid w:val="001B2B81"/>
    <w:rPr>
      <w:color w:val="0563C1" w:themeColor="hyperlink"/>
      <w:u w:val="single"/>
    </w:rPr>
  </w:style>
  <w:style w:type="paragraph" w:styleId="Header">
    <w:name w:val="header"/>
    <w:basedOn w:val="Normal"/>
    <w:link w:val="HeaderChar"/>
    <w:uiPriority w:val="99"/>
    <w:unhideWhenUsed/>
    <w:rsid w:val="00B92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1D0"/>
    <w:rPr>
      <w:rFonts w:ascii="Times New Roman" w:hAnsi="Times New Roman"/>
    </w:rPr>
  </w:style>
  <w:style w:type="paragraph" w:styleId="Footer">
    <w:name w:val="footer"/>
    <w:basedOn w:val="Normal"/>
    <w:link w:val="FooterChar"/>
    <w:uiPriority w:val="99"/>
    <w:unhideWhenUsed/>
    <w:rsid w:val="00B92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1D0"/>
    <w:rPr>
      <w:rFonts w:ascii="Times New Roman" w:hAnsi="Times New Roman"/>
    </w:rPr>
  </w:style>
  <w:style w:type="paragraph" w:styleId="NoSpacing">
    <w:name w:val="No Spacing"/>
    <w:link w:val="NoSpacingChar"/>
    <w:uiPriority w:val="1"/>
    <w:qFormat/>
    <w:rsid w:val="00756F4C"/>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756F4C"/>
    <w:rPr>
      <w:rFonts w:eastAsiaTheme="minorEastAsia"/>
      <w:kern w:val="0"/>
      <w:sz w:val="22"/>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hart" Target="charts/chart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oleObject" Target="embeddings/oleObject1.bin"/><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Gross Profit Margin</c:v>
                </c:pt>
                <c:pt idx="1">
                  <c:v>Operating Profit Margin</c:v>
                </c:pt>
              </c:strCache>
            </c:strRef>
          </c:cat>
          <c:val>
            <c:numRef>
              <c:f>Sheet1!$B$2:$B$3</c:f>
              <c:numCache>
                <c:formatCode>0.00%</c:formatCode>
                <c:ptCount val="2"/>
                <c:pt idx="0">
                  <c:v>0.81899999999999995</c:v>
                </c:pt>
                <c:pt idx="1">
                  <c:v>0.17899999999999999</c:v>
                </c:pt>
              </c:numCache>
            </c:numRef>
          </c:val>
          <c:extLst>
            <c:ext xmlns:c16="http://schemas.microsoft.com/office/drawing/2014/chart" uri="{C3380CC4-5D6E-409C-BE32-E72D297353CC}">
              <c16:uniqueId val="{00000000-FA43-4CB3-A96F-817BE1B0C6E7}"/>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Gross Profit Margin</c:v>
                </c:pt>
                <c:pt idx="1">
                  <c:v>Operating Profit Margin</c:v>
                </c:pt>
              </c:strCache>
            </c:strRef>
          </c:cat>
          <c:val>
            <c:numRef>
              <c:f>Sheet1!$C$2:$C$3</c:f>
              <c:numCache>
                <c:formatCode>0.00%</c:formatCode>
                <c:ptCount val="2"/>
                <c:pt idx="0">
                  <c:v>0.81100000000000005</c:v>
                </c:pt>
                <c:pt idx="1">
                  <c:v>0.185</c:v>
                </c:pt>
              </c:numCache>
            </c:numRef>
          </c:val>
          <c:extLst>
            <c:ext xmlns:c16="http://schemas.microsoft.com/office/drawing/2014/chart" uri="{C3380CC4-5D6E-409C-BE32-E72D297353CC}">
              <c16:uniqueId val="{00000001-FA43-4CB3-A96F-817BE1B0C6E7}"/>
            </c:ext>
          </c:extLst>
        </c:ser>
        <c:dLbls>
          <c:dLblPos val="outEnd"/>
          <c:showLegendKey val="0"/>
          <c:showVal val="1"/>
          <c:showCatName val="0"/>
          <c:showSerName val="0"/>
          <c:showPercent val="0"/>
          <c:showBubbleSize val="0"/>
        </c:dLbls>
        <c:gapWidth val="219"/>
        <c:overlap val="-27"/>
        <c:axId val="822673055"/>
        <c:axId val="822680735"/>
      </c:barChart>
      <c:catAx>
        <c:axId val="82267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680735"/>
        <c:crosses val="autoZero"/>
        <c:auto val="1"/>
        <c:lblAlgn val="ctr"/>
        <c:lblOffset val="100"/>
        <c:noMultiLvlLbl val="0"/>
      </c:catAx>
      <c:valAx>
        <c:axId val="82268073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673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Current Ratio</c:v>
                </c:pt>
                <c:pt idx="1">
                  <c:v>Quick Ratio</c:v>
                </c:pt>
              </c:strCache>
            </c:strRef>
          </c:cat>
          <c:val>
            <c:numRef>
              <c:f>Sheet1!$B$2:$B$3</c:f>
              <c:numCache>
                <c:formatCode>General</c:formatCode>
                <c:ptCount val="2"/>
                <c:pt idx="0">
                  <c:v>0.82</c:v>
                </c:pt>
                <c:pt idx="1">
                  <c:v>0.64</c:v>
                </c:pt>
              </c:numCache>
            </c:numRef>
          </c:val>
          <c:extLst>
            <c:ext xmlns:c16="http://schemas.microsoft.com/office/drawing/2014/chart" uri="{C3380CC4-5D6E-409C-BE32-E72D297353CC}">
              <c16:uniqueId val="{00000000-B9A1-4DAF-AA9B-D398EED79602}"/>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Current Ratio</c:v>
                </c:pt>
                <c:pt idx="1">
                  <c:v>Quick Ratio</c:v>
                </c:pt>
              </c:strCache>
            </c:strRef>
          </c:cat>
          <c:val>
            <c:numRef>
              <c:f>Sheet1!$C$2:$C$3</c:f>
              <c:numCache>
                <c:formatCode>General</c:formatCode>
                <c:ptCount val="2"/>
                <c:pt idx="0">
                  <c:v>0.93</c:v>
                </c:pt>
                <c:pt idx="1">
                  <c:v>0.74</c:v>
                </c:pt>
              </c:numCache>
            </c:numRef>
          </c:val>
          <c:extLst>
            <c:ext xmlns:c16="http://schemas.microsoft.com/office/drawing/2014/chart" uri="{C3380CC4-5D6E-409C-BE32-E72D297353CC}">
              <c16:uniqueId val="{00000001-B9A1-4DAF-AA9B-D398EED79602}"/>
            </c:ext>
          </c:extLst>
        </c:ser>
        <c:dLbls>
          <c:dLblPos val="outEnd"/>
          <c:showLegendKey val="0"/>
          <c:showVal val="1"/>
          <c:showCatName val="0"/>
          <c:showSerName val="0"/>
          <c:showPercent val="0"/>
          <c:showBubbleSize val="0"/>
        </c:dLbls>
        <c:gapWidth val="219"/>
        <c:overlap val="-27"/>
        <c:axId val="602128319"/>
        <c:axId val="601979183"/>
      </c:barChart>
      <c:catAx>
        <c:axId val="602128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979183"/>
        <c:crosses val="autoZero"/>
        <c:auto val="1"/>
        <c:lblAlgn val="ctr"/>
        <c:lblOffset val="100"/>
        <c:noMultiLvlLbl val="0"/>
      </c:catAx>
      <c:valAx>
        <c:axId val="601979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128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Efficiency Ratio</c:v>
                </c:pt>
              </c:strCache>
            </c:strRef>
          </c:cat>
          <c:val>
            <c:numRef>
              <c:f>Sheet1!$B$2</c:f>
              <c:numCache>
                <c:formatCode>General</c:formatCode>
                <c:ptCount val="1"/>
                <c:pt idx="0">
                  <c:v>0.46</c:v>
                </c:pt>
              </c:numCache>
            </c:numRef>
          </c:val>
          <c:extLst>
            <c:ext xmlns:c16="http://schemas.microsoft.com/office/drawing/2014/chart" uri="{C3380CC4-5D6E-409C-BE32-E72D297353CC}">
              <c16:uniqueId val="{00000000-EE7A-410A-BDB7-94E86AA45B5D}"/>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Efficiency Ratio</c:v>
                </c:pt>
              </c:strCache>
            </c:strRef>
          </c:cat>
          <c:val>
            <c:numRef>
              <c:f>Sheet1!$C$2</c:f>
              <c:numCache>
                <c:formatCode>General</c:formatCode>
                <c:ptCount val="1"/>
                <c:pt idx="0">
                  <c:v>0.53</c:v>
                </c:pt>
              </c:numCache>
            </c:numRef>
          </c:val>
          <c:extLst>
            <c:ext xmlns:c16="http://schemas.microsoft.com/office/drawing/2014/chart" uri="{C3380CC4-5D6E-409C-BE32-E72D297353CC}">
              <c16:uniqueId val="{00000001-EE7A-410A-BDB7-94E86AA45B5D}"/>
            </c:ext>
          </c:extLst>
        </c:ser>
        <c:dLbls>
          <c:dLblPos val="outEnd"/>
          <c:showLegendKey val="0"/>
          <c:showVal val="1"/>
          <c:showCatName val="0"/>
          <c:showSerName val="0"/>
          <c:showPercent val="0"/>
          <c:showBubbleSize val="0"/>
        </c:dLbls>
        <c:gapWidth val="219"/>
        <c:overlap val="-27"/>
        <c:axId val="733056560"/>
        <c:axId val="733061360"/>
      </c:barChart>
      <c:catAx>
        <c:axId val="733056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061360"/>
        <c:crosses val="autoZero"/>
        <c:auto val="1"/>
        <c:lblAlgn val="ctr"/>
        <c:lblOffset val="100"/>
        <c:noMultiLvlLbl val="0"/>
      </c:catAx>
      <c:valAx>
        <c:axId val="733061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056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Debt-to-Equity Ratio</c:v>
                </c:pt>
                <c:pt idx="1">
                  <c:v>Interest Coverage Ratio</c:v>
                </c:pt>
              </c:strCache>
            </c:strRef>
          </c:cat>
          <c:val>
            <c:numRef>
              <c:f>Sheet1!$B$2:$B$3</c:f>
              <c:numCache>
                <c:formatCode>0.00%</c:formatCode>
                <c:ptCount val="2"/>
                <c:pt idx="0">
                  <c:v>0.73</c:v>
                </c:pt>
                <c:pt idx="1">
                  <c:v>7.2</c:v>
                </c:pt>
              </c:numCache>
            </c:numRef>
          </c:val>
          <c:extLst>
            <c:ext xmlns:c16="http://schemas.microsoft.com/office/drawing/2014/chart" uri="{C3380CC4-5D6E-409C-BE32-E72D297353CC}">
              <c16:uniqueId val="{00000000-6FE2-490A-97E1-447D99A82772}"/>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Debt-to-Equity Ratio</c:v>
                </c:pt>
                <c:pt idx="1">
                  <c:v>Interest Coverage Ratio</c:v>
                </c:pt>
              </c:strCache>
            </c:strRef>
          </c:cat>
          <c:val>
            <c:numRef>
              <c:f>Sheet1!$C$2:$C$3</c:f>
              <c:numCache>
                <c:formatCode>0.00%</c:formatCode>
                <c:ptCount val="2"/>
                <c:pt idx="0">
                  <c:v>0.74</c:v>
                </c:pt>
                <c:pt idx="1">
                  <c:v>7.2</c:v>
                </c:pt>
              </c:numCache>
            </c:numRef>
          </c:val>
          <c:extLst>
            <c:ext xmlns:c16="http://schemas.microsoft.com/office/drawing/2014/chart" uri="{C3380CC4-5D6E-409C-BE32-E72D297353CC}">
              <c16:uniqueId val="{00000001-6FE2-490A-97E1-447D99A82772}"/>
            </c:ext>
          </c:extLst>
        </c:ser>
        <c:dLbls>
          <c:dLblPos val="outEnd"/>
          <c:showLegendKey val="0"/>
          <c:showVal val="1"/>
          <c:showCatName val="0"/>
          <c:showSerName val="0"/>
          <c:showPercent val="0"/>
          <c:showBubbleSize val="0"/>
        </c:dLbls>
        <c:gapWidth val="219"/>
        <c:overlap val="-27"/>
        <c:axId val="822673055"/>
        <c:axId val="822680735"/>
      </c:barChart>
      <c:catAx>
        <c:axId val="82267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680735"/>
        <c:crosses val="autoZero"/>
        <c:auto val="1"/>
        <c:lblAlgn val="ctr"/>
        <c:lblOffset val="100"/>
        <c:noMultiLvlLbl val="0"/>
      </c:catAx>
      <c:valAx>
        <c:axId val="82268073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673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2023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Dividend Payout Ratio</c:v>
                </c:pt>
              </c:strCache>
            </c:strRef>
          </c:cat>
          <c:val>
            <c:numRef>
              <c:f>Sheet1!$B$2</c:f>
              <c:numCache>
                <c:formatCode>0.00%</c:formatCode>
                <c:ptCount val="1"/>
                <c:pt idx="0">
                  <c:v>0.752</c:v>
                </c:pt>
              </c:numCache>
            </c:numRef>
          </c:val>
          <c:extLst>
            <c:ext xmlns:c16="http://schemas.microsoft.com/office/drawing/2014/chart" uri="{C3380CC4-5D6E-409C-BE32-E72D297353CC}">
              <c16:uniqueId val="{00000000-6A63-434F-BE09-7636268A7FD0}"/>
            </c:ext>
          </c:extLst>
        </c:ser>
        <c:ser>
          <c:idx val="1"/>
          <c:order val="1"/>
          <c:tx>
            <c:strRef>
              <c:f>Sheet1!$C$1</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Dividend Payout Ratio</c:v>
                </c:pt>
              </c:strCache>
            </c:strRef>
          </c:cat>
          <c:val>
            <c:numRef>
              <c:f>Sheet1!$C$2</c:f>
              <c:numCache>
                <c:formatCode>0.00%</c:formatCode>
                <c:ptCount val="1"/>
                <c:pt idx="0">
                  <c:v>0.65800000000000003</c:v>
                </c:pt>
              </c:numCache>
            </c:numRef>
          </c:val>
          <c:extLst>
            <c:ext xmlns:c16="http://schemas.microsoft.com/office/drawing/2014/chart" uri="{C3380CC4-5D6E-409C-BE32-E72D297353CC}">
              <c16:uniqueId val="{00000001-6A63-434F-BE09-7636268A7FD0}"/>
            </c:ext>
          </c:extLst>
        </c:ser>
        <c:dLbls>
          <c:dLblPos val="outEnd"/>
          <c:showLegendKey val="0"/>
          <c:showVal val="1"/>
          <c:showCatName val="0"/>
          <c:showSerName val="0"/>
          <c:showPercent val="0"/>
          <c:showBubbleSize val="0"/>
        </c:dLbls>
        <c:gapWidth val="219"/>
        <c:overlap val="-27"/>
        <c:axId val="822673055"/>
        <c:axId val="822680735"/>
      </c:barChart>
      <c:catAx>
        <c:axId val="82267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680735"/>
        <c:crosses val="autoZero"/>
        <c:auto val="1"/>
        <c:lblAlgn val="ctr"/>
        <c:lblOffset val="100"/>
        <c:noMultiLvlLbl val="0"/>
      </c:catAx>
      <c:valAx>
        <c:axId val="82268073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2673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7232</Words>
  <Characters>41224</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2025-12-31T18:16:00Z</dcterms:created>
  <dcterms:modified xsi:type="dcterms:W3CDTF">2026-01-11T18:36:00Z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35276cc5-c828-4b43-88ed-7897b19e9afc</vt:lpwstr>
  </property>
</Properties>
</file>