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1E467" w14:textId="34166AA9" w:rsidR="002A33B7" w:rsidRPr="004750C5" w:rsidRDefault="00CD1FA4">
      <w:pPr>
        <w:spacing w:line="360" w:lineRule="auto"/>
        <w:jc w:val="center"/>
        <w:rPr>
          <w:rFonts w:ascii="Times New Roman" w:eastAsia="Times New Roman" w:hAnsi="Times New Roman" w:cs="Times New Roman"/>
          <w:b/>
          <w:sz w:val="56"/>
          <w:szCs w:val="56"/>
        </w:rPr>
      </w:pPr>
      <w:r w:rsidRPr="004750C5">
        <w:rPr>
          <w:rFonts w:ascii="Times New Roman" w:eastAsia="Times New Roman" w:hAnsi="Times New Roman" w:cs="Times New Roman"/>
          <w:b/>
          <w:sz w:val="56"/>
          <w:szCs w:val="56"/>
        </w:rPr>
        <w:t>Community Engagement</w:t>
      </w:r>
    </w:p>
    <w:p w14:paraId="5D59BB15" w14:textId="77777777" w:rsidR="002A33B7" w:rsidRDefault="002A33B7">
      <w:pPr>
        <w:jc w:val="center"/>
        <w:rPr>
          <w:rFonts w:ascii="Times New Roman" w:eastAsia="Times New Roman" w:hAnsi="Times New Roman" w:cs="Times New Roman"/>
          <w:b/>
          <w:sz w:val="32"/>
          <w:szCs w:val="32"/>
        </w:rPr>
      </w:pPr>
    </w:p>
    <w:p w14:paraId="40361413" w14:textId="77777777" w:rsidR="004750C5" w:rsidRDefault="004750C5">
      <w:pPr>
        <w:jc w:val="center"/>
        <w:rPr>
          <w:rFonts w:ascii="Times New Roman" w:eastAsia="Times New Roman" w:hAnsi="Times New Roman" w:cs="Times New Roman"/>
          <w:b/>
          <w:sz w:val="28"/>
          <w:szCs w:val="28"/>
        </w:rPr>
      </w:pPr>
    </w:p>
    <w:p w14:paraId="049D0A11" w14:textId="77777777" w:rsidR="004750C5" w:rsidRDefault="004750C5">
      <w:pPr>
        <w:jc w:val="center"/>
        <w:rPr>
          <w:rFonts w:ascii="Times New Roman" w:eastAsia="Times New Roman" w:hAnsi="Times New Roman" w:cs="Times New Roman"/>
          <w:b/>
          <w:sz w:val="28"/>
          <w:szCs w:val="28"/>
        </w:rPr>
      </w:pPr>
    </w:p>
    <w:p w14:paraId="3703A900" w14:textId="77777777" w:rsidR="004750C5" w:rsidRDefault="004750C5">
      <w:pPr>
        <w:jc w:val="center"/>
        <w:rPr>
          <w:rFonts w:ascii="Times New Roman" w:eastAsia="Times New Roman" w:hAnsi="Times New Roman" w:cs="Times New Roman"/>
          <w:b/>
          <w:sz w:val="28"/>
          <w:szCs w:val="28"/>
        </w:rPr>
      </w:pPr>
    </w:p>
    <w:p w14:paraId="4FC47D0A" w14:textId="77777777" w:rsidR="004750C5" w:rsidRDefault="004750C5">
      <w:pPr>
        <w:jc w:val="center"/>
        <w:rPr>
          <w:rFonts w:ascii="Times New Roman" w:eastAsia="Times New Roman" w:hAnsi="Times New Roman" w:cs="Times New Roman"/>
          <w:b/>
          <w:sz w:val="28"/>
          <w:szCs w:val="28"/>
        </w:rPr>
      </w:pPr>
    </w:p>
    <w:p w14:paraId="0878C6D6" w14:textId="77777777" w:rsidR="004750C5" w:rsidRDefault="004750C5">
      <w:pPr>
        <w:jc w:val="center"/>
        <w:rPr>
          <w:rFonts w:ascii="Times New Roman" w:eastAsia="Times New Roman" w:hAnsi="Times New Roman" w:cs="Times New Roman"/>
          <w:b/>
          <w:sz w:val="28"/>
          <w:szCs w:val="28"/>
        </w:rPr>
      </w:pPr>
    </w:p>
    <w:p w14:paraId="566AFFA0" w14:textId="3FFDD8F3" w:rsidR="002A33B7" w:rsidRDefault="00CD1FA4">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Reflection on the Approaches of Two Charity Organisations Addressing the Issue of Homelessness in the United Kingdom</w:t>
      </w:r>
    </w:p>
    <w:p w14:paraId="61DD85A6" w14:textId="77777777" w:rsidR="002A33B7" w:rsidRDefault="002A33B7">
      <w:pPr>
        <w:jc w:val="center"/>
        <w:rPr>
          <w:rFonts w:ascii="Times New Roman" w:eastAsia="Times New Roman" w:hAnsi="Times New Roman" w:cs="Times New Roman"/>
          <w:b/>
          <w:sz w:val="32"/>
          <w:szCs w:val="32"/>
        </w:rPr>
      </w:pPr>
    </w:p>
    <w:p w14:paraId="0A5D1A0F" w14:textId="77777777" w:rsidR="002A33B7" w:rsidRDefault="002A33B7">
      <w:pPr>
        <w:jc w:val="center"/>
        <w:rPr>
          <w:rFonts w:ascii="Times New Roman" w:eastAsia="Times New Roman" w:hAnsi="Times New Roman" w:cs="Times New Roman"/>
          <w:b/>
          <w:sz w:val="32"/>
          <w:szCs w:val="32"/>
        </w:rPr>
      </w:pPr>
    </w:p>
    <w:p w14:paraId="30BD6261" w14:textId="77777777" w:rsidR="002A33B7" w:rsidRDefault="002A33B7">
      <w:pPr>
        <w:jc w:val="center"/>
        <w:rPr>
          <w:rFonts w:ascii="Times New Roman" w:eastAsia="Times New Roman" w:hAnsi="Times New Roman" w:cs="Times New Roman"/>
          <w:b/>
          <w:sz w:val="32"/>
          <w:szCs w:val="32"/>
        </w:rPr>
      </w:pPr>
    </w:p>
    <w:p w14:paraId="6C73EE2A" w14:textId="77777777" w:rsidR="002A33B7" w:rsidRDefault="002A33B7">
      <w:pPr>
        <w:jc w:val="center"/>
        <w:rPr>
          <w:rFonts w:ascii="Times New Roman" w:eastAsia="Times New Roman" w:hAnsi="Times New Roman" w:cs="Times New Roman"/>
          <w:b/>
          <w:sz w:val="32"/>
          <w:szCs w:val="32"/>
        </w:rPr>
      </w:pPr>
    </w:p>
    <w:p w14:paraId="3684B3AD" w14:textId="77777777" w:rsidR="002A33B7" w:rsidRDefault="002A33B7">
      <w:pPr>
        <w:jc w:val="center"/>
        <w:rPr>
          <w:rFonts w:ascii="Times New Roman" w:eastAsia="Times New Roman" w:hAnsi="Times New Roman" w:cs="Times New Roman"/>
          <w:b/>
          <w:sz w:val="32"/>
          <w:szCs w:val="32"/>
        </w:rPr>
      </w:pPr>
    </w:p>
    <w:p w14:paraId="1BEDB56A" w14:textId="77777777" w:rsidR="002A33B7" w:rsidRDefault="002A33B7">
      <w:pPr>
        <w:jc w:val="center"/>
        <w:rPr>
          <w:rFonts w:ascii="Times New Roman" w:eastAsia="Times New Roman" w:hAnsi="Times New Roman" w:cs="Times New Roman"/>
          <w:b/>
          <w:sz w:val="32"/>
          <w:szCs w:val="32"/>
        </w:rPr>
      </w:pPr>
    </w:p>
    <w:p w14:paraId="09555484" w14:textId="77777777" w:rsidR="002A33B7" w:rsidRDefault="002A33B7">
      <w:pPr>
        <w:jc w:val="center"/>
        <w:rPr>
          <w:rFonts w:ascii="Times New Roman" w:eastAsia="Times New Roman" w:hAnsi="Times New Roman" w:cs="Times New Roman"/>
          <w:b/>
          <w:sz w:val="32"/>
          <w:szCs w:val="32"/>
        </w:rPr>
      </w:pPr>
    </w:p>
    <w:p w14:paraId="2997F77D" w14:textId="77777777" w:rsidR="002A33B7" w:rsidRDefault="002A33B7">
      <w:pPr>
        <w:jc w:val="center"/>
        <w:rPr>
          <w:rFonts w:ascii="Times New Roman" w:eastAsia="Times New Roman" w:hAnsi="Times New Roman" w:cs="Times New Roman"/>
          <w:b/>
          <w:sz w:val="32"/>
          <w:szCs w:val="32"/>
        </w:rPr>
      </w:pPr>
    </w:p>
    <w:p w14:paraId="37C3F342" w14:textId="1C70AA14" w:rsidR="002A33B7" w:rsidRPr="004750C5" w:rsidRDefault="004750C5">
      <w:pPr>
        <w:jc w:val="center"/>
        <w:rPr>
          <w:rFonts w:ascii="Times New Roman" w:eastAsia="Times New Roman" w:hAnsi="Times New Roman" w:cs="Times New Roman"/>
          <w:sz w:val="40"/>
          <w:szCs w:val="40"/>
        </w:rPr>
      </w:pPr>
      <w:r w:rsidRPr="004750C5">
        <w:rPr>
          <w:rFonts w:ascii="Times New Roman" w:eastAsia="Times New Roman" w:hAnsi="Times New Roman" w:cs="Times New Roman"/>
          <w:sz w:val="40"/>
          <w:szCs w:val="40"/>
        </w:rPr>
        <w:t>Jerry Rodrigues</w:t>
      </w:r>
    </w:p>
    <w:p w14:paraId="7357EC63" w14:textId="40DC0089" w:rsidR="002A33B7" w:rsidRDefault="004750C5">
      <w:pPr>
        <w:jc w:val="center"/>
        <w:rPr>
          <w:rFonts w:ascii="Times New Roman" w:eastAsia="Times New Roman" w:hAnsi="Times New Roman" w:cs="Times New Roman"/>
          <w:b/>
          <w:sz w:val="28"/>
          <w:szCs w:val="28"/>
        </w:rPr>
      </w:pPr>
      <w:r w:rsidRPr="004750C5">
        <w:rPr>
          <w:rFonts w:ascii="Times New Roman" w:eastAsia="Times New Roman" w:hAnsi="Times New Roman" w:cs="Times New Roman"/>
          <w:sz w:val="40"/>
          <w:szCs w:val="40"/>
        </w:rPr>
        <w:t>2023555</w:t>
      </w:r>
      <w:r w:rsidR="00CD1FA4">
        <w:br w:type="page"/>
      </w:r>
    </w:p>
    <w:p w14:paraId="0F1481C3" w14:textId="77777777" w:rsidR="002A33B7" w:rsidRPr="00CC28E1" w:rsidRDefault="00CD1FA4">
      <w:pPr>
        <w:spacing w:line="360" w:lineRule="auto"/>
        <w:jc w:val="center"/>
        <w:rPr>
          <w:rFonts w:ascii="Times New Roman" w:eastAsia="Times New Roman" w:hAnsi="Times New Roman" w:cs="Times New Roman"/>
          <w:b/>
          <w:sz w:val="28"/>
          <w:szCs w:val="28"/>
        </w:rPr>
      </w:pPr>
      <w:r w:rsidRPr="00CC28E1">
        <w:rPr>
          <w:rFonts w:ascii="Times New Roman" w:eastAsia="Times New Roman" w:hAnsi="Times New Roman" w:cs="Times New Roman"/>
          <w:b/>
          <w:sz w:val="28"/>
          <w:szCs w:val="28"/>
        </w:rPr>
        <w:lastRenderedPageBreak/>
        <w:t>Table of Contents</w:t>
      </w:r>
    </w:p>
    <w:p w14:paraId="20C2C99E" w14:textId="77777777" w:rsidR="002A33B7" w:rsidRDefault="002A33B7">
      <w:pPr>
        <w:keepNext/>
        <w:keepLines/>
        <w:pBdr>
          <w:top w:val="nil"/>
          <w:left w:val="nil"/>
          <w:bottom w:val="nil"/>
          <w:right w:val="nil"/>
          <w:between w:val="nil"/>
        </w:pBdr>
        <w:spacing w:before="240" w:line="259" w:lineRule="auto"/>
        <w:rPr>
          <w:rFonts w:ascii="Times New Roman" w:eastAsia="Times New Roman" w:hAnsi="Times New Roman" w:cs="Times New Roman"/>
          <w:color w:val="366091"/>
          <w:sz w:val="24"/>
          <w:szCs w:val="24"/>
        </w:rPr>
      </w:pPr>
    </w:p>
    <w:sdt>
      <w:sdtPr>
        <w:id w:val="-849255701"/>
        <w:docPartObj>
          <w:docPartGallery w:val="Table of Contents"/>
          <w:docPartUnique/>
        </w:docPartObj>
      </w:sdtPr>
      <w:sdtEndPr>
        <w:rPr>
          <w:rFonts w:ascii="Times New Roman" w:hAnsi="Times New Roman" w:cs="Times New Roman"/>
          <w:sz w:val="24"/>
          <w:szCs w:val="24"/>
        </w:rPr>
      </w:sdtEndPr>
      <w:sdtContent>
        <w:p w14:paraId="6BBD7994" w14:textId="77777777" w:rsidR="00CC28E1" w:rsidRPr="00CC28E1" w:rsidRDefault="00CD1FA4" w:rsidP="00CC28E1">
          <w:pPr>
            <w:pStyle w:val="TOC1"/>
            <w:rPr>
              <w:rFonts w:ascii="Times New Roman" w:eastAsiaTheme="minorEastAsia" w:hAnsi="Times New Roman" w:cs="Times New Roman"/>
              <w:noProof/>
              <w:sz w:val="24"/>
              <w:szCs w:val="24"/>
              <w:lang w:val="en-IN"/>
            </w:rPr>
          </w:pPr>
          <w:r w:rsidRPr="00CC28E1">
            <w:rPr>
              <w:rFonts w:ascii="Times New Roman" w:hAnsi="Times New Roman" w:cs="Times New Roman"/>
              <w:sz w:val="24"/>
              <w:szCs w:val="24"/>
            </w:rPr>
            <w:fldChar w:fldCharType="begin"/>
          </w:r>
          <w:r w:rsidRPr="00CC28E1">
            <w:rPr>
              <w:rFonts w:ascii="Times New Roman" w:hAnsi="Times New Roman" w:cs="Times New Roman"/>
              <w:sz w:val="24"/>
              <w:szCs w:val="24"/>
            </w:rPr>
            <w:instrText xml:space="preserve"> TOC \h \u \z </w:instrText>
          </w:r>
          <w:r w:rsidRPr="00CC28E1">
            <w:rPr>
              <w:rFonts w:ascii="Times New Roman" w:hAnsi="Times New Roman" w:cs="Times New Roman"/>
              <w:sz w:val="24"/>
              <w:szCs w:val="24"/>
            </w:rPr>
            <w:fldChar w:fldCharType="separate"/>
          </w:r>
          <w:hyperlink w:anchor="_Toc75968149" w:history="1">
            <w:r w:rsidR="00CC28E1" w:rsidRPr="00CC28E1">
              <w:rPr>
                <w:rStyle w:val="Hyperlink"/>
                <w:rFonts w:ascii="Times New Roman" w:hAnsi="Times New Roman" w:cs="Times New Roman"/>
                <w:noProof/>
                <w:sz w:val="24"/>
                <w:szCs w:val="24"/>
              </w:rPr>
              <w:t>Introduction</w:t>
            </w:r>
            <w:r w:rsidR="00CC28E1" w:rsidRPr="00CC28E1">
              <w:rPr>
                <w:rFonts w:ascii="Times New Roman" w:hAnsi="Times New Roman" w:cs="Times New Roman"/>
                <w:noProof/>
                <w:webHidden/>
                <w:sz w:val="24"/>
                <w:szCs w:val="24"/>
              </w:rPr>
              <w:tab/>
            </w:r>
            <w:r w:rsidR="00CC28E1" w:rsidRPr="00CC28E1">
              <w:rPr>
                <w:rFonts w:ascii="Times New Roman" w:hAnsi="Times New Roman" w:cs="Times New Roman"/>
                <w:noProof/>
                <w:webHidden/>
                <w:sz w:val="24"/>
                <w:szCs w:val="24"/>
              </w:rPr>
              <w:fldChar w:fldCharType="begin"/>
            </w:r>
            <w:r w:rsidR="00CC28E1" w:rsidRPr="00CC28E1">
              <w:rPr>
                <w:rFonts w:ascii="Times New Roman" w:hAnsi="Times New Roman" w:cs="Times New Roman"/>
                <w:noProof/>
                <w:webHidden/>
                <w:sz w:val="24"/>
                <w:szCs w:val="24"/>
              </w:rPr>
              <w:instrText xml:space="preserve"> PAGEREF _Toc75968149 \h </w:instrText>
            </w:r>
            <w:r w:rsidR="00CC28E1" w:rsidRPr="00CC28E1">
              <w:rPr>
                <w:rFonts w:ascii="Times New Roman" w:hAnsi="Times New Roman" w:cs="Times New Roman"/>
                <w:noProof/>
                <w:webHidden/>
                <w:sz w:val="24"/>
                <w:szCs w:val="24"/>
              </w:rPr>
            </w:r>
            <w:r w:rsidR="00CC28E1" w:rsidRPr="00CC28E1">
              <w:rPr>
                <w:rFonts w:ascii="Times New Roman" w:hAnsi="Times New Roman" w:cs="Times New Roman"/>
                <w:noProof/>
                <w:webHidden/>
                <w:sz w:val="24"/>
                <w:szCs w:val="24"/>
              </w:rPr>
              <w:fldChar w:fldCharType="separate"/>
            </w:r>
            <w:r w:rsidR="00CC28E1" w:rsidRPr="00CC28E1">
              <w:rPr>
                <w:rFonts w:ascii="Times New Roman" w:hAnsi="Times New Roman" w:cs="Times New Roman"/>
                <w:noProof/>
                <w:webHidden/>
                <w:sz w:val="24"/>
                <w:szCs w:val="24"/>
              </w:rPr>
              <w:t>2</w:t>
            </w:r>
            <w:r w:rsidR="00CC28E1" w:rsidRPr="00CC28E1">
              <w:rPr>
                <w:rFonts w:ascii="Times New Roman" w:hAnsi="Times New Roman" w:cs="Times New Roman"/>
                <w:noProof/>
                <w:webHidden/>
                <w:sz w:val="24"/>
                <w:szCs w:val="24"/>
              </w:rPr>
              <w:fldChar w:fldCharType="end"/>
            </w:r>
          </w:hyperlink>
        </w:p>
        <w:p w14:paraId="5EEE1208" w14:textId="77777777" w:rsidR="00CC28E1" w:rsidRPr="00CC28E1" w:rsidRDefault="00BB7DBB" w:rsidP="00CC28E1">
          <w:pPr>
            <w:pStyle w:val="TOC1"/>
            <w:rPr>
              <w:rFonts w:ascii="Times New Roman" w:eastAsiaTheme="minorEastAsia" w:hAnsi="Times New Roman" w:cs="Times New Roman"/>
              <w:noProof/>
              <w:sz w:val="24"/>
              <w:szCs w:val="24"/>
              <w:lang w:val="en-IN"/>
            </w:rPr>
          </w:pPr>
          <w:hyperlink w:anchor="_Toc75968150" w:history="1">
            <w:r w:rsidR="00CC28E1" w:rsidRPr="00CC28E1">
              <w:rPr>
                <w:rStyle w:val="Hyperlink"/>
                <w:rFonts w:ascii="Times New Roman" w:hAnsi="Times New Roman" w:cs="Times New Roman"/>
                <w:noProof/>
                <w:sz w:val="24"/>
                <w:szCs w:val="24"/>
              </w:rPr>
              <w:t>Background of the projects</w:t>
            </w:r>
            <w:r w:rsidR="00CC28E1" w:rsidRPr="00CC28E1">
              <w:rPr>
                <w:rFonts w:ascii="Times New Roman" w:hAnsi="Times New Roman" w:cs="Times New Roman"/>
                <w:noProof/>
                <w:webHidden/>
                <w:sz w:val="24"/>
                <w:szCs w:val="24"/>
              </w:rPr>
              <w:tab/>
            </w:r>
            <w:r w:rsidR="00CC28E1" w:rsidRPr="00CC28E1">
              <w:rPr>
                <w:rFonts w:ascii="Times New Roman" w:hAnsi="Times New Roman" w:cs="Times New Roman"/>
                <w:noProof/>
                <w:webHidden/>
                <w:sz w:val="24"/>
                <w:szCs w:val="24"/>
              </w:rPr>
              <w:fldChar w:fldCharType="begin"/>
            </w:r>
            <w:r w:rsidR="00CC28E1" w:rsidRPr="00CC28E1">
              <w:rPr>
                <w:rFonts w:ascii="Times New Roman" w:hAnsi="Times New Roman" w:cs="Times New Roman"/>
                <w:noProof/>
                <w:webHidden/>
                <w:sz w:val="24"/>
                <w:szCs w:val="24"/>
              </w:rPr>
              <w:instrText xml:space="preserve"> PAGEREF _Toc75968150 \h </w:instrText>
            </w:r>
            <w:r w:rsidR="00CC28E1" w:rsidRPr="00CC28E1">
              <w:rPr>
                <w:rFonts w:ascii="Times New Roman" w:hAnsi="Times New Roman" w:cs="Times New Roman"/>
                <w:noProof/>
                <w:webHidden/>
                <w:sz w:val="24"/>
                <w:szCs w:val="24"/>
              </w:rPr>
            </w:r>
            <w:r w:rsidR="00CC28E1" w:rsidRPr="00CC28E1">
              <w:rPr>
                <w:rFonts w:ascii="Times New Roman" w:hAnsi="Times New Roman" w:cs="Times New Roman"/>
                <w:noProof/>
                <w:webHidden/>
                <w:sz w:val="24"/>
                <w:szCs w:val="24"/>
              </w:rPr>
              <w:fldChar w:fldCharType="separate"/>
            </w:r>
            <w:r w:rsidR="00CC28E1" w:rsidRPr="00CC28E1">
              <w:rPr>
                <w:rFonts w:ascii="Times New Roman" w:hAnsi="Times New Roman" w:cs="Times New Roman"/>
                <w:noProof/>
                <w:webHidden/>
                <w:sz w:val="24"/>
                <w:szCs w:val="24"/>
              </w:rPr>
              <w:t>3</w:t>
            </w:r>
            <w:r w:rsidR="00CC28E1" w:rsidRPr="00CC28E1">
              <w:rPr>
                <w:rFonts w:ascii="Times New Roman" w:hAnsi="Times New Roman" w:cs="Times New Roman"/>
                <w:noProof/>
                <w:webHidden/>
                <w:sz w:val="24"/>
                <w:szCs w:val="24"/>
              </w:rPr>
              <w:fldChar w:fldCharType="end"/>
            </w:r>
          </w:hyperlink>
        </w:p>
        <w:p w14:paraId="6E36B311" w14:textId="77777777" w:rsidR="00CC28E1" w:rsidRPr="00CC28E1" w:rsidRDefault="00BB7DBB" w:rsidP="00CC28E1">
          <w:pPr>
            <w:pStyle w:val="TOC1"/>
            <w:rPr>
              <w:rFonts w:ascii="Times New Roman" w:eastAsiaTheme="minorEastAsia" w:hAnsi="Times New Roman" w:cs="Times New Roman"/>
              <w:noProof/>
              <w:sz w:val="24"/>
              <w:szCs w:val="24"/>
              <w:lang w:val="en-IN"/>
            </w:rPr>
          </w:pPr>
          <w:hyperlink w:anchor="_Toc75968151" w:history="1">
            <w:r w:rsidR="00CC28E1" w:rsidRPr="00CC28E1">
              <w:rPr>
                <w:rStyle w:val="Hyperlink"/>
                <w:rFonts w:ascii="Times New Roman" w:hAnsi="Times New Roman" w:cs="Times New Roman"/>
                <w:noProof/>
                <w:sz w:val="24"/>
                <w:szCs w:val="24"/>
              </w:rPr>
              <w:t>Comparing the stakeholders’ association in both the projects</w:t>
            </w:r>
            <w:r w:rsidR="00CC28E1" w:rsidRPr="00CC28E1">
              <w:rPr>
                <w:rFonts w:ascii="Times New Roman" w:hAnsi="Times New Roman" w:cs="Times New Roman"/>
                <w:noProof/>
                <w:webHidden/>
                <w:sz w:val="24"/>
                <w:szCs w:val="24"/>
              </w:rPr>
              <w:tab/>
            </w:r>
            <w:r w:rsidR="00CC28E1" w:rsidRPr="00CC28E1">
              <w:rPr>
                <w:rFonts w:ascii="Times New Roman" w:hAnsi="Times New Roman" w:cs="Times New Roman"/>
                <w:noProof/>
                <w:webHidden/>
                <w:sz w:val="24"/>
                <w:szCs w:val="24"/>
              </w:rPr>
              <w:fldChar w:fldCharType="begin"/>
            </w:r>
            <w:r w:rsidR="00CC28E1" w:rsidRPr="00CC28E1">
              <w:rPr>
                <w:rFonts w:ascii="Times New Roman" w:hAnsi="Times New Roman" w:cs="Times New Roman"/>
                <w:noProof/>
                <w:webHidden/>
                <w:sz w:val="24"/>
                <w:szCs w:val="24"/>
              </w:rPr>
              <w:instrText xml:space="preserve"> PAGEREF _Toc75968151 \h </w:instrText>
            </w:r>
            <w:r w:rsidR="00CC28E1" w:rsidRPr="00CC28E1">
              <w:rPr>
                <w:rFonts w:ascii="Times New Roman" w:hAnsi="Times New Roman" w:cs="Times New Roman"/>
                <w:noProof/>
                <w:webHidden/>
                <w:sz w:val="24"/>
                <w:szCs w:val="24"/>
              </w:rPr>
            </w:r>
            <w:r w:rsidR="00CC28E1" w:rsidRPr="00CC28E1">
              <w:rPr>
                <w:rFonts w:ascii="Times New Roman" w:hAnsi="Times New Roman" w:cs="Times New Roman"/>
                <w:noProof/>
                <w:webHidden/>
                <w:sz w:val="24"/>
                <w:szCs w:val="24"/>
              </w:rPr>
              <w:fldChar w:fldCharType="separate"/>
            </w:r>
            <w:r w:rsidR="00CC28E1" w:rsidRPr="00CC28E1">
              <w:rPr>
                <w:rFonts w:ascii="Times New Roman" w:hAnsi="Times New Roman" w:cs="Times New Roman"/>
                <w:noProof/>
                <w:webHidden/>
                <w:sz w:val="24"/>
                <w:szCs w:val="24"/>
              </w:rPr>
              <w:t>4</w:t>
            </w:r>
            <w:r w:rsidR="00CC28E1" w:rsidRPr="00CC28E1">
              <w:rPr>
                <w:rFonts w:ascii="Times New Roman" w:hAnsi="Times New Roman" w:cs="Times New Roman"/>
                <w:noProof/>
                <w:webHidden/>
                <w:sz w:val="24"/>
                <w:szCs w:val="24"/>
              </w:rPr>
              <w:fldChar w:fldCharType="end"/>
            </w:r>
          </w:hyperlink>
        </w:p>
        <w:p w14:paraId="43807E2C" w14:textId="77777777" w:rsidR="00CC28E1" w:rsidRPr="00CC28E1" w:rsidRDefault="00BB7DBB" w:rsidP="00CC28E1">
          <w:pPr>
            <w:pStyle w:val="TOC1"/>
            <w:rPr>
              <w:rFonts w:ascii="Times New Roman" w:eastAsiaTheme="minorEastAsia" w:hAnsi="Times New Roman" w:cs="Times New Roman"/>
              <w:noProof/>
              <w:sz w:val="24"/>
              <w:szCs w:val="24"/>
              <w:lang w:val="en-IN"/>
            </w:rPr>
          </w:pPr>
          <w:hyperlink w:anchor="_Toc75968152" w:history="1">
            <w:r w:rsidR="00CC28E1" w:rsidRPr="00CC28E1">
              <w:rPr>
                <w:rStyle w:val="Hyperlink"/>
                <w:rFonts w:ascii="Times New Roman" w:hAnsi="Times New Roman" w:cs="Times New Roman"/>
                <w:noProof/>
                <w:sz w:val="24"/>
                <w:szCs w:val="24"/>
              </w:rPr>
              <w:t>Analysis on community engagement approaches of the programmes</w:t>
            </w:r>
            <w:r w:rsidR="00CC28E1" w:rsidRPr="00CC28E1">
              <w:rPr>
                <w:rFonts w:ascii="Times New Roman" w:hAnsi="Times New Roman" w:cs="Times New Roman"/>
                <w:noProof/>
                <w:webHidden/>
                <w:sz w:val="24"/>
                <w:szCs w:val="24"/>
              </w:rPr>
              <w:tab/>
            </w:r>
            <w:r w:rsidR="00CC28E1" w:rsidRPr="00CC28E1">
              <w:rPr>
                <w:rFonts w:ascii="Times New Roman" w:hAnsi="Times New Roman" w:cs="Times New Roman"/>
                <w:noProof/>
                <w:webHidden/>
                <w:sz w:val="24"/>
                <w:szCs w:val="24"/>
              </w:rPr>
              <w:fldChar w:fldCharType="begin"/>
            </w:r>
            <w:r w:rsidR="00CC28E1" w:rsidRPr="00CC28E1">
              <w:rPr>
                <w:rFonts w:ascii="Times New Roman" w:hAnsi="Times New Roman" w:cs="Times New Roman"/>
                <w:noProof/>
                <w:webHidden/>
                <w:sz w:val="24"/>
                <w:szCs w:val="24"/>
              </w:rPr>
              <w:instrText xml:space="preserve"> PAGEREF _Toc75968152 \h </w:instrText>
            </w:r>
            <w:r w:rsidR="00CC28E1" w:rsidRPr="00CC28E1">
              <w:rPr>
                <w:rFonts w:ascii="Times New Roman" w:hAnsi="Times New Roman" w:cs="Times New Roman"/>
                <w:noProof/>
                <w:webHidden/>
                <w:sz w:val="24"/>
                <w:szCs w:val="24"/>
              </w:rPr>
            </w:r>
            <w:r w:rsidR="00CC28E1" w:rsidRPr="00CC28E1">
              <w:rPr>
                <w:rFonts w:ascii="Times New Roman" w:hAnsi="Times New Roman" w:cs="Times New Roman"/>
                <w:noProof/>
                <w:webHidden/>
                <w:sz w:val="24"/>
                <w:szCs w:val="24"/>
              </w:rPr>
              <w:fldChar w:fldCharType="separate"/>
            </w:r>
            <w:r w:rsidR="00CC28E1" w:rsidRPr="00CC28E1">
              <w:rPr>
                <w:rFonts w:ascii="Times New Roman" w:hAnsi="Times New Roman" w:cs="Times New Roman"/>
                <w:noProof/>
                <w:webHidden/>
                <w:sz w:val="24"/>
                <w:szCs w:val="24"/>
              </w:rPr>
              <w:t>5</w:t>
            </w:r>
            <w:r w:rsidR="00CC28E1" w:rsidRPr="00CC28E1">
              <w:rPr>
                <w:rFonts w:ascii="Times New Roman" w:hAnsi="Times New Roman" w:cs="Times New Roman"/>
                <w:noProof/>
                <w:webHidden/>
                <w:sz w:val="24"/>
                <w:szCs w:val="24"/>
              </w:rPr>
              <w:fldChar w:fldCharType="end"/>
            </w:r>
          </w:hyperlink>
        </w:p>
        <w:p w14:paraId="33754683" w14:textId="77777777" w:rsidR="00CC28E1" w:rsidRPr="00CC28E1" w:rsidRDefault="00BB7DBB" w:rsidP="00CC28E1">
          <w:pPr>
            <w:pStyle w:val="TOC1"/>
            <w:rPr>
              <w:rFonts w:ascii="Times New Roman" w:eastAsiaTheme="minorEastAsia" w:hAnsi="Times New Roman" w:cs="Times New Roman"/>
              <w:noProof/>
              <w:sz w:val="24"/>
              <w:szCs w:val="24"/>
              <w:lang w:val="en-IN"/>
            </w:rPr>
          </w:pPr>
          <w:hyperlink w:anchor="_Toc75968153" w:history="1">
            <w:r w:rsidR="00CC28E1" w:rsidRPr="00CC28E1">
              <w:rPr>
                <w:rStyle w:val="Hyperlink"/>
                <w:rFonts w:ascii="Times New Roman" w:hAnsi="Times New Roman" w:cs="Times New Roman"/>
                <w:noProof/>
                <w:sz w:val="24"/>
                <w:szCs w:val="24"/>
              </w:rPr>
              <w:t>Conclusion</w:t>
            </w:r>
            <w:r w:rsidR="00CC28E1" w:rsidRPr="00CC28E1">
              <w:rPr>
                <w:rFonts w:ascii="Times New Roman" w:hAnsi="Times New Roman" w:cs="Times New Roman"/>
                <w:noProof/>
                <w:webHidden/>
                <w:sz w:val="24"/>
                <w:szCs w:val="24"/>
              </w:rPr>
              <w:tab/>
            </w:r>
            <w:r w:rsidR="00CC28E1" w:rsidRPr="00CC28E1">
              <w:rPr>
                <w:rFonts w:ascii="Times New Roman" w:hAnsi="Times New Roman" w:cs="Times New Roman"/>
                <w:noProof/>
                <w:webHidden/>
                <w:sz w:val="24"/>
                <w:szCs w:val="24"/>
              </w:rPr>
              <w:fldChar w:fldCharType="begin"/>
            </w:r>
            <w:r w:rsidR="00CC28E1" w:rsidRPr="00CC28E1">
              <w:rPr>
                <w:rFonts w:ascii="Times New Roman" w:hAnsi="Times New Roman" w:cs="Times New Roman"/>
                <w:noProof/>
                <w:webHidden/>
                <w:sz w:val="24"/>
                <w:szCs w:val="24"/>
              </w:rPr>
              <w:instrText xml:space="preserve"> PAGEREF _Toc75968153 \h </w:instrText>
            </w:r>
            <w:r w:rsidR="00CC28E1" w:rsidRPr="00CC28E1">
              <w:rPr>
                <w:rFonts w:ascii="Times New Roman" w:hAnsi="Times New Roman" w:cs="Times New Roman"/>
                <w:noProof/>
                <w:webHidden/>
                <w:sz w:val="24"/>
                <w:szCs w:val="24"/>
              </w:rPr>
            </w:r>
            <w:r w:rsidR="00CC28E1" w:rsidRPr="00CC28E1">
              <w:rPr>
                <w:rFonts w:ascii="Times New Roman" w:hAnsi="Times New Roman" w:cs="Times New Roman"/>
                <w:noProof/>
                <w:webHidden/>
                <w:sz w:val="24"/>
                <w:szCs w:val="24"/>
              </w:rPr>
              <w:fldChar w:fldCharType="separate"/>
            </w:r>
            <w:r w:rsidR="00CC28E1" w:rsidRPr="00CC28E1">
              <w:rPr>
                <w:rFonts w:ascii="Times New Roman" w:hAnsi="Times New Roman" w:cs="Times New Roman"/>
                <w:noProof/>
                <w:webHidden/>
                <w:sz w:val="24"/>
                <w:szCs w:val="24"/>
              </w:rPr>
              <w:t>8</w:t>
            </w:r>
            <w:r w:rsidR="00CC28E1" w:rsidRPr="00CC28E1">
              <w:rPr>
                <w:rFonts w:ascii="Times New Roman" w:hAnsi="Times New Roman" w:cs="Times New Roman"/>
                <w:noProof/>
                <w:webHidden/>
                <w:sz w:val="24"/>
                <w:szCs w:val="24"/>
              </w:rPr>
              <w:fldChar w:fldCharType="end"/>
            </w:r>
          </w:hyperlink>
        </w:p>
        <w:p w14:paraId="351ED1FA" w14:textId="77777777" w:rsidR="00CC28E1" w:rsidRPr="00CC28E1" w:rsidRDefault="00BB7DBB" w:rsidP="00CC28E1">
          <w:pPr>
            <w:pStyle w:val="TOC1"/>
            <w:rPr>
              <w:rFonts w:ascii="Times New Roman" w:eastAsiaTheme="minorEastAsia" w:hAnsi="Times New Roman" w:cs="Times New Roman"/>
              <w:noProof/>
              <w:sz w:val="24"/>
              <w:szCs w:val="24"/>
              <w:lang w:val="en-IN"/>
            </w:rPr>
          </w:pPr>
          <w:hyperlink w:anchor="_Toc75968154" w:history="1">
            <w:r w:rsidR="00CC28E1" w:rsidRPr="00CC28E1">
              <w:rPr>
                <w:rStyle w:val="Hyperlink"/>
                <w:rFonts w:ascii="Times New Roman" w:hAnsi="Times New Roman" w:cs="Times New Roman"/>
                <w:noProof/>
                <w:sz w:val="24"/>
                <w:szCs w:val="24"/>
              </w:rPr>
              <w:t>Reference list</w:t>
            </w:r>
            <w:r w:rsidR="00CC28E1" w:rsidRPr="00CC28E1">
              <w:rPr>
                <w:rFonts w:ascii="Times New Roman" w:hAnsi="Times New Roman" w:cs="Times New Roman"/>
                <w:noProof/>
                <w:webHidden/>
                <w:sz w:val="24"/>
                <w:szCs w:val="24"/>
              </w:rPr>
              <w:tab/>
            </w:r>
            <w:r w:rsidR="00CC28E1" w:rsidRPr="00CC28E1">
              <w:rPr>
                <w:rFonts w:ascii="Times New Roman" w:hAnsi="Times New Roman" w:cs="Times New Roman"/>
                <w:noProof/>
                <w:webHidden/>
                <w:sz w:val="24"/>
                <w:szCs w:val="24"/>
              </w:rPr>
              <w:fldChar w:fldCharType="begin"/>
            </w:r>
            <w:r w:rsidR="00CC28E1" w:rsidRPr="00CC28E1">
              <w:rPr>
                <w:rFonts w:ascii="Times New Roman" w:hAnsi="Times New Roman" w:cs="Times New Roman"/>
                <w:noProof/>
                <w:webHidden/>
                <w:sz w:val="24"/>
                <w:szCs w:val="24"/>
              </w:rPr>
              <w:instrText xml:space="preserve"> PAGEREF _Toc75968154 \h </w:instrText>
            </w:r>
            <w:r w:rsidR="00CC28E1" w:rsidRPr="00CC28E1">
              <w:rPr>
                <w:rFonts w:ascii="Times New Roman" w:hAnsi="Times New Roman" w:cs="Times New Roman"/>
                <w:noProof/>
                <w:webHidden/>
                <w:sz w:val="24"/>
                <w:szCs w:val="24"/>
              </w:rPr>
            </w:r>
            <w:r w:rsidR="00CC28E1" w:rsidRPr="00CC28E1">
              <w:rPr>
                <w:rFonts w:ascii="Times New Roman" w:hAnsi="Times New Roman" w:cs="Times New Roman"/>
                <w:noProof/>
                <w:webHidden/>
                <w:sz w:val="24"/>
                <w:szCs w:val="24"/>
              </w:rPr>
              <w:fldChar w:fldCharType="separate"/>
            </w:r>
            <w:r w:rsidR="00CC28E1" w:rsidRPr="00CC28E1">
              <w:rPr>
                <w:rFonts w:ascii="Times New Roman" w:hAnsi="Times New Roman" w:cs="Times New Roman"/>
                <w:noProof/>
                <w:webHidden/>
                <w:sz w:val="24"/>
                <w:szCs w:val="24"/>
              </w:rPr>
              <w:t>9</w:t>
            </w:r>
            <w:r w:rsidR="00CC28E1" w:rsidRPr="00CC28E1">
              <w:rPr>
                <w:rFonts w:ascii="Times New Roman" w:hAnsi="Times New Roman" w:cs="Times New Roman"/>
                <w:noProof/>
                <w:webHidden/>
                <w:sz w:val="24"/>
                <w:szCs w:val="24"/>
              </w:rPr>
              <w:fldChar w:fldCharType="end"/>
            </w:r>
          </w:hyperlink>
        </w:p>
        <w:p w14:paraId="7A6A3B1C" w14:textId="77777777" w:rsidR="002A33B7" w:rsidRPr="00CC28E1" w:rsidRDefault="00CD1FA4" w:rsidP="00CC28E1">
          <w:pPr>
            <w:jc w:val="both"/>
            <w:rPr>
              <w:rFonts w:ascii="Times New Roman" w:hAnsi="Times New Roman" w:cs="Times New Roman"/>
              <w:sz w:val="24"/>
              <w:szCs w:val="24"/>
            </w:rPr>
          </w:pPr>
          <w:r w:rsidRPr="00CC28E1">
            <w:rPr>
              <w:rFonts w:ascii="Times New Roman" w:hAnsi="Times New Roman" w:cs="Times New Roman"/>
              <w:sz w:val="24"/>
              <w:szCs w:val="24"/>
            </w:rPr>
            <w:fldChar w:fldCharType="end"/>
          </w:r>
        </w:p>
      </w:sdtContent>
    </w:sdt>
    <w:p w14:paraId="586A9276" w14:textId="77777777" w:rsidR="002A33B7" w:rsidRDefault="00CD1FA4">
      <w:pPr>
        <w:rPr>
          <w:rFonts w:ascii="Times New Roman" w:eastAsia="Times New Roman" w:hAnsi="Times New Roman" w:cs="Times New Roman"/>
          <w:b/>
          <w:sz w:val="28"/>
          <w:szCs w:val="28"/>
        </w:rPr>
      </w:pPr>
      <w:r>
        <w:br w:type="page"/>
      </w:r>
    </w:p>
    <w:p w14:paraId="0B81AB49" w14:textId="77777777" w:rsidR="002A33B7" w:rsidRDefault="00CD1FA4">
      <w:pPr>
        <w:pStyle w:val="Heading1"/>
        <w:rPr>
          <w:b w:val="0"/>
        </w:rPr>
      </w:pPr>
      <w:bookmarkStart w:id="0" w:name="_Toc75968149"/>
      <w:r>
        <w:lastRenderedPageBreak/>
        <w:t>Introduction</w:t>
      </w:r>
      <w:bookmarkEnd w:id="0"/>
    </w:p>
    <w:p w14:paraId="0894D103"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engagement could be defined as cooperation between different people with the agenda of resolving the needs of a community having a similar geographical, economic or social background (Brunton et al. 2017). This topic reflects on the community engagement aspect on the issue of homelessness and rough sleeping in the United Kingdom. As per a report by Shelter, at least 320,000 people are homeless in the UK and more than 5000 people are sleeping rough resulting in the death of 726 people in England and Wales due to homelessness in 2018 which is a 22% increase from the previous year (</w:t>
      </w:r>
      <w:proofErr w:type="spellStart"/>
      <w:r>
        <w:rPr>
          <w:rFonts w:ascii="Times New Roman" w:eastAsia="Times New Roman" w:hAnsi="Times New Roman" w:cs="Times New Roman"/>
          <w:sz w:val="24"/>
          <w:szCs w:val="24"/>
        </w:rPr>
        <w:t>Hattenstone</w:t>
      </w:r>
      <w:proofErr w:type="spellEnd"/>
      <w:r>
        <w:rPr>
          <w:rFonts w:ascii="Times New Roman" w:eastAsia="Times New Roman" w:hAnsi="Times New Roman" w:cs="Times New Roman"/>
          <w:sz w:val="24"/>
          <w:szCs w:val="24"/>
        </w:rPr>
        <w:t xml:space="preserve"> and Lavelle 2019). The report of statutory homelessness in England by the Ministry of Housing, Communities and Local Government estimates 62,250 families to be threatened by the possibility of homelessness from October 1 to 31st December 2020 (GOV.UK 2021).  </w:t>
      </w:r>
    </w:p>
    <w:p w14:paraId="50230A20"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foremost causes that render people homeless in the UK is the increasing cost of renting private homes (Shelter 2021). Failure to meet the rising rent leads to eviction from these homes. The failure of governments in the UK to build enough social housing for the citizens is another major reason for this growing concern which often leads to death due to harsh conditions.</w:t>
      </w:r>
    </w:p>
    <w:p w14:paraId="6B4843A4"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evaluates and compares the community engagement approaches of the Home for Good programme by St Mungo’s and A Life in Limbo campaign by Crisis in addressing the homelessness issue in the UK.  </w:t>
      </w:r>
    </w:p>
    <w:p w14:paraId="4E57D87F" w14:textId="77777777" w:rsidR="002A33B7" w:rsidRDefault="00CD1FA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4EA29A1D" wp14:editId="4EFF330F">
            <wp:extent cx="4121150" cy="2266950"/>
            <wp:effectExtent l="25400" t="25400" r="25400" b="2540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0"/>
                    <a:srcRect/>
                    <a:stretch>
                      <a:fillRect/>
                    </a:stretch>
                  </pic:blipFill>
                  <pic:spPr>
                    <a:xfrm>
                      <a:off x="0" y="0"/>
                      <a:ext cx="4121150" cy="2266950"/>
                    </a:xfrm>
                    <a:prstGeom prst="rect">
                      <a:avLst/>
                    </a:prstGeom>
                    <a:ln w="25400">
                      <a:solidFill>
                        <a:srgbClr val="000000"/>
                      </a:solidFill>
                      <a:prstDash val="solid"/>
                    </a:ln>
                  </pic:spPr>
                </pic:pic>
              </a:graphicData>
            </a:graphic>
          </wp:inline>
        </w:drawing>
      </w:r>
    </w:p>
    <w:p w14:paraId="1B196BF6" w14:textId="77777777" w:rsidR="002A33B7" w:rsidRDefault="00CD1FA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Increase in temporary accommodation in the UK</w:t>
      </w:r>
    </w:p>
    <w:p w14:paraId="394F7E74" w14:textId="77777777" w:rsidR="002A33B7" w:rsidRDefault="00CD1FA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Shelter 2018)</w:t>
      </w:r>
    </w:p>
    <w:p w14:paraId="39B309EC" w14:textId="77777777" w:rsidR="002A33B7" w:rsidRDefault="00CD1FA4">
      <w:pPr>
        <w:pStyle w:val="Heading1"/>
      </w:pPr>
      <w:bookmarkStart w:id="1" w:name="_Toc75968150"/>
      <w:r>
        <w:lastRenderedPageBreak/>
        <w:t>Background of the projects</w:t>
      </w:r>
      <w:bookmarkEnd w:id="1"/>
    </w:p>
    <w:p w14:paraId="24907E26"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mentioned earlier, the sky-rocketing expense of renting private homes, short and uncertain contracts and wrongful evictions from rented homes have amplified the number of homeless people and rough sleepers in the UK. This worsening scenario has increased fatality in homeless citizens as well. In order to bring attention to this growing issue, St Mungo's began the campaign called Home for Good on the occasion of World Homeless Day in 2018 (St Mungo's 2021a). The campaign appealed to the UK government to end rough sleeping by reducing private rents, increasing investment on the issues of homelessness and creating ample amounts of social housing. This campaign achieved success when the government of the UK set a target to end rough sleeping by 2024 instead of the previously set deadline of 2027. Moreover, in line with the campaign's demands, the government also invested £700m to prevent homelessness and rough sleeping in 2020-2021. The government proposed a Renters Reform Bill in 2019 to terminate "no-fault evictions'' besides raising the Local Housing Allowance to fund the rent of 30% housings in each area to alleviate the struggle of laymen in paying rents. </w:t>
      </w:r>
    </w:p>
    <w:p w14:paraId="5644425B"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prominent charity in the UK addressing the issue of homelessness is Crisis. Established in 1967, Crisis directly helps homeless people by providing education, housing, employment and services for well-being apart from giving individual support and advice to homeless people across England, Wales and Scotland (The Big Issue 2020). They also conduct studies to assess the scenario of homelessness in the UK through its knowledge hub and campaigns to bring public and government attention to this spiralling problem. </w:t>
      </w:r>
    </w:p>
    <w:p w14:paraId="13B29300"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St Mungo's Home for Good campaign aimed to reduce homelessness by campaigning for social housing and ease in renting homes, the Crisis' A Life in Limbo campaign focussed to end the suffering of homeless people in temporary shelters (Crisis 2021a). The campaign achieved its target in Scotland when in 2019, First Minister Nicola Sturgeon announced the change of Unsuitable Accommodation Order as part of the 2019 Programme for Government. This order ensured that no person has to stay in temporary accommodations such as bed &amp; breakfasts for more than seven days at a stretch. The law has been made effective from 2021 contributing to the success of the campaign. While temporary housing is the first step to resolve homelessness, prolonged stay at uncomfortable accommodations has a severe effect on the mental and physical well-being of individuals therefore it was an important achievement for Crisis to be able to successfully address the issue.</w:t>
      </w:r>
    </w:p>
    <w:p w14:paraId="44BE16BB" w14:textId="77777777" w:rsidR="002A33B7" w:rsidRDefault="00CD1FA4">
      <w:pPr>
        <w:pStyle w:val="Heading1"/>
      </w:pPr>
      <w:bookmarkStart w:id="2" w:name="_Toc75968151"/>
      <w:r>
        <w:lastRenderedPageBreak/>
        <w:t>Comparing the stakeholders’ association in both the projects</w:t>
      </w:r>
      <w:bookmarkEnd w:id="2"/>
    </w:p>
    <w:p w14:paraId="4B7AD275"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achieve success in community engagement procedures and bring positive changes in the system, commitment and cooperation between the stakeholders are necessary (Lee et al. 2018). The collaboration between stakeholders is further supported by </w:t>
      </w:r>
      <w:proofErr w:type="spellStart"/>
      <w:r>
        <w:rPr>
          <w:rFonts w:ascii="Times New Roman" w:eastAsia="Times New Roman" w:hAnsi="Times New Roman" w:cs="Times New Roman"/>
          <w:sz w:val="24"/>
          <w:szCs w:val="24"/>
        </w:rPr>
        <w:t>Jagpal</w:t>
      </w:r>
      <w:proofErr w:type="spellEnd"/>
      <w:r>
        <w:rPr>
          <w:rFonts w:ascii="Times New Roman" w:eastAsia="Times New Roman" w:hAnsi="Times New Roman" w:cs="Times New Roman"/>
          <w:sz w:val="24"/>
          <w:szCs w:val="24"/>
        </w:rPr>
        <w:t xml:space="preserve"> et al. (2020) in alleviating the problem of homelessness and dwelling in the streets. Here I provide a comparison between the engagement of stakeholders to formulate management procedures in the Home for Good and A Life in Limbo projects.</w:t>
      </w:r>
    </w:p>
    <w:p w14:paraId="41E8BA21" w14:textId="77777777" w:rsidR="002A33B7" w:rsidRDefault="00CD1FA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Decision-makers</w:t>
      </w:r>
    </w:p>
    <w:p w14:paraId="183965D9"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Lumpkin and </w:t>
      </w:r>
      <w:proofErr w:type="spellStart"/>
      <w:r>
        <w:rPr>
          <w:rFonts w:ascii="Times New Roman" w:eastAsia="Times New Roman" w:hAnsi="Times New Roman" w:cs="Times New Roman"/>
          <w:sz w:val="24"/>
          <w:szCs w:val="24"/>
        </w:rPr>
        <w:t>Bacq</w:t>
      </w:r>
      <w:proofErr w:type="spellEnd"/>
      <w:r>
        <w:rPr>
          <w:rFonts w:ascii="Times New Roman" w:eastAsia="Times New Roman" w:hAnsi="Times New Roman" w:cs="Times New Roman"/>
          <w:sz w:val="24"/>
          <w:szCs w:val="24"/>
        </w:rPr>
        <w:t xml:space="preserve"> (2019), the role of decision-makers expands through formulating strategies to implementing them. In both the cases of St Mungo’s and Crisis, the higher authorities and the management of the organisations devised strategies to implement and accelerate the campaigns against homelessness. The Crisis is managed by a Board of Trustees and Chief Executive Jon Sparkes along with a Senior Management Team (Crisis 2021b). Similarly, St Mungo's is also controlled by a board of executive directors including Chief Executive Steve Douglas (St Mungo's 2021b).</w:t>
      </w:r>
    </w:p>
    <w:p w14:paraId="6D04F1D9" w14:textId="77777777" w:rsidR="002A33B7" w:rsidRDefault="00CD1FA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local government</w:t>
      </w:r>
    </w:p>
    <w:p w14:paraId="71BEFEA0"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local government consisting of councils and wards is an important part of implementing changes. The campaign of A Life in Limbo involved the local authorities directly as the Scottish Government channelised a fund of £29m in 2018 through the local government to shift homeless people from inapt temporary settlements to better arrangements like community housings and hostels (Crisis 2021a). However, the campaign of Home for Good did not involve the local government directly.</w:t>
      </w:r>
    </w:p>
    <w:p w14:paraId="473B3670" w14:textId="77777777" w:rsidR="002A33B7" w:rsidRDefault="00CD1FA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national government</w:t>
      </w:r>
    </w:p>
    <w:p w14:paraId="45A43955"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Home for Good campaign achieved its success through convincing the Government of the UK and the British Chancellor to bring on necessary changes in private renting laws and social housing aspects (St Mungo's 2021a). However, the A Life in Limbo campaign pressurised the national Government of Scotland and the Scottish Parliament to modify its laws regarding temporary housing arrangements (Crisis 2021a). </w:t>
      </w:r>
    </w:p>
    <w:p w14:paraId="48385921" w14:textId="77777777" w:rsidR="002A33B7" w:rsidRDefault="00CD1FA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The affected community </w:t>
      </w:r>
    </w:p>
    <w:p w14:paraId="34C02C5E"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the release of official data showing a large number of deaths of street dwellers and homeless people in the UK, the affected groups participated in active protests. In a protest in October 2019, </w:t>
      </w:r>
      <w:r>
        <w:rPr>
          <w:rFonts w:ascii="Times New Roman" w:eastAsia="Times New Roman" w:hAnsi="Times New Roman" w:cs="Times New Roman"/>
          <w:sz w:val="24"/>
          <w:szCs w:val="24"/>
        </w:rPr>
        <w:lastRenderedPageBreak/>
        <w:t xml:space="preserve">a group of homeless people and street dwellers forcefully entered a council building in Chester, an area in northwest England (Wolfe-Robinson 2019). These eruptions of activity against the government helped the cause and activities of the charities to reduce homelessness in the UK.  </w:t>
      </w:r>
    </w:p>
    <w:p w14:paraId="4B72E2C5" w14:textId="77777777" w:rsidR="002A33B7" w:rsidRDefault="00CD1FA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campaigners of the charities</w:t>
      </w:r>
    </w:p>
    <w:p w14:paraId="11728A7E"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 but not the least, the active participants, volunteers and donors of both the campaign programmes contributed largely to the success of the campaigns through their persistent activities. According to the accounts of the Crisis and St Mungo's, their clients benefitted hugely from the support provided by the volunteers.</w:t>
      </w:r>
    </w:p>
    <w:p w14:paraId="7237BEF7" w14:textId="77777777" w:rsidR="002A33B7" w:rsidRDefault="00CD1FA4">
      <w:pPr>
        <w:pStyle w:val="Heading1"/>
      </w:pPr>
      <w:bookmarkStart w:id="3" w:name="_Toc75968152"/>
      <w:r>
        <w:t>Analysis on community engagement approaches of the programmes</w:t>
      </w:r>
      <w:bookmarkEnd w:id="3"/>
      <w:r>
        <w:t xml:space="preserve"> </w:t>
      </w:r>
    </w:p>
    <w:p w14:paraId="5FA5F69A"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Crisis used community mapping for the residents of Scotland only to address their issues of homelessness. Nonetheless, St Mungo’s worked with a larger community of the whole UK for their campaign.</w:t>
      </w:r>
    </w:p>
    <w:p w14:paraId="7CF248EF"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communication is an important tool for ensuring the success of any project (Davis 2017). The St Mungo's and the Crisis both utilised social media platforms for the promotion of their campaigning activities apart from their official websites. The modes of communication were evaluated to be following the AIDA (attention, interest, desire and action) model of communication to raise the volunteering activities. By the use of this model, the organisations chalked out promotions to capture the attention of the public and the government, instil interest and successively desire in them to work about the problem and finally implement the plans by practical actions (ABDELKADER and RABIE 2019).</w:t>
      </w:r>
    </w:p>
    <w:p w14:paraId="75E4F49A"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Facebook is considered to be one of the most popular social media platforms for communication in the UK. According to an estimation by Statista (2021a) the number of British citizens using Facebook is more than 50.66 million. Therefore, naturally, Facebook is an optimum choice for promotional purposes of both charity organisations and helps to catch the attention of people. Crisis and St Mungo's both have dedicated pages on Facebook concerned with homelessness.</w:t>
      </w:r>
    </w:p>
    <w:p w14:paraId="6B88BAD8" w14:textId="77777777" w:rsidR="002A33B7" w:rsidRDefault="00CD1FA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Pr>
          <w:rFonts w:ascii="Times New Roman" w:eastAsia="Times New Roman" w:hAnsi="Times New Roman" w:cs="Times New Roman"/>
          <w:noProof/>
          <w:sz w:val="24"/>
          <w:szCs w:val="24"/>
          <w:lang w:val="en-IN"/>
        </w:rPr>
        <w:drawing>
          <wp:inline distT="114300" distB="114300" distL="114300" distR="114300" wp14:anchorId="2F56AF33" wp14:editId="2B8C0ED2">
            <wp:extent cx="4321175" cy="3051175"/>
            <wp:effectExtent l="25400" t="25400" r="25400" b="2540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1"/>
                    <a:srcRect/>
                    <a:stretch>
                      <a:fillRect/>
                    </a:stretch>
                  </pic:blipFill>
                  <pic:spPr>
                    <a:xfrm>
                      <a:off x="0" y="0"/>
                      <a:ext cx="4321175" cy="3051175"/>
                    </a:xfrm>
                    <a:prstGeom prst="rect">
                      <a:avLst/>
                    </a:prstGeom>
                    <a:ln w="25400">
                      <a:solidFill>
                        <a:srgbClr val="000000"/>
                      </a:solidFill>
                      <a:prstDash val="solid"/>
                    </a:ln>
                  </pic:spPr>
                </pic:pic>
              </a:graphicData>
            </a:graphic>
          </wp:inline>
        </w:drawing>
      </w:r>
    </w:p>
    <w:p w14:paraId="7774D6E5" w14:textId="77777777" w:rsidR="002A33B7" w:rsidRDefault="00CD1FA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Number of Facebook Users in the UK</w:t>
      </w:r>
    </w:p>
    <w:p w14:paraId="5864F4B8" w14:textId="77777777" w:rsidR="002A33B7" w:rsidRDefault="00CD1FA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2021a)</w:t>
      </w:r>
    </w:p>
    <w:p w14:paraId="340D157B"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Nearly 31.2 million people in the UK use </w:t>
      </w: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xml:space="preserve"> as of April 2021 (Statista 2021b). Both the organisations have active profiles on </w:t>
      </w: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xml:space="preserve"> to connect with clients, volunteers and donors on this platform to exploit the huge user base. St Mungo's </w:t>
      </w: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xml:space="preserve"> account with the caption of ending homelessness has 11875 followers at present. Furthermore, the profile of Crisis on </w:t>
      </w: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xml:space="preserve"> has a follower number of 28502. Thus, through the help of communication by LinkedIn they can not only gain the attention of followers rather generate interest as well as actions among the effective portion of followers. </w:t>
      </w:r>
    </w:p>
    <w:p w14:paraId="74FDD2F7"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Facebook and </w:t>
      </w: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Crisis has region-specific pages for their homelessness campaigns on Twitter as well. They even have specified taglines for spreading the word about their activities by social media users for better awareness, interest and desire. St Mungo’s also utilised Twitter for its Home for Good campaign to spread the word.</w:t>
      </w:r>
    </w:p>
    <w:p w14:paraId="48935247"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impact of the promotion on social media was assessed by the gain in numbers of followers and volunteers for the campaigns by St Mungo’s while rise in donation was the measure for Crisis.</w:t>
      </w:r>
    </w:p>
    <w:p w14:paraId="56C85412"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analyse the data of users visiting its website, St Mungo’s uses Google Analytics to assess the pattern of usage, reasons for visiting the website to track common interests without trying to identify the users (St Mungo's 2021a). They also use Amazon Web Services and </w:t>
      </w:r>
      <w:proofErr w:type="spellStart"/>
      <w:r>
        <w:rPr>
          <w:rFonts w:ascii="Times New Roman" w:eastAsia="Times New Roman" w:hAnsi="Times New Roman" w:cs="Times New Roman"/>
          <w:sz w:val="24"/>
          <w:szCs w:val="24"/>
        </w:rPr>
        <w:t>Itineris</w:t>
      </w:r>
      <w:proofErr w:type="spellEnd"/>
      <w:r>
        <w:rPr>
          <w:rFonts w:ascii="Times New Roman" w:eastAsia="Times New Roman" w:hAnsi="Times New Roman" w:cs="Times New Roman"/>
          <w:sz w:val="24"/>
          <w:szCs w:val="24"/>
        </w:rPr>
        <w:t xml:space="preserve"> to process data of users for promotional purposes. The WordPress services are used to collect data </w:t>
      </w:r>
      <w:r>
        <w:rPr>
          <w:rFonts w:ascii="Times New Roman" w:eastAsia="Times New Roman" w:hAnsi="Times New Roman" w:cs="Times New Roman"/>
          <w:sz w:val="24"/>
          <w:szCs w:val="24"/>
        </w:rPr>
        <w:lastRenderedPageBreak/>
        <w:t xml:space="preserve">on the number of users visiting the website and record the amount of time spent by them for improving the website. In order to show relevant advertisements about the activities of the organisation, they use Facebook pixel to gather information about the behaviour of visitors. These include the types of pages visited, devices used for access and the actions taken after visiting the pages. Similarly, Crisis also uses </w:t>
      </w:r>
      <w:proofErr w:type="spellStart"/>
      <w:r>
        <w:rPr>
          <w:rFonts w:ascii="Times New Roman" w:eastAsia="Times New Roman" w:hAnsi="Times New Roman" w:cs="Times New Roman"/>
          <w:sz w:val="24"/>
          <w:szCs w:val="24"/>
        </w:rPr>
        <w:t>Typeform</w:t>
      </w:r>
      <w:proofErr w:type="spellEnd"/>
      <w:r>
        <w:rPr>
          <w:rFonts w:ascii="Times New Roman" w:eastAsia="Times New Roman" w:hAnsi="Times New Roman" w:cs="Times New Roman"/>
          <w:sz w:val="24"/>
          <w:szCs w:val="24"/>
        </w:rPr>
        <w:t xml:space="preserve">, a company using the Amazon Web Services for data analysis for promoting the campaigns. Furthermore, they use the services of a telemarketing company </w:t>
      </w:r>
      <w:proofErr w:type="spellStart"/>
      <w:r>
        <w:rPr>
          <w:rFonts w:ascii="Times New Roman" w:eastAsia="Times New Roman" w:hAnsi="Times New Roman" w:cs="Times New Roman"/>
          <w:sz w:val="24"/>
          <w:szCs w:val="24"/>
        </w:rPr>
        <w:t>Ethicall</w:t>
      </w:r>
      <w:proofErr w:type="spellEnd"/>
      <w:r>
        <w:rPr>
          <w:rFonts w:ascii="Times New Roman" w:eastAsia="Times New Roman" w:hAnsi="Times New Roman" w:cs="Times New Roman"/>
          <w:sz w:val="24"/>
          <w:szCs w:val="24"/>
        </w:rPr>
        <w:t xml:space="preserve"> and GB Group PLC for marketing and fundraising purposes (Crisis 2021a). </w:t>
      </w:r>
    </w:p>
    <w:p w14:paraId="5E4E0E0E"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Besides the role of stakeholders’ engagement and effective communication with the public to ensure the success of the campaigns, they both were impacted by internal and external factors, which are discussed as follows.</w:t>
      </w:r>
    </w:p>
    <w:p w14:paraId="737E0EEB" w14:textId="77777777" w:rsidR="002A33B7" w:rsidRDefault="00CD1FA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Leadership </w:t>
      </w:r>
    </w:p>
    <w:p w14:paraId="460F336C"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fulfilment of both the campaigns required the execution of effective strategies by the organisation leaders. In order to effectively process information and implement them externally, the organisations used the model of boundary-spanning leadership in community engagement (Van </w:t>
      </w:r>
      <w:proofErr w:type="spellStart"/>
      <w:r>
        <w:rPr>
          <w:rFonts w:ascii="Times New Roman" w:eastAsia="Times New Roman" w:hAnsi="Times New Roman" w:cs="Times New Roman"/>
          <w:sz w:val="24"/>
          <w:szCs w:val="24"/>
        </w:rPr>
        <w:t>Schyndel</w:t>
      </w:r>
      <w:proofErr w:type="spellEnd"/>
      <w:r>
        <w:rPr>
          <w:rFonts w:ascii="Times New Roman" w:eastAsia="Times New Roman" w:hAnsi="Times New Roman" w:cs="Times New Roman"/>
          <w:sz w:val="24"/>
          <w:szCs w:val="24"/>
        </w:rPr>
        <w:t xml:space="preserve"> et al. 2019).</w:t>
      </w:r>
    </w:p>
    <w:p w14:paraId="50349F5C" w14:textId="77777777" w:rsidR="002A33B7" w:rsidRDefault="00CD1FA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Participation</w:t>
      </w:r>
    </w:p>
    <w:p w14:paraId="0DD26032"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social media promotions appealing to the public also proved to be fruitful as they encouraged them to wilfully participate as volunteers in the campaigns.</w:t>
      </w:r>
    </w:p>
    <w:p w14:paraId="5AC1147C" w14:textId="77777777" w:rsidR="002A33B7" w:rsidRDefault="00CD1FA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Inclusion of culture</w:t>
      </w:r>
    </w:p>
    <w:p w14:paraId="3C3BCD56"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leadership of Sarah Farquhar as the Director of Organisational Development since 2013 enriched the team of Crisis due to her diverse experiences in the UK and West Africa. Furthermore, Helen Giles, the Executive Director of People and Governance at St Mungo's since 2005 is one among many women serving on the board of directors in the organisation. </w:t>
      </w:r>
    </w:p>
    <w:p w14:paraId="5D41327C"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the organisations focused on cultural inclusion as well as giving important positions to people of Asian, Indian and African heritage. </w:t>
      </w:r>
    </w:p>
    <w:p w14:paraId="293A9B83"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effectively engaging in community development, St Munro’s assessed its impact on the community by gathering data from the change in government laws. However, they are still working to make the government </w:t>
      </w:r>
      <w:proofErr w:type="spellStart"/>
      <w:r>
        <w:rPr>
          <w:rFonts w:ascii="Times New Roman" w:eastAsia="Times New Roman" w:hAnsi="Times New Roman" w:cs="Times New Roman"/>
          <w:sz w:val="24"/>
          <w:szCs w:val="24"/>
        </w:rPr>
        <w:t>fulfill</w:t>
      </w:r>
      <w:proofErr w:type="spellEnd"/>
      <w:r>
        <w:rPr>
          <w:rFonts w:ascii="Times New Roman" w:eastAsia="Times New Roman" w:hAnsi="Times New Roman" w:cs="Times New Roman"/>
          <w:sz w:val="24"/>
          <w:szCs w:val="24"/>
        </w:rPr>
        <w:t xml:space="preserve"> all the criteria of the Home for Good campaign. On the other hand, Crisis used clients’ experiences as a tool for measuring the success of its community engagement (Crisis 2021a).</w:t>
      </w:r>
    </w:p>
    <w:p w14:paraId="486CA99C"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After analysing the approaches of the organisations, I personally feel that the tactics of Crisis are better than St Mungo’s. As they focus on individual areas for community development and involve local government, they could achieve all the goals of their campaign which was not the case for St Mungo’s. Also their number of followers on social media is more than St Mungo’s showing that Crisis’ campaigns are more popular than St Mungo’s.</w:t>
      </w:r>
    </w:p>
    <w:p w14:paraId="0BB3A848" w14:textId="77777777" w:rsidR="002A33B7" w:rsidRDefault="00CD1FA4" w:rsidP="00CC28E1">
      <w:pPr>
        <w:pStyle w:val="Heading1"/>
      </w:pPr>
      <w:bookmarkStart w:id="4" w:name="_Toc75968153"/>
      <w:r>
        <w:t>Conclusion</w:t>
      </w:r>
      <w:bookmarkEnd w:id="4"/>
      <w:r>
        <w:t xml:space="preserve"> </w:t>
      </w:r>
    </w:p>
    <w:p w14:paraId="064B8722"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reflects upon the practices of two different campaigns addressing the growing issue of homelessness and street dwelling in the UK. The campaign of Home for Good by the British charitable organisation St Mungo's aimed to draw the attention of the government in resolving the issue of homelessness in the UK. In this aspect, they exploited social media to engage their stakeholders and the general public effectively to </w:t>
      </w:r>
      <w:proofErr w:type="spellStart"/>
      <w:r>
        <w:rPr>
          <w:rFonts w:ascii="Times New Roman" w:eastAsia="Times New Roman" w:hAnsi="Times New Roman" w:cs="Times New Roman"/>
          <w:sz w:val="24"/>
          <w:szCs w:val="24"/>
        </w:rPr>
        <w:t>strategise</w:t>
      </w:r>
      <w:proofErr w:type="spellEnd"/>
      <w:r>
        <w:rPr>
          <w:rFonts w:ascii="Times New Roman" w:eastAsia="Times New Roman" w:hAnsi="Times New Roman" w:cs="Times New Roman"/>
          <w:sz w:val="24"/>
          <w:szCs w:val="24"/>
        </w:rPr>
        <w:t xml:space="preserve"> the activities of the campaign. The programme tested success initially when the Government of the UK brought significant reforms in private renting and social housing plans in alignment with the programme. </w:t>
      </w:r>
    </w:p>
    <w:p w14:paraId="1A8BE6F1" w14:textId="77777777" w:rsidR="002A33B7" w:rsidRDefault="00CD1FA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St Mungo's is not the sole organisation to hold such campaigns to generate awareness against homelessness. Another distinguished organisation leading activities regarding this problem is Crisis. A Life in Limbo campaign of the Crisis successfully resolved the physical and emotional problems of temporary settlements in Scottish society.</w:t>
      </w:r>
    </w:p>
    <w:p w14:paraId="042758E3" w14:textId="77777777" w:rsidR="002A33B7" w:rsidRDefault="00CD1FA4">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This report analysed the approaches of both the organisations and concluded that Crisis adopted better practices for community engagement resulting in their higher success rate and completion of the campaign. </w:t>
      </w:r>
    </w:p>
    <w:p w14:paraId="7489ABD1" w14:textId="77777777" w:rsidR="002A33B7" w:rsidRDefault="002A33B7">
      <w:pPr>
        <w:spacing w:line="360" w:lineRule="auto"/>
        <w:jc w:val="both"/>
        <w:rPr>
          <w:rFonts w:ascii="Times New Roman" w:eastAsia="Times New Roman" w:hAnsi="Times New Roman" w:cs="Times New Roman"/>
          <w:b/>
          <w:sz w:val="28"/>
          <w:szCs w:val="28"/>
        </w:rPr>
      </w:pPr>
    </w:p>
    <w:p w14:paraId="60916955" w14:textId="77777777" w:rsidR="002A33B7" w:rsidRDefault="002A33B7">
      <w:pPr>
        <w:spacing w:line="360" w:lineRule="auto"/>
        <w:jc w:val="both"/>
        <w:rPr>
          <w:rFonts w:ascii="Times New Roman" w:eastAsia="Times New Roman" w:hAnsi="Times New Roman" w:cs="Times New Roman"/>
          <w:b/>
          <w:sz w:val="28"/>
          <w:szCs w:val="28"/>
        </w:rPr>
      </w:pPr>
    </w:p>
    <w:p w14:paraId="4582DE2F" w14:textId="77777777" w:rsidR="002A33B7" w:rsidRDefault="002A33B7">
      <w:pPr>
        <w:spacing w:line="360" w:lineRule="auto"/>
        <w:jc w:val="both"/>
        <w:rPr>
          <w:rFonts w:ascii="Times New Roman" w:eastAsia="Times New Roman" w:hAnsi="Times New Roman" w:cs="Times New Roman"/>
          <w:b/>
          <w:sz w:val="28"/>
          <w:szCs w:val="28"/>
        </w:rPr>
      </w:pPr>
    </w:p>
    <w:p w14:paraId="48929807" w14:textId="77777777" w:rsidR="002A33B7" w:rsidRDefault="002A33B7">
      <w:pPr>
        <w:spacing w:line="360" w:lineRule="auto"/>
        <w:jc w:val="both"/>
        <w:rPr>
          <w:rFonts w:ascii="Times New Roman" w:eastAsia="Times New Roman" w:hAnsi="Times New Roman" w:cs="Times New Roman"/>
          <w:b/>
          <w:sz w:val="28"/>
          <w:szCs w:val="28"/>
        </w:rPr>
      </w:pPr>
    </w:p>
    <w:p w14:paraId="3ADF0E0C" w14:textId="77777777" w:rsidR="002A33B7" w:rsidRDefault="002A33B7">
      <w:pPr>
        <w:spacing w:line="360" w:lineRule="auto"/>
        <w:jc w:val="both"/>
        <w:rPr>
          <w:rFonts w:ascii="Times New Roman" w:eastAsia="Times New Roman" w:hAnsi="Times New Roman" w:cs="Times New Roman"/>
          <w:b/>
          <w:sz w:val="28"/>
          <w:szCs w:val="28"/>
        </w:rPr>
      </w:pPr>
    </w:p>
    <w:p w14:paraId="1A2AC378" w14:textId="77777777" w:rsidR="002A33B7" w:rsidRDefault="002A33B7">
      <w:pPr>
        <w:spacing w:line="360" w:lineRule="auto"/>
        <w:jc w:val="both"/>
        <w:rPr>
          <w:rFonts w:ascii="Times New Roman" w:eastAsia="Times New Roman" w:hAnsi="Times New Roman" w:cs="Times New Roman"/>
          <w:b/>
          <w:sz w:val="28"/>
          <w:szCs w:val="28"/>
        </w:rPr>
      </w:pPr>
    </w:p>
    <w:p w14:paraId="759995A7" w14:textId="77777777" w:rsidR="002A33B7" w:rsidRDefault="002A33B7">
      <w:pPr>
        <w:spacing w:line="360" w:lineRule="auto"/>
        <w:jc w:val="both"/>
        <w:rPr>
          <w:rFonts w:ascii="Times New Roman" w:eastAsia="Times New Roman" w:hAnsi="Times New Roman" w:cs="Times New Roman"/>
          <w:b/>
          <w:sz w:val="28"/>
          <w:szCs w:val="28"/>
        </w:rPr>
      </w:pPr>
    </w:p>
    <w:p w14:paraId="200F1750" w14:textId="77777777" w:rsidR="002A33B7" w:rsidRDefault="002A33B7">
      <w:pPr>
        <w:spacing w:line="360" w:lineRule="auto"/>
        <w:jc w:val="both"/>
        <w:rPr>
          <w:rFonts w:ascii="Times New Roman" w:eastAsia="Times New Roman" w:hAnsi="Times New Roman" w:cs="Times New Roman"/>
          <w:b/>
          <w:sz w:val="28"/>
          <w:szCs w:val="28"/>
        </w:rPr>
      </w:pPr>
    </w:p>
    <w:p w14:paraId="7DFE2469" w14:textId="77777777" w:rsidR="002A33B7" w:rsidRDefault="00CD1FA4">
      <w:pPr>
        <w:pStyle w:val="Heading1"/>
      </w:pPr>
      <w:bookmarkStart w:id="5" w:name="_Toc75968154"/>
      <w:r>
        <w:lastRenderedPageBreak/>
        <w:t>Reference list</w:t>
      </w:r>
      <w:bookmarkEnd w:id="5"/>
    </w:p>
    <w:p w14:paraId="19C7D3DF"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ABDELKADER, O.A. and RABIE, M.H., 2019. Exploring The General Awareness of Young Users According to AIDA Model Applied to Social Networking Ads. </w:t>
      </w:r>
      <w:r>
        <w:rPr>
          <w:rFonts w:ascii="Times New Roman" w:eastAsia="Times New Roman" w:hAnsi="Times New Roman" w:cs="Times New Roman"/>
          <w:i/>
          <w:sz w:val="24"/>
          <w:szCs w:val="24"/>
          <w:highlight w:val="white"/>
        </w:rPr>
        <w:t>Journal of Theoretical and Applied Information Technology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97</w:t>
      </w:r>
      <w:r>
        <w:rPr>
          <w:rFonts w:ascii="Times New Roman" w:eastAsia="Times New Roman" w:hAnsi="Times New Roman" w:cs="Times New Roman"/>
          <w:sz w:val="24"/>
          <w:szCs w:val="24"/>
          <w:highlight w:val="white"/>
        </w:rPr>
        <w:t xml:space="preserve">(6), pp.1693-1703. Available at: </w:t>
      </w:r>
      <w:hyperlink r:id="rId12">
        <w:r>
          <w:rPr>
            <w:rFonts w:ascii="Times New Roman" w:eastAsia="Times New Roman" w:hAnsi="Times New Roman" w:cs="Times New Roman"/>
            <w:color w:val="000000"/>
            <w:sz w:val="24"/>
            <w:szCs w:val="24"/>
            <w:highlight w:val="white"/>
            <w:u w:val="single"/>
          </w:rPr>
          <w:t>https://www.researchgate.net/profile/MohamedRabie3/publication/342765027_The_vision_of_Egypt's_sports_clubs_towards_sports_e-marketing/links/5fd6a49392851c13fe84cb4f/The-vision-of-Egypts-sports-clubs-towards-sports-e-marketing.pdf</w:t>
        </w:r>
      </w:hyperlink>
      <w:r>
        <w:rPr>
          <w:rFonts w:ascii="Times New Roman" w:eastAsia="Times New Roman" w:hAnsi="Times New Roman" w:cs="Times New Roman"/>
          <w:sz w:val="24"/>
          <w:szCs w:val="24"/>
          <w:highlight w:val="white"/>
        </w:rPr>
        <w:t xml:space="preserve"> </w:t>
      </w:r>
    </w:p>
    <w:p w14:paraId="2217D214"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Brunton, G., Thomas, J., O’Mara-Eves, A., Jamal, F., Oliver, S. and Kavanagh, J., 2017. Narratives of community engagement: a systematic review-derived conceptual framework for public health interventions. </w:t>
      </w:r>
      <w:r>
        <w:rPr>
          <w:rFonts w:ascii="Times New Roman" w:eastAsia="Times New Roman" w:hAnsi="Times New Roman" w:cs="Times New Roman"/>
          <w:i/>
          <w:sz w:val="24"/>
          <w:szCs w:val="24"/>
          <w:highlight w:val="white"/>
        </w:rPr>
        <w:t>BMC Public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17</w:t>
      </w:r>
      <w:r>
        <w:rPr>
          <w:rFonts w:ascii="Times New Roman" w:eastAsia="Times New Roman" w:hAnsi="Times New Roman" w:cs="Times New Roman"/>
          <w:sz w:val="24"/>
          <w:szCs w:val="24"/>
          <w:highlight w:val="white"/>
        </w:rPr>
        <w:t xml:space="preserve">(1), pp.1-15. Available at: </w:t>
      </w:r>
      <w:hyperlink r:id="rId13">
        <w:r>
          <w:rPr>
            <w:rFonts w:ascii="Times New Roman" w:eastAsia="Times New Roman" w:hAnsi="Times New Roman" w:cs="Times New Roman"/>
            <w:sz w:val="24"/>
            <w:szCs w:val="24"/>
            <w:highlight w:val="white"/>
            <w:u w:val="single"/>
          </w:rPr>
          <w:t>https://bmcpublichealth.biomedcentral.com/articles/10.1186/s12889-017-4958-4</w:t>
        </w:r>
      </w:hyperlink>
      <w:r>
        <w:rPr>
          <w:rFonts w:ascii="Times New Roman" w:eastAsia="Times New Roman" w:hAnsi="Times New Roman" w:cs="Times New Roman"/>
          <w:sz w:val="24"/>
          <w:szCs w:val="24"/>
          <w:highlight w:val="white"/>
        </w:rPr>
        <w:t xml:space="preserve"> </w:t>
      </w:r>
    </w:p>
    <w:p w14:paraId="06E3085C"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Crisis 2021a. A life in limbo. [online] Available at: </w:t>
      </w:r>
      <w:hyperlink r:id="rId14">
        <w:r>
          <w:rPr>
            <w:rFonts w:ascii="Times New Roman" w:eastAsia="Times New Roman" w:hAnsi="Times New Roman" w:cs="Times New Roman"/>
            <w:sz w:val="24"/>
            <w:szCs w:val="24"/>
            <w:highlight w:val="white"/>
            <w:u w:val="single"/>
          </w:rPr>
          <w:t>https://www.crisis.org.uk/get-involved/campaign/a-life-in-limbo/</w:t>
        </w:r>
      </w:hyperlink>
      <w:r>
        <w:rPr>
          <w:rFonts w:ascii="Times New Roman" w:eastAsia="Times New Roman" w:hAnsi="Times New Roman" w:cs="Times New Roman"/>
          <w:sz w:val="24"/>
          <w:szCs w:val="24"/>
          <w:highlight w:val="white"/>
        </w:rPr>
        <w:t xml:space="preserve"> [Accessed 30 June 2021]</w:t>
      </w:r>
    </w:p>
    <w:p w14:paraId="4EC462A6"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Crisis 2021b. Our people. [online] Available at: </w:t>
      </w:r>
      <w:hyperlink r:id="rId15">
        <w:r>
          <w:rPr>
            <w:rFonts w:ascii="Times New Roman" w:eastAsia="Times New Roman" w:hAnsi="Times New Roman" w:cs="Times New Roman"/>
            <w:sz w:val="24"/>
            <w:szCs w:val="24"/>
            <w:highlight w:val="white"/>
            <w:u w:val="single"/>
          </w:rPr>
          <w:t>https://www.crisis.org.uk/about-us/our-people/</w:t>
        </w:r>
      </w:hyperlink>
      <w:r>
        <w:rPr>
          <w:rFonts w:ascii="Times New Roman" w:eastAsia="Times New Roman" w:hAnsi="Times New Roman" w:cs="Times New Roman"/>
          <w:sz w:val="24"/>
          <w:szCs w:val="24"/>
          <w:highlight w:val="white"/>
        </w:rPr>
        <w:t xml:space="preserve">  [Accessed 30 June 2021]</w:t>
      </w:r>
    </w:p>
    <w:p w14:paraId="5F09611B"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Davis, K., 2017. An empirical investigation into different stakeholder groups perception of project success. </w:t>
      </w:r>
      <w:r>
        <w:rPr>
          <w:rFonts w:ascii="Times New Roman" w:eastAsia="Times New Roman" w:hAnsi="Times New Roman" w:cs="Times New Roman"/>
          <w:i/>
          <w:sz w:val="24"/>
          <w:szCs w:val="24"/>
          <w:highlight w:val="white"/>
        </w:rPr>
        <w:t>International Journal of Project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35</w:t>
      </w:r>
      <w:r>
        <w:rPr>
          <w:rFonts w:ascii="Times New Roman" w:eastAsia="Times New Roman" w:hAnsi="Times New Roman" w:cs="Times New Roman"/>
          <w:sz w:val="24"/>
          <w:szCs w:val="24"/>
          <w:highlight w:val="white"/>
        </w:rPr>
        <w:t xml:space="preserve">(4), pp.604-617. Available at: </w:t>
      </w:r>
      <w:hyperlink r:id="rId16">
        <w:r>
          <w:rPr>
            <w:rFonts w:ascii="Times New Roman" w:eastAsia="Times New Roman" w:hAnsi="Times New Roman" w:cs="Times New Roman"/>
            <w:sz w:val="24"/>
            <w:szCs w:val="24"/>
            <w:highlight w:val="white"/>
            <w:u w:val="single"/>
          </w:rPr>
          <w:t>http://eprints.kingston.ac.uk/37616/1/Davis-K-37616-AAM.pdf</w:t>
        </w:r>
      </w:hyperlink>
      <w:r>
        <w:rPr>
          <w:rFonts w:ascii="Times New Roman" w:eastAsia="Times New Roman" w:hAnsi="Times New Roman" w:cs="Times New Roman"/>
          <w:sz w:val="24"/>
          <w:szCs w:val="24"/>
          <w:highlight w:val="white"/>
        </w:rPr>
        <w:t xml:space="preserve"> </w:t>
      </w:r>
    </w:p>
    <w:p w14:paraId="05DF2ABE"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GOV.UK 2021. Statutory homelessness in England: October to December 2020. [online] Available at: </w:t>
      </w:r>
      <w:hyperlink r:id="rId17">
        <w:r>
          <w:rPr>
            <w:rFonts w:ascii="Times New Roman" w:eastAsia="Times New Roman" w:hAnsi="Times New Roman" w:cs="Times New Roman"/>
            <w:sz w:val="24"/>
            <w:szCs w:val="24"/>
            <w:highlight w:val="white"/>
            <w:u w:val="single"/>
          </w:rPr>
          <w:t>https://www.gov.uk/government/statistics/statutory-homelessness-in-england-october-to-december-2020</w:t>
        </w:r>
      </w:hyperlink>
      <w:r>
        <w:rPr>
          <w:rFonts w:ascii="Times New Roman" w:eastAsia="Times New Roman" w:hAnsi="Times New Roman" w:cs="Times New Roman"/>
          <w:sz w:val="24"/>
          <w:szCs w:val="24"/>
          <w:highlight w:val="white"/>
        </w:rPr>
        <w:t xml:space="preserve"> [Accessed 30 June 2021]</w:t>
      </w:r>
    </w:p>
    <w:p w14:paraId="5D777E02" w14:textId="77777777" w:rsidR="002A33B7" w:rsidRDefault="00CD1FA4">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Hattenstone</w:t>
      </w:r>
      <w:proofErr w:type="spellEnd"/>
      <w:r>
        <w:rPr>
          <w:rFonts w:ascii="Times New Roman" w:eastAsia="Times New Roman" w:hAnsi="Times New Roman" w:cs="Times New Roman"/>
          <w:sz w:val="24"/>
          <w:szCs w:val="24"/>
          <w:highlight w:val="white"/>
        </w:rPr>
        <w:t xml:space="preserve">, S. and Lavelle, D. 2019. Britain has a horrific homelessness crisis. Why isn't it an election priority? [online] Available at: </w:t>
      </w:r>
      <w:hyperlink r:id="rId18">
        <w:r>
          <w:rPr>
            <w:rFonts w:ascii="Times New Roman" w:eastAsia="Times New Roman" w:hAnsi="Times New Roman" w:cs="Times New Roman"/>
            <w:sz w:val="24"/>
            <w:szCs w:val="24"/>
            <w:highlight w:val="white"/>
            <w:u w:val="single"/>
          </w:rPr>
          <w:t>https://www.theguardian.com/society/2019/nov/19/rage-and-responsibility-nine-months-of-reporting-homeless-deaths-why-isnt-it-election-priority</w:t>
        </w:r>
      </w:hyperlink>
      <w:r>
        <w:rPr>
          <w:rFonts w:ascii="Times New Roman" w:eastAsia="Times New Roman" w:hAnsi="Times New Roman" w:cs="Times New Roman"/>
          <w:sz w:val="24"/>
          <w:szCs w:val="24"/>
          <w:highlight w:val="white"/>
        </w:rPr>
        <w:t xml:space="preserve"> [Accessed 30 June 2021]</w:t>
      </w:r>
    </w:p>
    <w:p w14:paraId="4C29FB67" w14:textId="77777777" w:rsidR="002A33B7" w:rsidRDefault="00CD1FA4">
      <w:p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Jagpal</w:t>
      </w:r>
      <w:proofErr w:type="spellEnd"/>
      <w:r>
        <w:rPr>
          <w:rFonts w:ascii="Times New Roman" w:eastAsia="Times New Roman" w:hAnsi="Times New Roman" w:cs="Times New Roman"/>
          <w:sz w:val="24"/>
          <w:szCs w:val="24"/>
          <w:highlight w:val="white"/>
        </w:rPr>
        <w:t xml:space="preserve">, P., Saunders, K., </w:t>
      </w:r>
      <w:proofErr w:type="spellStart"/>
      <w:r>
        <w:rPr>
          <w:rFonts w:ascii="Times New Roman" w:eastAsia="Times New Roman" w:hAnsi="Times New Roman" w:cs="Times New Roman"/>
          <w:sz w:val="24"/>
          <w:szCs w:val="24"/>
          <w:highlight w:val="white"/>
        </w:rPr>
        <w:t>Plahe</w:t>
      </w:r>
      <w:proofErr w:type="spellEnd"/>
      <w:r>
        <w:rPr>
          <w:rFonts w:ascii="Times New Roman" w:eastAsia="Times New Roman" w:hAnsi="Times New Roman" w:cs="Times New Roman"/>
          <w:sz w:val="24"/>
          <w:szCs w:val="24"/>
          <w:highlight w:val="white"/>
        </w:rPr>
        <w:t xml:space="preserve">, G., Russell, S., Barnes, N., </w:t>
      </w:r>
      <w:proofErr w:type="spellStart"/>
      <w:r>
        <w:rPr>
          <w:rFonts w:ascii="Times New Roman" w:eastAsia="Times New Roman" w:hAnsi="Times New Roman" w:cs="Times New Roman"/>
          <w:sz w:val="24"/>
          <w:szCs w:val="24"/>
          <w:highlight w:val="white"/>
        </w:rPr>
        <w:t>Lowrie</w:t>
      </w:r>
      <w:proofErr w:type="spellEnd"/>
      <w:r>
        <w:rPr>
          <w:rFonts w:ascii="Times New Roman" w:eastAsia="Times New Roman" w:hAnsi="Times New Roman" w:cs="Times New Roman"/>
          <w:sz w:val="24"/>
          <w:szCs w:val="24"/>
          <w:highlight w:val="white"/>
        </w:rPr>
        <w:t xml:space="preserve">, R. and </w:t>
      </w:r>
      <w:proofErr w:type="spellStart"/>
      <w:r>
        <w:rPr>
          <w:rFonts w:ascii="Times New Roman" w:eastAsia="Times New Roman" w:hAnsi="Times New Roman" w:cs="Times New Roman"/>
          <w:sz w:val="24"/>
          <w:szCs w:val="24"/>
          <w:highlight w:val="white"/>
        </w:rPr>
        <w:t>Paudyal</w:t>
      </w:r>
      <w:proofErr w:type="spellEnd"/>
      <w:r>
        <w:rPr>
          <w:rFonts w:ascii="Times New Roman" w:eastAsia="Times New Roman" w:hAnsi="Times New Roman" w:cs="Times New Roman"/>
          <w:sz w:val="24"/>
          <w:szCs w:val="24"/>
          <w:highlight w:val="white"/>
        </w:rPr>
        <w:t xml:space="preserve">, V., 2020. Research priorities in healthcare of persons experiencing homelessness: outcomes of a national multi-disciplinary stakeholder discussion in the United Kingdom. </w:t>
      </w:r>
      <w:r>
        <w:rPr>
          <w:rFonts w:ascii="Times New Roman" w:eastAsia="Times New Roman" w:hAnsi="Times New Roman" w:cs="Times New Roman"/>
          <w:i/>
          <w:sz w:val="24"/>
          <w:szCs w:val="24"/>
          <w:highlight w:val="white"/>
        </w:rPr>
        <w:t>International Journal for Equity in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 xml:space="preserve">, pp.1-7. Available at: </w:t>
      </w:r>
      <w:hyperlink r:id="rId19">
        <w:r>
          <w:rPr>
            <w:rFonts w:ascii="Times New Roman" w:eastAsia="Times New Roman" w:hAnsi="Times New Roman" w:cs="Times New Roman"/>
            <w:sz w:val="24"/>
            <w:szCs w:val="24"/>
            <w:highlight w:val="white"/>
            <w:u w:val="single"/>
          </w:rPr>
          <w:t>https://link.springer.com/content/pdf/10.1186/s12939-020-01206-3.pdf</w:t>
        </w:r>
      </w:hyperlink>
      <w:r>
        <w:rPr>
          <w:rFonts w:ascii="Times New Roman" w:eastAsia="Times New Roman" w:hAnsi="Times New Roman" w:cs="Times New Roman"/>
          <w:sz w:val="24"/>
          <w:szCs w:val="24"/>
          <w:highlight w:val="white"/>
        </w:rPr>
        <w:t xml:space="preserve"> </w:t>
      </w:r>
    </w:p>
    <w:p w14:paraId="019E6EBF"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Lee, D., McGuire, M. and Kim, J.H. (2018). Collaboration, strategic plans, and government engagement and societal impact. Academy of Management Perspectives, 33(4), pp.383-404.</w:t>
      </w:r>
    </w:p>
    <w:p w14:paraId="360B3E13"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Available at: </w:t>
      </w:r>
      <w:hyperlink r:id="rId20">
        <w:r>
          <w:rPr>
            <w:rFonts w:ascii="Times New Roman" w:eastAsia="Times New Roman" w:hAnsi="Times New Roman" w:cs="Times New Roman"/>
            <w:sz w:val="24"/>
            <w:szCs w:val="24"/>
            <w:highlight w:val="white"/>
            <w:u w:val="single"/>
          </w:rPr>
          <w:t>https://www.tandfonline.com/doi/abs/10.1080/14719037.2017.1285113</w:t>
        </w:r>
      </w:hyperlink>
    </w:p>
    <w:p w14:paraId="68592A94"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Lumpkin, G.T. and </w:t>
      </w:r>
      <w:proofErr w:type="spellStart"/>
      <w:r>
        <w:rPr>
          <w:rFonts w:ascii="Times New Roman" w:eastAsia="Times New Roman" w:hAnsi="Times New Roman" w:cs="Times New Roman"/>
          <w:sz w:val="24"/>
          <w:szCs w:val="24"/>
          <w:highlight w:val="white"/>
        </w:rPr>
        <w:t>Bacq</w:t>
      </w:r>
      <w:proofErr w:type="spellEnd"/>
      <w:r>
        <w:rPr>
          <w:rFonts w:ascii="Times New Roman" w:eastAsia="Times New Roman" w:hAnsi="Times New Roman" w:cs="Times New Roman"/>
          <w:sz w:val="24"/>
          <w:szCs w:val="24"/>
          <w:highlight w:val="white"/>
        </w:rPr>
        <w:t>, S. (2019). Civic wealth creation: A new view of stakeholder</w:t>
      </w:r>
    </w:p>
    <w:p w14:paraId="3FC3669A"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performance: the case of efforts to reduce homelessness. Public Management Review, 20(3),</w:t>
      </w:r>
    </w:p>
    <w:p w14:paraId="4643FEEE"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pp.360-376. Available at: </w:t>
      </w:r>
      <w:hyperlink r:id="rId21">
        <w:r>
          <w:rPr>
            <w:rFonts w:ascii="Times New Roman" w:eastAsia="Times New Roman" w:hAnsi="Times New Roman" w:cs="Times New Roman"/>
            <w:sz w:val="24"/>
            <w:szCs w:val="24"/>
            <w:highlight w:val="white"/>
            <w:u w:val="single"/>
          </w:rPr>
          <w:t>https://journals.aom.org/doi/abs/10.5465/amp.2017.0060</w:t>
        </w:r>
      </w:hyperlink>
      <w:r>
        <w:rPr>
          <w:rFonts w:ascii="Times New Roman" w:eastAsia="Times New Roman" w:hAnsi="Times New Roman" w:cs="Times New Roman"/>
          <w:sz w:val="24"/>
          <w:szCs w:val="24"/>
          <w:highlight w:val="white"/>
          <w:u w:val="single"/>
        </w:rPr>
        <w:t xml:space="preserve"> </w:t>
      </w:r>
    </w:p>
    <w:p w14:paraId="3997DA43"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Shelter 2018. The full extent of the homelessness crisis. [online] Available at: </w:t>
      </w:r>
      <w:hyperlink r:id="rId22">
        <w:r>
          <w:rPr>
            <w:rFonts w:ascii="Times New Roman" w:eastAsia="Times New Roman" w:hAnsi="Times New Roman" w:cs="Times New Roman"/>
            <w:sz w:val="24"/>
            <w:szCs w:val="24"/>
            <w:highlight w:val="white"/>
            <w:u w:val="single"/>
          </w:rPr>
          <w:t>https://blog.shelter.org.uk/2018/07/the-full-extent-of-the-homelessness-crisis/</w:t>
        </w:r>
      </w:hyperlink>
      <w:r>
        <w:rPr>
          <w:rFonts w:ascii="Times New Roman" w:eastAsia="Times New Roman" w:hAnsi="Times New Roman" w:cs="Times New Roman"/>
          <w:sz w:val="24"/>
          <w:szCs w:val="24"/>
          <w:highlight w:val="white"/>
        </w:rPr>
        <w:t xml:space="preserve"> [Accessed 30 June 2021]</w:t>
      </w:r>
    </w:p>
    <w:p w14:paraId="119D021A"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Shelter 2021. What causes homelessness? [online] Available at: </w:t>
      </w:r>
      <w:hyperlink r:id="rId23">
        <w:r>
          <w:rPr>
            <w:rFonts w:ascii="Times New Roman" w:eastAsia="Times New Roman" w:hAnsi="Times New Roman" w:cs="Times New Roman"/>
            <w:sz w:val="24"/>
            <w:szCs w:val="24"/>
            <w:highlight w:val="white"/>
            <w:u w:val="single"/>
          </w:rPr>
          <w:t>https://england.shelter.org.uk/support_us/campaigns/what_causes_homelessness</w:t>
        </w:r>
      </w:hyperlink>
      <w:r>
        <w:rPr>
          <w:rFonts w:ascii="Times New Roman" w:eastAsia="Times New Roman" w:hAnsi="Times New Roman" w:cs="Times New Roman"/>
          <w:sz w:val="24"/>
          <w:szCs w:val="24"/>
          <w:highlight w:val="white"/>
        </w:rPr>
        <w:t xml:space="preserve"> [Accessed 30 June 2021]</w:t>
      </w:r>
    </w:p>
    <w:p w14:paraId="4F66570B"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 Mungo’s 2021a. Home for Good - St Mungo’s campaign to end rough sleeping. [online] Available at: </w:t>
      </w:r>
      <w:hyperlink r:id="rId24">
        <w:r>
          <w:rPr>
            <w:rFonts w:ascii="Times New Roman" w:eastAsia="Times New Roman" w:hAnsi="Times New Roman" w:cs="Times New Roman"/>
            <w:sz w:val="24"/>
            <w:szCs w:val="24"/>
            <w:highlight w:val="white"/>
            <w:u w:val="single"/>
          </w:rPr>
          <w:t>https://www.mungos.org/get-involved/campaign-for-change/home-for-good/</w:t>
        </w:r>
      </w:hyperlink>
      <w:r>
        <w:rPr>
          <w:rFonts w:ascii="Times New Roman" w:eastAsia="Times New Roman" w:hAnsi="Times New Roman" w:cs="Times New Roman"/>
          <w:sz w:val="24"/>
          <w:szCs w:val="24"/>
          <w:highlight w:val="white"/>
        </w:rPr>
        <w:t xml:space="preserve"> [Accessed 30 June 2021]</w:t>
      </w:r>
    </w:p>
    <w:p w14:paraId="2426124C"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 Mungo's 2021b. Who we are. [online] Available at: </w:t>
      </w:r>
      <w:hyperlink r:id="rId25">
        <w:r>
          <w:rPr>
            <w:rFonts w:ascii="Times New Roman" w:eastAsia="Times New Roman" w:hAnsi="Times New Roman" w:cs="Times New Roman"/>
            <w:sz w:val="24"/>
            <w:szCs w:val="24"/>
            <w:highlight w:val="white"/>
            <w:u w:val="single"/>
          </w:rPr>
          <w:t>https://www.mungos.org/about-us/who-we-are/</w:t>
        </w:r>
      </w:hyperlink>
      <w:r>
        <w:rPr>
          <w:rFonts w:ascii="Times New Roman" w:eastAsia="Times New Roman" w:hAnsi="Times New Roman" w:cs="Times New Roman"/>
          <w:sz w:val="24"/>
          <w:szCs w:val="24"/>
          <w:highlight w:val="white"/>
        </w:rPr>
        <w:t xml:space="preserve"> [Accessed 30 June 2021]</w:t>
      </w:r>
    </w:p>
    <w:p w14:paraId="6398A428"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 2021a. Number of Facebook users in the United Kingdom 2021. [online] Available at: </w:t>
      </w:r>
      <w:hyperlink r:id="rId26">
        <w:r>
          <w:rPr>
            <w:rFonts w:ascii="Times New Roman" w:eastAsia="Times New Roman" w:hAnsi="Times New Roman" w:cs="Times New Roman"/>
            <w:sz w:val="24"/>
            <w:szCs w:val="24"/>
            <w:highlight w:val="white"/>
            <w:u w:val="single"/>
          </w:rPr>
          <w:t>https://www.statista.com/statistics/1012080/uk-monthly-numbers-facebook-users/</w:t>
        </w:r>
      </w:hyperlink>
      <w:r>
        <w:rPr>
          <w:rFonts w:ascii="Times New Roman" w:eastAsia="Times New Roman" w:hAnsi="Times New Roman" w:cs="Times New Roman"/>
          <w:sz w:val="24"/>
          <w:szCs w:val="24"/>
          <w:highlight w:val="white"/>
        </w:rPr>
        <w:t xml:space="preserve">  [Accessed 30 June 2021]</w:t>
      </w:r>
    </w:p>
    <w:p w14:paraId="71DE755C"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Statista 2021b. Age distribution of LinkedIn users in the United Kingdom (UK) in April 2021. [online] Available at: </w:t>
      </w:r>
      <w:hyperlink r:id="rId27">
        <w:r>
          <w:rPr>
            <w:rFonts w:ascii="Times New Roman" w:eastAsia="Times New Roman" w:hAnsi="Times New Roman" w:cs="Times New Roman"/>
            <w:sz w:val="24"/>
            <w:szCs w:val="24"/>
            <w:highlight w:val="white"/>
            <w:u w:val="single"/>
          </w:rPr>
          <w:t>https://www.statista.com/statistics/278322/age-distribution-of-linkedin-users-in-great-britain/</w:t>
        </w:r>
      </w:hyperlink>
      <w:r>
        <w:rPr>
          <w:rFonts w:ascii="Times New Roman" w:eastAsia="Times New Roman" w:hAnsi="Times New Roman" w:cs="Times New Roman"/>
          <w:sz w:val="24"/>
          <w:szCs w:val="24"/>
          <w:highlight w:val="white"/>
        </w:rPr>
        <w:t xml:space="preserve"> [Accessed 30 June 2021]</w:t>
      </w:r>
    </w:p>
    <w:p w14:paraId="7E493AA9"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Big Issue 2020. Which charities are fighting homelessness in the UK? [online] Available at: </w:t>
      </w:r>
      <w:hyperlink r:id="rId28">
        <w:r>
          <w:rPr>
            <w:rFonts w:ascii="Times New Roman" w:eastAsia="Times New Roman" w:hAnsi="Times New Roman" w:cs="Times New Roman"/>
            <w:sz w:val="24"/>
            <w:szCs w:val="24"/>
            <w:highlight w:val="white"/>
            <w:u w:val="single"/>
          </w:rPr>
          <w:t>https://www.bigissue.com/latest/which-charities-are-helping-fight-homelessness-in-the-uk/</w:t>
        </w:r>
      </w:hyperlink>
      <w:r>
        <w:rPr>
          <w:rFonts w:ascii="Times New Roman" w:eastAsia="Times New Roman" w:hAnsi="Times New Roman" w:cs="Times New Roman"/>
          <w:sz w:val="24"/>
          <w:szCs w:val="24"/>
          <w:highlight w:val="white"/>
        </w:rPr>
        <w:t xml:space="preserve"> [Accessed 30 June 2021]</w:t>
      </w:r>
    </w:p>
    <w:p w14:paraId="5A5C697E"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Van </w:t>
      </w:r>
      <w:proofErr w:type="spellStart"/>
      <w:r>
        <w:rPr>
          <w:rFonts w:ascii="Times New Roman" w:eastAsia="Times New Roman" w:hAnsi="Times New Roman" w:cs="Times New Roman"/>
          <w:sz w:val="24"/>
          <w:szCs w:val="24"/>
          <w:highlight w:val="white"/>
        </w:rPr>
        <w:t>Schyndel</w:t>
      </w:r>
      <w:proofErr w:type="spellEnd"/>
      <w:r>
        <w:rPr>
          <w:rFonts w:ascii="Times New Roman" w:eastAsia="Times New Roman" w:hAnsi="Times New Roman" w:cs="Times New Roman"/>
          <w:sz w:val="24"/>
          <w:szCs w:val="24"/>
          <w:highlight w:val="white"/>
        </w:rPr>
        <w:t xml:space="preserve">, T., Pearl, A.J. and Purcell, J.W., 2019. Extending our conceptualization of boundary-spanning leadership for community engagement. </w:t>
      </w:r>
      <w:r>
        <w:rPr>
          <w:rFonts w:ascii="Times New Roman" w:eastAsia="Times New Roman" w:hAnsi="Times New Roman" w:cs="Times New Roman"/>
          <w:i/>
          <w:sz w:val="24"/>
          <w:szCs w:val="24"/>
          <w:highlight w:val="white"/>
        </w:rPr>
        <w:t>Journal of Higher Education Outreach and Engagement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23</w:t>
      </w:r>
      <w:r>
        <w:rPr>
          <w:rFonts w:ascii="Times New Roman" w:eastAsia="Times New Roman" w:hAnsi="Times New Roman" w:cs="Times New Roman"/>
          <w:sz w:val="24"/>
          <w:szCs w:val="24"/>
          <w:highlight w:val="white"/>
        </w:rPr>
        <w:t xml:space="preserve">(2), pp.63-78. Available at: </w:t>
      </w:r>
      <w:hyperlink r:id="rId29">
        <w:r>
          <w:rPr>
            <w:rFonts w:ascii="Times New Roman" w:eastAsia="Times New Roman" w:hAnsi="Times New Roman" w:cs="Times New Roman"/>
            <w:sz w:val="24"/>
            <w:szCs w:val="24"/>
            <w:highlight w:val="white"/>
            <w:u w:val="single"/>
          </w:rPr>
          <w:t>https://128.192.188.92/jheoe/article/download/1451/1443</w:t>
        </w:r>
      </w:hyperlink>
      <w:r>
        <w:rPr>
          <w:rFonts w:ascii="Times New Roman" w:eastAsia="Times New Roman" w:hAnsi="Times New Roman" w:cs="Times New Roman"/>
          <w:sz w:val="24"/>
          <w:szCs w:val="24"/>
          <w:highlight w:val="white"/>
        </w:rPr>
        <w:t xml:space="preserve"> </w:t>
      </w:r>
    </w:p>
    <w:p w14:paraId="2647E99B" w14:textId="77777777" w:rsidR="002A33B7" w:rsidRDefault="00CD1FA4">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Wolfe-Robinson, M. 2019. Homeless protesters storm council building in Chester. [online] Available at: </w:t>
      </w:r>
      <w:hyperlink r:id="rId30">
        <w:r>
          <w:rPr>
            <w:rFonts w:ascii="Times New Roman" w:eastAsia="Times New Roman" w:hAnsi="Times New Roman" w:cs="Times New Roman"/>
            <w:sz w:val="24"/>
            <w:szCs w:val="24"/>
            <w:highlight w:val="white"/>
            <w:u w:val="single"/>
          </w:rPr>
          <w:t>https://www.theguardian.com/uk-news/2019/oct/02/homeless-protesters-storm-council-building-in-chester</w:t>
        </w:r>
      </w:hyperlink>
      <w:r>
        <w:rPr>
          <w:rFonts w:ascii="Times New Roman" w:eastAsia="Times New Roman" w:hAnsi="Times New Roman" w:cs="Times New Roman"/>
          <w:sz w:val="24"/>
          <w:szCs w:val="24"/>
          <w:highlight w:val="white"/>
        </w:rPr>
        <w:t xml:space="preserve"> [Accessed 30 June 2021]</w:t>
      </w:r>
    </w:p>
    <w:p w14:paraId="2FD9A930" w14:textId="77777777" w:rsidR="002A33B7" w:rsidRDefault="002A33B7">
      <w:pPr>
        <w:spacing w:line="360" w:lineRule="auto"/>
        <w:jc w:val="both"/>
        <w:rPr>
          <w:color w:val="222222"/>
          <w:sz w:val="20"/>
          <w:szCs w:val="20"/>
          <w:highlight w:val="white"/>
        </w:rPr>
      </w:pPr>
    </w:p>
    <w:p w14:paraId="4C3C7406" w14:textId="77777777" w:rsidR="002A33B7" w:rsidRDefault="002A33B7">
      <w:pPr>
        <w:spacing w:line="360" w:lineRule="auto"/>
        <w:jc w:val="both"/>
        <w:rPr>
          <w:color w:val="222222"/>
          <w:sz w:val="20"/>
          <w:szCs w:val="20"/>
          <w:highlight w:val="white"/>
        </w:rPr>
      </w:pPr>
    </w:p>
    <w:p w14:paraId="463BDF00" w14:textId="77777777" w:rsidR="002A33B7" w:rsidRDefault="002A33B7">
      <w:pPr>
        <w:spacing w:line="360" w:lineRule="auto"/>
        <w:jc w:val="both"/>
        <w:rPr>
          <w:color w:val="222222"/>
          <w:sz w:val="20"/>
          <w:szCs w:val="20"/>
          <w:highlight w:val="white"/>
        </w:rPr>
      </w:pPr>
    </w:p>
    <w:p w14:paraId="01E6CE28" w14:textId="77777777" w:rsidR="002A33B7" w:rsidRDefault="002A33B7">
      <w:pPr>
        <w:spacing w:line="360" w:lineRule="auto"/>
        <w:jc w:val="both"/>
        <w:rPr>
          <w:color w:val="222222"/>
          <w:sz w:val="20"/>
          <w:szCs w:val="20"/>
          <w:highlight w:val="white"/>
        </w:rPr>
      </w:pPr>
    </w:p>
    <w:p w14:paraId="0E7F8F21" w14:textId="77777777" w:rsidR="002A33B7" w:rsidRDefault="002A33B7">
      <w:pPr>
        <w:spacing w:line="360" w:lineRule="auto"/>
        <w:jc w:val="both"/>
        <w:rPr>
          <w:b/>
          <w:color w:val="222222"/>
          <w:sz w:val="20"/>
          <w:szCs w:val="20"/>
          <w:highlight w:val="white"/>
        </w:rPr>
      </w:pPr>
    </w:p>
    <w:sectPr w:rsidR="002A33B7">
      <w:footerReference w:type="default" r:id="rId3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82E36" w14:textId="77777777" w:rsidR="00CD1FA4" w:rsidRDefault="00CD1FA4">
      <w:pPr>
        <w:spacing w:line="240" w:lineRule="auto"/>
      </w:pPr>
      <w:r>
        <w:separator/>
      </w:r>
    </w:p>
  </w:endnote>
  <w:endnote w:type="continuationSeparator" w:id="0">
    <w:p w14:paraId="6AB4A4BB" w14:textId="77777777" w:rsidR="00CD1FA4" w:rsidRDefault="00CD1F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B776A" w14:textId="77777777" w:rsidR="002A33B7" w:rsidRDefault="00CD1FA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C28E1">
      <w:rPr>
        <w:noProof/>
        <w:color w:val="000000"/>
      </w:rPr>
      <w:t>1</w:t>
    </w:r>
    <w:r>
      <w:rPr>
        <w:color w:val="000000"/>
      </w:rPr>
      <w:fldChar w:fldCharType="end"/>
    </w:r>
  </w:p>
  <w:p w14:paraId="7A90D22E" w14:textId="77777777" w:rsidR="002A33B7" w:rsidRDefault="002A33B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15938" w14:textId="77777777" w:rsidR="00CD1FA4" w:rsidRDefault="00CD1FA4">
      <w:pPr>
        <w:spacing w:line="240" w:lineRule="auto"/>
      </w:pPr>
      <w:r>
        <w:separator/>
      </w:r>
    </w:p>
  </w:footnote>
  <w:footnote w:type="continuationSeparator" w:id="0">
    <w:p w14:paraId="65D25B8A" w14:textId="77777777" w:rsidR="00CD1FA4" w:rsidRDefault="00CD1FA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33B7"/>
    <w:rsid w:val="002A33B7"/>
    <w:rsid w:val="004750C5"/>
    <w:rsid w:val="005B3F71"/>
    <w:rsid w:val="00BB7DBB"/>
    <w:rsid w:val="00CC28E1"/>
    <w:rsid w:val="00CD1FA4"/>
    <w:rsid w:val="00E4439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E9A1D"/>
  <w15:docId w15:val="{89C46472-5FCF-4114-82AD-C351E2707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455E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455E3"/>
    <w:pPr>
      <w:tabs>
        <w:tab w:val="center" w:pos="4513"/>
        <w:tab w:val="right" w:pos="9026"/>
      </w:tabs>
      <w:spacing w:line="240" w:lineRule="auto"/>
    </w:pPr>
  </w:style>
  <w:style w:type="character" w:customStyle="1" w:styleId="HeaderChar">
    <w:name w:val="Header Char"/>
    <w:basedOn w:val="DefaultParagraphFont"/>
    <w:link w:val="Header"/>
    <w:uiPriority w:val="99"/>
    <w:rsid w:val="008455E3"/>
    <w:rPr>
      <w:lang w:val="en-GB"/>
    </w:rPr>
  </w:style>
  <w:style w:type="paragraph" w:styleId="Footer">
    <w:name w:val="footer"/>
    <w:basedOn w:val="Normal"/>
    <w:link w:val="FooterChar"/>
    <w:uiPriority w:val="99"/>
    <w:unhideWhenUsed/>
    <w:rsid w:val="008455E3"/>
    <w:pPr>
      <w:tabs>
        <w:tab w:val="center" w:pos="4513"/>
        <w:tab w:val="right" w:pos="9026"/>
      </w:tabs>
      <w:spacing w:line="240" w:lineRule="auto"/>
    </w:pPr>
  </w:style>
  <w:style w:type="character" w:customStyle="1" w:styleId="FooterChar">
    <w:name w:val="Footer Char"/>
    <w:basedOn w:val="DefaultParagraphFont"/>
    <w:link w:val="Footer"/>
    <w:uiPriority w:val="99"/>
    <w:rsid w:val="008455E3"/>
    <w:rPr>
      <w:lang w:val="en-GB"/>
    </w:rPr>
  </w:style>
  <w:style w:type="character" w:styleId="Hyperlink">
    <w:name w:val="Hyperlink"/>
    <w:basedOn w:val="DefaultParagraphFont"/>
    <w:uiPriority w:val="99"/>
    <w:unhideWhenUsed/>
    <w:rsid w:val="008455E3"/>
    <w:rPr>
      <w:color w:val="0000FF" w:themeColor="hyperlink"/>
      <w:u w:val="single"/>
    </w:rPr>
  </w:style>
  <w:style w:type="paragraph" w:styleId="TOCHeading">
    <w:name w:val="TOC Heading"/>
    <w:basedOn w:val="Heading1"/>
    <w:next w:val="Normal"/>
    <w:uiPriority w:val="39"/>
    <w:unhideWhenUsed/>
    <w:qFormat/>
    <w:rsid w:val="00EC011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C28E1"/>
    <w:pPr>
      <w:tabs>
        <w:tab w:val="right" w:pos="9350"/>
      </w:tabs>
      <w:spacing w:after="100"/>
      <w:jc w:val="both"/>
    </w:pPr>
  </w:style>
  <w:style w:type="character" w:styleId="CommentReference">
    <w:name w:val="annotation reference"/>
    <w:basedOn w:val="DefaultParagraphFont"/>
    <w:uiPriority w:val="99"/>
    <w:semiHidden/>
    <w:unhideWhenUsed/>
    <w:rsid w:val="0087451A"/>
    <w:rPr>
      <w:sz w:val="16"/>
      <w:szCs w:val="16"/>
    </w:rPr>
  </w:style>
  <w:style w:type="paragraph" w:styleId="CommentText">
    <w:name w:val="annotation text"/>
    <w:basedOn w:val="Normal"/>
    <w:link w:val="CommentTextChar"/>
    <w:uiPriority w:val="99"/>
    <w:semiHidden/>
    <w:unhideWhenUsed/>
    <w:rsid w:val="0087451A"/>
    <w:pPr>
      <w:spacing w:line="240" w:lineRule="auto"/>
    </w:pPr>
    <w:rPr>
      <w:sz w:val="20"/>
      <w:szCs w:val="20"/>
    </w:rPr>
  </w:style>
  <w:style w:type="character" w:customStyle="1" w:styleId="CommentTextChar">
    <w:name w:val="Comment Text Char"/>
    <w:basedOn w:val="DefaultParagraphFont"/>
    <w:link w:val="CommentText"/>
    <w:uiPriority w:val="99"/>
    <w:semiHidden/>
    <w:rsid w:val="0087451A"/>
    <w:rPr>
      <w:sz w:val="20"/>
      <w:szCs w:val="20"/>
      <w:lang w:val="en-GB"/>
    </w:rPr>
  </w:style>
  <w:style w:type="paragraph" w:styleId="CommentSubject">
    <w:name w:val="annotation subject"/>
    <w:basedOn w:val="CommentText"/>
    <w:next w:val="CommentText"/>
    <w:link w:val="CommentSubjectChar"/>
    <w:uiPriority w:val="99"/>
    <w:semiHidden/>
    <w:unhideWhenUsed/>
    <w:rsid w:val="0087451A"/>
    <w:rPr>
      <w:b/>
      <w:bCs/>
    </w:rPr>
  </w:style>
  <w:style w:type="character" w:customStyle="1" w:styleId="CommentSubjectChar">
    <w:name w:val="Comment Subject Char"/>
    <w:basedOn w:val="CommentTextChar"/>
    <w:link w:val="CommentSubject"/>
    <w:uiPriority w:val="99"/>
    <w:semiHidden/>
    <w:rsid w:val="0087451A"/>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bmcpublichealth.biomedcentral.com/articles/10.1186/s12889-017-4958-4" TargetMode="External"/><Relationship Id="rId18" Type="http://schemas.openxmlformats.org/officeDocument/2006/relationships/hyperlink" Target="https://www.theguardian.com/society/2019/nov/19/rage-and-responsibility-nine-months-of-reporting-homeless-deaths-why-isnt-it-election-priority" TargetMode="External"/><Relationship Id="rId26" Type="http://schemas.openxmlformats.org/officeDocument/2006/relationships/hyperlink" Target="https://www.statista.com/statistics/1012080/uk-monthly-numbers-facebook-users/" TargetMode="External"/><Relationship Id="rId3" Type="http://schemas.openxmlformats.org/officeDocument/2006/relationships/customXml" Target="../customXml/item3.xml"/><Relationship Id="rId21" Type="http://schemas.openxmlformats.org/officeDocument/2006/relationships/hyperlink" Target="https://journals.aom.org/doi/abs/10.5465/amp.2017.0060" TargetMode="External"/><Relationship Id="rId7" Type="http://schemas.openxmlformats.org/officeDocument/2006/relationships/webSettings" Target="webSettings.xml"/><Relationship Id="rId12" Type="http://schemas.openxmlformats.org/officeDocument/2006/relationships/hyperlink" Target="https://www.researchgate.net/profile/MohamedRabie3/publication/342765027_The_vision_of_Egypt's_sports_clubs_towards_sports_e-marketing/links/5fd6a49392851c13fe84cb4f/The-vision-of-Egypts-sports-clubs-towards-sports-e-marketing.pdf" TargetMode="External"/><Relationship Id="rId17" Type="http://schemas.openxmlformats.org/officeDocument/2006/relationships/hyperlink" Target="https://www.gov.uk/government/statistics/statutory-homelessness-in-england-october-to-december-2020" TargetMode="External"/><Relationship Id="rId25" Type="http://schemas.openxmlformats.org/officeDocument/2006/relationships/hyperlink" Target="https://www.mungos.org/about-us/who-we-ar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eprints.kingston.ac.uk/37616/1/Davis-K-37616-AAM.pdf" TargetMode="External"/><Relationship Id="rId20" Type="http://schemas.openxmlformats.org/officeDocument/2006/relationships/hyperlink" Target="https://www.tandfonline.com/doi/abs/10.1080/14719037.2017.1285113" TargetMode="External"/><Relationship Id="rId29" Type="http://schemas.openxmlformats.org/officeDocument/2006/relationships/hyperlink" Target="https://128.192.188.92/jheoe/article/download/1451/144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24" Type="http://schemas.openxmlformats.org/officeDocument/2006/relationships/hyperlink" Target="https://www.mungos.org/get-involved/campaign-for-change/home-for-good/&amp;gt"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risis.org.uk/about-us/our-people/" TargetMode="External"/><Relationship Id="rId23" Type="http://schemas.openxmlformats.org/officeDocument/2006/relationships/hyperlink" Target="https://england.shelter.org.uk/support_us/campaigns/what_causes_homelessness" TargetMode="External"/><Relationship Id="rId28" Type="http://schemas.openxmlformats.org/officeDocument/2006/relationships/hyperlink" Target="https://www.bigissue.com/latest/which-charities-are-helping-fight-homelessness-in-the-uk/" TargetMode="External"/><Relationship Id="rId10" Type="http://schemas.openxmlformats.org/officeDocument/2006/relationships/image" Target="media/image1.jpg"/><Relationship Id="rId19" Type="http://schemas.openxmlformats.org/officeDocument/2006/relationships/hyperlink" Target="https://link.springer.com/content/pdf/10.1186/s12939-020-01206-3.pdf"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risis.org.uk/get-involved/campaign/a-life-in-limbo/" TargetMode="External"/><Relationship Id="rId22" Type="http://schemas.openxmlformats.org/officeDocument/2006/relationships/hyperlink" Target="https://blog.shelter.org.uk/2018/07/the-full-extent-of-the-homelessness-crisis/" TargetMode="External"/><Relationship Id="rId27" Type="http://schemas.openxmlformats.org/officeDocument/2006/relationships/hyperlink" Target="https://www.statista.com/statistics/278322/age-distribution-of-linkedin-users-in-great-britain/" TargetMode="External"/><Relationship Id="rId30" Type="http://schemas.openxmlformats.org/officeDocument/2006/relationships/hyperlink" Target="https://www.theguardian.com/uk-news/2019/oct/02/homeless-protesters-storm-council-building-in-chester"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gsJdsmk968UmwIMMfZSoT57tumng==">AMUW2mWMWFLE6zoPa4XXc12CjoTTth/VlCmXxJatVvFGEcodXP+UQaOr/Irs94JTX9iyfom4mpAQd66s4wPgucD74ASyMhE100J9dKDxR5DrCyL2RYmc5fAsK8hN9qnnKqBuh8WgdzJuzmPn/UX4SY2YTmR5tt5G9m6qoGrrVkyVOTWXQsDACGtqmXFJ0yaJ+i/vsWC+1Wlr</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7" ma:contentTypeDescription="Create a new document." ma:contentTypeScope="" ma:versionID="59f7ddadab4dd6b8ff56753d3adf000f">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cf6f4e6efd1119723529653239856518"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870530-D2B3-45ED-965C-FDB8FE89B085}">
  <ds:schemaRefs>
    <ds:schemaRef ds:uri="http://schemas.microsoft.com/office/2006/documentManagement/types"/>
    <ds:schemaRef ds:uri="http://purl.org/dc/terms/"/>
    <ds:schemaRef ds:uri="http://schemas.microsoft.com/office/2006/metadata/properties"/>
    <ds:schemaRef ds:uri="http://www.w3.org/XML/1998/namespace"/>
    <ds:schemaRef ds:uri="1e817316-4aca-4b9e-ace6-40706940dca6"/>
    <ds:schemaRef ds:uri="http://purl.org/dc/dcmitype/"/>
    <ds:schemaRef ds:uri="616eabd9-892f-425c-aaec-cee6893c8e0e"/>
    <ds:schemaRef ds:uri="http://schemas.microsoft.com/office/infopath/2007/PartnerControls"/>
    <ds:schemaRef ds:uri="http://schemas.openxmlformats.org/package/2006/metadata/core-properties"/>
    <ds:schemaRef ds:uri="http://purl.org/dc/elements/1.1/"/>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customXml/itemProps3.xml><?xml version="1.0" encoding="utf-8"?>
<ds:datastoreItem xmlns:ds="http://schemas.openxmlformats.org/officeDocument/2006/customXml" ds:itemID="{D95B0053-5214-463B-8D67-0E99C7F945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0E21C1F-665E-4209-A216-D7DAE518A7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3215</Words>
  <Characters>18327</Characters>
  <Application>Microsoft Office Word</Application>
  <DocSecurity>0</DocSecurity>
  <Lines>152</Lines>
  <Paragraphs>42</Paragraphs>
  <ScaleCrop>false</ScaleCrop>
  <Company/>
  <LinksUpToDate>false</LinksUpToDate>
  <CharactersWithSpaces>21500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Jerry Rodrigues</dc:creator>
  <cp:lastModifiedBy>Deepika Sachdeva</cp:lastModifiedBy>
  <cp:revision>2</cp:revision>
  <dcterms:created xsi:type="dcterms:W3CDTF">2021-09-06T12:36:00Z</dcterms:created>
  <dcterms:modified xsi:type="dcterms:W3CDTF">2021-09-06T12:36:00Z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