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u w:val="single"/>
          <w:shd w:fill="auto" w:val="clear"/>
        </w:rPr>
        <w:t xml:space="preserve">Reference List</w:t>
      </w: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Beghetto, R.A. Kaufman, J.C. (2010)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Nurturing creativity in the classroom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Cambridge University Press.</w:t>
      </w: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Bialystok, E. (2011) ‘Reshaping the Mind: The Benefits of Bilingualism’, 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Canadian Journal of Experimental Psychology,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65(4), pp. 229-35. Available at: </w:t>
      </w:r>
      <w:hyperlink xmlns:r="http://schemas.openxmlformats.org/officeDocument/2006/relationships" r:id="docRId0">
        <w:r>
          <w:rPr>
            <w:rFonts w:ascii="Times New Roman" w:hAnsi="Times New Roman" w:cs="Times New Roman" w:eastAsia="Times New Roman"/>
            <w:color w:val="0563C1"/>
            <w:spacing w:val="0"/>
            <w:position w:val="0"/>
            <w:sz w:val="24"/>
            <w:u w:val="single"/>
            <w:shd w:fill="auto" w:val="clear"/>
          </w:rPr>
          <w:t xml:space="preserve">https://search-proquest-com.ezproxy.uwtsd.ac.uk/docview/889452671?accountid=130472</w:t>
        </w:r>
        <w:r>
          <w:rPr>
            <w:rFonts w:ascii="Times New Roman" w:hAnsi="Times New Roman" w:cs="Times New Roman" w:eastAsia="Times New Roman"/>
            <w:color w:val="0563C1"/>
            <w:spacing w:val="0"/>
            <w:position w:val="0"/>
            <w:sz w:val="24"/>
            <w:u w:val="single"/>
            <w:shd w:fill="auto" w:val="clear"/>
          </w:rPr>
          <w:t xml:space="preserve"> HYPERLINK "https://search-proquest-com.ezproxy.uwtsd.ac.uk/docview/889452671?accountid=130472&amp;pq-origsite=primo"</w:t>
        </w:r>
        <w:r>
          <w:rPr>
            <w:rFonts w:ascii="Times New Roman" w:hAnsi="Times New Roman" w:cs="Times New Roman" w:eastAsia="Times New Roman"/>
            <w:color w:val="0563C1"/>
            <w:spacing w:val="0"/>
            <w:position w:val="0"/>
            <w:sz w:val="24"/>
            <w:u w:val="single"/>
            <w:shd w:fill="auto" w:val="clear"/>
          </w:rPr>
          <w:t xml:space="preserve">&amp;</w:t>
        </w:r>
        <w:r>
          <w:rPr>
            <w:rFonts w:ascii="Times New Roman" w:hAnsi="Times New Roman" w:cs="Times New Roman" w:eastAsia="Times New Roman"/>
            <w:color w:val="0563C1"/>
            <w:spacing w:val="0"/>
            <w:position w:val="0"/>
            <w:sz w:val="24"/>
            <w:u w:val="single"/>
            <w:shd w:fill="auto" w:val="clear"/>
          </w:rPr>
          <w:t xml:space="preserve"> HYPERLINK "https://search-proquest-com.ezproxy.uwtsd.ac.uk/docview/889452671?accountid=130472&amp;pq-origsite=primo"</w:t>
        </w:r>
        <w:r>
          <w:rPr>
            <w:rFonts w:ascii="Times New Roman" w:hAnsi="Times New Roman" w:cs="Times New Roman" w:eastAsia="Times New Roman"/>
            <w:color w:val="0563C1"/>
            <w:spacing w:val="0"/>
            <w:position w:val="0"/>
            <w:sz w:val="24"/>
            <w:u w:val="single"/>
            <w:shd w:fill="auto" w:val="clear"/>
          </w:rPr>
          <w:t xml:space="preserve">pq-origsite=primo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(Accessed: 22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  <w:vertAlign w:val="superscript"/>
        </w:rPr>
        <w:t xml:space="preserve">nd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March 2021).</w:t>
      </w: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Bosma, E. Blom, E. (2019) ‘A code-switching asymmetry in bilingual children: Code-switching from Dutch to Frisian requires more cognitive control than code-switching from Frisian to Dutch’,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International Journal of Bilingualism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23(6), pp. 1431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1447. DOI: 10.1177/1367006918798972. (accessed: 24 March 2021).</w:t>
      </w: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Honing, H. (2011)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The Illiterate Listener: On Music Cognition, Musicality and Methodology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</w:t>
      </w:r>
      <w:hyperlink xmlns:r="http://schemas.openxmlformats.org/officeDocument/2006/relationships" r:id="docRId1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Amsterdam University Press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Koutstaal, W. (2012)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The Agile Mind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Oxford University Press.</w:t>
      </w: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Madore, K.P. Addis, D.R. Schacter, D.L. (2015) ‘Creativity and Memory: Effects of an Episodic-Specificity Induction on Divergent Thinking’,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Psychological Science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26(9), pp. 1461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1468. DOI: 10.1177/0956797615591863. (accessed: 25 March 2021).</w:t>
      </w: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Mckee, D. (1989)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Elmer.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Anderson Press</w:t>
      </w: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Mills, R. Mills, J. (2002)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Bilingualism in the Primary School : A Handbook for Teachers.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London: Routledge.</w:t>
      </w: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Mohr, K.A.J. et al. (2018) ‘The Developing Bilingual Brain: What Parents and Teachers Should Know and Do’, 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Early Childhood Education Journal,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46(1), pp. 11-20.</w:t>
      </w: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Thomas M. et al. (2015) ‘Comparing language outcomes in monolingual and bilingual stroke patients’, 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Brain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138(4), pp.  1070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1083. Available at: </w:t>
      </w:r>
      <w:hyperlink xmlns:r="http://schemas.openxmlformats.org/officeDocument/2006/relationships" r:id="docRId2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https://doi-org.ezproxy.uwtsd.ac.uk/10.1093/brain/awv020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(accessed 24 March 2021)</w:t>
      </w: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Ullman, M. (2001) ‘The neural basis of lexicon and grammar in first and second language: The declarative/procedural model’, 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Bilingualism: Language and Cognition,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4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(2), pp. 105-122. DOI:10.1017/S1366728901000220. (accessed: 24 March 2021)</w:t>
      </w:r>
    </w:p>
    <w:p>
      <w:pPr>
        <w:spacing w:before="0" w:after="16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Welsh Government (2015) Curriculum for Wales Foundation Phase Framework. Available at: </w:t>
      </w:r>
      <w:hyperlink xmlns:r="http://schemas.openxmlformats.org/officeDocument/2006/relationships" r:id="docRId3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https://hwb.gov.wales/api/storage/d5d8e39c-b534-40cb-a3f5-7e2e126d8077/foundation-phase-framework.pdf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(Accessed 25 March 2021).</w:t>
      </w: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Welsh Government (2020a) Guidance for supporting vulnerable and disadvantaged learners. Available at: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hyperlink xmlns:r="http://schemas.openxmlformats.org/officeDocument/2006/relationships" r:id="docRId4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https://gov.wales/sites/default/files/publications/2020-08/guidance-supporting-vulnerable-disadvantaged-learners.pdf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(accessed: 23 march 2021). </w:t>
      </w: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Welsh Government (2020b). Curriculum for Wales guidance. Available at: </w:t>
      </w:r>
      <w:hyperlink xmlns:r="http://schemas.openxmlformats.org/officeDocument/2006/relationships" r:id="docRId5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https://hwb.gov.wales/storage/b44ad45b-ff78-430a-9423-36feb86aaf7e/curriculum-for-wales-guidance.pdf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(accessed: 23 March 2021).</w:t>
      </w: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Yu, Z. Schwieter, J.W. (2018) ‘Recognizing the Effects of Language Mode on the Cognitive Advantages of Bilingualism’,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Frontiers in Psychology,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9, pp. 366. DOI=10.3389/fpsyg.2018.00366. (accessed: 23 March 2021).</w:t>
      </w: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Mode="External" Target="https://library.oapen.org/handle/20.500.12657/22272" Id="docRId1" Type="http://schemas.openxmlformats.org/officeDocument/2006/relationships/hyperlink" /><Relationship TargetMode="External" Target="https://hwb.gov.wales/api/storage/d5d8e39c-b534-40cb-a3f5-7e2e126d8077/foundation-phase-framework.pdf" Id="docRId3" Type="http://schemas.openxmlformats.org/officeDocument/2006/relationships/hyperlink" /><Relationship TargetMode="External" Target="https://hwb.gov.wales/storage/b44ad45b-ff78-430a-9423-36feb86aaf7e/curriculum-for-wales-guidance.pdf" Id="docRId5" Type="http://schemas.openxmlformats.org/officeDocument/2006/relationships/hyperlink" /><Relationship Target="styles.xml" Id="docRId7" Type="http://schemas.openxmlformats.org/officeDocument/2006/relationships/styles" /><Relationship TargetMode="External" Target="https://search-proquest-com.ezproxy.uwtsd.ac.uk/docview/889452671?accountid=130472&amp;pq-origsite=primo" Id="docRId0" Type="http://schemas.openxmlformats.org/officeDocument/2006/relationships/hyperlink" /><Relationship TargetMode="External" Target="https://doi-org.ezproxy.uwtsd.ac.uk/10.1093/brain/awv020" Id="docRId2" Type="http://schemas.openxmlformats.org/officeDocument/2006/relationships/hyperlink" /><Relationship TargetMode="External" Target="https://gov.wales/sites/default/files/publications/2020-08/guidance-supporting-vulnerable-disadvantaged-learners.pdf" Id="docRId4" Type="http://schemas.openxmlformats.org/officeDocument/2006/relationships/hyperlink" /><Relationship Target="numbering.xml" Id="docRId6" Type="http://schemas.openxmlformats.org/officeDocument/2006/relationships/numbering" /></Relationships>
</file>