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F3D7C" w14:textId="77777777" w:rsidR="001712D6" w:rsidRPr="00D72934" w:rsidRDefault="001712D6" w:rsidP="001712D6">
      <w:pPr>
        <w:pStyle w:val="TOCHeading1"/>
        <w:tabs>
          <w:tab w:val="right" w:leader="dot" w:pos="2835"/>
          <w:tab w:val="right" w:leader="dot" w:pos="8505"/>
        </w:tabs>
        <w:jc w:val="both"/>
        <w:rPr>
          <w:rFonts w:asciiTheme="minorHAnsi" w:eastAsiaTheme="minorHAnsi" w:hAnsiTheme="minorHAnsi" w:cstheme="minorBidi"/>
          <w:color w:val="0F4761" w:themeColor="accent1" w:themeShade="BF"/>
          <w:kern w:val="2"/>
          <w:sz w:val="32"/>
          <w:szCs w:val="32"/>
          <w:lang w:val="en-US" w:eastAsia="en-US"/>
          <w14:ligatures w14:val="standardContextual"/>
        </w:rPr>
      </w:pPr>
      <w:bookmarkStart w:id="0" w:name="_Hlk205672844"/>
      <w:bookmarkStart w:id="1" w:name="_Hlk215055140"/>
      <w:bookmarkEnd w:id="0"/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3D97F953" wp14:editId="0A44C9B6">
            <wp:extent cx="5731510" cy="2852420"/>
            <wp:effectExtent l="0" t="0" r="0" b="0"/>
            <wp:docPr id="1590813580" name="Picture 2" descr="A black background with text and yellow and blu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13580" name="Picture 2" descr="A black background with text and yellow and blue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6A1D9" w14:textId="1050B507" w:rsidR="001712D6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32"/>
          <w:szCs w:val="32"/>
        </w:rPr>
      </w:pPr>
      <w:r w:rsidRPr="00873F99">
        <w:rPr>
          <w:rFonts w:ascii="Arial" w:hAnsi="Arial" w:cs="Arial"/>
          <w:b/>
          <w:bCs/>
          <w:sz w:val="32"/>
          <w:szCs w:val="32"/>
        </w:rPr>
        <w:t>COMPONENT</w:t>
      </w:r>
      <w:r w:rsidR="00221753">
        <w:rPr>
          <w:rFonts w:ascii="Arial" w:hAnsi="Arial" w:cs="Arial"/>
          <w:b/>
          <w:bCs/>
          <w:sz w:val="32"/>
          <w:szCs w:val="32"/>
        </w:rPr>
        <w:t xml:space="preserve"> 1:</w:t>
      </w:r>
      <w:r w:rsidRPr="00873F99">
        <w:rPr>
          <w:rFonts w:ascii="Arial" w:hAnsi="Arial" w:cs="Arial"/>
          <w:b/>
          <w:bCs/>
          <w:sz w:val="32"/>
          <w:szCs w:val="32"/>
        </w:rPr>
        <w:t xml:space="preserve"> 2 BLOGS</w:t>
      </w:r>
    </w:p>
    <w:p w14:paraId="1F5BFFF0" w14:textId="77777777" w:rsidR="001712D6" w:rsidRPr="00152D9C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AC68A3">
        <w:rPr>
          <w:rFonts w:ascii="Arial" w:hAnsi="Arial" w:cs="Arial"/>
          <w:b/>
          <w:bCs/>
          <w:sz w:val="28"/>
          <w:szCs w:val="28"/>
        </w:rPr>
        <w:t xml:space="preserve">Module: </w:t>
      </w:r>
      <w:r>
        <w:rPr>
          <w:rFonts w:ascii="Arial" w:hAnsi="Arial" w:cs="Arial"/>
          <w:b/>
          <w:bCs/>
          <w:sz w:val="28"/>
          <w:szCs w:val="28"/>
        </w:rPr>
        <w:t xml:space="preserve">Population Health and Digital Health Promotion </w:t>
      </w:r>
      <w:r w:rsidRPr="00AC68A3">
        <w:rPr>
          <w:rFonts w:ascii="Arial" w:hAnsi="Arial" w:cs="Arial"/>
          <w:b/>
          <w:bCs/>
          <w:sz w:val="28"/>
          <w:szCs w:val="28"/>
        </w:rPr>
        <w:t>(LCHS700</w:t>
      </w:r>
      <w:r>
        <w:rPr>
          <w:rFonts w:ascii="Arial" w:hAnsi="Arial" w:cs="Arial"/>
          <w:b/>
          <w:bCs/>
          <w:sz w:val="28"/>
          <w:szCs w:val="28"/>
        </w:rPr>
        <w:t>9</w:t>
      </w:r>
      <w:r w:rsidRPr="00AC68A3">
        <w:rPr>
          <w:rFonts w:ascii="Arial" w:hAnsi="Arial" w:cs="Arial"/>
          <w:b/>
          <w:bCs/>
          <w:sz w:val="28"/>
          <w:szCs w:val="28"/>
        </w:rPr>
        <w:t>)</w:t>
      </w:r>
      <w:r w:rsidRPr="00AC68A3">
        <w:rPr>
          <w:rFonts w:ascii="Arial" w:hAnsi="Arial" w:cs="Arial"/>
          <w:b/>
          <w:bCs/>
          <w:sz w:val="28"/>
          <w:szCs w:val="28"/>
        </w:rPr>
        <w:br/>
      </w:r>
      <w:r w:rsidRPr="00152D9C">
        <w:rPr>
          <w:rFonts w:ascii="Arial" w:hAnsi="Arial" w:cs="Arial"/>
          <w:b/>
          <w:bCs/>
          <w:sz w:val="28"/>
          <w:szCs w:val="28"/>
        </w:rPr>
        <w:t xml:space="preserve">Student Name: </w:t>
      </w:r>
      <w:r>
        <w:rPr>
          <w:rFonts w:ascii="Arial" w:hAnsi="Arial" w:cs="Arial"/>
          <w:b/>
          <w:bCs/>
          <w:sz w:val="28"/>
          <w:szCs w:val="28"/>
        </w:rPr>
        <w:t>Vishal Kishor Hirani</w:t>
      </w:r>
    </w:p>
    <w:p w14:paraId="277668A4" w14:textId="77777777" w:rsidR="001712D6" w:rsidRPr="00152D9C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152D9C">
        <w:rPr>
          <w:rFonts w:ascii="Arial" w:hAnsi="Arial" w:cs="Arial"/>
          <w:b/>
          <w:bCs/>
          <w:sz w:val="28"/>
          <w:szCs w:val="28"/>
        </w:rPr>
        <w:t>Student ID: 2</w:t>
      </w:r>
      <w:r>
        <w:rPr>
          <w:rFonts w:ascii="Arial" w:hAnsi="Arial" w:cs="Arial"/>
          <w:b/>
          <w:bCs/>
          <w:sz w:val="28"/>
          <w:szCs w:val="28"/>
        </w:rPr>
        <w:t>431583</w:t>
      </w:r>
    </w:p>
    <w:p w14:paraId="049915E0" w14:textId="77777777" w:rsidR="001712D6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152D9C">
        <w:rPr>
          <w:rFonts w:ascii="Arial" w:hAnsi="Arial" w:cs="Arial"/>
          <w:b/>
          <w:bCs/>
          <w:sz w:val="28"/>
          <w:szCs w:val="28"/>
        </w:rPr>
        <w:t>Course: MSc Public Health and Social Care in Practice</w:t>
      </w:r>
    </w:p>
    <w:p w14:paraId="7FE8F1FC" w14:textId="77777777" w:rsidR="001712D6" w:rsidRPr="00152D9C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Lecturer: Dr. Ping Wu</w:t>
      </w:r>
      <w:r w:rsidRPr="00D72934">
        <w:rPr>
          <w:rFonts w:ascii="Arial" w:hAnsi="Arial" w:cs="Arial"/>
          <w:b/>
          <w:bCs/>
          <w:sz w:val="28"/>
          <w:szCs w:val="28"/>
        </w:rPr>
        <w:t> </w:t>
      </w:r>
    </w:p>
    <w:p w14:paraId="269858EB" w14:textId="77777777" w:rsidR="001712D6" w:rsidRPr="00152D9C" w:rsidRDefault="001712D6" w:rsidP="001712D6">
      <w:pPr>
        <w:tabs>
          <w:tab w:val="right" w:leader="dot" w:pos="2835"/>
          <w:tab w:val="right" w:leader="dot" w:pos="8505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152D9C">
        <w:rPr>
          <w:rFonts w:ascii="Arial" w:hAnsi="Arial" w:cs="Arial"/>
          <w:b/>
          <w:bCs/>
          <w:sz w:val="28"/>
          <w:szCs w:val="28"/>
        </w:rPr>
        <w:t>University: University of Wales Trinity Saint David – London Campus</w:t>
      </w:r>
    </w:p>
    <w:bookmarkEnd w:id="1"/>
    <w:p w14:paraId="5C43D667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5732239F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7759CF74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6ACCD0E2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30CB9426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39BEDD31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12A9240E" w14:textId="77777777" w:rsidR="001712D6" w:rsidRDefault="001712D6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56C69588" w14:textId="7C99992A" w:rsidR="005905E1" w:rsidRPr="002A0068" w:rsidRDefault="00F37E5C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  <w: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lastRenderedPageBreak/>
        <w:t xml:space="preserve">Blog 1: </w:t>
      </w:r>
      <w:r w:rsidR="000D3642"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The Impact of </w:t>
      </w:r>
      <w:proofErr w:type="spellStart"/>
      <w:r w:rsidR="000D3642"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>MyPEEPS</w:t>
      </w:r>
      <w:proofErr w:type="spellEnd"/>
      <w:r w:rsidR="000D3642"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 Mobile in Promoting Sexual Health Among Adolescents</w:t>
      </w:r>
    </w:p>
    <w:p w14:paraId="6EA539DB" w14:textId="77777777" w:rsidR="006E0E09" w:rsidRPr="006E0E09" w:rsidRDefault="006E0E09" w:rsidP="00963BB5">
      <w:pPr>
        <w:rPr>
          <w:rFonts w:ascii="Arial" w:hAnsi="Arial" w:cs="Arial"/>
          <w:b/>
          <w:bCs/>
          <w:color w:val="77206D" w:themeColor="accent5" w:themeShade="BF"/>
          <w:sz w:val="31"/>
          <w:szCs w:val="31"/>
        </w:rPr>
      </w:pPr>
    </w:p>
    <w:p w14:paraId="26E58474" w14:textId="77777777" w:rsidR="00963BB5" w:rsidRPr="002A0068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2A0068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Introduction</w:t>
      </w:r>
    </w:p>
    <w:p w14:paraId="064C0AB9" w14:textId="77777777" w:rsidR="000D3642" w:rsidRPr="000D3642" w:rsidRDefault="000D3642" w:rsidP="000D3642">
      <w:pPr>
        <w:rPr>
          <w:rFonts w:ascii="Arial" w:hAnsi="Arial" w:cs="Arial"/>
        </w:rPr>
      </w:pPr>
      <w:r w:rsidRPr="000D3642">
        <w:rPr>
          <w:rFonts w:ascii="Arial" w:hAnsi="Arial" w:cs="Arial"/>
        </w:rPr>
        <w:t>Sexual health is a key public-health concern, especially for adolescents and young adults.</w:t>
      </w:r>
    </w:p>
    <w:p w14:paraId="2E440911" w14:textId="77777777" w:rsidR="000D3642" w:rsidRPr="000D3642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More than one million STIs are</w:t>
      </w:r>
      <w:r w:rsidRPr="000D3642">
        <w:rPr>
          <w:rFonts w:ascii="Arial" w:hAnsi="Arial" w:cs="Arial"/>
        </w:rPr>
        <w:t xml:space="preserve"> acquired every day worldwide (WHO, 2023).</w:t>
      </w:r>
    </w:p>
    <w:p w14:paraId="031C8AF3" w14:textId="77777777" w:rsidR="000D3642" w:rsidRPr="000D3642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0D3642">
        <w:rPr>
          <w:rFonts w:ascii="Arial" w:hAnsi="Arial" w:cs="Arial"/>
        </w:rPr>
        <w:t>The highest prevalence occurs in people aged 15–24 years.</w:t>
      </w:r>
    </w:p>
    <w:p w14:paraId="790B4179" w14:textId="77777777" w:rsidR="000D3642" w:rsidRPr="006E0E09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Barriers such as stigma, embarrassment, and limited access to confidential services often prevent young people from getting accurate information (UNFPA, 2022; Montgomery et al., 2021).</w:t>
      </w:r>
    </w:p>
    <w:p w14:paraId="3FDBBDD0" w14:textId="3D910922" w:rsidR="000D3642" w:rsidRDefault="000D3642" w:rsidP="000D3642">
      <w:pPr>
        <w:rPr>
          <w:rFonts w:ascii="Arial" w:hAnsi="Arial" w:cs="Arial"/>
        </w:rPr>
      </w:pPr>
      <w:r w:rsidRPr="000D3642">
        <w:rPr>
          <w:rFonts w:ascii="Arial" w:hAnsi="Arial" w:cs="Arial"/>
          <w:i/>
          <w:iCs/>
        </w:rPr>
        <w:t>Digital health apps</w:t>
      </w:r>
      <w:r w:rsidRPr="000D3642">
        <w:rPr>
          <w:rFonts w:ascii="Arial" w:hAnsi="Arial" w:cs="Arial"/>
        </w:rPr>
        <w:t xml:space="preserve"> now offer private, accessible ways to promote knowledge and safer sexual behaviour (Guse et al., 2012; Wadham et al., 2019).</w:t>
      </w:r>
    </w:p>
    <w:p w14:paraId="3EEF9791" w14:textId="77777777" w:rsidR="007E07D5" w:rsidRDefault="007E07D5" w:rsidP="000D3642">
      <w:pPr>
        <w:rPr>
          <w:rFonts w:ascii="Arial" w:hAnsi="Arial" w:cs="Arial"/>
        </w:rPr>
      </w:pPr>
    </w:p>
    <w:p w14:paraId="0FB97BB0" w14:textId="521593BD" w:rsidR="007E07D5" w:rsidRDefault="007E07D5" w:rsidP="007E07D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0D1AACE" wp14:editId="70422739">
            <wp:extent cx="5486400" cy="3200400"/>
            <wp:effectExtent l="0" t="0" r="0" b="0"/>
            <wp:docPr id="1680191838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4C402F3" w14:textId="67538174" w:rsidR="007E07D5" w:rsidRPr="002A0068" w:rsidRDefault="002B32AE" w:rsidP="007E07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Figure 1</w:t>
      </w:r>
      <w:r w:rsidR="007E07D5"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:</w:t>
      </w:r>
      <w:r w:rsidR="007E07D5"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7E07D5" w:rsidRPr="002A0068">
        <w:rPr>
          <w:rFonts w:ascii="Arial" w:hAnsi="Arial" w:cs="Arial"/>
          <w:sz w:val="28"/>
          <w:szCs w:val="28"/>
        </w:rPr>
        <w:t>Key global sexual-health indicators highlighting the need for youth-focused digital interventions.</w:t>
      </w:r>
    </w:p>
    <w:p w14:paraId="0E645342" w14:textId="77777777" w:rsidR="000D3642" w:rsidRDefault="000D3642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3B8BDA2F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08FF8358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6558C6E4" w14:textId="19D2F3F2" w:rsidR="00757365" w:rsidRDefault="0075736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75736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lastRenderedPageBreak/>
        <w:t xml:space="preserve">What Is </w:t>
      </w:r>
      <w:proofErr w:type="spellStart"/>
      <w:r w:rsidRPr="00757365">
        <w:rPr>
          <w:rFonts w:ascii="Arial" w:hAnsi="Arial" w:cs="Arial"/>
          <w:b/>
          <w:bCs/>
          <w:i/>
          <w:iCs/>
          <w:color w:val="77206D" w:themeColor="accent5" w:themeShade="BF"/>
          <w:sz w:val="28"/>
          <w:szCs w:val="28"/>
        </w:rPr>
        <w:t>MyPEEPS</w:t>
      </w:r>
      <w:proofErr w:type="spellEnd"/>
      <w:r w:rsidRPr="00757365">
        <w:rPr>
          <w:rFonts w:ascii="Arial" w:hAnsi="Arial" w:cs="Arial"/>
          <w:b/>
          <w:bCs/>
          <w:i/>
          <w:iCs/>
          <w:color w:val="77206D" w:themeColor="accent5" w:themeShade="BF"/>
          <w:sz w:val="28"/>
          <w:szCs w:val="28"/>
        </w:rPr>
        <w:t xml:space="preserve"> Mobile</w:t>
      </w:r>
      <w:r w:rsidRPr="0075736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?</w:t>
      </w:r>
    </w:p>
    <w:p w14:paraId="30F56852" w14:textId="77777777" w:rsidR="00A11830" w:rsidRDefault="00A11830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0DFCED27" w14:textId="3B4A4792" w:rsidR="002A0068" w:rsidRDefault="002A0068" w:rsidP="002A0068">
      <w:pPr>
        <w:jc w:val="center"/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>
        <w:rPr>
          <w:rFonts w:ascii="Arial" w:hAnsi="Arial" w:cs="Arial"/>
          <w:b/>
          <w:bCs/>
          <w:noProof/>
          <w:color w:val="77206D" w:themeColor="accent5" w:themeShade="BF"/>
          <w:sz w:val="28"/>
          <w:szCs w:val="28"/>
        </w:rPr>
        <w:drawing>
          <wp:inline distT="0" distB="0" distL="0" distR="0" wp14:anchorId="2BA886A1" wp14:editId="4B0F2831">
            <wp:extent cx="4133298" cy="4133298"/>
            <wp:effectExtent l="0" t="0" r="635" b="635"/>
            <wp:docPr id="2086866250" name="Picture 3" descr="A person holding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866250" name="Picture 3" descr="A person holding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9939" cy="4139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7816B" w14:textId="34F238FA" w:rsidR="002A0068" w:rsidRDefault="002A0068" w:rsidP="002A0068">
      <w:pPr>
        <w:jc w:val="center"/>
        <w:rPr>
          <w:rFonts w:ascii="Arial" w:hAnsi="Arial" w:cs="Arial"/>
          <w:color w:val="0D0D0D" w:themeColor="text1" w:themeTint="F2"/>
          <w:sz w:val="28"/>
          <w:szCs w:val="28"/>
        </w:rPr>
      </w:pPr>
      <w:r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Figure </w:t>
      </w:r>
      <w:r w:rsidR="002B32AE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2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:</w:t>
      </w:r>
      <w:r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Example of a youth-friendly mobile sexual-health education interface, </w:t>
      </w:r>
      <w:r w:rsidR="00C02D41" w:rsidRPr="002A0068">
        <w:rPr>
          <w:rFonts w:ascii="Arial" w:hAnsi="Arial" w:cs="Arial"/>
          <w:color w:val="0D0D0D" w:themeColor="text1" w:themeTint="F2"/>
          <w:sz w:val="28"/>
          <w:szCs w:val="28"/>
        </w:rPr>
        <w:t>like</w:t>
      </w:r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proofErr w:type="spellStart"/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>MyPEEPS</w:t>
      </w:r>
      <w:proofErr w:type="spellEnd"/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Mobile.</w:t>
      </w:r>
    </w:p>
    <w:p w14:paraId="4889DCA6" w14:textId="77777777" w:rsidR="002A0068" w:rsidRPr="002A0068" w:rsidRDefault="002A0068" w:rsidP="002A0068">
      <w:pPr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</w:p>
    <w:p w14:paraId="64496E65" w14:textId="77777777" w:rsidR="00757365" w:rsidRP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Full name:</w:t>
      </w:r>
      <w:r w:rsidRPr="00757365">
        <w:rPr>
          <w:rFonts w:ascii="Arial" w:hAnsi="Arial" w:cs="Arial"/>
        </w:rPr>
        <w:t xml:space="preserve"> </w:t>
      </w:r>
      <w:r w:rsidRPr="00757365">
        <w:rPr>
          <w:rFonts w:ascii="Arial" w:hAnsi="Arial" w:cs="Arial"/>
          <w:i/>
          <w:iCs/>
        </w:rPr>
        <w:t>Male Youth Personal Education and Engagement for Sexual Health.</w:t>
      </w:r>
    </w:p>
    <w:p w14:paraId="701D0363" w14:textId="77777777" w:rsidR="00757365" w:rsidRP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Target group:</w:t>
      </w:r>
      <w:r w:rsidRPr="00757365">
        <w:rPr>
          <w:rFonts w:ascii="Arial" w:hAnsi="Arial" w:cs="Arial"/>
        </w:rPr>
        <w:t xml:space="preserve"> Boys and young men who have sex with men (ages 13–18).</w:t>
      </w:r>
    </w:p>
    <w:p w14:paraId="2417DFFB" w14:textId="77777777" w:rsid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Purpose:</w:t>
      </w:r>
      <w:r w:rsidRPr="00757365">
        <w:rPr>
          <w:rFonts w:ascii="Arial" w:hAnsi="Arial" w:cs="Arial"/>
        </w:rPr>
        <w:t xml:space="preserve"> Reduce HIV/STI risk and promote healthy relationships.</w:t>
      </w:r>
    </w:p>
    <w:p w14:paraId="7D02506B" w14:textId="77777777" w:rsidR="006E0E09" w:rsidRPr="00757365" w:rsidRDefault="006E0E09" w:rsidP="006E0E09">
      <w:pPr>
        <w:ind w:left="720"/>
        <w:rPr>
          <w:rFonts w:ascii="Arial" w:hAnsi="Arial" w:cs="Arial"/>
        </w:rPr>
      </w:pPr>
    </w:p>
    <w:p w14:paraId="42F87321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Key features</w:t>
      </w:r>
    </w:p>
    <w:p w14:paraId="506595C0" w14:textId="5913EC87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Gamified learning:</w:t>
      </w:r>
      <w:r w:rsidRPr="00757365">
        <w:rPr>
          <w:rFonts w:ascii="Arial" w:hAnsi="Arial" w:cs="Arial"/>
        </w:rPr>
        <w:t xml:space="preserve"> Quizzes, stories, and mini-games teach safer-sex decision-making.</w:t>
      </w:r>
    </w:p>
    <w:p w14:paraId="642EBBA4" w14:textId="19CF6D93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Interactive modules:</w:t>
      </w:r>
      <w:r w:rsidRPr="00757365">
        <w:rPr>
          <w:rFonts w:ascii="Arial" w:hAnsi="Arial" w:cs="Arial"/>
        </w:rPr>
        <w:t xml:space="preserve"> Cover condom use, communication, consent, and STI prevention.</w:t>
      </w:r>
    </w:p>
    <w:p w14:paraId="6FE17B0F" w14:textId="38BD8694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Real-life simulations:</w:t>
      </w:r>
      <w:r w:rsidRPr="00757365">
        <w:rPr>
          <w:rFonts w:ascii="Arial" w:hAnsi="Arial" w:cs="Arial"/>
        </w:rPr>
        <w:t xml:space="preserve"> Users practise handling social and sexual situations.</w:t>
      </w:r>
    </w:p>
    <w:p w14:paraId="383AF1A6" w14:textId="10DF5C48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lastRenderedPageBreak/>
        <w:t>Anonymity:</w:t>
      </w:r>
      <w:r w:rsidRPr="00757365">
        <w:rPr>
          <w:rFonts w:ascii="Arial" w:hAnsi="Arial" w:cs="Arial"/>
        </w:rPr>
        <w:t xml:space="preserve"> Encourages open learning without fear of judgment (</w:t>
      </w:r>
      <w:proofErr w:type="spellStart"/>
      <w:r w:rsidRPr="00757365">
        <w:rPr>
          <w:rFonts w:ascii="Arial" w:hAnsi="Arial" w:cs="Arial"/>
        </w:rPr>
        <w:t>Gabarron</w:t>
      </w:r>
      <w:proofErr w:type="spellEnd"/>
      <w:r w:rsidRPr="00757365">
        <w:rPr>
          <w:rFonts w:ascii="Arial" w:hAnsi="Arial" w:cs="Arial"/>
        </w:rPr>
        <w:t xml:space="preserve"> &amp; Wynn, 2016).</w:t>
      </w:r>
    </w:p>
    <w:p w14:paraId="4855493E" w14:textId="77CF3B27" w:rsidR="00757365" w:rsidRPr="00757365" w:rsidRDefault="00757365" w:rsidP="00757365">
      <w:pPr>
        <w:rPr>
          <w:rFonts w:ascii="Arial" w:hAnsi="Arial" w:cs="Arial"/>
        </w:rPr>
      </w:pPr>
      <w:r w:rsidRPr="006E0E09">
        <w:rPr>
          <w:rFonts w:ascii="Arial" w:hAnsi="Arial" w:cs="Arial"/>
        </w:rPr>
        <w:t>The app reflects health-promotion values of empowerment, participation, and equity</w:t>
      </w:r>
      <w:r w:rsidRPr="00757365">
        <w:rPr>
          <w:rFonts w:ascii="Arial" w:hAnsi="Arial" w:cs="Arial"/>
        </w:rPr>
        <w:t xml:space="preserve"> (WHO, 1986).</w:t>
      </w:r>
    </w:p>
    <w:p w14:paraId="282D2A1A" w14:textId="59F657C0" w:rsidR="00963BB5" w:rsidRPr="00963BB5" w:rsidRDefault="00963BB5" w:rsidP="00963BB5">
      <w:pPr>
        <w:rPr>
          <w:rFonts w:ascii="Arial" w:hAnsi="Arial" w:cs="Arial"/>
        </w:rPr>
      </w:pPr>
    </w:p>
    <w:p w14:paraId="67B4E2DD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Evidence of Impact</w:t>
      </w:r>
    </w:p>
    <w:p w14:paraId="0CD12503" w14:textId="77777777" w:rsidR="00757365" w:rsidRPr="006E0E09" w:rsidRDefault="00757365" w:rsidP="00757365">
      <w:pPr>
        <w:rPr>
          <w:rFonts w:ascii="Arial" w:hAnsi="Arial" w:cs="Arial"/>
        </w:rPr>
      </w:pPr>
      <w:r w:rsidRPr="006E0E09">
        <w:rPr>
          <w:rFonts w:ascii="Arial" w:hAnsi="Arial" w:cs="Arial"/>
        </w:rPr>
        <w:t xml:space="preserve">Research consistently shows that </w:t>
      </w:r>
      <w:proofErr w:type="spellStart"/>
      <w:r w:rsidRPr="006E0E09">
        <w:rPr>
          <w:rFonts w:ascii="Arial" w:hAnsi="Arial" w:cs="Arial"/>
          <w:i/>
          <w:iCs/>
        </w:rPr>
        <w:t>MyPEEPS</w:t>
      </w:r>
      <w:proofErr w:type="spellEnd"/>
      <w:r w:rsidRPr="006E0E09">
        <w:rPr>
          <w:rFonts w:ascii="Arial" w:hAnsi="Arial" w:cs="Arial"/>
          <w:i/>
          <w:iCs/>
        </w:rPr>
        <w:t xml:space="preserve"> Mobile</w:t>
      </w:r>
      <w:r w:rsidRPr="006E0E09">
        <w:rPr>
          <w:rFonts w:ascii="Arial" w:hAnsi="Arial" w:cs="Arial"/>
        </w:rPr>
        <w:t xml:space="preserve"> improves young people’s sexual-health knowledge and confidence:</w:t>
      </w:r>
    </w:p>
    <w:p w14:paraId="4E85A713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 xml:space="preserve">A randomised controlled trial found participants using </w:t>
      </w:r>
      <w:proofErr w:type="spellStart"/>
      <w:r w:rsidRPr="006E0E09">
        <w:rPr>
          <w:rFonts w:ascii="Arial" w:hAnsi="Arial" w:cs="Arial"/>
          <w:i/>
          <w:iCs/>
        </w:rPr>
        <w:t>MyPEEPS</w:t>
      </w:r>
      <w:proofErr w:type="spellEnd"/>
      <w:r w:rsidRPr="006E0E09">
        <w:rPr>
          <w:rFonts w:ascii="Arial" w:hAnsi="Arial" w:cs="Arial"/>
          <w:i/>
          <w:iCs/>
        </w:rPr>
        <w:t xml:space="preserve"> Mobile</w:t>
      </w:r>
      <w:r w:rsidRPr="006E0E09">
        <w:rPr>
          <w:rFonts w:ascii="Arial" w:hAnsi="Arial" w:cs="Arial"/>
        </w:rPr>
        <w:t xml:space="preserve"> reported higher condom use and fewer condomless anal-sex acts than controls (Brown et al., 2022).</w:t>
      </w:r>
    </w:p>
    <w:p w14:paraId="78676C93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Studies also show increases in self-efficacy and motivation for safer behaviours (</w:t>
      </w:r>
      <w:proofErr w:type="spellStart"/>
      <w:r w:rsidRPr="006E0E09">
        <w:rPr>
          <w:rFonts w:ascii="Arial" w:hAnsi="Arial" w:cs="Arial"/>
        </w:rPr>
        <w:t>Mustanski</w:t>
      </w:r>
      <w:proofErr w:type="spellEnd"/>
      <w:r w:rsidRPr="006E0E09">
        <w:rPr>
          <w:rFonts w:ascii="Arial" w:hAnsi="Arial" w:cs="Arial"/>
        </w:rPr>
        <w:t xml:space="preserve"> et al., 2019; Gilliam et al., 2020).</w:t>
      </w:r>
    </w:p>
    <w:p w14:paraId="32BD3A17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The app provides a scalable and cost-effective approach to youth sexual-health education (Guse et al., 2012).</w:t>
      </w:r>
    </w:p>
    <w:p w14:paraId="54EFE946" w14:textId="77777777" w:rsidR="005905E1" w:rsidRPr="002A0068" w:rsidRDefault="005905E1" w:rsidP="00963BB5">
      <w:pPr>
        <w:rPr>
          <w:rFonts w:ascii="Arial" w:hAnsi="Arial" w:cs="Arial"/>
          <w:sz w:val="26"/>
          <w:szCs w:val="26"/>
        </w:rPr>
      </w:pPr>
    </w:p>
    <w:p w14:paraId="05DB17B5" w14:textId="502118A0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Critical Discussion</w:t>
      </w:r>
    </w:p>
    <w:p w14:paraId="1E37E933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Advantages</w:t>
      </w:r>
    </w:p>
    <w:p w14:paraId="61FA07F1" w14:textId="0FF52693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Accessible anytime via smartphone.</w:t>
      </w:r>
    </w:p>
    <w:p w14:paraId="500F8E27" w14:textId="2E705913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Confidential and inclusive environment.</w:t>
      </w:r>
    </w:p>
    <w:p w14:paraId="7FCD53B1" w14:textId="7CCA8B47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Engages youth through interactive learning.</w:t>
      </w:r>
    </w:p>
    <w:p w14:paraId="44DBE0D3" w14:textId="7AAC7519" w:rsidR="006E0E09" w:rsidRDefault="00757365" w:rsidP="006E0E09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Based on strong scientific evidence (Brown et al., 2022).</w:t>
      </w:r>
    </w:p>
    <w:p w14:paraId="5CE27029" w14:textId="77777777" w:rsidR="006E0E09" w:rsidRPr="006E0E09" w:rsidRDefault="006E0E09" w:rsidP="006E0E09">
      <w:pPr>
        <w:ind w:left="360"/>
        <w:rPr>
          <w:rFonts w:ascii="Arial" w:hAnsi="Arial" w:cs="Arial"/>
        </w:rPr>
      </w:pPr>
    </w:p>
    <w:p w14:paraId="3292178A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Limitations</w:t>
      </w:r>
    </w:p>
    <w:p w14:paraId="299DD304" w14:textId="377D7F1C" w:rsidR="00757365" w:rsidRPr="00757365" w:rsidRDefault="00757365" w:rsidP="00757365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Focused mainly on male adolescents in the U.S., limiting generalisability (</w:t>
      </w:r>
      <w:proofErr w:type="spellStart"/>
      <w:r w:rsidRPr="00757365">
        <w:rPr>
          <w:rFonts w:ascii="Arial" w:hAnsi="Arial" w:cs="Arial"/>
        </w:rPr>
        <w:t>Mustanski</w:t>
      </w:r>
      <w:proofErr w:type="spellEnd"/>
      <w:r w:rsidRPr="00757365">
        <w:rPr>
          <w:rFonts w:ascii="Arial" w:hAnsi="Arial" w:cs="Arial"/>
        </w:rPr>
        <w:t xml:space="preserve"> et al., 2019).</w:t>
      </w:r>
    </w:p>
    <w:p w14:paraId="26B50EAE" w14:textId="6FF0C7AB" w:rsidR="00757365" w:rsidRPr="00757365" w:rsidRDefault="00757365" w:rsidP="00757365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Requires internet access—may exclude some low-income users (Montgomery et al., 2021).</w:t>
      </w:r>
    </w:p>
    <w:p w14:paraId="6DFDCB4D" w14:textId="1593D10A" w:rsidR="006E0E09" w:rsidRPr="00E04E70" w:rsidRDefault="00757365" w:rsidP="00E04E70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Ongoing updates are needed to maintain medical accuracy.</w:t>
      </w:r>
    </w:p>
    <w:p w14:paraId="466C62CE" w14:textId="77777777" w:rsidR="006E0E09" w:rsidRPr="00757365" w:rsidRDefault="006E0E09" w:rsidP="006E0E09">
      <w:pPr>
        <w:ind w:left="720"/>
        <w:rPr>
          <w:rFonts w:ascii="Arial" w:hAnsi="Arial" w:cs="Arial"/>
        </w:rPr>
      </w:pPr>
    </w:p>
    <w:p w14:paraId="3EC273B5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Improvements</w:t>
      </w:r>
    </w:p>
    <w:p w14:paraId="44DDC7A3" w14:textId="77777777" w:rsidR="00757365" w:rsidRPr="006E0E09" w:rsidRDefault="00757365" w:rsidP="0075736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Add multilingual content and offline access.</w:t>
      </w:r>
    </w:p>
    <w:p w14:paraId="0B408CBD" w14:textId="77777777" w:rsidR="00757365" w:rsidRPr="006E0E09" w:rsidRDefault="00757365" w:rsidP="0075736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lastRenderedPageBreak/>
        <w:t>Tailor content for diverse cultural and gender groups.</w:t>
      </w:r>
    </w:p>
    <w:p w14:paraId="2905E2B1" w14:textId="77777777" w:rsidR="00E04E70" w:rsidRDefault="00757365" w:rsidP="00963BB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Strengthen data-privacy protection and link to verified health services (Wadham et al., 2019).</w:t>
      </w:r>
    </w:p>
    <w:p w14:paraId="32F68524" w14:textId="77777777" w:rsidR="002A0068" w:rsidRDefault="002A0068" w:rsidP="002A0068">
      <w:pPr>
        <w:rPr>
          <w:rFonts w:ascii="Arial" w:hAnsi="Arial" w:cs="Arial"/>
        </w:rPr>
      </w:pPr>
    </w:p>
    <w:p w14:paraId="018FB9AB" w14:textId="6AE33219" w:rsidR="00963BB5" w:rsidRPr="00E04E70" w:rsidRDefault="00963BB5" w:rsidP="00E04E70">
      <w:pPr>
        <w:rPr>
          <w:rFonts w:ascii="Arial" w:hAnsi="Arial" w:cs="Arial"/>
        </w:rPr>
      </w:pPr>
      <w:r w:rsidRPr="00E04E70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Conclusion</w:t>
      </w:r>
    </w:p>
    <w:p w14:paraId="630AD95F" w14:textId="41A7094A" w:rsidR="00963BB5" w:rsidRDefault="009D7223" w:rsidP="00963BB5">
      <w:pPr>
        <w:rPr>
          <w:rFonts w:ascii="Arial" w:hAnsi="Arial" w:cs="Arial"/>
        </w:rPr>
      </w:pPr>
      <w:proofErr w:type="spellStart"/>
      <w:r w:rsidRPr="009D7223">
        <w:rPr>
          <w:rFonts w:ascii="Arial" w:hAnsi="Arial" w:cs="Arial"/>
        </w:rPr>
        <w:t>MyPEEPS</w:t>
      </w:r>
      <w:proofErr w:type="spellEnd"/>
      <w:r w:rsidRPr="009D7223">
        <w:rPr>
          <w:rFonts w:ascii="Arial" w:hAnsi="Arial" w:cs="Arial"/>
        </w:rPr>
        <w:t xml:space="preserve"> Mobile illustrates how digital technology can make sexual-health education engaging, confidential, and effective. By blending scientific evidence with youth-friendly design, it empowers adolescents to make safer decisions. With ongoing evaluation, inclusive design, and ethical safeguards, </w:t>
      </w:r>
      <w:proofErr w:type="spellStart"/>
      <w:r w:rsidRPr="009D7223">
        <w:rPr>
          <w:rFonts w:ascii="Arial" w:hAnsi="Arial" w:cs="Arial"/>
        </w:rPr>
        <w:t>MyPEEPS</w:t>
      </w:r>
      <w:proofErr w:type="spellEnd"/>
      <w:r w:rsidRPr="009D7223">
        <w:rPr>
          <w:rFonts w:ascii="Arial" w:hAnsi="Arial" w:cs="Arial"/>
        </w:rPr>
        <w:t xml:space="preserve"> can continue contributing to global sexual-health promotion.</w:t>
      </w:r>
    </w:p>
    <w:p w14:paraId="04FE8E72" w14:textId="77777777" w:rsidR="00FD0B31" w:rsidRDefault="00FD0B31" w:rsidP="00963BB5">
      <w:pPr>
        <w:rPr>
          <w:rFonts w:ascii="Arial" w:hAnsi="Arial" w:cs="Arial"/>
        </w:rPr>
      </w:pPr>
    </w:p>
    <w:p w14:paraId="73189548" w14:textId="1123D81B" w:rsidR="002F4D38" w:rsidRPr="002F4D38" w:rsidRDefault="00FD0B31" w:rsidP="00FD0B31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R</w:t>
      </w:r>
      <w:r w:rsidR="00D56489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eference list</w:t>
      </w: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 </w:t>
      </w:r>
    </w:p>
    <w:p w14:paraId="00C4B5F4" w14:textId="0422DC32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Brown, J.D. et al. (2022) ‘Efficacy of the </w:t>
      </w:r>
      <w:proofErr w:type="spellStart"/>
      <w:r w:rsidRPr="002F4D38">
        <w:rPr>
          <w:rFonts w:ascii="Arial" w:hAnsi="Arial" w:cs="Arial"/>
        </w:rPr>
        <w:t>MyPEEPS</w:t>
      </w:r>
      <w:proofErr w:type="spellEnd"/>
      <w:r w:rsidRPr="002F4D38">
        <w:rPr>
          <w:rFonts w:ascii="Arial" w:hAnsi="Arial" w:cs="Arial"/>
        </w:rPr>
        <w:t xml:space="preserve"> mobile intervention to reduce sexual risk among adolescent men who have sex with men: Results of a randomized controlled trial’, </w:t>
      </w:r>
      <w:r w:rsidRPr="002F4D38">
        <w:rPr>
          <w:rFonts w:ascii="Arial" w:hAnsi="Arial" w:cs="Arial"/>
          <w:i/>
          <w:iCs/>
        </w:rPr>
        <w:t xml:space="preserve">AIDS and </w:t>
      </w:r>
      <w:proofErr w:type="spellStart"/>
      <w:r w:rsidRPr="002F4D38">
        <w:rPr>
          <w:rFonts w:ascii="Arial" w:hAnsi="Arial" w:cs="Arial"/>
          <w:i/>
          <w:iCs/>
        </w:rPr>
        <w:t>Behavior</w:t>
      </w:r>
      <w:proofErr w:type="spellEnd"/>
      <w:r w:rsidRPr="002F4D38">
        <w:rPr>
          <w:rFonts w:ascii="Arial" w:hAnsi="Arial" w:cs="Arial"/>
        </w:rPr>
        <w:t>, 26(7), pp. 2365–2377.</w:t>
      </w:r>
    </w:p>
    <w:p w14:paraId="22ECABB5" w14:textId="27263B7B" w:rsidR="00FD0B31" w:rsidRDefault="00FD0B31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t>Gabarron</w:t>
      </w:r>
      <w:proofErr w:type="spellEnd"/>
      <w:r w:rsidRPr="00FD0B31">
        <w:rPr>
          <w:rFonts w:ascii="Arial" w:hAnsi="Arial" w:cs="Arial"/>
        </w:rPr>
        <w:t xml:space="preserve">, E. and Wynn, R. (2016) ‘Use of social media for sexual health promotion: A scoping review’, </w:t>
      </w:r>
      <w:r w:rsidRPr="00FD0B31">
        <w:rPr>
          <w:rFonts w:ascii="Arial" w:hAnsi="Arial" w:cs="Arial"/>
          <w:i/>
          <w:iCs/>
        </w:rPr>
        <w:t>Global Health Action</w:t>
      </w:r>
      <w:r w:rsidRPr="00FD0B31">
        <w:rPr>
          <w:rFonts w:ascii="Arial" w:hAnsi="Arial" w:cs="Arial"/>
        </w:rPr>
        <w:t>, 9(1), p. 32193.</w:t>
      </w:r>
    </w:p>
    <w:p w14:paraId="293DD581" w14:textId="36CD005C" w:rsidR="002F4D38" w:rsidRPr="00FD0B31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Gilliam, M.L. et al. (2020) ‘Enhancing digital sexual health education for adolescents: Findings from a randomized trial’,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66(2), pp. 135–143.</w:t>
      </w:r>
    </w:p>
    <w:p w14:paraId="4EE86885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Guse, K. et al. (2012) ‘Interventions using new digital media to improve adolescent sexual health: A systematic review’,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51(6), pp. 535–543.</w:t>
      </w:r>
    </w:p>
    <w:p w14:paraId="2162DFE5" w14:textId="1160F01E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Montgomery, P., Knerr, W. and Weatherford, R.D. (2021) ‘The effectiveness of digital sexual health interventions for young people: A systematic review and meta-analysis’,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18(6), pp. 495–506.</w:t>
      </w:r>
    </w:p>
    <w:p w14:paraId="69C1CA75" w14:textId="44E9424F" w:rsidR="002F4D38" w:rsidRPr="00FD0B31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Mustanski, B. et al. (2019) ‘Effects of an online HIV prevention program for young men who have sex with men: A randomized controlled trial’,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65(1), pp. 87–95.</w:t>
      </w:r>
    </w:p>
    <w:p w14:paraId="7D926B8F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UNFPA (2022) </w:t>
      </w:r>
      <w:r w:rsidRPr="002F4D38">
        <w:rPr>
          <w:rFonts w:ascii="Arial" w:hAnsi="Arial" w:cs="Arial"/>
          <w:i/>
          <w:iCs/>
        </w:rPr>
        <w:t>Sexual and reproductive health and rights: The foundation for sustainable development</w:t>
      </w:r>
      <w:r w:rsidRPr="002F4D38">
        <w:rPr>
          <w:rFonts w:ascii="Arial" w:hAnsi="Arial" w:cs="Arial"/>
        </w:rPr>
        <w:t xml:space="preserve">. Available at: </w:t>
      </w:r>
      <w:hyperlink r:id="rId8" w:tgtFrame="_new" w:history="1">
        <w:r w:rsidRPr="002F4D38">
          <w:rPr>
            <w:rStyle w:val="Hyperlink"/>
            <w:rFonts w:ascii="Arial" w:hAnsi="Arial" w:cs="Arial"/>
          </w:rPr>
          <w:t>https://www.unfpa.org/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0EB1DECB" w14:textId="1EA36625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Wadham, E., Green, C., Debattista, J., Somerset, S. and Sav, A. (2019) ‘New digital media interventions for sexual health promotion: A systematic review’,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16(2), pp. 101–123.</w:t>
      </w:r>
    </w:p>
    <w:p w14:paraId="19FA5357" w14:textId="77777777" w:rsidR="00FC0A9C" w:rsidRDefault="00FC0A9C" w:rsidP="00FC0A9C">
      <w:pPr>
        <w:rPr>
          <w:rFonts w:ascii="Arial" w:hAnsi="Arial" w:cs="Arial"/>
        </w:rPr>
      </w:pPr>
      <w:r w:rsidRPr="00FC0A9C">
        <w:rPr>
          <w:rFonts w:ascii="Arial" w:hAnsi="Arial" w:cs="Arial"/>
        </w:rPr>
        <w:lastRenderedPageBreak/>
        <w:t>World Health Organization (1986</w:t>
      </w:r>
      <w:r w:rsidRPr="00FC0A9C">
        <w:rPr>
          <w:rFonts w:ascii="Arial" w:hAnsi="Arial" w:cs="Arial"/>
          <w:i/>
          <w:iCs/>
        </w:rPr>
        <w:t>) Ottawa Charter for Health Promotion</w:t>
      </w:r>
      <w:r w:rsidRPr="00FC0A9C">
        <w:rPr>
          <w:rFonts w:ascii="Arial" w:hAnsi="Arial" w:cs="Arial"/>
        </w:rPr>
        <w:t>. Geneva: World Health Organization.</w:t>
      </w:r>
    </w:p>
    <w:p w14:paraId="2B02BDEB" w14:textId="4718D19D" w:rsidR="00FD0B31" w:rsidRDefault="002F4D38" w:rsidP="00963BB5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World Health Organization (2023) </w:t>
      </w:r>
      <w:r w:rsidRPr="002F4D38">
        <w:rPr>
          <w:rFonts w:ascii="Arial" w:hAnsi="Arial" w:cs="Arial"/>
          <w:i/>
          <w:iCs/>
        </w:rPr>
        <w:t>Sexually transmitted infections (STIs): Key facts</w:t>
      </w:r>
      <w:r w:rsidRPr="002F4D38">
        <w:rPr>
          <w:rFonts w:ascii="Arial" w:hAnsi="Arial" w:cs="Arial"/>
        </w:rPr>
        <w:t xml:space="preserve">. Available at: </w:t>
      </w:r>
      <w:hyperlink r:id="rId9" w:tgtFrame="_new" w:history="1">
        <w:r w:rsidRPr="002F4D38">
          <w:rPr>
            <w:rStyle w:val="Hyperlink"/>
            <w:rFonts w:ascii="Arial" w:hAnsi="Arial" w:cs="Arial"/>
          </w:rPr>
          <w:t>https://www.who.int/news-room/fact-sheets/detail/sexually-transmitted-infections-(stis)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7B1CDD75" w14:textId="77777777" w:rsidR="002F4D38" w:rsidRDefault="002F4D38" w:rsidP="00963BB5">
      <w:pPr>
        <w:rPr>
          <w:rFonts w:ascii="Arial" w:hAnsi="Arial" w:cs="Arial"/>
        </w:rPr>
      </w:pPr>
    </w:p>
    <w:p w14:paraId="55C6C697" w14:textId="77777777" w:rsidR="002F4D38" w:rsidRDefault="002F4D38" w:rsidP="00963BB5">
      <w:pPr>
        <w:rPr>
          <w:rFonts w:ascii="Arial" w:hAnsi="Arial" w:cs="Arial"/>
        </w:rPr>
      </w:pPr>
    </w:p>
    <w:p w14:paraId="111B072C" w14:textId="77777777" w:rsidR="002F4D38" w:rsidRDefault="002F4D38" w:rsidP="00963BB5">
      <w:pPr>
        <w:rPr>
          <w:rFonts w:ascii="Arial" w:hAnsi="Arial" w:cs="Arial"/>
        </w:rPr>
      </w:pPr>
    </w:p>
    <w:p w14:paraId="6A38D7F1" w14:textId="77777777" w:rsidR="002F4D38" w:rsidRDefault="002F4D38" w:rsidP="00963BB5">
      <w:pPr>
        <w:rPr>
          <w:rFonts w:ascii="Arial" w:hAnsi="Arial" w:cs="Arial"/>
        </w:rPr>
      </w:pPr>
    </w:p>
    <w:p w14:paraId="09D99640" w14:textId="77777777" w:rsidR="002F4D38" w:rsidRDefault="002F4D38" w:rsidP="00963BB5">
      <w:pPr>
        <w:rPr>
          <w:rFonts w:ascii="Arial" w:hAnsi="Arial" w:cs="Arial"/>
        </w:rPr>
      </w:pPr>
    </w:p>
    <w:p w14:paraId="0A8A7C7B" w14:textId="77777777" w:rsidR="002F4D38" w:rsidRDefault="002F4D38" w:rsidP="00963BB5">
      <w:pPr>
        <w:rPr>
          <w:rFonts w:ascii="Arial" w:hAnsi="Arial" w:cs="Arial"/>
        </w:rPr>
      </w:pPr>
    </w:p>
    <w:p w14:paraId="1AD88209" w14:textId="77777777" w:rsidR="002F4D38" w:rsidRDefault="002F4D38" w:rsidP="00963BB5">
      <w:pPr>
        <w:rPr>
          <w:rFonts w:ascii="Arial" w:hAnsi="Arial" w:cs="Arial"/>
        </w:rPr>
      </w:pPr>
    </w:p>
    <w:p w14:paraId="73BB28BD" w14:textId="77777777" w:rsidR="002F4D38" w:rsidRDefault="002F4D38" w:rsidP="00963BB5">
      <w:pPr>
        <w:rPr>
          <w:rFonts w:ascii="Arial" w:hAnsi="Arial" w:cs="Arial"/>
        </w:rPr>
      </w:pPr>
    </w:p>
    <w:p w14:paraId="7D1F2A4E" w14:textId="77777777" w:rsidR="002F4D38" w:rsidRDefault="002F4D38" w:rsidP="00963BB5">
      <w:pPr>
        <w:rPr>
          <w:rFonts w:ascii="Arial" w:hAnsi="Arial" w:cs="Arial"/>
        </w:rPr>
      </w:pPr>
    </w:p>
    <w:p w14:paraId="32F866C7" w14:textId="77777777" w:rsidR="002F4D38" w:rsidRDefault="002F4D38" w:rsidP="00963BB5">
      <w:pPr>
        <w:rPr>
          <w:rFonts w:ascii="Arial" w:hAnsi="Arial" w:cs="Arial"/>
        </w:rPr>
      </w:pPr>
    </w:p>
    <w:p w14:paraId="4F17B70D" w14:textId="77777777" w:rsidR="002F4D38" w:rsidRDefault="002F4D38" w:rsidP="00963BB5">
      <w:pPr>
        <w:rPr>
          <w:rFonts w:ascii="Arial" w:hAnsi="Arial" w:cs="Arial"/>
        </w:rPr>
      </w:pPr>
    </w:p>
    <w:p w14:paraId="490DD3C2" w14:textId="77777777" w:rsidR="002F4D38" w:rsidRDefault="002F4D38" w:rsidP="00963BB5">
      <w:pPr>
        <w:rPr>
          <w:rFonts w:ascii="Arial" w:hAnsi="Arial" w:cs="Arial"/>
        </w:rPr>
      </w:pPr>
    </w:p>
    <w:p w14:paraId="2E53EF3D" w14:textId="77777777" w:rsidR="002F4D38" w:rsidRDefault="002F4D38" w:rsidP="00963BB5">
      <w:pPr>
        <w:rPr>
          <w:rFonts w:ascii="Arial" w:hAnsi="Arial" w:cs="Arial"/>
        </w:rPr>
      </w:pPr>
    </w:p>
    <w:p w14:paraId="5D71062C" w14:textId="77777777" w:rsidR="002F4D38" w:rsidRDefault="002F4D38" w:rsidP="00963BB5">
      <w:pPr>
        <w:rPr>
          <w:rFonts w:ascii="Arial" w:hAnsi="Arial" w:cs="Arial"/>
        </w:rPr>
      </w:pPr>
    </w:p>
    <w:p w14:paraId="1E7024D8" w14:textId="77777777" w:rsidR="002F4D38" w:rsidRDefault="002F4D38" w:rsidP="00963BB5">
      <w:pPr>
        <w:rPr>
          <w:rFonts w:ascii="Arial" w:hAnsi="Arial" w:cs="Arial"/>
        </w:rPr>
      </w:pPr>
    </w:p>
    <w:p w14:paraId="3777496F" w14:textId="77777777" w:rsidR="002F4D38" w:rsidRDefault="002F4D38" w:rsidP="00963BB5">
      <w:pPr>
        <w:rPr>
          <w:rFonts w:ascii="Arial" w:hAnsi="Arial" w:cs="Arial"/>
        </w:rPr>
      </w:pPr>
    </w:p>
    <w:p w14:paraId="660424DD" w14:textId="77777777" w:rsidR="002F4D38" w:rsidRDefault="002F4D38" w:rsidP="00963BB5">
      <w:pPr>
        <w:rPr>
          <w:rFonts w:ascii="Arial" w:hAnsi="Arial" w:cs="Arial"/>
        </w:rPr>
      </w:pPr>
    </w:p>
    <w:p w14:paraId="552ECDD8" w14:textId="77777777" w:rsidR="002F4D38" w:rsidRDefault="002F4D38" w:rsidP="00963BB5">
      <w:pPr>
        <w:rPr>
          <w:rFonts w:ascii="Arial" w:hAnsi="Arial" w:cs="Arial"/>
        </w:rPr>
      </w:pPr>
    </w:p>
    <w:p w14:paraId="1252BC5C" w14:textId="77777777" w:rsidR="002F4D38" w:rsidRDefault="002F4D38" w:rsidP="00963BB5">
      <w:pPr>
        <w:rPr>
          <w:rFonts w:ascii="Arial" w:hAnsi="Arial" w:cs="Arial"/>
        </w:rPr>
      </w:pPr>
    </w:p>
    <w:p w14:paraId="1CC17F32" w14:textId="77777777" w:rsidR="002F4D38" w:rsidRDefault="002F4D38" w:rsidP="00963BB5">
      <w:pPr>
        <w:rPr>
          <w:rFonts w:ascii="Arial" w:hAnsi="Arial" w:cs="Arial"/>
        </w:rPr>
      </w:pPr>
    </w:p>
    <w:p w14:paraId="23D50232" w14:textId="77777777" w:rsidR="002F4D38" w:rsidRDefault="002F4D38" w:rsidP="00963BB5">
      <w:pPr>
        <w:rPr>
          <w:rFonts w:ascii="Arial" w:hAnsi="Arial" w:cs="Arial"/>
        </w:rPr>
      </w:pPr>
    </w:p>
    <w:p w14:paraId="569EA00A" w14:textId="77777777" w:rsidR="002F4D38" w:rsidRDefault="002F4D38" w:rsidP="00963BB5">
      <w:pPr>
        <w:rPr>
          <w:rFonts w:ascii="Arial" w:hAnsi="Arial" w:cs="Arial"/>
        </w:rPr>
      </w:pPr>
    </w:p>
    <w:p w14:paraId="0EB2AE95" w14:textId="77777777" w:rsidR="002F4D38" w:rsidRDefault="002F4D38" w:rsidP="00963BB5">
      <w:pPr>
        <w:rPr>
          <w:rFonts w:ascii="Arial" w:hAnsi="Arial" w:cs="Arial"/>
        </w:rPr>
      </w:pPr>
    </w:p>
    <w:p w14:paraId="7040B9A2" w14:textId="77777777" w:rsidR="002F4D38" w:rsidRPr="009D7223" w:rsidRDefault="002F4D38" w:rsidP="00963BB5">
      <w:pPr>
        <w:rPr>
          <w:rFonts w:ascii="Arial" w:hAnsi="Arial" w:cs="Arial"/>
        </w:rPr>
      </w:pPr>
    </w:p>
    <w:p w14:paraId="1175E054" w14:textId="77777777" w:rsidR="009D7223" w:rsidRDefault="009D7223" w:rsidP="00963BB5">
      <w:pPr>
        <w:rPr>
          <w:rFonts w:ascii="Arial" w:hAnsi="Arial" w:cs="Arial"/>
        </w:rPr>
      </w:pPr>
    </w:p>
    <w:p w14:paraId="7998D93F" w14:textId="77777777" w:rsidR="00FD0B31" w:rsidRDefault="00FD0B31" w:rsidP="00963BB5">
      <w:pPr>
        <w:rPr>
          <w:rFonts w:ascii="Arial" w:hAnsi="Arial" w:cs="Arial"/>
        </w:rPr>
      </w:pPr>
    </w:p>
    <w:p w14:paraId="31900FCE" w14:textId="500464FB" w:rsidR="00963BB5" w:rsidRDefault="00F37E5C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  <w: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Blog 2: </w:t>
      </w:r>
      <w:proofErr w:type="spellStart"/>
      <w:r w:rsidR="00963BB5"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>SafeConnect</w:t>
      </w:r>
      <w:proofErr w:type="spellEnd"/>
      <w:r w:rsidR="00963BB5"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 – A New Digital Innovation for Sexual Health Promotion</w:t>
      </w:r>
    </w:p>
    <w:p w14:paraId="5AA626FF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44D51A3B" w14:textId="6D945F30" w:rsidR="002A0068" w:rsidRDefault="002A0068" w:rsidP="002A0068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014AE0B" wp14:editId="1A2A6871">
            <wp:extent cx="4381168" cy="4381168"/>
            <wp:effectExtent l="0" t="0" r="635" b="635"/>
            <wp:docPr id="2147133319" name="Picture 4" descr="A hand holding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133319" name="Picture 4" descr="A hand holding a cell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2592" cy="439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053B7" w14:textId="6DB2C97B" w:rsidR="002A0068" w:rsidRPr="002A0068" w:rsidRDefault="002A0068" w:rsidP="002A0068">
      <w:pPr>
        <w:jc w:val="center"/>
        <w:rPr>
          <w:rFonts w:ascii="Arial" w:hAnsi="Arial" w:cs="Arial"/>
          <w:sz w:val="28"/>
          <w:szCs w:val="28"/>
        </w:rPr>
      </w:pPr>
      <w:r w:rsidRPr="002A0068">
        <w:rPr>
          <w:rFonts w:ascii="Arial" w:hAnsi="Arial" w:cs="Arial"/>
          <w:b/>
          <w:bCs/>
          <w:sz w:val="28"/>
          <w:szCs w:val="28"/>
        </w:rPr>
        <w:t xml:space="preserve">Figure </w:t>
      </w:r>
      <w:r w:rsidR="002B32AE">
        <w:rPr>
          <w:rFonts w:ascii="Arial" w:hAnsi="Arial" w:cs="Arial"/>
          <w:b/>
          <w:bCs/>
          <w:sz w:val="28"/>
          <w:szCs w:val="28"/>
        </w:rPr>
        <w:t>3</w:t>
      </w:r>
      <w:r w:rsidRPr="002A0068">
        <w:rPr>
          <w:rFonts w:ascii="Arial" w:hAnsi="Arial" w:cs="Arial"/>
          <w:b/>
          <w:bCs/>
          <w:sz w:val="28"/>
          <w:szCs w:val="28"/>
        </w:rPr>
        <w:t>:</w:t>
      </w:r>
      <w:r w:rsidRPr="002A0068">
        <w:rPr>
          <w:rFonts w:ascii="Arial" w:hAnsi="Arial" w:cs="Arial"/>
          <w:sz w:val="28"/>
          <w:szCs w:val="28"/>
        </w:rPr>
        <w:t xml:space="preserve"> Concept illustration of the </w:t>
      </w:r>
      <w:proofErr w:type="spellStart"/>
      <w:r w:rsidRPr="002A0068">
        <w:rPr>
          <w:rFonts w:ascii="Arial" w:hAnsi="Arial" w:cs="Arial"/>
          <w:sz w:val="28"/>
          <w:szCs w:val="28"/>
        </w:rPr>
        <w:t>SafeConnect</w:t>
      </w:r>
      <w:proofErr w:type="spellEnd"/>
      <w:r w:rsidRPr="002A0068">
        <w:rPr>
          <w:rFonts w:ascii="Arial" w:hAnsi="Arial" w:cs="Arial"/>
          <w:sz w:val="28"/>
          <w:szCs w:val="28"/>
        </w:rPr>
        <w:t xml:space="preserve"> app, featuring an AI chatbot and youth-friendly sexual-health tools.</w:t>
      </w:r>
    </w:p>
    <w:p w14:paraId="131A9DE2" w14:textId="0A92F866" w:rsidR="005905E1" w:rsidRPr="00963BB5" w:rsidRDefault="005905E1" w:rsidP="00963BB5">
      <w:pPr>
        <w:rPr>
          <w:rFonts w:ascii="Arial" w:hAnsi="Arial" w:cs="Arial"/>
          <w:b/>
          <w:bCs/>
        </w:rPr>
      </w:pPr>
    </w:p>
    <w:p w14:paraId="6ACBC8FC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Introduction</w:t>
      </w:r>
    </w:p>
    <w:p w14:paraId="316EAFD0" w14:textId="239F97B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>Many young people still struggle to access accurate sexual-health information.</w:t>
      </w:r>
    </w:p>
    <w:p w14:paraId="7E5B7EB3" w14:textId="43E5B534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>Key barriers include:</w:t>
      </w:r>
    </w:p>
    <w:p w14:paraId="17188574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Stigma</w:t>
      </w:r>
    </w:p>
    <w:p w14:paraId="22C46053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Misinformation</w:t>
      </w:r>
    </w:p>
    <w:p w14:paraId="62B017EF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Privacy concerns</w:t>
      </w:r>
    </w:p>
    <w:p w14:paraId="1893061E" w14:textId="77777777" w:rsidR="00E04E70" w:rsidRPr="006E68C5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6E68C5">
        <w:rPr>
          <w:rFonts w:ascii="Arial" w:hAnsi="Arial" w:cs="Arial"/>
        </w:rPr>
        <w:lastRenderedPageBreak/>
        <w:t>Limited access to youth-friendly services</w:t>
      </w:r>
      <w:r w:rsidRPr="006E68C5">
        <w:rPr>
          <w:rFonts w:ascii="Arial" w:hAnsi="Arial" w:cs="Arial"/>
        </w:rPr>
        <w:br/>
        <w:t>(UNFPA, 2022; Montgomery et al., 2021)</w:t>
      </w:r>
    </w:p>
    <w:p w14:paraId="4DEEFCB2" w14:textId="03AC9E29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  <w:b/>
          <w:bCs/>
        </w:rPr>
        <w:t>SafeConnect</w:t>
      </w:r>
      <w:proofErr w:type="spellEnd"/>
      <w:r w:rsidRPr="00E04E70">
        <w:rPr>
          <w:rFonts w:ascii="Arial" w:hAnsi="Arial" w:cs="Arial"/>
        </w:rPr>
        <w:t xml:space="preserve"> is a newly designed mobile app created to address these challenges.</w:t>
      </w:r>
      <w:r>
        <w:rPr>
          <w:rFonts w:ascii="Arial" w:hAnsi="Arial" w:cs="Arial"/>
        </w:rPr>
        <w:t xml:space="preserve"> </w:t>
      </w:r>
      <w:r w:rsidRPr="00E04E70">
        <w:rPr>
          <w:rFonts w:ascii="Arial" w:hAnsi="Arial" w:cs="Arial"/>
        </w:rPr>
        <w:t xml:space="preserve">The app provides a </w:t>
      </w:r>
      <w:r w:rsidRPr="00E04E70">
        <w:rPr>
          <w:rFonts w:ascii="Arial" w:hAnsi="Arial" w:cs="Arial"/>
          <w:b/>
          <w:bCs/>
        </w:rPr>
        <w:t>confidential, evidence-based, and interactive</w:t>
      </w:r>
      <w:r w:rsidRPr="00E04E70">
        <w:rPr>
          <w:rFonts w:ascii="Arial" w:hAnsi="Arial" w:cs="Arial"/>
        </w:rPr>
        <w:t xml:space="preserve"> digital platform for sexual-health education.</w:t>
      </w:r>
    </w:p>
    <w:p w14:paraId="79A860B3" w14:textId="4AD5B79A" w:rsid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  <w:b/>
          <w:bCs/>
        </w:rPr>
        <w:t>Aim:</w:t>
      </w:r>
      <w:r w:rsidRPr="00E04E70">
        <w:rPr>
          <w:rFonts w:ascii="Arial" w:hAnsi="Arial" w:cs="Arial"/>
        </w:rPr>
        <w:t xml:space="preserve"> Empower young people with accessible tools to improve their sexual-health knowledge and behaviours.</w:t>
      </w:r>
    </w:p>
    <w:p w14:paraId="06A0B000" w14:textId="77777777" w:rsidR="007E07D5" w:rsidRDefault="007E07D5" w:rsidP="00E04E70">
      <w:pPr>
        <w:rPr>
          <w:rFonts w:ascii="Arial" w:hAnsi="Arial" w:cs="Arial"/>
        </w:rPr>
      </w:pPr>
    </w:p>
    <w:p w14:paraId="788D83CC" w14:textId="4F99B1BD" w:rsidR="007E07D5" w:rsidRDefault="007E07D5" w:rsidP="007E07D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448ACE" wp14:editId="636155EE">
            <wp:extent cx="5486400" cy="3200400"/>
            <wp:effectExtent l="0" t="0" r="0" b="0"/>
            <wp:docPr id="117095679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D2DC7E3" w14:textId="1EC1ED13" w:rsidR="002A0068" w:rsidRPr="00E04E70" w:rsidRDefault="002B32AE" w:rsidP="007E07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Figure 4</w:t>
      </w:r>
      <w:r w:rsidR="002A0068" w:rsidRPr="002A0068">
        <w:rPr>
          <w:rFonts w:ascii="Arial" w:hAnsi="Arial" w:cs="Arial"/>
          <w:b/>
          <w:bCs/>
          <w:sz w:val="28"/>
          <w:szCs w:val="28"/>
        </w:rPr>
        <w:t>:</w:t>
      </w:r>
      <w:r w:rsidR="002A0068" w:rsidRPr="002A0068">
        <w:rPr>
          <w:rFonts w:ascii="Arial" w:hAnsi="Arial" w:cs="Arial"/>
          <w:sz w:val="28"/>
          <w:szCs w:val="28"/>
        </w:rPr>
        <w:t xml:space="preserve"> Major barriers impacting adolescents’ access to sexual-health information</w:t>
      </w:r>
    </w:p>
    <w:p w14:paraId="394FBDCB" w14:textId="77777777" w:rsidR="009D7223" w:rsidRPr="00963BB5" w:rsidRDefault="009D7223" w:rsidP="00963BB5">
      <w:pPr>
        <w:rPr>
          <w:rFonts w:ascii="Arial" w:hAnsi="Arial" w:cs="Arial"/>
        </w:rPr>
      </w:pPr>
    </w:p>
    <w:p w14:paraId="2C46285B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Description of </w:t>
      </w:r>
      <w:proofErr w:type="spellStart"/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SafeConnect</w:t>
      </w:r>
      <w:proofErr w:type="spellEnd"/>
    </w:p>
    <w:p w14:paraId="66C8AE15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offers a range of digital features designed to improve sexual-health access and engagement among young people. The app brings together education, AI support, and personalised digital tools to create a more inclusive and youth-friendly learning experience (</w:t>
      </w:r>
      <w:proofErr w:type="spellStart"/>
      <w:r w:rsidRPr="00E04E70">
        <w:rPr>
          <w:rFonts w:ascii="Arial" w:hAnsi="Arial" w:cs="Arial"/>
        </w:rPr>
        <w:t>Gabarron</w:t>
      </w:r>
      <w:proofErr w:type="spellEnd"/>
      <w:r w:rsidRPr="00E04E70">
        <w:rPr>
          <w:rFonts w:ascii="Arial" w:hAnsi="Arial" w:cs="Arial"/>
        </w:rPr>
        <w:t xml:space="preserve"> &amp; Wynn, 2016; Tark et al., 2019).</w:t>
      </w:r>
    </w:p>
    <w:p w14:paraId="3BCB5131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It provides educational resources that strengthen sexual-health knowledge (</w:t>
      </w:r>
      <w:proofErr w:type="spellStart"/>
      <w:r w:rsidRPr="00E04E70">
        <w:rPr>
          <w:rFonts w:ascii="Arial" w:hAnsi="Arial" w:cs="Arial"/>
        </w:rPr>
        <w:t>Gabarron</w:t>
      </w:r>
      <w:proofErr w:type="spellEnd"/>
      <w:r w:rsidRPr="00E04E70">
        <w:rPr>
          <w:rFonts w:ascii="Arial" w:hAnsi="Arial" w:cs="Arial"/>
        </w:rPr>
        <w:t xml:space="preserve"> &amp; Wynn, 2016).</w:t>
      </w:r>
    </w:p>
    <w:p w14:paraId="01F69E6B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An AI-powered chatbot allows users to ask questions anonymously and receive instant, reliable guidance (</w:t>
      </w:r>
      <w:proofErr w:type="spellStart"/>
      <w:r w:rsidRPr="00E04E70">
        <w:rPr>
          <w:rFonts w:ascii="Arial" w:hAnsi="Arial" w:cs="Arial"/>
        </w:rPr>
        <w:t>Alghonaim</w:t>
      </w:r>
      <w:proofErr w:type="spellEnd"/>
      <w:r w:rsidRPr="00E04E70">
        <w:rPr>
          <w:rFonts w:ascii="Arial" w:hAnsi="Arial" w:cs="Arial"/>
        </w:rPr>
        <w:t xml:space="preserve"> et al., 2023).</w:t>
      </w:r>
    </w:p>
    <w:p w14:paraId="6D282BA3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lastRenderedPageBreak/>
        <w:t>The clinic locator helps young people find nearby services and book appointments through the app (Wadham et al., 2019).</w:t>
      </w:r>
    </w:p>
    <w:p w14:paraId="05DC8346" w14:textId="77777777" w:rsidR="00E04E70" w:rsidRDefault="00E04E70" w:rsidP="00963BB5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The app adapts its content according to user age, gender identity, and cultural background, making it more inclusive for diverse youth populations (Montgomery et al., 2021).</w:t>
      </w:r>
    </w:p>
    <w:p w14:paraId="43DD3663" w14:textId="4847CEFC" w:rsidR="00963BB5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By combining these evidence-based features, </w:t>
      </w: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has the potential to support safer sexual-health decision-making and reduce common access barriers for young people.</w:t>
      </w:r>
    </w:p>
    <w:p w14:paraId="43ED884E" w14:textId="77777777" w:rsidR="005905E1" w:rsidRPr="00963BB5" w:rsidRDefault="005905E1" w:rsidP="00963BB5">
      <w:pPr>
        <w:rPr>
          <w:rFonts w:ascii="Arial" w:hAnsi="Arial" w:cs="Arial"/>
        </w:rPr>
      </w:pPr>
    </w:p>
    <w:p w14:paraId="187C5FCA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How It Promotes Health</w:t>
      </w:r>
    </w:p>
    <w:p w14:paraId="4F1D13DF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helps overcome the key barriers young people face in accessing sexual-health support by offering a private, judgment-free environment that encourages open learning and safer behaviours (Hollmann et al., 2022).</w:t>
      </w:r>
    </w:p>
    <w:p w14:paraId="29902A94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The app boosts users’ self-efficacy by providing clear, supportive guidance on sexual-health decisions (Feroz et al., 2021).</w:t>
      </w:r>
    </w:p>
    <w:p w14:paraId="1ABE3E11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Its approach aligns with the </w:t>
      </w:r>
      <w:r w:rsidRPr="00E04E70">
        <w:rPr>
          <w:rFonts w:ascii="Arial" w:hAnsi="Arial" w:cs="Arial"/>
          <w:b/>
          <w:bCs/>
        </w:rPr>
        <w:t>Health Belief Model (HBM)</w:t>
      </w:r>
      <w:r w:rsidRPr="00E04E70">
        <w:rPr>
          <w:rFonts w:ascii="Arial" w:hAnsi="Arial" w:cs="Arial"/>
        </w:rPr>
        <w:t>, emphasising perceived risk, perceived benefits, and cues to action that motivate behaviour change (Rosenstock, 1974).</w:t>
      </w:r>
    </w:p>
    <w:p w14:paraId="0F5FE4E6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also follows the </w:t>
      </w:r>
      <w:r w:rsidRPr="00E04E70">
        <w:rPr>
          <w:rFonts w:ascii="Arial" w:hAnsi="Arial" w:cs="Arial"/>
          <w:b/>
          <w:bCs/>
        </w:rPr>
        <w:t>Theory of Planned Behaviour (TPB)</w:t>
      </w:r>
      <w:r w:rsidRPr="00E04E70">
        <w:rPr>
          <w:rFonts w:ascii="Arial" w:hAnsi="Arial" w:cs="Arial"/>
        </w:rPr>
        <w:t>, focusing on attitudes, intentions, and perceived behavioural control as drivers of safer sexual practices (Ajzen, 1991).</w:t>
      </w:r>
    </w:p>
    <w:p w14:paraId="783E8466" w14:textId="7777777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By combining behavioural-theory principles with personalised digital support, </w:t>
      </w: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promotes sustained, safer sexual-health behaviours among adolescents.</w:t>
      </w:r>
    </w:p>
    <w:p w14:paraId="71674021" w14:textId="74A21171" w:rsidR="005905E1" w:rsidRDefault="009D7223" w:rsidP="009D722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88406E7" wp14:editId="398D7636">
            <wp:extent cx="2665542" cy="2528515"/>
            <wp:effectExtent l="0" t="0" r="1905" b="5715"/>
            <wp:docPr id="540104932" name="Picture 5" descr="A diagram of health belief mod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104932" name="Picture 5" descr="A diagram of health belief model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267" cy="255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F9AC2" w14:textId="54CDA04E" w:rsidR="002A0068" w:rsidRPr="002B32AE" w:rsidRDefault="002B32AE" w:rsidP="002B32AE">
      <w:pPr>
        <w:jc w:val="center"/>
        <w:rPr>
          <w:rFonts w:ascii="Arial" w:hAnsi="Arial" w:cs="Arial"/>
          <w:sz w:val="28"/>
          <w:szCs w:val="28"/>
        </w:rPr>
      </w:pPr>
      <w:r w:rsidRPr="002B32AE">
        <w:rPr>
          <w:rFonts w:ascii="Arial" w:hAnsi="Arial" w:cs="Arial"/>
          <w:b/>
          <w:bCs/>
          <w:sz w:val="28"/>
          <w:szCs w:val="28"/>
        </w:rPr>
        <w:t>Figure 5:</w:t>
      </w:r>
      <w:r w:rsidRPr="002B32AE">
        <w:rPr>
          <w:rFonts w:ascii="Arial" w:hAnsi="Arial" w:cs="Arial"/>
          <w:sz w:val="28"/>
          <w:szCs w:val="28"/>
        </w:rPr>
        <w:t xml:space="preserve"> Health Belief Model </w:t>
      </w:r>
      <w:r>
        <w:rPr>
          <w:rFonts w:ascii="Arial" w:hAnsi="Arial" w:cs="Arial"/>
          <w:sz w:val="28"/>
          <w:szCs w:val="28"/>
        </w:rPr>
        <w:t>in our application</w:t>
      </w:r>
    </w:p>
    <w:p w14:paraId="4DB8E15D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lastRenderedPageBreak/>
        <w:t>Critical Discussion</w:t>
      </w:r>
    </w:p>
    <w:p w14:paraId="7A121E88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offers several strengths that make it a promising tool for youth sexual-health promotion, particularly through its accessibility, anonymity, and AI-driven personalisation (</w:t>
      </w:r>
      <w:proofErr w:type="spellStart"/>
      <w:r w:rsidRPr="00E04E70">
        <w:rPr>
          <w:rFonts w:ascii="Arial" w:hAnsi="Arial" w:cs="Arial"/>
        </w:rPr>
        <w:t>Alghonaim</w:t>
      </w:r>
      <w:proofErr w:type="spellEnd"/>
      <w:r w:rsidRPr="00E04E70">
        <w:rPr>
          <w:rFonts w:ascii="Arial" w:hAnsi="Arial" w:cs="Arial"/>
        </w:rPr>
        <w:t xml:space="preserve"> et al., 2023). However, a number of challenges must be addressed to ensure safe and equitable use of the app.</w:t>
      </w:r>
    </w:p>
    <w:p w14:paraId="0582B7FE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Algorithmic bias within the AI chatbot may influence the accuracy or fairness of responses (Bailey et al., 2015).</w:t>
      </w:r>
    </w:p>
    <w:p w14:paraId="02D931A4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Overreliance on digital tools may reduce in-person engagement when professional intervention is necessary (Montgomery et al., 2021).</w:t>
      </w:r>
    </w:p>
    <w:p w14:paraId="24D82EC3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Partnerships with schools, youth groups, and public health agencies could further promote inclusivity and expand access to under-served populations (Wadham et al., 2019).</w:t>
      </w:r>
    </w:p>
    <w:p w14:paraId="1486B8DF" w14:textId="7777777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Together, these considerations highlight the importance of combining digital innovation with ethical safeguards and community engagement to maximise </w:t>
      </w:r>
      <w:proofErr w:type="spellStart"/>
      <w:r w:rsidRPr="00E04E70">
        <w:rPr>
          <w:rFonts w:ascii="Arial" w:hAnsi="Arial" w:cs="Arial"/>
        </w:rPr>
        <w:t>SafeConnect’s</w:t>
      </w:r>
      <w:proofErr w:type="spellEnd"/>
      <w:r w:rsidRPr="00E04E70">
        <w:rPr>
          <w:rFonts w:ascii="Arial" w:hAnsi="Arial" w:cs="Arial"/>
        </w:rPr>
        <w:t xml:space="preserve"> impact.</w:t>
      </w:r>
    </w:p>
    <w:p w14:paraId="28A7D950" w14:textId="77777777" w:rsidR="009D7223" w:rsidRPr="00963BB5" w:rsidRDefault="009D7223" w:rsidP="00963BB5">
      <w:pPr>
        <w:rPr>
          <w:rFonts w:ascii="Arial" w:hAnsi="Arial" w:cs="Arial"/>
        </w:rPr>
      </w:pPr>
    </w:p>
    <w:p w14:paraId="09F476A4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Conclusion</w:t>
      </w:r>
    </w:p>
    <w:p w14:paraId="52C5484D" w14:textId="070853BB" w:rsidR="009D7223" w:rsidRDefault="009D7223" w:rsidP="00963BB5">
      <w:pPr>
        <w:rPr>
          <w:rFonts w:ascii="Arial" w:hAnsi="Arial" w:cs="Arial"/>
        </w:rPr>
      </w:pPr>
      <w:r w:rsidRPr="009D7223">
        <w:rPr>
          <w:rFonts w:ascii="Arial" w:hAnsi="Arial" w:cs="Arial"/>
        </w:rPr>
        <w:t xml:space="preserve">By integrating artificial intelligence, gamification, and real-time support, </w:t>
      </w:r>
      <w:proofErr w:type="spellStart"/>
      <w:r w:rsidRPr="009D7223">
        <w:rPr>
          <w:rFonts w:ascii="Arial" w:hAnsi="Arial" w:cs="Arial"/>
        </w:rPr>
        <w:t>SafeConnect</w:t>
      </w:r>
      <w:proofErr w:type="spellEnd"/>
      <w:r w:rsidRPr="009D7223">
        <w:rPr>
          <w:rFonts w:ascii="Arial" w:hAnsi="Arial" w:cs="Arial"/>
        </w:rPr>
        <w:t xml:space="preserve"> represents a forward-thinking approach to sexual-health promotion. It enhances accessibility, strengthens health literacy, and encourages sustainable behaviour change. With ongoing evaluation, ethical oversight, and inclusive design, </w:t>
      </w:r>
      <w:proofErr w:type="spellStart"/>
      <w:r w:rsidRPr="009D7223">
        <w:rPr>
          <w:rFonts w:ascii="Arial" w:hAnsi="Arial" w:cs="Arial"/>
        </w:rPr>
        <w:t>SafeConnect</w:t>
      </w:r>
      <w:proofErr w:type="spellEnd"/>
      <w:r w:rsidRPr="009D7223">
        <w:rPr>
          <w:rFonts w:ascii="Arial" w:hAnsi="Arial" w:cs="Arial"/>
        </w:rPr>
        <w:t xml:space="preserve"> has the potential to contribute significantly to global sexual-health goals (WHO, 2023; WHO, 1986).</w:t>
      </w:r>
    </w:p>
    <w:p w14:paraId="49A23349" w14:textId="7047011E" w:rsidR="009D7223" w:rsidRDefault="009D7223" w:rsidP="00963BB5">
      <w:pPr>
        <w:rPr>
          <w:rFonts w:ascii="Arial" w:hAnsi="Arial" w:cs="Arial"/>
        </w:rPr>
      </w:pPr>
    </w:p>
    <w:p w14:paraId="1A811485" w14:textId="4FD49FC1" w:rsidR="00963BB5" w:rsidRPr="00963BB5" w:rsidRDefault="00963BB5" w:rsidP="00963BB5">
      <w:pPr>
        <w:rPr>
          <w:rFonts w:ascii="Arial" w:hAnsi="Arial" w:cs="Arial"/>
          <w:color w:val="77206D" w:themeColor="accent5" w:themeShade="BF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R</w:t>
      </w:r>
      <w:r w:rsidR="00FC4F7A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eference list</w:t>
      </w: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 </w:t>
      </w:r>
    </w:p>
    <w:p w14:paraId="1EB526C7" w14:textId="77777777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Ajzen, I. (1991) ‘The theory of planned </w:t>
      </w:r>
      <w:proofErr w:type="spellStart"/>
      <w:r w:rsidRPr="00FD0B31">
        <w:rPr>
          <w:rFonts w:ascii="Arial" w:hAnsi="Arial" w:cs="Arial"/>
        </w:rPr>
        <w:t>behavior</w:t>
      </w:r>
      <w:proofErr w:type="spellEnd"/>
      <w:r w:rsidRPr="00FD0B31">
        <w:rPr>
          <w:rFonts w:ascii="Arial" w:hAnsi="Arial" w:cs="Arial"/>
        </w:rPr>
        <w:t xml:space="preserve">’, </w:t>
      </w:r>
      <w:r w:rsidRPr="00FD0B31">
        <w:rPr>
          <w:rFonts w:ascii="Arial" w:hAnsi="Arial" w:cs="Arial"/>
          <w:i/>
          <w:iCs/>
        </w:rPr>
        <w:t xml:space="preserve">Organizational </w:t>
      </w:r>
      <w:proofErr w:type="spellStart"/>
      <w:r w:rsidRPr="00FD0B31">
        <w:rPr>
          <w:rFonts w:ascii="Arial" w:hAnsi="Arial" w:cs="Arial"/>
          <w:i/>
          <w:iCs/>
        </w:rPr>
        <w:t>Behavior</w:t>
      </w:r>
      <w:proofErr w:type="spellEnd"/>
      <w:r w:rsidRPr="00FD0B31">
        <w:rPr>
          <w:rFonts w:ascii="Arial" w:hAnsi="Arial" w:cs="Arial"/>
          <w:i/>
          <w:iCs/>
        </w:rPr>
        <w:t xml:space="preserve"> and Human Decision Processes</w:t>
      </w:r>
      <w:r w:rsidRPr="00FD0B31">
        <w:rPr>
          <w:rFonts w:ascii="Arial" w:hAnsi="Arial" w:cs="Arial"/>
        </w:rPr>
        <w:t>, 50(2), pp. 179–211.</w:t>
      </w:r>
    </w:p>
    <w:p w14:paraId="269D71BE" w14:textId="77777777" w:rsidR="00FD0B31" w:rsidRPr="00FD0B31" w:rsidRDefault="00FD0B31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t>Alghonaim</w:t>
      </w:r>
      <w:proofErr w:type="spellEnd"/>
      <w:r w:rsidRPr="00FD0B31">
        <w:rPr>
          <w:rFonts w:ascii="Arial" w:hAnsi="Arial" w:cs="Arial"/>
        </w:rPr>
        <w:t xml:space="preserve">, A., </w:t>
      </w:r>
      <w:proofErr w:type="spellStart"/>
      <w:r w:rsidRPr="00FD0B31">
        <w:rPr>
          <w:rFonts w:ascii="Arial" w:hAnsi="Arial" w:cs="Arial"/>
        </w:rPr>
        <w:t>Alsubaie</w:t>
      </w:r>
      <w:proofErr w:type="spellEnd"/>
      <w:r w:rsidRPr="00FD0B31">
        <w:rPr>
          <w:rFonts w:ascii="Arial" w:hAnsi="Arial" w:cs="Arial"/>
        </w:rPr>
        <w:t xml:space="preserve">, A., Alsalman, D. and </w:t>
      </w:r>
      <w:proofErr w:type="spellStart"/>
      <w:r w:rsidRPr="00FD0B31">
        <w:rPr>
          <w:rFonts w:ascii="Arial" w:hAnsi="Arial" w:cs="Arial"/>
        </w:rPr>
        <w:t>Almugren</w:t>
      </w:r>
      <w:proofErr w:type="spellEnd"/>
      <w:r w:rsidRPr="00FD0B31">
        <w:rPr>
          <w:rFonts w:ascii="Arial" w:hAnsi="Arial" w:cs="Arial"/>
        </w:rPr>
        <w:t xml:space="preserve">, N. (2023) ‘Effectiveness of digital health interventions for improving sexual and reproductive health outcomes: A systematic review’, </w:t>
      </w:r>
      <w:r w:rsidRPr="00FD0B31">
        <w:rPr>
          <w:rFonts w:ascii="Arial" w:hAnsi="Arial" w:cs="Arial"/>
          <w:i/>
          <w:iCs/>
        </w:rPr>
        <w:t>BMC Public Health</w:t>
      </w:r>
      <w:r w:rsidRPr="00FD0B31">
        <w:rPr>
          <w:rFonts w:ascii="Arial" w:hAnsi="Arial" w:cs="Arial"/>
        </w:rPr>
        <w:t>, 23(1), p. 125.</w:t>
      </w:r>
    </w:p>
    <w:p w14:paraId="3BD5EB9A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Bailey, J.V. et al. (2015) ‘Sexual health promotion for young people delivered via digital media: A scoping review’, </w:t>
      </w:r>
      <w:r w:rsidRPr="002F4D38">
        <w:rPr>
          <w:rFonts w:ascii="Arial" w:hAnsi="Arial" w:cs="Arial"/>
          <w:i/>
          <w:iCs/>
        </w:rPr>
        <w:t>Public Health Research</w:t>
      </w:r>
      <w:r w:rsidRPr="002F4D38">
        <w:rPr>
          <w:rFonts w:ascii="Arial" w:hAnsi="Arial" w:cs="Arial"/>
        </w:rPr>
        <w:t>, 3(13), pp. 1–120.</w:t>
      </w:r>
    </w:p>
    <w:p w14:paraId="753437D0" w14:textId="0AC828E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Feroz, A., Ali, N.A., Saleem, S. and </w:t>
      </w:r>
      <w:proofErr w:type="spellStart"/>
      <w:r w:rsidRPr="00FD0B31">
        <w:rPr>
          <w:rFonts w:ascii="Arial" w:hAnsi="Arial" w:cs="Arial"/>
        </w:rPr>
        <w:t>Tikmani</w:t>
      </w:r>
      <w:proofErr w:type="spellEnd"/>
      <w:r w:rsidRPr="00FD0B31">
        <w:rPr>
          <w:rFonts w:ascii="Arial" w:hAnsi="Arial" w:cs="Arial"/>
        </w:rPr>
        <w:t xml:space="preserve">, S.S. (2021) ‘Role of mHealth applications for improving adolescent sexual and reproductive health: A review’, </w:t>
      </w:r>
      <w:r w:rsidRPr="00FD0B31">
        <w:rPr>
          <w:rFonts w:ascii="Arial" w:hAnsi="Arial" w:cs="Arial"/>
          <w:i/>
          <w:iCs/>
        </w:rPr>
        <w:t>Reproductive Health</w:t>
      </w:r>
      <w:r w:rsidRPr="00FD0B31">
        <w:rPr>
          <w:rFonts w:ascii="Arial" w:hAnsi="Arial" w:cs="Arial"/>
        </w:rPr>
        <w:t>, 18(1), p. 205.</w:t>
      </w:r>
    </w:p>
    <w:p w14:paraId="4D4CCD06" w14:textId="5348EE6F" w:rsidR="003770EC" w:rsidRPr="00FD0B31" w:rsidRDefault="003770EC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lastRenderedPageBreak/>
        <w:t>Gabarron</w:t>
      </w:r>
      <w:proofErr w:type="spellEnd"/>
      <w:r w:rsidRPr="00FD0B31">
        <w:rPr>
          <w:rFonts w:ascii="Arial" w:hAnsi="Arial" w:cs="Arial"/>
        </w:rPr>
        <w:t xml:space="preserve">, E. and Wynn, R. (2016) ‘Use of social media for sexual health promotion: A scoping review’, </w:t>
      </w:r>
      <w:r w:rsidRPr="00FD0B31">
        <w:rPr>
          <w:rFonts w:ascii="Arial" w:hAnsi="Arial" w:cs="Arial"/>
          <w:i/>
          <w:iCs/>
        </w:rPr>
        <w:t>Global Health Action</w:t>
      </w:r>
      <w:r w:rsidRPr="00FD0B31">
        <w:rPr>
          <w:rFonts w:ascii="Arial" w:hAnsi="Arial" w:cs="Arial"/>
        </w:rPr>
        <w:t>, 9(1), p. 32193.</w:t>
      </w:r>
    </w:p>
    <w:p w14:paraId="6F4E178E" w14:textId="7777777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Hollmann, A., </w:t>
      </w:r>
      <w:proofErr w:type="spellStart"/>
      <w:r w:rsidRPr="00FD0B31">
        <w:rPr>
          <w:rFonts w:ascii="Arial" w:hAnsi="Arial" w:cs="Arial"/>
        </w:rPr>
        <w:t>Lameijer</w:t>
      </w:r>
      <w:proofErr w:type="spellEnd"/>
      <w:r w:rsidRPr="00FD0B31">
        <w:rPr>
          <w:rFonts w:ascii="Arial" w:hAnsi="Arial" w:cs="Arial"/>
        </w:rPr>
        <w:t xml:space="preserve">, J.R. and de Groot, C. (2022) ‘Digital interventions for sexual health promotion among adolescents: An integrative review’, </w:t>
      </w:r>
      <w:r w:rsidRPr="00FD0B31">
        <w:rPr>
          <w:rFonts w:ascii="Arial" w:hAnsi="Arial" w:cs="Arial"/>
          <w:i/>
          <w:iCs/>
        </w:rPr>
        <w:t>JMIR Public Health and Surveillance</w:t>
      </w:r>
      <w:r w:rsidRPr="00FD0B31">
        <w:rPr>
          <w:rFonts w:ascii="Arial" w:hAnsi="Arial" w:cs="Arial"/>
        </w:rPr>
        <w:t>, 8(7), p. e37210.</w:t>
      </w:r>
    </w:p>
    <w:p w14:paraId="5E01EBA4" w14:textId="172E5C2A" w:rsidR="006E68C5" w:rsidRPr="00FD0B31" w:rsidRDefault="006E68C5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Montgomery, P., Knerr, W. and Weatherford, R.D. (2021) ‘The effectiveness of digital sexual health interventions for young people: A systematic review and meta-analysis’,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18(6), pp. 495–506.</w:t>
      </w:r>
    </w:p>
    <w:p w14:paraId="21EA84AB" w14:textId="77777777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Rosenstock, I.M. (1974) ‘The Health Belief Model and preventive health </w:t>
      </w:r>
      <w:proofErr w:type="spellStart"/>
      <w:r w:rsidRPr="00FD0B31">
        <w:rPr>
          <w:rFonts w:ascii="Arial" w:hAnsi="Arial" w:cs="Arial"/>
        </w:rPr>
        <w:t>behavior</w:t>
      </w:r>
      <w:proofErr w:type="spellEnd"/>
      <w:r w:rsidRPr="00FD0B31">
        <w:rPr>
          <w:rFonts w:ascii="Arial" w:hAnsi="Arial" w:cs="Arial"/>
        </w:rPr>
        <w:t xml:space="preserve">’, </w:t>
      </w:r>
      <w:r w:rsidRPr="00FD0B31">
        <w:rPr>
          <w:rFonts w:ascii="Arial" w:hAnsi="Arial" w:cs="Arial"/>
          <w:i/>
          <w:iCs/>
        </w:rPr>
        <w:t>Health Education Monographs</w:t>
      </w:r>
      <w:r w:rsidRPr="00FD0B31">
        <w:rPr>
          <w:rFonts w:ascii="Arial" w:hAnsi="Arial" w:cs="Arial"/>
        </w:rPr>
        <w:t>, 2(4), pp. 354–386.</w:t>
      </w:r>
    </w:p>
    <w:p w14:paraId="3CF0651E" w14:textId="7777777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Tark, R., Metcalf, M. and McKay, K. (2019) ‘Gamification in sexual health education: A review of digital learning interventions’, </w:t>
      </w:r>
      <w:r w:rsidRPr="00FD0B31">
        <w:rPr>
          <w:rFonts w:ascii="Arial" w:hAnsi="Arial" w:cs="Arial"/>
          <w:i/>
          <w:iCs/>
        </w:rPr>
        <w:t>Journal of Medical Internet Research</w:t>
      </w:r>
      <w:r w:rsidRPr="00FD0B31">
        <w:rPr>
          <w:rFonts w:ascii="Arial" w:hAnsi="Arial" w:cs="Arial"/>
        </w:rPr>
        <w:t>, 21(5), p. e12329.</w:t>
      </w:r>
    </w:p>
    <w:p w14:paraId="45EE2E3E" w14:textId="77777777" w:rsidR="003770EC" w:rsidRDefault="003770EC" w:rsidP="003770EC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UNFPA (2022) </w:t>
      </w:r>
      <w:r w:rsidRPr="002F4D38">
        <w:rPr>
          <w:rFonts w:ascii="Arial" w:hAnsi="Arial" w:cs="Arial"/>
          <w:i/>
          <w:iCs/>
        </w:rPr>
        <w:t>Sexual and reproductive health and rights: The foundation for sustainable development</w:t>
      </w:r>
      <w:r w:rsidRPr="002F4D38">
        <w:rPr>
          <w:rFonts w:ascii="Arial" w:hAnsi="Arial" w:cs="Arial"/>
        </w:rPr>
        <w:t xml:space="preserve">. Available at: </w:t>
      </w:r>
      <w:hyperlink r:id="rId13" w:tgtFrame="_new" w:history="1">
        <w:r w:rsidRPr="002F4D38">
          <w:rPr>
            <w:rStyle w:val="Hyperlink"/>
            <w:rFonts w:ascii="Arial" w:hAnsi="Arial" w:cs="Arial"/>
          </w:rPr>
          <w:t>https://www.unfpa.org/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73FEB29A" w14:textId="587B0983" w:rsidR="00731AC9" w:rsidRDefault="003770EC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Wadham, E., Green, C., Debattista, J., Somerset, S. and Sav, A. (2019) ‘New digital media interventions for sexual health promotion: A systematic review’,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16(2), pp. 101–123.</w:t>
      </w:r>
    </w:p>
    <w:p w14:paraId="0AABB02E" w14:textId="77777777" w:rsidR="00FC0A9C" w:rsidRDefault="00FC0A9C">
      <w:pPr>
        <w:rPr>
          <w:rFonts w:ascii="Arial" w:hAnsi="Arial" w:cs="Arial"/>
        </w:rPr>
      </w:pPr>
      <w:r w:rsidRPr="00FC0A9C">
        <w:rPr>
          <w:rFonts w:ascii="Arial" w:hAnsi="Arial" w:cs="Arial"/>
        </w:rPr>
        <w:t>World Health Organization (1986</w:t>
      </w:r>
      <w:r w:rsidRPr="00FC0A9C">
        <w:rPr>
          <w:rFonts w:ascii="Arial" w:hAnsi="Arial" w:cs="Arial"/>
          <w:i/>
          <w:iCs/>
        </w:rPr>
        <w:t>) Ottawa Charter for Health Promotion</w:t>
      </w:r>
      <w:r w:rsidRPr="00FC0A9C">
        <w:rPr>
          <w:rFonts w:ascii="Arial" w:hAnsi="Arial" w:cs="Arial"/>
        </w:rPr>
        <w:t>. Geneva: World Health Organization.</w:t>
      </w:r>
    </w:p>
    <w:p w14:paraId="7ECDCC16" w14:textId="723231C1" w:rsidR="003770EC" w:rsidRPr="00963BB5" w:rsidRDefault="003770EC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World Health Organization (2023) </w:t>
      </w:r>
      <w:r w:rsidRPr="002F4D38">
        <w:rPr>
          <w:rFonts w:ascii="Arial" w:hAnsi="Arial" w:cs="Arial"/>
          <w:i/>
          <w:iCs/>
        </w:rPr>
        <w:t>Sexually transmitted infections (STIs): Key facts</w:t>
      </w:r>
      <w:r w:rsidRPr="002F4D38">
        <w:rPr>
          <w:rFonts w:ascii="Arial" w:hAnsi="Arial" w:cs="Arial"/>
        </w:rPr>
        <w:t xml:space="preserve">. Available at: </w:t>
      </w:r>
      <w:hyperlink r:id="rId14" w:tgtFrame="_new" w:history="1">
        <w:r w:rsidRPr="002F4D38">
          <w:rPr>
            <w:rStyle w:val="Hyperlink"/>
            <w:rFonts w:ascii="Arial" w:hAnsi="Arial" w:cs="Arial"/>
          </w:rPr>
          <w:t>https://www.who.int/news-room/fact-sheets/detail/sexually-transmitted-infections-(stis)</w:t>
        </w:r>
      </w:hyperlink>
      <w:r w:rsidRPr="002F4D38">
        <w:rPr>
          <w:rFonts w:ascii="Arial" w:hAnsi="Arial" w:cs="Arial"/>
        </w:rPr>
        <w:t xml:space="preserve"> (Accessed: 25 November 2024).</w:t>
      </w:r>
    </w:p>
    <w:sectPr w:rsidR="003770EC" w:rsidRPr="00963B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D13"/>
    <w:multiLevelType w:val="multilevel"/>
    <w:tmpl w:val="382A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C64A1"/>
    <w:multiLevelType w:val="multilevel"/>
    <w:tmpl w:val="6EC6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A42849"/>
    <w:multiLevelType w:val="multilevel"/>
    <w:tmpl w:val="51EC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415979"/>
    <w:multiLevelType w:val="multilevel"/>
    <w:tmpl w:val="8BDE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070E50"/>
    <w:multiLevelType w:val="multilevel"/>
    <w:tmpl w:val="A10E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24618"/>
    <w:multiLevelType w:val="multilevel"/>
    <w:tmpl w:val="B7FCC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FA4095"/>
    <w:multiLevelType w:val="multilevel"/>
    <w:tmpl w:val="A89A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1011B7"/>
    <w:multiLevelType w:val="multilevel"/>
    <w:tmpl w:val="9B9A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2C41BF"/>
    <w:multiLevelType w:val="multilevel"/>
    <w:tmpl w:val="035C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281D20"/>
    <w:multiLevelType w:val="multilevel"/>
    <w:tmpl w:val="255C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A7115A"/>
    <w:multiLevelType w:val="multilevel"/>
    <w:tmpl w:val="CB28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4908443">
    <w:abstractNumId w:val="3"/>
  </w:num>
  <w:num w:numId="2" w16cid:durableId="504442486">
    <w:abstractNumId w:val="7"/>
  </w:num>
  <w:num w:numId="3" w16cid:durableId="1110395860">
    <w:abstractNumId w:val="4"/>
  </w:num>
  <w:num w:numId="4" w16cid:durableId="237907580">
    <w:abstractNumId w:val="9"/>
  </w:num>
  <w:num w:numId="5" w16cid:durableId="1102728907">
    <w:abstractNumId w:val="2"/>
  </w:num>
  <w:num w:numId="6" w16cid:durableId="238489299">
    <w:abstractNumId w:val="0"/>
  </w:num>
  <w:num w:numId="7" w16cid:durableId="150754512">
    <w:abstractNumId w:val="8"/>
  </w:num>
  <w:num w:numId="8" w16cid:durableId="812410591">
    <w:abstractNumId w:val="6"/>
  </w:num>
  <w:num w:numId="9" w16cid:durableId="1581478177">
    <w:abstractNumId w:val="1"/>
  </w:num>
  <w:num w:numId="10" w16cid:durableId="749469936">
    <w:abstractNumId w:val="5"/>
  </w:num>
  <w:num w:numId="11" w16cid:durableId="10913162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B5"/>
    <w:rsid w:val="000D3642"/>
    <w:rsid w:val="001712D6"/>
    <w:rsid w:val="00221753"/>
    <w:rsid w:val="002463EE"/>
    <w:rsid w:val="002652AF"/>
    <w:rsid w:val="00283DEE"/>
    <w:rsid w:val="00293E87"/>
    <w:rsid w:val="002A0068"/>
    <w:rsid w:val="002A26FE"/>
    <w:rsid w:val="002B32AE"/>
    <w:rsid w:val="002F4D38"/>
    <w:rsid w:val="003770EC"/>
    <w:rsid w:val="005905E1"/>
    <w:rsid w:val="005F2029"/>
    <w:rsid w:val="00685E37"/>
    <w:rsid w:val="006E0E09"/>
    <w:rsid w:val="006E68C5"/>
    <w:rsid w:val="00711CE7"/>
    <w:rsid w:val="00731AC9"/>
    <w:rsid w:val="00752733"/>
    <w:rsid w:val="00757365"/>
    <w:rsid w:val="007A5C08"/>
    <w:rsid w:val="007A74EC"/>
    <w:rsid w:val="007E07D5"/>
    <w:rsid w:val="008A78FC"/>
    <w:rsid w:val="00963BB5"/>
    <w:rsid w:val="009B3681"/>
    <w:rsid w:val="009D7223"/>
    <w:rsid w:val="00A11830"/>
    <w:rsid w:val="00A60B9F"/>
    <w:rsid w:val="00A93B5B"/>
    <w:rsid w:val="00B737D1"/>
    <w:rsid w:val="00BE649D"/>
    <w:rsid w:val="00C02D41"/>
    <w:rsid w:val="00C36B64"/>
    <w:rsid w:val="00C9187E"/>
    <w:rsid w:val="00D51433"/>
    <w:rsid w:val="00D56489"/>
    <w:rsid w:val="00E04E70"/>
    <w:rsid w:val="00E42106"/>
    <w:rsid w:val="00F37E5C"/>
    <w:rsid w:val="00FC0A9C"/>
    <w:rsid w:val="00FC4F7A"/>
    <w:rsid w:val="00FD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A7F4C"/>
  <w15:chartTrackingRefBased/>
  <w15:docId w15:val="{A4727FB4-1F52-46A5-8A80-82C8FD98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B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B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B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B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B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B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B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B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B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B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B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B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B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B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B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B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B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B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B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B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B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B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B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B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B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B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B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B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B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3B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B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4EC"/>
    <w:rPr>
      <w:color w:val="96607D" w:themeColor="followedHyperlink"/>
      <w:u w:val="single"/>
    </w:rPr>
  </w:style>
  <w:style w:type="paragraph" w:customStyle="1" w:styleId="TOCHeading1">
    <w:name w:val="TOC Heading1"/>
    <w:basedOn w:val="Heading1"/>
    <w:next w:val="Normal"/>
    <w:uiPriority w:val="39"/>
    <w:unhideWhenUsed/>
    <w:rsid w:val="001712D6"/>
    <w:pPr>
      <w:spacing w:before="400" w:after="40" w:line="240" w:lineRule="auto"/>
      <w:outlineLvl w:val="9"/>
    </w:pPr>
    <w:rPr>
      <w:color w:val="0A2F41" w:themeColor="accent1" w:themeShade="80"/>
      <w:kern w:val="0"/>
      <w:sz w:val="36"/>
      <w:szCs w:val="3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fpa.org/" TargetMode="External"/><Relationship Id="rId13" Type="http://schemas.openxmlformats.org/officeDocument/2006/relationships/hyperlink" Target="https://www.unfpa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2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who.int/news-room/fact-sheets/detail/sexually-transmitted-infections-(stis)" TargetMode="External"/><Relationship Id="rId14" Type="http://schemas.openxmlformats.org/officeDocument/2006/relationships/hyperlink" Target="https://www.who.int/news-room/fact-sheets/detail/sexually-transmitted-infections-(stis)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/>
              <a:t>Global Sexual Health Indicators Among Adolescents (WHO 2023; UNFPA 2022)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Perecentage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Daily STIs</c:v>
                </c:pt>
                <c:pt idx="1">
                  <c:v>Highest risk age group (15-24)</c:v>
                </c:pt>
                <c:pt idx="2">
                  <c:v>Youth Barriers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 formatCode="#,##0">
                  <c:v>100</c:v>
                </c:pt>
                <c:pt idx="1">
                  <c:v>50</c:v>
                </c:pt>
                <c:pt idx="2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31-49C9-93DA-44BCD9E896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12038080"/>
        <c:axId val="1112047200"/>
      </c:barChart>
      <c:catAx>
        <c:axId val="1112038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2047200"/>
        <c:crosses val="autoZero"/>
        <c:auto val="1"/>
        <c:lblAlgn val="ctr"/>
        <c:lblOffset val="100"/>
        <c:noMultiLvlLbl val="0"/>
      </c:catAx>
      <c:valAx>
        <c:axId val="111204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2038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/>
              <a:t>Global Barriers to Youth Sexual-Health Access (WHO 2023; ITU 2023)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No education</c:v>
                </c:pt>
                <c:pt idx="1">
                  <c:v>Privacy issues </c:v>
                </c:pt>
                <c:pt idx="2">
                  <c:v>No internet access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50</c:v>
                </c:pt>
                <c:pt idx="1">
                  <c:v>45</c:v>
                </c:pt>
                <c:pt idx="2">
                  <c:v>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24-47C7-B691-E96C24AC47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0792752"/>
        <c:axId val="80776432"/>
      </c:barChart>
      <c:catAx>
        <c:axId val="80792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776432"/>
        <c:crosses val="autoZero"/>
        <c:auto val="1"/>
        <c:lblAlgn val="ctr"/>
        <c:lblOffset val="100"/>
        <c:noMultiLvlLbl val="0"/>
      </c:catAx>
      <c:valAx>
        <c:axId val="8077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792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11</Pages>
  <Words>1595</Words>
  <Characters>10386</Characters>
  <Application>Microsoft Office Word</Application>
  <DocSecurity>0</DocSecurity>
  <Lines>211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Kishor Hirani (2431583)</dc:creator>
  <cp:keywords/>
  <dc:description/>
  <cp:lastModifiedBy>suresh varsani</cp:lastModifiedBy>
  <cp:revision>46</cp:revision>
  <dcterms:created xsi:type="dcterms:W3CDTF">2025-10-24T10:43:00Z</dcterms:created>
  <dcterms:modified xsi:type="dcterms:W3CDTF">2025-11-26T13:17:00Z</dcterms:modified>
</cp:coreProperties>
</file>