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C95DC5" w14:textId="19A5394F" w:rsidR="00EA0138" w:rsidRPr="00454897" w:rsidRDefault="0032259B">
      <w:pPr>
        <w:rPr>
          <w:b/>
          <w:bCs/>
          <w:i/>
          <w:iCs/>
          <w:sz w:val="24"/>
          <w:szCs w:val="24"/>
          <w:u w:val="single"/>
        </w:rPr>
      </w:pPr>
      <w:r w:rsidRPr="00454897">
        <w:rPr>
          <w:b/>
          <w:bCs/>
          <w:i/>
          <w:iCs/>
          <w:sz w:val="24"/>
          <w:szCs w:val="24"/>
          <w:u w:val="single"/>
        </w:rPr>
        <w:t>Discuss the reasons behind the schisms within the Irish Republican movement following the Anglo-Irish Treaty of 1921</w:t>
      </w:r>
    </w:p>
    <w:p w14:paraId="7F73DF40" w14:textId="4E09A5F2" w:rsidR="008430B3" w:rsidRPr="00046A1F" w:rsidRDefault="008430B3" w:rsidP="008430B3">
      <w:pPr>
        <w:rPr>
          <w:sz w:val="20"/>
          <w:szCs w:val="20"/>
        </w:rPr>
      </w:pPr>
      <w:r w:rsidRPr="00046A1F">
        <w:rPr>
          <w:sz w:val="20"/>
          <w:szCs w:val="20"/>
        </w:rPr>
        <w:t>The Irish Republican movement, having fought together against the British in the Irish War of Independence from 1919 to 1921, disintegrated and turned against each other as a result of the divisions caused by the conditions of the Anglo-Irish Treaty of 1921. Under the Treaty, Ireland would become a member of the British Commonwealth, as opposed to being a full member of the United Kingdom as they were before. In addition to this, Ireland was to have three of its seaports used by the British Royal Navy, Ireland had to pledge an oath of loyalty to the British monarch, and finally Ireland also had to accept the partition of the 6 counties of Ulster, named Northern Ireland, with the remaining 26 countries of Ireland becoming the Irish Free State</w:t>
      </w:r>
      <w:r w:rsidR="006E0415" w:rsidRPr="00046A1F">
        <w:rPr>
          <w:sz w:val="20"/>
          <w:szCs w:val="20"/>
        </w:rPr>
        <w:t xml:space="preserve"> whilst</w:t>
      </w:r>
      <w:r w:rsidRPr="00046A1F">
        <w:rPr>
          <w:sz w:val="20"/>
          <w:szCs w:val="20"/>
        </w:rPr>
        <w:t xml:space="preserve"> Northern Ireland remained </w:t>
      </w:r>
      <w:r w:rsidR="00C956DB" w:rsidRPr="00046A1F">
        <w:rPr>
          <w:sz w:val="20"/>
          <w:szCs w:val="20"/>
        </w:rPr>
        <w:t>part of</w:t>
      </w:r>
      <w:r w:rsidRPr="00046A1F">
        <w:rPr>
          <w:sz w:val="20"/>
          <w:szCs w:val="20"/>
        </w:rPr>
        <w:t xml:space="preserve"> the United Kingdom. The aspects were strongly disputed by the Irish Republican movement, with the movement splitting into two factions: the pro-treaty faction and the anti-treaty faction. It is crucial to analyse the divisions within the leadership of the Irish Republican movement, as it is from here that the effects trickled down to different areas of society. The pro-treaty faction was led by Arthur Griffiths (the founder of the Sinn Fein political party) and Michael Collins (Director of Organization and Intelligence of the Irish Republican Army (IRA), and head of the Irish Republican Brotherhood), whilst the anti-treaty faction was led by Eamon de Valera (President of Sinn Fein 1917 -1922). The pro-treaty faction argued that the Treaty brought about for </w:t>
      </w:r>
      <w:proofErr w:type="spellStart"/>
      <w:r w:rsidRPr="00046A1F">
        <w:rPr>
          <w:sz w:val="20"/>
          <w:szCs w:val="20"/>
        </w:rPr>
        <w:t>defacto</w:t>
      </w:r>
      <w:proofErr w:type="spellEnd"/>
      <w:r w:rsidRPr="00046A1F">
        <w:rPr>
          <w:sz w:val="20"/>
          <w:szCs w:val="20"/>
        </w:rPr>
        <w:t xml:space="preserve"> freedom for Ireland due to the fact that they had almost unlimited internal freedom, whereas the anti-treaty faction argued that the treaty was forced upon Ireland as it was signed under the threat of war by the British, and thus British domination over Ireland had not ended. Additionally, the pro-treaty faction argued that Commonwealth statues was a key step in the direction of overall independence from Britain because of the fact that Britain would be forced to treat Ireland the same as any other Commonwealth nation, which the anti-treaty faction disput</w:t>
      </w:r>
      <w:r w:rsidR="00C312D3" w:rsidRPr="00046A1F">
        <w:rPr>
          <w:sz w:val="20"/>
          <w:szCs w:val="20"/>
        </w:rPr>
        <w:t>ing this</w:t>
      </w:r>
      <w:r w:rsidRPr="00046A1F">
        <w:rPr>
          <w:sz w:val="20"/>
          <w:szCs w:val="20"/>
        </w:rPr>
        <w:t xml:space="preserve"> due to the fact that Ireland had historically been treated very distinctly from the other nations of the British empire. Finally, there w</w:t>
      </w:r>
      <w:r w:rsidR="00C437E7" w:rsidRPr="00046A1F">
        <w:rPr>
          <w:sz w:val="20"/>
          <w:szCs w:val="20"/>
        </w:rPr>
        <w:t>ere</w:t>
      </w:r>
      <w:r w:rsidRPr="00046A1F">
        <w:rPr>
          <w:sz w:val="20"/>
          <w:szCs w:val="20"/>
        </w:rPr>
        <w:t xml:space="preserve"> strong disputes over the partition of Northern Ireland, with the pro-treaty faction willing to allow temporary partition, whilst the anti-treaty faction viewed this as unacceptable.</w:t>
      </w:r>
    </w:p>
    <w:p w14:paraId="4D8DF8EA" w14:textId="196A9B73" w:rsidR="008430B3" w:rsidRPr="00046A1F" w:rsidRDefault="008430B3" w:rsidP="0032259B">
      <w:pPr>
        <w:rPr>
          <w:sz w:val="20"/>
          <w:szCs w:val="20"/>
        </w:rPr>
      </w:pPr>
      <w:r w:rsidRPr="00046A1F">
        <w:rPr>
          <w:sz w:val="20"/>
          <w:szCs w:val="20"/>
        </w:rPr>
        <w:t>In order to take an in-depth look at the key reasons as to why the Irish Republican movement split, the works of notable academics will be analysed. Bill Kissane is an author, political scientist and historian teaching at the London School of Economics. In his book, ‘</w:t>
      </w:r>
      <w:r w:rsidRPr="00D652C5">
        <w:rPr>
          <w:i/>
          <w:iCs/>
          <w:sz w:val="20"/>
          <w:szCs w:val="20"/>
        </w:rPr>
        <w:t>The Politics of the Irish Civil War</w:t>
      </w:r>
      <w:r w:rsidRPr="00046A1F">
        <w:rPr>
          <w:sz w:val="20"/>
          <w:szCs w:val="20"/>
        </w:rPr>
        <w:t xml:space="preserve">,’ Kissane takes a deep look into the reasons and motives behind the divisions within the Irish Republican movement and the causes behind the Irish civil war. In addition to this, John O'Donovan, Head Tutor at the School of History, University College Cork, is a </w:t>
      </w:r>
      <w:proofErr w:type="spellStart"/>
      <w:r w:rsidRPr="00046A1F">
        <w:rPr>
          <w:sz w:val="20"/>
          <w:szCs w:val="20"/>
        </w:rPr>
        <w:t>renouned</w:t>
      </w:r>
      <w:proofErr w:type="spellEnd"/>
      <w:r w:rsidRPr="00046A1F">
        <w:rPr>
          <w:sz w:val="20"/>
          <w:szCs w:val="20"/>
        </w:rPr>
        <w:t xml:space="preserve"> author of 20th century Irish history. His book, ‘</w:t>
      </w:r>
      <w:r w:rsidRPr="00D652C5">
        <w:rPr>
          <w:i/>
          <w:iCs/>
          <w:sz w:val="20"/>
          <w:szCs w:val="20"/>
        </w:rPr>
        <w:t>An Introduction to the Irish Civil War</w:t>
      </w:r>
      <w:r w:rsidRPr="00046A1F">
        <w:rPr>
          <w:sz w:val="20"/>
          <w:szCs w:val="20"/>
        </w:rPr>
        <w:t xml:space="preserve">,’ provides us with a detailed analysis of numerous aspects of the war, notably the disagreements within the </w:t>
      </w:r>
      <w:proofErr w:type="spellStart"/>
      <w:r w:rsidRPr="00046A1F">
        <w:rPr>
          <w:sz w:val="20"/>
          <w:szCs w:val="20"/>
        </w:rPr>
        <w:t>Dail</w:t>
      </w:r>
      <w:proofErr w:type="spellEnd"/>
      <w:r w:rsidRPr="00046A1F">
        <w:rPr>
          <w:sz w:val="20"/>
          <w:szCs w:val="20"/>
        </w:rPr>
        <w:t xml:space="preserve"> which led to the conflict occurring. Furthermore, John Dorney is an independent historian, as well as the chief writer of the Irish Story, a website which both explores and enables viewers to take a detailed look at Irish history. His book, ‘</w:t>
      </w:r>
      <w:r w:rsidRPr="00D652C5">
        <w:rPr>
          <w:i/>
          <w:iCs/>
          <w:sz w:val="20"/>
          <w:szCs w:val="20"/>
        </w:rPr>
        <w:t>Peace After the Final Battle: The Story of the Irish Revolution 1912-1924</w:t>
      </w:r>
      <w:r w:rsidRPr="00046A1F">
        <w:rPr>
          <w:sz w:val="20"/>
          <w:szCs w:val="20"/>
        </w:rPr>
        <w:t>’ examines Irelands fight for Independence from Britain, and their subsequent fight with each other. Finally, Jeremy Smith, a professor in history at University College, Chester, is the author of a number of books on Ireland and Anglo-Irish relations. His book, ‘</w:t>
      </w:r>
      <w:r w:rsidRPr="00993AD7">
        <w:rPr>
          <w:i/>
          <w:iCs/>
          <w:sz w:val="20"/>
          <w:szCs w:val="20"/>
        </w:rPr>
        <w:t>Making the Peace in Ireland</w:t>
      </w:r>
      <w:r w:rsidRPr="00046A1F">
        <w:rPr>
          <w:sz w:val="20"/>
          <w:szCs w:val="20"/>
        </w:rPr>
        <w:t>,’ takes an in-depth look into Irish history, with particular focus on Northern Ireland.</w:t>
      </w:r>
    </w:p>
    <w:p w14:paraId="5F390A80" w14:textId="24589B24" w:rsidR="0032259B" w:rsidRPr="00046A1F" w:rsidRDefault="0032259B" w:rsidP="0032259B">
      <w:pPr>
        <w:rPr>
          <w:sz w:val="20"/>
          <w:szCs w:val="20"/>
        </w:rPr>
      </w:pPr>
      <w:r w:rsidRPr="00046A1F">
        <w:rPr>
          <w:sz w:val="20"/>
          <w:szCs w:val="20"/>
        </w:rPr>
        <w:t>A key argument presented by the anti-treaty faction was that Collins and Griffiths had signed the treaty under the threat of an escalation of war, and thus proves that the British did not have the best interests of the Irish in mind. O’Donovan writes that “rumours by this stage were sweeping London and Dublin that the talks were on the point of failure. Seizing this opportunity, Lloyd George theatrically threatened Griffith and Collins with immediate war unless the delegation agreed to treaty terms. Following several hours of discussion, the Irish delegation formally signed the ‘Articles of Agreement for a Treaty between Great Britain and Ireland’ in the early hours of Tuesday 6 December 1921.”</w:t>
      </w:r>
      <w:r w:rsidR="000F512D">
        <w:rPr>
          <w:rStyle w:val="FootnoteReference"/>
          <w:sz w:val="20"/>
          <w:szCs w:val="20"/>
        </w:rPr>
        <w:footnoteReference w:id="1"/>
      </w:r>
      <w:r w:rsidRPr="00046A1F">
        <w:rPr>
          <w:sz w:val="20"/>
          <w:szCs w:val="20"/>
        </w:rPr>
        <w:t xml:space="preserve"> Kissane states of this that the anti-treaty faction felt that this was adherent. The fact that Britain was threatening war if Ireland did not take its place in the commonwealth demonstrated to them that the fight for Irish independence was yet to be won; “</w:t>
      </w:r>
      <w:r w:rsidR="00AB39EB">
        <w:rPr>
          <w:sz w:val="20"/>
          <w:szCs w:val="20"/>
        </w:rPr>
        <w:t>d</w:t>
      </w:r>
      <w:r w:rsidRPr="00046A1F">
        <w:rPr>
          <w:sz w:val="20"/>
          <w:szCs w:val="20"/>
        </w:rPr>
        <w:t xml:space="preserve">e Valera would tell an aide </w:t>
      </w:r>
      <w:r w:rsidRPr="00046A1F">
        <w:rPr>
          <w:sz w:val="20"/>
          <w:szCs w:val="20"/>
        </w:rPr>
        <w:lastRenderedPageBreak/>
        <w:t>that the simplest way to peace would be to secure the recognition of the right of the Irish people, ‘to decide freely without threat of war, internal or external, how they should be governed and what should be their political relations, if any, with Great Britain and the British Empire.”</w:t>
      </w:r>
      <w:r w:rsidR="00BA50D6">
        <w:rPr>
          <w:rStyle w:val="FootnoteReference"/>
          <w:sz w:val="20"/>
          <w:szCs w:val="20"/>
        </w:rPr>
        <w:footnoteReference w:id="2"/>
      </w:r>
      <w:r w:rsidR="00E01856">
        <w:rPr>
          <w:sz w:val="20"/>
          <w:szCs w:val="20"/>
        </w:rPr>
        <w:t xml:space="preserve"> </w:t>
      </w:r>
      <w:r w:rsidR="00474022" w:rsidRPr="00046A1F">
        <w:rPr>
          <w:sz w:val="20"/>
          <w:szCs w:val="20"/>
        </w:rPr>
        <w:t xml:space="preserve">The anti-treaty faction felt that the fact that Britain had threatened Ireland with violence </w:t>
      </w:r>
      <w:r w:rsidR="002724FB" w:rsidRPr="00046A1F">
        <w:rPr>
          <w:sz w:val="20"/>
          <w:szCs w:val="20"/>
        </w:rPr>
        <w:t xml:space="preserve">if Ireland didn’t do as Britain instructed proves that Ireland, as a member of the Commonwealth, </w:t>
      </w:r>
      <w:r w:rsidR="000E6011" w:rsidRPr="00046A1F">
        <w:rPr>
          <w:sz w:val="20"/>
          <w:szCs w:val="20"/>
        </w:rPr>
        <w:t>was still a puppet of Britain, and thus that Ireland should continue the war</w:t>
      </w:r>
      <w:r w:rsidR="00B31448" w:rsidRPr="00046A1F">
        <w:rPr>
          <w:sz w:val="20"/>
          <w:szCs w:val="20"/>
        </w:rPr>
        <w:t xml:space="preserve"> in order to secure full independence.</w:t>
      </w:r>
      <w:r w:rsidR="00BC5F56" w:rsidRPr="00046A1F">
        <w:rPr>
          <w:sz w:val="20"/>
          <w:szCs w:val="20"/>
        </w:rPr>
        <w:t xml:space="preserve"> </w:t>
      </w:r>
      <w:r w:rsidRPr="00046A1F">
        <w:rPr>
          <w:sz w:val="20"/>
          <w:szCs w:val="20"/>
        </w:rPr>
        <w:t xml:space="preserve">The pro-treaty faction by contrast saw </w:t>
      </w:r>
      <w:r w:rsidR="00AA0B71" w:rsidRPr="00046A1F">
        <w:rPr>
          <w:sz w:val="20"/>
          <w:szCs w:val="20"/>
        </w:rPr>
        <w:t>the treaty</w:t>
      </w:r>
      <w:r w:rsidRPr="00046A1F">
        <w:rPr>
          <w:sz w:val="20"/>
          <w:szCs w:val="20"/>
        </w:rPr>
        <w:t xml:space="preserve"> as bring about </w:t>
      </w:r>
      <w:proofErr w:type="spellStart"/>
      <w:r w:rsidRPr="00046A1F">
        <w:rPr>
          <w:sz w:val="20"/>
          <w:szCs w:val="20"/>
        </w:rPr>
        <w:t>defacto</w:t>
      </w:r>
      <w:proofErr w:type="spellEnd"/>
      <w:r w:rsidRPr="00046A1F">
        <w:rPr>
          <w:sz w:val="20"/>
          <w:szCs w:val="20"/>
        </w:rPr>
        <w:t xml:space="preserve"> independence for Ireland. This is because, despite the international limitations of the new Irish Free State, the nation was now free to govern their own internal affairs, something which Ireland had been restricted from doing for centuries. As well as this, they could now ensure that the Irish language, culture, and way of life was maintained, following the Gaelic revival of the 1880s and 1890s. Kissane states that the “dominion status placed the Irish state on an equal footing with other peoples of the Commonwealth” … “in practice they were fully independent.” … “Griffith argued that Irish nationalism had not been about a particular form of government in any case, ‘but a matter of getting the real independence of the Irish people achieved’ … ‘We can form our own constitution, we can embody therein the referendum, and the principal of federalism, thus practically abolishing bureaucracy and party system.’” … “’The Irish language, with all its historical, cultural, and spiritual associations, can be saved from extinction.’”</w:t>
      </w:r>
      <w:r w:rsidR="0020232E">
        <w:rPr>
          <w:rStyle w:val="FootnoteReference"/>
          <w:sz w:val="20"/>
          <w:szCs w:val="20"/>
        </w:rPr>
        <w:footnoteReference w:id="3"/>
      </w:r>
      <w:r w:rsidRPr="00046A1F">
        <w:rPr>
          <w:sz w:val="20"/>
          <w:szCs w:val="20"/>
        </w:rPr>
        <w:t xml:space="preserve"> Dorney adds to this by further quoting Griffith; “‘we have brought back the flag, we have brought back the evacuation of Ireland after 700 years by British troops and the formation of an Irish Army. We have brought back to Ireland her full rights of fiscal control.’”</w:t>
      </w:r>
      <w:r w:rsidR="00F5247F">
        <w:rPr>
          <w:rStyle w:val="FootnoteReference"/>
          <w:sz w:val="20"/>
          <w:szCs w:val="20"/>
        </w:rPr>
        <w:footnoteReference w:id="4"/>
      </w:r>
      <w:r w:rsidR="000A55EC">
        <w:rPr>
          <w:sz w:val="20"/>
          <w:szCs w:val="20"/>
        </w:rPr>
        <w:t xml:space="preserve"> </w:t>
      </w:r>
      <w:r w:rsidR="00C715BF" w:rsidRPr="00046A1F">
        <w:rPr>
          <w:sz w:val="20"/>
          <w:szCs w:val="20"/>
        </w:rPr>
        <w:t>T</w:t>
      </w:r>
      <w:r w:rsidRPr="00046A1F">
        <w:rPr>
          <w:sz w:val="20"/>
          <w:szCs w:val="20"/>
        </w:rPr>
        <w:t>he pro-treaty faction was looking at what Ireland had to gain, recognizing that, unlike before, Ireland was now significantly more free. They went so far as to say that they were practically free in all but name, with only a few limitations</w:t>
      </w:r>
      <w:r w:rsidR="00600508" w:rsidRPr="00046A1F">
        <w:rPr>
          <w:sz w:val="20"/>
          <w:szCs w:val="20"/>
        </w:rPr>
        <w:t>, especially by contrast to before</w:t>
      </w:r>
      <w:r w:rsidRPr="00046A1F">
        <w:rPr>
          <w:sz w:val="20"/>
          <w:szCs w:val="20"/>
        </w:rPr>
        <w:t>.</w:t>
      </w:r>
      <w:r w:rsidR="00DC0EED" w:rsidRPr="00046A1F">
        <w:rPr>
          <w:sz w:val="20"/>
          <w:szCs w:val="20"/>
        </w:rPr>
        <w:t xml:space="preserve"> As such, the pro-treaty faction were optimistic about becoming a member of the commonwealth because </w:t>
      </w:r>
      <w:r w:rsidR="00A74C0D" w:rsidRPr="00046A1F">
        <w:rPr>
          <w:sz w:val="20"/>
          <w:szCs w:val="20"/>
        </w:rPr>
        <w:t>of the increased freedom that Ireland would have to rule itself, but the anti-treaty faction</w:t>
      </w:r>
      <w:r w:rsidR="00CF3EE0" w:rsidRPr="00046A1F">
        <w:rPr>
          <w:sz w:val="20"/>
          <w:szCs w:val="20"/>
        </w:rPr>
        <w:t xml:space="preserve"> saw this as extending British control over Ireland. Therefore, one of the key reasons behind the schisms within the Irish </w:t>
      </w:r>
      <w:r w:rsidR="00267BA5" w:rsidRPr="00046A1F">
        <w:rPr>
          <w:sz w:val="20"/>
          <w:szCs w:val="20"/>
        </w:rPr>
        <w:t>R</w:t>
      </w:r>
      <w:r w:rsidR="00CF3EE0" w:rsidRPr="00046A1F">
        <w:rPr>
          <w:sz w:val="20"/>
          <w:szCs w:val="20"/>
        </w:rPr>
        <w:t>epublican movement</w:t>
      </w:r>
      <w:r w:rsidR="00267BA5" w:rsidRPr="00046A1F">
        <w:rPr>
          <w:sz w:val="20"/>
          <w:szCs w:val="20"/>
        </w:rPr>
        <w:t xml:space="preserve"> following the Anglo-Irish Treaty was disagreement over whether Ireland </w:t>
      </w:r>
      <w:r w:rsidR="005767B1" w:rsidRPr="00046A1F">
        <w:rPr>
          <w:sz w:val="20"/>
          <w:szCs w:val="20"/>
        </w:rPr>
        <w:t>was or was not truly free.</w:t>
      </w:r>
    </w:p>
    <w:p w14:paraId="726D4BF2" w14:textId="23620EE9" w:rsidR="0032259B" w:rsidRPr="00046A1F" w:rsidRDefault="0032259B" w:rsidP="0032259B">
      <w:pPr>
        <w:rPr>
          <w:sz w:val="20"/>
          <w:szCs w:val="20"/>
        </w:rPr>
      </w:pPr>
      <w:r w:rsidRPr="00046A1F">
        <w:rPr>
          <w:sz w:val="20"/>
          <w:szCs w:val="20"/>
        </w:rPr>
        <w:t xml:space="preserve">In addition to Griffiths statement, the pro-treaty faction stated that despite the fact that full Irish independence was not granted, the treaty was a </w:t>
      </w:r>
      <w:r w:rsidR="0070312E" w:rsidRPr="00046A1F">
        <w:rPr>
          <w:sz w:val="20"/>
          <w:szCs w:val="20"/>
        </w:rPr>
        <w:t xml:space="preserve">huge </w:t>
      </w:r>
      <w:r w:rsidRPr="00046A1F">
        <w:rPr>
          <w:sz w:val="20"/>
          <w:szCs w:val="20"/>
        </w:rPr>
        <w:t>step to achieving this.</w:t>
      </w:r>
      <w:r w:rsidR="0088395F" w:rsidRPr="00046A1F">
        <w:rPr>
          <w:sz w:val="20"/>
          <w:szCs w:val="20"/>
        </w:rPr>
        <w:t xml:space="preserve"> This is because, the pro-treaty faction argued, Ireland could then diplomatically break British domination from within by enacting laws, when Ireland was strong enough to do so, that</w:t>
      </w:r>
      <w:r w:rsidR="001470F9" w:rsidRPr="00046A1F">
        <w:rPr>
          <w:sz w:val="20"/>
          <w:szCs w:val="20"/>
        </w:rPr>
        <w:t xml:space="preserve"> would make Ireland completely free. </w:t>
      </w:r>
      <w:r w:rsidRPr="00046A1F">
        <w:rPr>
          <w:sz w:val="20"/>
          <w:szCs w:val="20"/>
        </w:rPr>
        <w:t>Dorney states that “pro-Treaty TDs” … “put forward an argument that the Treaty represented a stepping-stone to the desired Republic. Collins was central to this, arguing that the Treaty gave ‘freedom ... not the ultimate freedom ... but the freedom to achieve it.’”</w:t>
      </w:r>
      <w:r w:rsidR="00FD0960">
        <w:rPr>
          <w:rStyle w:val="FootnoteReference"/>
          <w:sz w:val="20"/>
          <w:szCs w:val="20"/>
        </w:rPr>
        <w:footnoteReference w:id="5"/>
      </w:r>
      <w:r w:rsidR="00576D42">
        <w:rPr>
          <w:sz w:val="20"/>
          <w:szCs w:val="20"/>
        </w:rPr>
        <w:t xml:space="preserve"> </w:t>
      </w:r>
      <w:r w:rsidRPr="00046A1F">
        <w:rPr>
          <w:sz w:val="20"/>
          <w:szCs w:val="20"/>
        </w:rPr>
        <w:t>Collins also believed that it was not possible for Britain to again infringe upon Irish sovereignty if they were part of the Commonwealth; Kissane adds that “for Collins, membership of the Commonwealth would guarantee Irish independence since any loss of Ireland’s legislative power would be opposed by the other dominions.”</w:t>
      </w:r>
      <w:r w:rsidR="006560DA">
        <w:rPr>
          <w:rStyle w:val="FootnoteReference"/>
          <w:sz w:val="20"/>
          <w:szCs w:val="20"/>
        </w:rPr>
        <w:footnoteReference w:id="6"/>
      </w:r>
      <w:r w:rsidRPr="00046A1F">
        <w:rPr>
          <w:sz w:val="20"/>
          <w:szCs w:val="20"/>
        </w:rPr>
        <w:t xml:space="preserve"> This shows that the pro-treaty faction saw the treaty and Irelands place within the Commonwealth as a huge leap forward on the path to Irish independence, so much so that Britain could then not push Ireland back. </w:t>
      </w:r>
      <w:r w:rsidR="008E7328" w:rsidRPr="00046A1F">
        <w:rPr>
          <w:sz w:val="20"/>
          <w:szCs w:val="20"/>
        </w:rPr>
        <w:t xml:space="preserve">As such, Ireland had nothing to </w:t>
      </w:r>
      <w:r w:rsidR="009325F5" w:rsidRPr="00046A1F">
        <w:rPr>
          <w:sz w:val="20"/>
          <w:szCs w:val="20"/>
        </w:rPr>
        <w:t>lose</w:t>
      </w:r>
      <w:r w:rsidR="008E7328" w:rsidRPr="00046A1F">
        <w:rPr>
          <w:sz w:val="20"/>
          <w:szCs w:val="20"/>
        </w:rPr>
        <w:t xml:space="preserve"> by joining the Commonwealth, only everything to gain. </w:t>
      </w:r>
      <w:r w:rsidRPr="00046A1F">
        <w:rPr>
          <w:sz w:val="20"/>
          <w:szCs w:val="20"/>
        </w:rPr>
        <w:t>However, De Valera and the anti-treaty faction were very distrusting of the British, being anxious about accepting the treaty as they argued that Irelands geographical position made it distinct from the ‘white dominions’ of the commonwealth nations. They were additionally completely against the notion of Ireland having to pledge their allegiance to the King as their head of state. Kissane writes that “the fact that TDs would have to take an oath of allegiance to the Free State constitution, and of fidelity to the King as Head of the Commonwealth, created a false position, whereby Irishmen would be giving allegiance and obedience to an authority that they had already repudiated.”</w:t>
      </w:r>
      <w:r w:rsidR="009050AF">
        <w:rPr>
          <w:rStyle w:val="FootnoteReference"/>
          <w:sz w:val="20"/>
          <w:szCs w:val="20"/>
        </w:rPr>
        <w:footnoteReference w:id="7"/>
      </w:r>
      <w:r w:rsidRPr="00046A1F">
        <w:rPr>
          <w:sz w:val="20"/>
          <w:szCs w:val="20"/>
        </w:rPr>
        <w:t xml:space="preserve"> Having to pledge an allegiance of loyalty to the crown was </w:t>
      </w:r>
      <w:r w:rsidRPr="00046A1F">
        <w:rPr>
          <w:sz w:val="20"/>
          <w:szCs w:val="20"/>
        </w:rPr>
        <w:lastRenderedPageBreak/>
        <w:t>deeply undesirable, engulfed by the resentment felt in Irish society after the horrors inflicted by the Black and Tans, with the 1920 Bloody Sunday</w:t>
      </w:r>
      <w:r w:rsidR="007D36CE">
        <w:rPr>
          <w:rStyle w:val="FootnoteReference"/>
          <w:sz w:val="20"/>
          <w:szCs w:val="20"/>
        </w:rPr>
        <w:footnoteReference w:id="8"/>
      </w:r>
      <w:r w:rsidRPr="00046A1F">
        <w:rPr>
          <w:sz w:val="20"/>
          <w:szCs w:val="20"/>
        </w:rPr>
        <w:t xml:space="preserve"> being a </w:t>
      </w:r>
      <w:r w:rsidR="00151658" w:rsidRPr="00046A1F">
        <w:rPr>
          <w:sz w:val="20"/>
          <w:szCs w:val="20"/>
        </w:rPr>
        <w:t>key</w:t>
      </w:r>
      <w:r w:rsidRPr="00046A1F">
        <w:rPr>
          <w:sz w:val="20"/>
          <w:szCs w:val="20"/>
        </w:rPr>
        <w:t xml:space="preserve"> example. In addition to this Kissane goes on to say that “the stipulation that the constitutional position of Ireland was to be analogous to ‘the constitutional usage and practice’ of Canada for example, was no guarantee to an island that was not thousands of miles away from Westminster, and which had suffered ‘centuries of racial oppression’ by England.”</w:t>
      </w:r>
      <w:r w:rsidR="00A24D6F">
        <w:rPr>
          <w:rStyle w:val="FootnoteReference"/>
          <w:sz w:val="20"/>
          <w:szCs w:val="20"/>
        </w:rPr>
        <w:footnoteReference w:id="9"/>
      </w:r>
      <w:r w:rsidRPr="00046A1F">
        <w:rPr>
          <w:sz w:val="20"/>
          <w:szCs w:val="20"/>
        </w:rPr>
        <w:t xml:space="preserve"> By contrast to Canada, South Africa, Australia and New Zealand, all of these nations having either a majority ethnically British population, or a very large minority who were ethnically British, Ireland was ethnically Irish, and as such, had been the victim of centuries of racial abuse and discrimination from Britain. It is thus understandable as to why the anti-treaty faction was so sceptical of expecting to be treated the same as these nations, when historically they had not. Adding on to these fears, these nations had never been directly annexed into the United Kingdom, whereas Ireland had been, and so the British government clearly viewed Ireland in a different light. Furthermore, the geographical distance of these </w:t>
      </w:r>
      <w:r w:rsidR="002263BF">
        <w:rPr>
          <w:sz w:val="20"/>
          <w:szCs w:val="20"/>
        </w:rPr>
        <w:t>four</w:t>
      </w:r>
      <w:r w:rsidRPr="00046A1F">
        <w:rPr>
          <w:sz w:val="20"/>
          <w:szCs w:val="20"/>
        </w:rPr>
        <w:t xml:space="preserve"> nations meant that Britain would not have been as concerned about them as they were with Ireland, which was in Britain’s ‘backyard.’ Therefore, another key reason behind the schisms within the Irish Republican movement was that the pro-treaty faction believed that Irelands position within the Commonwealth made official independence possible in the future, and was something that the British could not undo, however the anti-treaty faction strongly disagreed with this, and instead were very weary of trusting anything which the British had to offer, believing instead that continuing to fight was the best option that Ireland could take.</w:t>
      </w:r>
      <w:r w:rsidR="00FF1510" w:rsidRPr="00046A1F">
        <w:rPr>
          <w:sz w:val="20"/>
          <w:szCs w:val="20"/>
        </w:rPr>
        <w:t xml:space="preserve"> Adding on to this, they also argued that having to pledge allegiance to the British monarch hurt Irish pride</w:t>
      </w:r>
      <w:r w:rsidR="00B26DCF" w:rsidRPr="00046A1F">
        <w:rPr>
          <w:sz w:val="20"/>
          <w:szCs w:val="20"/>
        </w:rPr>
        <w:t>, and should thus continue fighting to avoid this.</w:t>
      </w:r>
    </w:p>
    <w:p w14:paraId="3F8E94E3" w14:textId="07B225D2" w:rsidR="0032259B" w:rsidRPr="00046A1F" w:rsidRDefault="0032259B" w:rsidP="0032259B">
      <w:pPr>
        <w:rPr>
          <w:sz w:val="20"/>
          <w:szCs w:val="20"/>
        </w:rPr>
      </w:pPr>
      <w:r w:rsidRPr="00046A1F">
        <w:rPr>
          <w:sz w:val="20"/>
          <w:szCs w:val="20"/>
        </w:rPr>
        <w:t>Furthermore, amongst the Irish Republican movement there was also dividing opinion over the splitting of Ireland</w:t>
      </w:r>
      <w:r w:rsidR="00B26DCF" w:rsidRPr="00046A1F">
        <w:rPr>
          <w:sz w:val="20"/>
          <w:szCs w:val="20"/>
        </w:rPr>
        <w:t xml:space="preserve">. </w:t>
      </w:r>
      <w:r w:rsidRPr="00046A1F">
        <w:rPr>
          <w:sz w:val="20"/>
          <w:szCs w:val="20"/>
        </w:rPr>
        <w:t xml:space="preserve">The pro-treaty faction, despite being against the splitting of Ireland, </w:t>
      </w:r>
      <w:r w:rsidR="001C3583" w:rsidRPr="00046A1F">
        <w:rPr>
          <w:sz w:val="20"/>
          <w:szCs w:val="20"/>
        </w:rPr>
        <w:t xml:space="preserve">was </w:t>
      </w:r>
      <w:r w:rsidRPr="00046A1F">
        <w:rPr>
          <w:sz w:val="20"/>
          <w:szCs w:val="20"/>
        </w:rPr>
        <w:t xml:space="preserve">prepared to temporarily compromise. This is because they believed that forcefully bringing Northern Ireland into the Free State, when Northern Ireland clearly didn’t want to be a part of it, would cause Northern Ireland to feel isolated, and from there </w:t>
      </w:r>
      <w:r w:rsidR="00F27743" w:rsidRPr="00046A1F">
        <w:rPr>
          <w:sz w:val="20"/>
          <w:szCs w:val="20"/>
        </w:rPr>
        <w:t xml:space="preserve">Ireland would have numerous issues to deal with, such as a potential armed rebellion or sectarian violence. </w:t>
      </w:r>
      <w:r w:rsidRPr="00046A1F">
        <w:rPr>
          <w:sz w:val="20"/>
          <w:szCs w:val="20"/>
        </w:rPr>
        <w:t>Kissane states on page 56 that “in the summer of 1921 Jan Smuts had also advised de Valera to leave Northern Ireland alone for the moment, and ‘through a successful running of the southern state and the pull of economic and peaceful forces’ eventually bring the North into the southern state.”</w:t>
      </w:r>
      <w:r w:rsidR="00A853AC">
        <w:rPr>
          <w:rStyle w:val="FootnoteReference"/>
          <w:sz w:val="20"/>
          <w:szCs w:val="20"/>
        </w:rPr>
        <w:footnoteReference w:id="10"/>
      </w:r>
      <w:r w:rsidRPr="00046A1F">
        <w:rPr>
          <w:sz w:val="20"/>
          <w:szCs w:val="20"/>
        </w:rPr>
        <w:t xml:space="preserve"> Kissane further adds to this by stating that “since Northern Ireland had a right under the Treaty to opt out of the Free State, Alfred </w:t>
      </w:r>
      <w:proofErr w:type="spellStart"/>
      <w:r w:rsidRPr="00046A1F">
        <w:rPr>
          <w:sz w:val="20"/>
          <w:szCs w:val="20"/>
        </w:rPr>
        <w:t>O’Rahilly</w:t>
      </w:r>
      <w:proofErr w:type="spellEnd"/>
      <w:r w:rsidRPr="00046A1F">
        <w:rPr>
          <w:sz w:val="20"/>
          <w:szCs w:val="20"/>
        </w:rPr>
        <w:t>, a pro-treaty academic, argued that as the declaration of a republic would permanently alienate the North, there was a clear argument for ‘gradual evolution’ rather than ‘forceful revolution’. The Irish must aim at the achievement of a united people first, ‘prior to the final effort to secure for Ireland her rightful place among the nations of the world.’”</w:t>
      </w:r>
      <w:r w:rsidR="00175733">
        <w:rPr>
          <w:rStyle w:val="FootnoteReference"/>
          <w:sz w:val="20"/>
          <w:szCs w:val="20"/>
        </w:rPr>
        <w:footnoteReference w:id="11"/>
      </w:r>
      <w:r w:rsidRPr="00046A1F">
        <w:rPr>
          <w:sz w:val="20"/>
          <w:szCs w:val="20"/>
        </w:rPr>
        <w:t xml:space="preserve"> It is thus clear that the pro-treaty faction were willing to accept temporary partition, but had the long-term aspiration of bring Northern Ireland under the rule of </w:t>
      </w:r>
      <w:r w:rsidR="00A60F45" w:rsidRPr="00046A1F">
        <w:rPr>
          <w:sz w:val="20"/>
          <w:szCs w:val="20"/>
        </w:rPr>
        <w:t>Ireland.</w:t>
      </w:r>
    </w:p>
    <w:p w14:paraId="180BD98A" w14:textId="5050A9EE" w:rsidR="0032259B" w:rsidRPr="00046A1F" w:rsidRDefault="0032259B">
      <w:pPr>
        <w:rPr>
          <w:sz w:val="20"/>
          <w:szCs w:val="20"/>
        </w:rPr>
      </w:pPr>
      <w:r w:rsidRPr="00046A1F">
        <w:rPr>
          <w:sz w:val="20"/>
          <w:szCs w:val="20"/>
        </w:rPr>
        <w:t>The anti-treaty faction by contrast completely rebuffed this, arguing that all of Ireland must be united under one nation, and that Northern Ireland remaining a part of the United Kingdom meant that British rule in Ireland had not truly ended. The fact that the British still directly ruled Northern Ireland meant that Ireland was now ripped into two pieces, something which the anti-treaty faction could not accept. Smith states that “In the Irish Free State many Nationalists felt so cheated by the fact that a 32-county republic had not been part of the Treaty that they organized into a determined anti-Treaty movement that helped steer Ireland into a bloody civil war by the summer of 1922.”</w:t>
      </w:r>
      <w:r w:rsidR="00840A73">
        <w:rPr>
          <w:rStyle w:val="FootnoteReference"/>
          <w:sz w:val="20"/>
          <w:szCs w:val="20"/>
        </w:rPr>
        <w:footnoteReference w:id="12"/>
      </w:r>
      <w:r w:rsidRPr="00046A1F">
        <w:rPr>
          <w:sz w:val="20"/>
          <w:szCs w:val="20"/>
        </w:rPr>
        <w:t xml:space="preserve"> Smith further writes that “Irish Republicanism refused to accept the legitimacy of partition in 1920 or the new Northern Ireland state from 1921, and imagined the north and all of its people (including Protestants) as part of a ‘seamless’, non-sectarian Irish nation, artificially divided to protect British political, economic and strategic interests.</w:t>
      </w:r>
      <w:r w:rsidR="003A324C" w:rsidRPr="00046A1F">
        <w:rPr>
          <w:sz w:val="20"/>
          <w:szCs w:val="20"/>
        </w:rPr>
        <w:t xml:space="preserve">” … </w:t>
      </w:r>
      <w:r w:rsidR="005B3C4B" w:rsidRPr="00046A1F">
        <w:rPr>
          <w:sz w:val="20"/>
          <w:szCs w:val="20"/>
        </w:rPr>
        <w:t>However, …</w:t>
      </w:r>
      <w:r w:rsidR="003A324C" w:rsidRPr="00046A1F">
        <w:rPr>
          <w:sz w:val="20"/>
          <w:szCs w:val="20"/>
        </w:rPr>
        <w:t xml:space="preserve"> “</w:t>
      </w:r>
      <w:r w:rsidRPr="00046A1F">
        <w:rPr>
          <w:sz w:val="20"/>
          <w:szCs w:val="20"/>
        </w:rPr>
        <w:t xml:space="preserve">rather than gently woo the north back, Republicans sought to bludgeon them into a united Ireland, methods that badly misunderstood” … “the </w:t>
      </w:r>
      <w:r w:rsidRPr="00046A1F">
        <w:rPr>
          <w:sz w:val="20"/>
          <w:szCs w:val="20"/>
        </w:rPr>
        <w:lastRenderedPageBreak/>
        <w:t>history and mentality of Ulster Unionists.”</w:t>
      </w:r>
      <w:r w:rsidR="00D7045E">
        <w:rPr>
          <w:rStyle w:val="FootnoteReference"/>
          <w:sz w:val="20"/>
          <w:szCs w:val="20"/>
        </w:rPr>
        <w:footnoteReference w:id="13"/>
      </w:r>
      <w:r w:rsidRPr="00046A1F">
        <w:rPr>
          <w:sz w:val="20"/>
          <w:szCs w:val="20"/>
        </w:rPr>
        <w:t xml:space="preserve"> </w:t>
      </w:r>
      <w:r w:rsidR="004D7D5A" w:rsidRPr="00046A1F">
        <w:rPr>
          <w:sz w:val="20"/>
          <w:szCs w:val="20"/>
        </w:rPr>
        <w:t xml:space="preserve">Here, Smith is clearly arguing that the partition of Ireland is the cause of the Civil War. It is clear from what he states that </w:t>
      </w:r>
      <w:r w:rsidRPr="00046A1F">
        <w:rPr>
          <w:sz w:val="20"/>
          <w:szCs w:val="20"/>
        </w:rPr>
        <w:t xml:space="preserve">the anti-treaty faction were not going to accept any partition, and were prepared and willing to continue the War of Independence to secure Northern Ireland into the republic which they </w:t>
      </w:r>
      <w:r w:rsidR="00B50AE5" w:rsidRPr="00046A1F">
        <w:rPr>
          <w:sz w:val="20"/>
          <w:szCs w:val="20"/>
        </w:rPr>
        <w:t xml:space="preserve">aimed </w:t>
      </w:r>
      <w:r w:rsidRPr="00046A1F">
        <w:rPr>
          <w:sz w:val="20"/>
          <w:szCs w:val="20"/>
        </w:rPr>
        <w:t xml:space="preserve">to create. As such, the pro-treaty faction were willing to allow temporary partition, with the view of gradually bringing Northern Ireland into the Irish state whilst taking care with the fragility of the situation within Northern Ireland, but by contrast the anti-treaty faction wanted to reoccupy Northern Ireland by force and were not willing to accept the splitting up of Ireland, regardless of the tensions between the Catholics and the Protestants. Therefore, another reason behind the schisms within the Irish Republican movement following the Anglo-Irish Treaty of 1921 was strong disagreements over whether Ireland should accept partition with the North, with the pro-treaty faction being in favour </w:t>
      </w:r>
      <w:r w:rsidR="00B518AA" w:rsidRPr="00046A1F">
        <w:rPr>
          <w:sz w:val="20"/>
          <w:szCs w:val="20"/>
        </w:rPr>
        <w:t>of temporary partition</w:t>
      </w:r>
      <w:r w:rsidRPr="00046A1F">
        <w:rPr>
          <w:sz w:val="20"/>
          <w:szCs w:val="20"/>
        </w:rPr>
        <w:t xml:space="preserve">, whilst the anti-treaty faction </w:t>
      </w:r>
      <w:r w:rsidR="00313BD4" w:rsidRPr="00046A1F">
        <w:rPr>
          <w:sz w:val="20"/>
          <w:szCs w:val="20"/>
        </w:rPr>
        <w:t>was</w:t>
      </w:r>
      <w:r w:rsidRPr="00046A1F">
        <w:rPr>
          <w:sz w:val="20"/>
          <w:szCs w:val="20"/>
        </w:rPr>
        <w:t xml:space="preserve"> not</w:t>
      </w:r>
      <w:r w:rsidR="00B518AA" w:rsidRPr="00046A1F">
        <w:rPr>
          <w:sz w:val="20"/>
          <w:szCs w:val="20"/>
        </w:rPr>
        <w:t xml:space="preserve"> in favour of any partition.</w:t>
      </w:r>
    </w:p>
    <w:p w14:paraId="45755E23" w14:textId="710D3F00" w:rsidR="00A819CF" w:rsidRDefault="00A819CF">
      <w:pPr>
        <w:rPr>
          <w:sz w:val="20"/>
          <w:szCs w:val="20"/>
        </w:rPr>
      </w:pPr>
      <w:r w:rsidRPr="00046A1F">
        <w:rPr>
          <w:sz w:val="20"/>
          <w:szCs w:val="20"/>
        </w:rPr>
        <w:t xml:space="preserve">In conclusion, there were a multitude of reasons for the schisms within the Irish Republican movement following the Anglo-Irish Treaty. One of the key disagreements between the two factions was that the pro-treaty side argued that the Treaty </w:t>
      </w:r>
      <w:r w:rsidR="00761F11" w:rsidRPr="00046A1F">
        <w:rPr>
          <w:sz w:val="20"/>
          <w:szCs w:val="20"/>
        </w:rPr>
        <w:t>brought about significant freedom for Ireland, whereas the anti-treaty side saw Irelands place in the Commonwealth as continuing British domination</w:t>
      </w:r>
      <w:r w:rsidR="005D3BE4" w:rsidRPr="00046A1F">
        <w:rPr>
          <w:sz w:val="20"/>
          <w:szCs w:val="20"/>
        </w:rPr>
        <w:t xml:space="preserve">, further reinforced by Britain’s threat of war. A second disagreement between the factions was whether or not Ireland would benefit from the Treaty; the pro-treaty side arguing that Ireland had nothing to </w:t>
      </w:r>
      <w:r w:rsidR="008934B2" w:rsidRPr="00046A1F">
        <w:rPr>
          <w:sz w:val="20"/>
          <w:szCs w:val="20"/>
        </w:rPr>
        <w:t>lose</w:t>
      </w:r>
      <w:r w:rsidR="005D3BE4" w:rsidRPr="00046A1F">
        <w:rPr>
          <w:sz w:val="20"/>
          <w:szCs w:val="20"/>
        </w:rPr>
        <w:t xml:space="preserve"> whilst the anti-treaty side argued that through accepting the Treaty Ireland </w:t>
      </w:r>
      <w:r w:rsidR="00176351" w:rsidRPr="00046A1F">
        <w:rPr>
          <w:sz w:val="20"/>
          <w:szCs w:val="20"/>
        </w:rPr>
        <w:t>was giving up in its fight for independence. The third disagreement was over the partition of Northern Ireland, with the pro-treaty side appreciating the fragility of the issue and willing to accept temporary</w:t>
      </w:r>
      <w:r w:rsidR="008934B2" w:rsidRPr="00046A1F">
        <w:rPr>
          <w:sz w:val="20"/>
          <w:szCs w:val="20"/>
        </w:rPr>
        <w:t xml:space="preserve"> partition, whilst the anti-treaty faction didn’t consider the tensions within Northern Ireland as important as a united Ireland. </w:t>
      </w:r>
    </w:p>
    <w:p w14:paraId="4A3E5E24" w14:textId="77777777" w:rsidR="00552464" w:rsidRDefault="00552464">
      <w:pPr>
        <w:rPr>
          <w:sz w:val="20"/>
          <w:szCs w:val="20"/>
        </w:rPr>
      </w:pPr>
    </w:p>
    <w:p w14:paraId="1DB304EF" w14:textId="77777777" w:rsidR="00552464" w:rsidRDefault="00552464">
      <w:pPr>
        <w:rPr>
          <w:sz w:val="20"/>
          <w:szCs w:val="20"/>
        </w:rPr>
      </w:pPr>
    </w:p>
    <w:p w14:paraId="29EEAFD3" w14:textId="77777777" w:rsidR="00552464" w:rsidRDefault="00552464">
      <w:pPr>
        <w:rPr>
          <w:sz w:val="20"/>
          <w:szCs w:val="20"/>
        </w:rPr>
      </w:pPr>
    </w:p>
    <w:p w14:paraId="444AE524" w14:textId="77777777" w:rsidR="00552464" w:rsidRDefault="00552464">
      <w:pPr>
        <w:rPr>
          <w:sz w:val="20"/>
          <w:szCs w:val="20"/>
        </w:rPr>
      </w:pPr>
    </w:p>
    <w:p w14:paraId="6B731593" w14:textId="77777777" w:rsidR="00552464" w:rsidRDefault="00552464">
      <w:pPr>
        <w:rPr>
          <w:sz w:val="20"/>
          <w:szCs w:val="20"/>
        </w:rPr>
      </w:pPr>
    </w:p>
    <w:p w14:paraId="2690AD68" w14:textId="77777777" w:rsidR="00552464" w:rsidRDefault="00552464">
      <w:pPr>
        <w:rPr>
          <w:sz w:val="20"/>
          <w:szCs w:val="20"/>
        </w:rPr>
      </w:pPr>
    </w:p>
    <w:p w14:paraId="52CEA0C6" w14:textId="77777777" w:rsidR="00552464" w:rsidRDefault="00552464">
      <w:pPr>
        <w:rPr>
          <w:sz w:val="20"/>
          <w:szCs w:val="20"/>
        </w:rPr>
      </w:pPr>
    </w:p>
    <w:p w14:paraId="3D5C7E35" w14:textId="77777777" w:rsidR="00552464" w:rsidRDefault="00552464">
      <w:pPr>
        <w:rPr>
          <w:sz w:val="20"/>
          <w:szCs w:val="20"/>
        </w:rPr>
      </w:pPr>
    </w:p>
    <w:p w14:paraId="00D5325A" w14:textId="77777777" w:rsidR="00552464" w:rsidRDefault="00552464">
      <w:pPr>
        <w:rPr>
          <w:sz w:val="20"/>
          <w:szCs w:val="20"/>
        </w:rPr>
      </w:pPr>
    </w:p>
    <w:p w14:paraId="30DD08FB" w14:textId="77777777" w:rsidR="00552464" w:rsidRDefault="00552464">
      <w:pPr>
        <w:rPr>
          <w:sz w:val="20"/>
          <w:szCs w:val="20"/>
        </w:rPr>
      </w:pPr>
    </w:p>
    <w:p w14:paraId="7AC755B8" w14:textId="77777777" w:rsidR="00552464" w:rsidRDefault="00552464">
      <w:pPr>
        <w:rPr>
          <w:sz w:val="20"/>
          <w:szCs w:val="20"/>
        </w:rPr>
      </w:pPr>
    </w:p>
    <w:p w14:paraId="7A71EB89" w14:textId="77777777" w:rsidR="00552464" w:rsidRDefault="00552464">
      <w:pPr>
        <w:rPr>
          <w:sz w:val="20"/>
          <w:szCs w:val="20"/>
        </w:rPr>
      </w:pPr>
    </w:p>
    <w:p w14:paraId="015DE72C" w14:textId="77777777" w:rsidR="00552464" w:rsidRDefault="00552464">
      <w:pPr>
        <w:rPr>
          <w:sz w:val="20"/>
          <w:szCs w:val="20"/>
        </w:rPr>
      </w:pPr>
    </w:p>
    <w:p w14:paraId="0FA4863B" w14:textId="77777777" w:rsidR="00552464" w:rsidRDefault="00552464">
      <w:pPr>
        <w:rPr>
          <w:sz w:val="20"/>
          <w:szCs w:val="20"/>
        </w:rPr>
      </w:pPr>
    </w:p>
    <w:p w14:paraId="5E229E2C" w14:textId="77777777" w:rsidR="00552464" w:rsidRDefault="00552464">
      <w:pPr>
        <w:rPr>
          <w:sz w:val="20"/>
          <w:szCs w:val="20"/>
        </w:rPr>
      </w:pPr>
    </w:p>
    <w:p w14:paraId="300CD1D9" w14:textId="77777777" w:rsidR="00552464" w:rsidRDefault="00552464">
      <w:pPr>
        <w:rPr>
          <w:sz w:val="20"/>
          <w:szCs w:val="20"/>
        </w:rPr>
      </w:pPr>
    </w:p>
    <w:p w14:paraId="7A71B1C1" w14:textId="77777777" w:rsidR="00552464" w:rsidRDefault="00552464">
      <w:pPr>
        <w:rPr>
          <w:sz w:val="20"/>
          <w:szCs w:val="20"/>
        </w:rPr>
      </w:pPr>
    </w:p>
    <w:p w14:paraId="296D2044" w14:textId="37188A28" w:rsidR="00552464" w:rsidRDefault="00552464">
      <w:pPr>
        <w:rPr>
          <w:sz w:val="20"/>
          <w:szCs w:val="20"/>
        </w:rPr>
      </w:pPr>
      <w:r>
        <w:rPr>
          <w:sz w:val="20"/>
          <w:szCs w:val="20"/>
        </w:rPr>
        <w:lastRenderedPageBreak/>
        <w:t>Bibliography</w:t>
      </w:r>
      <w:r w:rsidR="00371A64">
        <w:rPr>
          <w:sz w:val="20"/>
          <w:szCs w:val="20"/>
        </w:rPr>
        <w:t>:</w:t>
      </w:r>
    </w:p>
    <w:p w14:paraId="59FAD29C" w14:textId="24FC8EFE" w:rsidR="00671EF9" w:rsidRDefault="00671EF9" w:rsidP="00671EF9">
      <w:pPr>
        <w:rPr>
          <w:sz w:val="20"/>
          <w:szCs w:val="20"/>
        </w:rPr>
      </w:pPr>
      <w:r w:rsidRPr="00671EF9">
        <w:rPr>
          <w:sz w:val="20"/>
          <w:szCs w:val="20"/>
        </w:rPr>
        <w:t xml:space="preserve">Dorney, </w:t>
      </w:r>
      <w:r>
        <w:rPr>
          <w:sz w:val="20"/>
          <w:szCs w:val="20"/>
        </w:rPr>
        <w:t xml:space="preserve">John, </w:t>
      </w:r>
      <w:r w:rsidRPr="00671EF9">
        <w:rPr>
          <w:i/>
          <w:iCs/>
          <w:sz w:val="20"/>
          <w:szCs w:val="20"/>
        </w:rPr>
        <w:t>Peace After the Final Battle: The Story of the Irish Revolution 1912-1924</w:t>
      </w:r>
      <w:r w:rsidRPr="00671EF9">
        <w:rPr>
          <w:sz w:val="20"/>
          <w:szCs w:val="20"/>
        </w:rPr>
        <w:t>, (Dublin: New Island, 2013)</w:t>
      </w:r>
      <w:r>
        <w:rPr>
          <w:sz w:val="20"/>
          <w:szCs w:val="20"/>
        </w:rPr>
        <w:t>.</w:t>
      </w:r>
    </w:p>
    <w:p w14:paraId="7C658823" w14:textId="51C2F6F0" w:rsidR="00FF5F3F" w:rsidRDefault="00FF5F3F" w:rsidP="00671EF9">
      <w:pPr>
        <w:rPr>
          <w:sz w:val="20"/>
          <w:szCs w:val="20"/>
        </w:rPr>
      </w:pPr>
      <w:r w:rsidRPr="00FF5F3F">
        <w:rPr>
          <w:sz w:val="20"/>
          <w:szCs w:val="20"/>
        </w:rPr>
        <w:t xml:space="preserve">Jeremy Smith, </w:t>
      </w:r>
      <w:r w:rsidRPr="00FF5F3F">
        <w:rPr>
          <w:i/>
          <w:iCs/>
          <w:sz w:val="20"/>
          <w:szCs w:val="20"/>
        </w:rPr>
        <w:t>Making the Peace in Ireland</w:t>
      </w:r>
      <w:r w:rsidRPr="00FF5F3F">
        <w:rPr>
          <w:sz w:val="20"/>
          <w:szCs w:val="20"/>
        </w:rPr>
        <w:t>, (London: Pearson Education Limited, 2002)</w:t>
      </w:r>
      <w:r w:rsidR="00AC4296">
        <w:rPr>
          <w:sz w:val="20"/>
          <w:szCs w:val="20"/>
        </w:rPr>
        <w:t>.</w:t>
      </w:r>
    </w:p>
    <w:p w14:paraId="659AFB8F" w14:textId="34668D10" w:rsidR="00AC4296" w:rsidRDefault="00AC4296" w:rsidP="00671EF9">
      <w:pPr>
        <w:rPr>
          <w:sz w:val="20"/>
          <w:szCs w:val="20"/>
        </w:rPr>
      </w:pPr>
      <w:r w:rsidRPr="00AC4296">
        <w:rPr>
          <w:sz w:val="20"/>
          <w:szCs w:val="20"/>
        </w:rPr>
        <w:t xml:space="preserve">Kissane, Bill, </w:t>
      </w:r>
      <w:r w:rsidRPr="00AC4296">
        <w:rPr>
          <w:i/>
          <w:iCs/>
          <w:sz w:val="20"/>
          <w:szCs w:val="20"/>
        </w:rPr>
        <w:t>The Politics of the Irish Civil War</w:t>
      </w:r>
      <w:r w:rsidRPr="00AC4296">
        <w:rPr>
          <w:sz w:val="20"/>
          <w:szCs w:val="20"/>
        </w:rPr>
        <w:t>, (New York: Oxford University Press, 2005).</w:t>
      </w:r>
    </w:p>
    <w:p w14:paraId="1DD2B207" w14:textId="10B1ACDF" w:rsidR="00AC4296" w:rsidRDefault="00AC4296" w:rsidP="00671EF9">
      <w:pPr>
        <w:rPr>
          <w:sz w:val="20"/>
          <w:szCs w:val="20"/>
        </w:rPr>
      </w:pPr>
      <w:r w:rsidRPr="00AC4296">
        <w:rPr>
          <w:sz w:val="20"/>
          <w:szCs w:val="20"/>
        </w:rPr>
        <w:t xml:space="preserve">O’Donovan, John, </w:t>
      </w:r>
      <w:r w:rsidRPr="00AC4296">
        <w:rPr>
          <w:i/>
          <w:iCs/>
          <w:sz w:val="20"/>
          <w:szCs w:val="20"/>
        </w:rPr>
        <w:t>An Introduction to the Irish Civil War</w:t>
      </w:r>
      <w:r w:rsidRPr="00AC4296">
        <w:rPr>
          <w:sz w:val="20"/>
          <w:szCs w:val="20"/>
        </w:rPr>
        <w:t>, (Cork: Mercier Press, 2022).</w:t>
      </w:r>
    </w:p>
    <w:p w14:paraId="2B791025" w14:textId="43EB431F" w:rsidR="008758D5" w:rsidRPr="00046A1F" w:rsidRDefault="008758D5" w:rsidP="00671EF9">
      <w:pPr>
        <w:rPr>
          <w:sz w:val="20"/>
          <w:szCs w:val="20"/>
        </w:rPr>
      </w:pPr>
      <w:r w:rsidRPr="008758D5">
        <w:rPr>
          <w:sz w:val="20"/>
          <w:szCs w:val="20"/>
        </w:rPr>
        <w:t xml:space="preserve">The Irish Story, </w:t>
      </w:r>
      <w:r w:rsidRPr="008758D5">
        <w:rPr>
          <w:i/>
          <w:iCs/>
          <w:sz w:val="20"/>
          <w:szCs w:val="20"/>
        </w:rPr>
        <w:t>Bloody Sunday 1920 Revisited</w:t>
      </w:r>
      <w:r w:rsidRPr="008758D5">
        <w:rPr>
          <w:sz w:val="20"/>
          <w:szCs w:val="20"/>
        </w:rPr>
        <w:t xml:space="preserve"> (2020) &lt; https://www.theirishstory.com/2020/11/21/bloody-sunday-1920-revisited/#.Y4DNKXbP25c &gt; [accessed 25/11/22].</w:t>
      </w:r>
    </w:p>
    <w:sectPr w:rsidR="008758D5" w:rsidRPr="00046A1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9FA9C1" w14:textId="77777777" w:rsidR="009E0E37" w:rsidRDefault="009E0E37" w:rsidP="00BA50D6">
      <w:pPr>
        <w:spacing w:after="0" w:line="240" w:lineRule="auto"/>
      </w:pPr>
      <w:r>
        <w:separator/>
      </w:r>
    </w:p>
  </w:endnote>
  <w:endnote w:type="continuationSeparator" w:id="0">
    <w:p w14:paraId="3EB7E9A2" w14:textId="77777777" w:rsidR="009E0E37" w:rsidRDefault="009E0E37" w:rsidP="00BA50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331234" w14:textId="77777777" w:rsidR="009E0E37" w:rsidRDefault="009E0E37" w:rsidP="00BA50D6">
      <w:pPr>
        <w:spacing w:after="0" w:line="240" w:lineRule="auto"/>
      </w:pPr>
      <w:r>
        <w:separator/>
      </w:r>
    </w:p>
  </w:footnote>
  <w:footnote w:type="continuationSeparator" w:id="0">
    <w:p w14:paraId="35896E75" w14:textId="77777777" w:rsidR="009E0E37" w:rsidRDefault="009E0E37" w:rsidP="00BA50D6">
      <w:pPr>
        <w:spacing w:after="0" w:line="240" w:lineRule="auto"/>
      </w:pPr>
      <w:r>
        <w:continuationSeparator/>
      </w:r>
    </w:p>
  </w:footnote>
  <w:footnote w:id="1">
    <w:p w14:paraId="7644751D" w14:textId="1721934F" w:rsidR="000F512D" w:rsidRDefault="000F512D">
      <w:pPr>
        <w:pStyle w:val="FootnoteText"/>
      </w:pPr>
      <w:r>
        <w:rPr>
          <w:rStyle w:val="FootnoteReference"/>
        </w:rPr>
        <w:footnoteRef/>
      </w:r>
      <w:r>
        <w:t xml:space="preserve"> </w:t>
      </w:r>
      <w:r w:rsidRPr="000F512D">
        <w:t xml:space="preserve">John O’Donovan, </w:t>
      </w:r>
      <w:r w:rsidRPr="000F512D">
        <w:rPr>
          <w:i/>
          <w:iCs/>
        </w:rPr>
        <w:t>An Introduction to the Irish Civil War</w:t>
      </w:r>
      <w:r w:rsidRPr="000F512D">
        <w:t>, (Cork: Mercier Press, 2022), p.1</w:t>
      </w:r>
      <w:r>
        <w:t>1</w:t>
      </w:r>
      <w:r w:rsidRPr="000F512D">
        <w:t>.</w:t>
      </w:r>
    </w:p>
  </w:footnote>
  <w:footnote w:id="2">
    <w:p w14:paraId="288E62BF" w14:textId="26ED5684" w:rsidR="00BA50D6" w:rsidRPr="00AF7C61" w:rsidRDefault="00BA50D6">
      <w:pPr>
        <w:pStyle w:val="FootnoteText"/>
      </w:pPr>
      <w:r>
        <w:rPr>
          <w:rStyle w:val="FootnoteReference"/>
        </w:rPr>
        <w:footnoteRef/>
      </w:r>
      <w:r>
        <w:t xml:space="preserve"> </w:t>
      </w:r>
      <w:r w:rsidR="00AF7C61">
        <w:t xml:space="preserve">Bill Kissane, </w:t>
      </w:r>
      <w:r w:rsidR="00AF7C61">
        <w:rPr>
          <w:i/>
          <w:iCs/>
        </w:rPr>
        <w:t>The Politics of the Irish Civil War</w:t>
      </w:r>
      <w:r w:rsidR="00AF7C61">
        <w:t xml:space="preserve">, </w:t>
      </w:r>
      <w:r w:rsidR="00286AB1">
        <w:t>(New York</w:t>
      </w:r>
      <w:r w:rsidR="00504D5F">
        <w:t xml:space="preserve">: Oxford University Press, 2005), p.59. </w:t>
      </w:r>
    </w:p>
  </w:footnote>
  <w:footnote w:id="3">
    <w:p w14:paraId="60CC586F" w14:textId="124552F0" w:rsidR="0020232E" w:rsidRDefault="0020232E">
      <w:pPr>
        <w:pStyle w:val="FootnoteText"/>
      </w:pPr>
      <w:r>
        <w:rPr>
          <w:rStyle w:val="FootnoteReference"/>
        </w:rPr>
        <w:footnoteRef/>
      </w:r>
      <w:r>
        <w:t xml:space="preserve"> </w:t>
      </w:r>
      <w:r w:rsidRPr="0020232E">
        <w:t xml:space="preserve">Kissane, </w:t>
      </w:r>
      <w:r w:rsidRPr="00365357">
        <w:rPr>
          <w:i/>
          <w:iCs/>
        </w:rPr>
        <w:t>The Politics of</w:t>
      </w:r>
      <w:r w:rsidRPr="0020232E">
        <w:t>,</w:t>
      </w:r>
      <w:r w:rsidR="00F52AFC">
        <w:t xml:space="preserve"> </w:t>
      </w:r>
      <w:r w:rsidRPr="0020232E">
        <w:t>p.5</w:t>
      </w:r>
      <w:r>
        <w:t>7.</w:t>
      </w:r>
    </w:p>
  </w:footnote>
  <w:footnote w:id="4">
    <w:p w14:paraId="0955CA95" w14:textId="1D7D8693" w:rsidR="00F5247F" w:rsidRPr="00812248" w:rsidRDefault="00F5247F">
      <w:pPr>
        <w:pStyle w:val="FootnoteText"/>
      </w:pPr>
      <w:r>
        <w:rPr>
          <w:rStyle w:val="FootnoteReference"/>
        </w:rPr>
        <w:footnoteRef/>
      </w:r>
      <w:r>
        <w:t xml:space="preserve"> </w:t>
      </w:r>
      <w:r w:rsidR="00931D61">
        <w:t>John</w:t>
      </w:r>
      <w:r w:rsidR="00353CF6">
        <w:t xml:space="preserve"> </w:t>
      </w:r>
      <w:r w:rsidR="00931D61">
        <w:t xml:space="preserve">Dorney, </w:t>
      </w:r>
      <w:r w:rsidR="00931D61" w:rsidRPr="00812248">
        <w:rPr>
          <w:i/>
          <w:iCs/>
        </w:rPr>
        <w:t>Peace After the Final Battle: The Story of the Irish Re</w:t>
      </w:r>
      <w:r w:rsidR="00812248" w:rsidRPr="00812248">
        <w:rPr>
          <w:i/>
          <w:iCs/>
        </w:rPr>
        <w:t>v</w:t>
      </w:r>
      <w:r w:rsidR="00931D61" w:rsidRPr="00812248">
        <w:rPr>
          <w:i/>
          <w:iCs/>
        </w:rPr>
        <w:t>olution 1912-1924</w:t>
      </w:r>
      <w:r w:rsidR="00812248">
        <w:t xml:space="preserve">, </w:t>
      </w:r>
      <w:r w:rsidR="00025E95">
        <w:t>(</w:t>
      </w:r>
      <w:r w:rsidR="005E222E">
        <w:t xml:space="preserve">Dublin: New Island, </w:t>
      </w:r>
      <w:r w:rsidR="00690506">
        <w:t xml:space="preserve">2013), p.172. </w:t>
      </w:r>
    </w:p>
  </w:footnote>
  <w:footnote w:id="5">
    <w:p w14:paraId="5DDB0A84" w14:textId="106BDCF8" w:rsidR="00FD0960" w:rsidRPr="007E4719" w:rsidRDefault="00FD0960">
      <w:pPr>
        <w:pStyle w:val="FootnoteText"/>
      </w:pPr>
      <w:r>
        <w:rPr>
          <w:rStyle w:val="FootnoteReference"/>
        </w:rPr>
        <w:footnoteRef/>
      </w:r>
      <w:r>
        <w:t xml:space="preserve"> </w:t>
      </w:r>
      <w:r w:rsidR="007E4719">
        <w:t xml:space="preserve">O’Donovan, </w:t>
      </w:r>
      <w:r w:rsidR="007E4719">
        <w:rPr>
          <w:i/>
          <w:iCs/>
        </w:rPr>
        <w:t>An Introduction to</w:t>
      </w:r>
      <w:r w:rsidR="007E4719">
        <w:t xml:space="preserve">, </w:t>
      </w:r>
      <w:r w:rsidR="002D46BF">
        <w:t xml:space="preserve">p.14. </w:t>
      </w:r>
    </w:p>
  </w:footnote>
  <w:footnote w:id="6">
    <w:p w14:paraId="072C3911" w14:textId="12027B7C" w:rsidR="006560DA" w:rsidRDefault="006560DA">
      <w:pPr>
        <w:pStyle w:val="FootnoteText"/>
      </w:pPr>
      <w:r>
        <w:rPr>
          <w:rStyle w:val="FootnoteReference"/>
        </w:rPr>
        <w:footnoteRef/>
      </w:r>
      <w:r>
        <w:t xml:space="preserve"> </w:t>
      </w:r>
      <w:r w:rsidRPr="006560DA">
        <w:t xml:space="preserve">Kissane, </w:t>
      </w:r>
      <w:r w:rsidRPr="006560DA">
        <w:rPr>
          <w:i/>
          <w:iCs/>
        </w:rPr>
        <w:t>The Politics of</w:t>
      </w:r>
      <w:r w:rsidRPr="006560DA">
        <w:t>, p.5</w:t>
      </w:r>
      <w:r w:rsidR="00CB27BF">
        <w:t>8</w:t>
      </w:r>
      <w:r w:rsidRPr="006560DA">
        <w:t>.</w:t>
      </w:r>
    </w:p>
  </w:footnote>
  <w:footnote w:id="7">
    <w:p w14:paraId="7A72AC8A" w14:textId="763D907B" w:rsidR="009050AF" w:rsidRDefault="009050AF">
      <w:pPr>
        <w:pStyle w:val="FootnoteText"/>
      </w:pPr>
      <w:r>
        <w:rPr>
          <w:rStyle w:val="FootnoteReference"/>
        </w:rPr>
        <w:footnoteRef/>
      </w:r>
      <w:r>
        <w:t xml:space="preserve"> </w:t>
      </w:r>
      <w:r w:rsidRPr="009050AF">
        <w:t>Kissane, The Politics of, p.58.</w:t>
      </w:r>
    </w:p>
  </w:footnote>
  <w:footnote w:id="8">
    <w:p w14:paraId="0EFC3746" w14:textId="37EFED9C" w:rsidR="007D36CE" w:rsidRPr="00E7562C" w:rsidRDefault="007D36CE">
      <w:pPr>
        <w:pStyle w:val="FootnoteText"/>
      </w:pPr>
      <w:r>
        <w:rPr>
          <w:rStyle w:val="FootnoteReference"/>
        </w:rPr>
        <w:footnoteRef/>
      </w:r>
      <w:r>
        <w:t xml:space="preserve"> </w:t>
      </w:r>
      <w:r w:rsidR="00D5677C">
        <w:t xml:space="preserve">The Irish Story, </w:t>
      </w:r>
      <w:r w:rsidR="00E7562C" w:rsidRPr="00E7562C">
        <w:rPr>
          <w:i/>
          <w:iCs/>
        </w:rPr>
        <w:t>Bloody Sunday 1920 Revisited</w:t>
      </w:r>
      <w:r w:rsidR="00ED5405">
        <w:t xml:space="preserve"> </w:t>
      </w:r>
      <w:r w:rsidR="00E7562C">
        <w:t xml:space="preserve">(2020) </w:t>
      </w:r>
      <w:r w:rsidR="00ED5405">
        <w:t xml:space="preserve">&lt; </w:t>
      </w:r>
      <w:r w:rsidR="006C78A2" w:rsidRPr="006C78A2">
        <w:t>https://www.theirishstory.com/2020/11/21/bloody-sunday-1920-revisited/#.Y4DNKXbP25c</w:t>
      </w:r>
      <w:r w:rsidR="00ED5405">
        <w:t xml:space="preserve"> &gt;</w:t>
      </w:r>
      <w:r w:rsidR="006C78A2">
        <w:t xml:space="preserve"> [accessed 25/11/22]. </w:t>
      </w:r>
    </w:p>
  </w:footnote>
  <w:footnote w:id="9">
    <w:p w14:paraId="636C40A3" w14:textId="62D9E89C" w:rsidR="00A24D6F" w:rsidRDefault="00A24D6F">
      <w:pPr>
        <w:pStyle w:val="FootnoteText"/>
      </w:pPr>
      <w:r>
        <w:rPr>
          <w:rStyle w:val="FootnoteReference"/>
        </w:rPr>
        <w:footnoteRef/>
      </w:r>
      <w:r>
        <w:t xml:space="preserve"> </w:t>
      </w:r>
      <w:r w:rsidRPr="00A24D6F">
        <w:t xml:space="preserve">Kissane, </w:t>
      </w:r>
      <w:r w:rsidRPr="00A24D6F">
        <w:rPr>
          <w:i/>
          <w:iCs/>
        </w:rPr>
        <w:t>The Politics of</w:t>
      </w:r>
      <w:r w:rsidRPr="00A24D6F">
        <w:t>, p.58.</w:t>
      </w:r>
    </w:p>
  </w:footnote>
  <w:footnote w:id="10">
    <w:p w14:paraId="6C9EBE34" w14:textId="11924715" w:rsidR="00A853AC" w:rsidRDefault="00A853AC">
      <w:pPr>
        <w:pStyle w:val="FootnoteText"/>
      </w:pPr>
      <w:r>
        <w:rPr>
          <w:rStyle w:val="FootnoteReference"/>
        </w:rPr>
        <w:footnoteRef/>
      </w:r>
      <w:r>
        <w:t xml:space="preserve"> </w:t>
      </w:r>
      <w:r w:rsidRPr="00A853AC">
        <w:t xml:space="preserve">Kissane, </w:t>
      </w:r>
      <w:r w:rsidRPr="00A853AC">
        <w:rPr>
          <w:i/>
          <w:iCs/>
        </w:rPr>
        <w:t>The Politics of</w:t>
      </w:r>
      <w:r w:rsidRPr="00A853AC">
        <w:t>, p.</w:t>
      </w:r>
      <w:r>
        <w:t>56.</w:t>
      </w:r>
    </w:p>
  </w:footnote>
  <w:footnote w:id="11">
    <w:p w14:paraId="58619CB0" w14:textId="4DFAF469" w:rsidR="00175733" w:rsidRDefault="00175733">
      <w:pPr>
        <w:pStyle w:val="FootnoteText"/>
      </w:pPr>
      <w:r>
        <w:rPr>
          <w:rStyle w:val="FootnoteReference"/>
        </w:rPr>
        <w:footnoteRef/>
      </w:r>
      <w:r>
        <w:t xml:space="preserve"> </w:t>
      </w:r>
      <w:r w:rsidRPr="00175733">
        <w:t xml:space="preserve">Kissane, </w:t>
      </w:r>
      <w:r w:rsidRPr="00175733">
        <w:rPr>
          <w:i/>
          <w:iCs/>
        </w:rPr>
        <w:t>The Politics of</w:t>
      </w:r>
      <w:r w:rsidRPr="00175733">
        <w:t>, p.56</w:t>
      </w:r>
      <w:r>
        <w:t>.</w:t>
      </w:r>
    </w:p>
  </w:footnote>
  <w:footnote w:id="12">
    <w:p w14:paraId="7EDB0D47" w14:textId="4423EFFA" w:rsidR="00840A73" w:rsidRDefault="00840A73">
      <w:pPr>
        <w:pStyle w:val="FootnoteText"/>
      </w:pPr>
      <w:r>
        <w:rPr>
          <w:rStyle w:val="FootnoteReference"/>
        </w:rPr>
        <w:footnoteRef/>
      </w:r>
      <w:r w:rsidR="00F74D24">
        <w:t xml:space="preserve"> </w:t>
      </w:r>
      <w:r w:rsidR="0026715D">
        <w:t xml:space="preserve">Jeremy Smith, </w:t>
      </w:r>
      <w:r w:rsidR="0026715D" w:rsidRPr="0026715D">
        <w:rPr>
          <w:i/>
          <w:iCs/>
        </w:rPr>
        <w:t>Making the Peace in Ireland</w:t>
      </w:r>
      <w:r w:rsidR="0026715D">
        <w:t xml:space="preserve">, </w:t>
      </w:r>
      <w:r w:rsidR="006E4E7B">
        <w:t xml:space="preserve">(London: </w:t>
      </w:r>
      <w:r w:rsidR="002D0BE5">
        <w:t>Pearson Education Limited, 2002)</w:t>
      </w:r>
      <w:r w:rsidR="00CF5CB3">
        <w:t>, p.49.</w:t>
      </w:r>
    </w:p>
  </w:footnote>
  <w:footnote w:id="13">
    <w:p w14:paraId="2DF08EA6" w14:textId="39ECDD22" w:rsidR="00D7045E" w:rsidRDefault="00D7045E">
      <w:pPr>
        <w:pStyle w:val="FootnoteText"/>
      </w:pPr>
      <w:r>
        <w:rPr>
          <w:rStyle w:val="FootnoteReference"/>
        </w:rPr>
        <w:footnoteRef/>
      </w:r>
      <w:r>
        <w:t xml:space="preserve"> </w:t>
      </w:r>
      <w:r w:rsidRPr="00D7045E">
        <w:t xml:space="preserve">Smith, </w:t>
      </w:r>
      <w:r w:rsidRPr="00B642CE">
        <w:rPr>
          <w:i/>
          <w:iCs/>
        </w:rPr>
        <w:t>Making the Pea</w:t>
      </w:r>
      <w:r w:rsidR="00B642CE" w:rsidRPr="00B642CE">
        <w:rPr>
          <w:i/>
          <w:iCs/>
        </w:rPr>
        <w:t>ce</w:t>
      </w:r>
      <w:r w:rsidRPr="00D7045E">
        <w:t>,</w:t>
      </w:r>
      <w:r w:rsidR="00B642CE">
        <w:t xml:space="preserve"> </w:t>
      </w:r>
      <w:r w:rsidRPr="00D7045E">
        <w:t>p.</w:t>
      </w:r>
      <w:r>
        <w:t xml:space="preserve">52.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59B"/>
    <w:rsid w:val="00025E95"/>
    <w:rsid w:val="00046A1F"/>
    <w:rsid w:val="00050882"/>
    <w:rsid w:val="000A55EC"/>
    <w:rsid w:val="000E6011"/>
    <w:rsid w:val="000F512D"/>
    <w:rsid w:val="001111DD"/>
    <w:rsid w:val="001470F9"/>
    <w:rsid w:val="00151658"/>
    <w:rsid w:val="00175733"/>
    <w:rsid w:val="00176351"/>
    <w:rsid w:val="001C3583"/>
    <w:rsid w:val="0020232E"/>
    <w:rsid w:val="00202A01"/>
    <w:rsid w:val="002263BF"/>
    <w:rsid w:val="0026715D"/>
    <w:rsid w:val="00267BA5"/>
    <w:rsid w:val="002724FB"/>
    <w:rsid w:val="00286AB1"/>
    <w:rsid w:val="002C7470"/>
    <w:rsid w:val="002D0BE5"/>
    <w:rsid w:val="002D46BF"/>
    <w:rsid w:val="002F18EE"/>
    <w:rsid w:val="00307293"/>
    <w:rsid w:val="00313BD4"/>
    <w:rsid w:val="0032259B"/>
    <w:rsid w:val="00353CF6"/>
    <w:rsid w:val="00365357"/>
    <w:rsid w:val="00371A64"/>
    <w:rsid w:val="003A324C"/>
    <w:rsid w:val="00427070"/>
    <w:rsid w:val="00430D1F"/>
    <w:rsid w:val="00454897"/>
    <w:rsid w:val="00457F4D"/>
    <w:rsid w:val="0046139D"/>
    <w:rsid w:val="004627E8"/>
    <w:rsid w:val="00472090"/>
    <w:rsid w:val="00474022"/>
    <w:rsid w:val="004A15E9"/>
    <w:rsid w:val="004B14E6"/>
    <w:rsid w:val="004D7D5A"/>
    <w:rsid w:val="004F2E4A"/>
    <w:rsid w:val="0050311E"/>
    <w:rsid w:val="00504D5F"/>
    <w:rsid w:val="00552464"/>
    <w:rsid w:val="005767B1"/>
    <w:rsid w:val="00576D42"/>
    <w:rsid w:val="005827B8"/>
    <w:rsid w:val="005A1D33"/>
    <w:rsid w:val="005A6F2A"/>
    <w:rsid w:val="005B3C4B"/>
    <w:rsid w:val="005B4941"/>
    <w:rsid w:val="005D3BE4"/>
    <w:rsid w:val="005E222E"/>
    <w:rsid w:val="005F160C"/>
    <w:rsid w:val="00600508"/>
    <w:rsid w:val="006560DA"/>
    <w:rsid w:val="00664CBF"/>
    <w:rsid w:val="00671EF9"/>
    <w:rsid w:val="0068235B"/>
    <w:rsid w:val="00690506"/>
    <w:rsid w:val="006A36CE"/>
    <w:rsid w:val="006A5192"/>
    <w:rsid w:val="006C78A2"/>
    <w:rsid w:val="006E0415"/>
    <w:rsid w:val="006E4E7B"/>
    <w:rsid w:val="0070312E"/>
    <w:rsid w:val="007321B0"/>
    <w:rsid w:val="00761F11"/>
    <w:rsid w:val="007B5A5D"/>
    <w:rsid w:val="007D36CE"/>
    <w:rsid w:val="007D3EB7"/>
    <w:rsid w:val="007E4719"/>
    <w:rsid w:val="00812248"/>
    <w:rsid w:val="00824EF7"/>
    <w:rsid w:val="00840A73"/>
    <w:rsid w:val="008430B3"/>
    <w:rsid w:val="008758D5"/>
    <w:rsid w:val="008809D6"/>
    <w:rsid w:val="0088395F"/>
    <w:rsid w:val="008934B2"/>
    <w:rsid w:val="008E7328"/>
    <w:rsid w:val="009050AF"/>
    <w:rsid w:val="00910C5F"/>
    <w:rsid w:val="00931D61"/>
    <w:rsid w:val="009325F5"/>
    <w:rsid w:val="00952C5F"/>
    <w:rsid w:val="00993AD7"/>
    <w:rsid w:val="009A371D"/>
    <w:rsid w:val="009C722A"/>
    <w:rsid w:val="009E0E37"/>
    <w:rsid w:val="00A24D6F"/>
    <w:rsid w:val="00A60F45"/>
    <w:rsid w:val="00A74C0D"/>
    <w:rsid w:val="00A80DCD"/>
    <w:rsid w:val="00A819CF"/>
    <w:rsid w:val="00A853AC"/>
    <w:rsid w:val="00AA0B71"/>
    <w:rsid w:val="00AB2121"/>
    <w:rsid w:val="00AB39EB"/>
    <w:rsid w:val="00AC4296"/>
    <w:rsid w:val="00AC6C34"/>
    <w:rsid w:val="00AF7C61"/>
    <w:rsid w:val="00AF7FFC"/>
    <w:rsid w:val="00B03838"/>
    <w:rsid w:val="00B22896"/>
    <w:rsid w:val="00B26DCF"/>
    <w:rsid w:val="00B31448"/>
    <w:rsid w:val="00B40375"/>
    <w:rsid w:val="00B40B99"/>
    <w:rsid w:val="00B50AE5"/>
    <w:rsid w:val="00B518AA"/>
    <w:rsid w:val="00B642CE"/>
    <w:rsid w:val="00B67155"/>
    <w:rsid w:val="00BA50D6"/>
    <w:rsid w:val="00BC5F56"/>
    <w:rsid w:val="00C312D3"/>
    <w:rsid w:val="00C437E7"/>
    <w:rsid w:val="00C502E8"/>
    <w:rsid w:val="00C715BF"/>
    <w:rsid w:val="00C74CA9"/>
    <w:rsid w:val="00C956DB"/>
    <w:rsid w:val="00CB27BF"/>
    <w:rsid w:val="00CF3EE0"/>
    <w:rsid w:val="00CF5CB3"/>
    <w:rsid w:val="00D5677C"/>
    <w:rsid w:val="00D61E3E"/>
    <w:rsid w:val="00D652C5"/>
    <w:rsid w:val="00D7045E"/>
    <w:rsid w:val="00DC0EED"/>
    <w:rsid w:val="00E01856"/>
    <w:rsid w:val="00E725E9"/>
    <w:rsid w:val="00E7562C"/>
    <w:rsid w:val="00ED5405"/>
    <w:rsid w:val="00F27743"/>
    <w:rsid w:val="00F5247F"/>
    <w:rsid w:val="00F52AFC"/>
    <w:rsid w:val="00F74D24"/>
    <w:rsid w:val="00F7772D"/>
    <w:rsid w:val="00FB3F19"/>
    <w:rsid w:val="00FC2956"/>
    <w:rsid w:val="00FD0960"/>
    <w:rsid w:val="00FD1A1C"/>
    <w:rsid w:val="00FF1510"/>
    <w:rsid w:val="00FF5F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399632"/>
  <w15:chartTrackingRefBased/>
  <w15:docId w15:val="{7ADC0111-C0B0-4FCE-AE44-F1AA1E3E94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A50D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A50D6"/>
    <w:rPr>
      <w:sz w:val="20"/>
      <w:szCs w:val="20"/>
    </w:rPr>
  </w:style>
  <w:style w:type="character" w:styleId="FootnoteReference">
    <w:name w:val="footnote reference"/>
    <w:basedOn w:val="DefaultParagraphFont"/>
    <w:uiPriority w:val="99"/>
    <w:semiHidden/>
    <w:unhideWhenUsed/>
    <w:rsid w:val="00BA50D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343AB6-AF3E-46D7-8AAF-BA2F81CB92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2583</Words>
  <Characters>14728</Characters>
  <Application>Microsoft Office Word</Application>
  <DocSecurity>0</DocSecurity>
  <Lines>122</Lines>
  <Paragraphs>34</Paragraphs>
  <ScaleCrop>false</ScaleCrop>
  <Company/>
  <LinksUpToDate>false</LinksUpToDate>
  <CharactersWithSpaces>17277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Ain Maties</dc:creator>
  <cp:keywords/>
  <dc:description/>
  <cp:lastModifiedBy>Ain Maties</cp:lastModifiedBy>
  <cp:revision>7</cp:revision>
  <dcterms:created xsi:type="dcterms:W3CDTF">2022-11-25T14:32:00Z</dcterms:created>
  <dcterms:modified xsi:type="dcterms:W3CDTF">2022-12-10T23:59:00Z</dcterms:modified>
</cp:coreProperties>
</file>