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6547B5" w14:textId="77777777" w:rsidR="00991ED2" w:rsidRPr="000A4187" w:rsidRDefault="00991ED2" w:rsidP="00991ED2">
      <w:pPr>
        <w:jc w:val="center"/>
        <w:rPr>
          <w:rFonts w:cs="Times New Roman"/>
          <w:color w:val="0D0D0D" w:themeColor="text1" w:themeTint="F2"/>
          <w:lang w:val="en-GB"/>
        </w:rPr>
      </w:pPr>
    </w:p>
    <w:p w14:paraId="037CEEEE" w14:textId="77777777" w:rsidR="00991ED2" w:rsidRPr="000A4187" w:rsidRDefault="00991ED2" w:rsidP="00991ED2">
      <w:pPr>
        <w:jc w:val="center"/>
        <w:rPr>
          <w:rFonts w:cs="Times New Roman"/>
          <w:color w:val="0D0D0D" w:themeColor="text1" w:themeTint="F2"/>
          <w:lang w:val="en-GB"/>
        </w:rPr>
      </w:pPr>
    </w:p>
    <w:p w14:paraId="6AE6E3D2" w14:textId="77777777" w:rsidR="00991ED2" w:rsidRPr="000A4187" w:rsidRDefault="00991ED2" w:rsidP="00991ED2">
      <w:pPr>
        <w:jc w:val="center"/>
        <w:rPr>
          <w:rFonts w:cs="Times New Roman"/>
          <w:color w:val="0D0D0D" w:themeColor="text1" w:themeTint="F2"/>
          <w:lang w:val="en-GB"/>
        </w:rPr>
      </w:pPr>
    </w:p>
    <w:p w14:paraId="36BED471" w14:textId="77777777" w:rsidR="00991ED2" w:rsidRPr="000A4187" w:rsidRDefault="00991ED2" w:rsidP="00991ED2">
      <w:pPr>
        <w:jc w:val="center"/>
        <w:rPr>
          <w:rFonts w:cs="Times New Roman"/>
          <w:color w:val="0D0D0D" w:themeColor="text1" w:themeTint="F2"/>
          <w:lang w:val="en-GB"/>
        </w:rPr>
      </w:pPr>
    </w:p>
    <w:p w14:paraId="51E8D548" w14:textId="77777777" w:rsidR="00991ED2" w:rsidRPr="000A4187" w:rsidRDefault="00991ED2" w:rsidP="00991ED2">
      <w:pPr>
        <w:jc w:val="center"/>
        <w:rPr>
          <w:rFonts w:cs="Times New Roman"/>
          <w:color w:val="0D0D0D" w:themeColor="text1" w:themeTint="F2"/>
          <w:lang w:val="en-GB"/>
        </w:rPr>
      </w:pPr>
    </w:p>
    <w:p w14:paraId="6C4B0A03" w14:textId="77777777" w:rsidR="00991ED2" w:rsidRPr="000A4187" w:rsidRDefault="00991ED2" w:rsidP="00991ED2">
      <w:pPr>
        <w:jc w:val="center"/>
        <w:rPr>
          <w:rFonts w:cs="Times New Roman"/>
          <w:color w:val="0D0D0D" w:themeColor="text1" w:themeTint="F2"/>
          <w:lang w:val="en-GB"/>
        </w:rPr>
      </w:pPr>
    </w:p>
    <w:p w14:paraId="15CC13A6" w14:textId="77777777" w:rsidR="00991ED2" w:rsidRPr="000A4187" w:rsidRDefault="00991ED2" w:rsidP="00991ED2">
      <w:pPr>
        <w:jc w:val="center"/>
        <w:rPr>
          <w:rFonts w:cs="Times New Roman"/>
          <w:color w:val="0D0D0D" w:themeColor="text1" w:themeTint="F2"/>
          <w:lang w:val="en-GB"/>
        </w:rPr>
      </w:pPr>
    </w:p>
    <w:p w14:paraId="511A72D6" w14:textId="77777777" w:rsidR="00991ED2" w:rsidRPr="000A4187" w:rsidRDefault="00991ED2" w:rsidP="00991ED2">
      <w:pPr>
        <w:jc w:val="center"/>
        <w:rPr>
          <w:rFonts w:cs="Times New Roman"/>
          <w:color w:val="0D0D0D" w:themeColor="text1" w:themeTint="F2"/>
          <w:lang w:val="en-GB"/>
        </w:rPr>
      </w:pPr>
    </w:p>
    <w:p w14:paraId="7EB46A08" w14:textId="77777777" w:rsidR="00991ED2" w:rsidRPr="000A4187" w:rsidRDefault="00991ED2" w:rsidP="00991ED2">
      <w:pPr>
        <w:jc w:val="center"/>
        <w:rPr>
          <w:rFonts w:cs="Times New Roman"/>
          <w:color w:val="0D0D0D" w:themeColor="text1" w:themeTint="F2"/>
          <w:lang w:val="en-GB"/>
        </w:rPr>
      </w:pPr>
    </w:p>
    <w:p w14:paraId="6A54C37E" w14:textId="77777777" w:rsidR="00991ED2" w:rsidRPr="000A4187" w:rsidRDefault="00991ED2" w:rsidP="00991ED2">
      <w:pPr>
        <w:jc w:val="center"/>
        <w:rPr>
          <w:rFonts w:cs="Times New Roman"/>
          <w:color w:val="0D0D0D" w:themeColor="text1" w:themeTint="F2"/>
          <w:lang w:val="en-GB"/>
        </w:rPr>
      </w:pPr>
    </w:p>
    <w:p w14:paraId="50DCAC16" w14:textId="77777777" w:rsidR="0012446E" w:rsidRDefault="00991ED2" w:rsidP="00991ED2">
      <w:pPr>
        <w:jc w:val="center"/>
        <w:rPr>
          <w:rFonts w:cs="Times New Roman"/>
          <w:b/>
          <w:color w:val="0D0D0D" w:themeColor="text1" w:themeTint="F2"/>
          <w:sz w:val="36"/>
          <w:lang w:val="en-GB"/>
        </w:rPr>
      </w:pPr>
      <w:r>
        <w:rPr>
          <w:rFonts w:cs="Times New Roman"/>
          <w:b/>
          <w:color w:val="0D0D0D" w:themeColor="text1" w:themeTint="F2"/>
          <w:sz w:val="36"/>
          <w:lang w:val="en-GB"/>
        </w:rPr>
        <w:t xml:space="preserve">ASSESSMENT TITLE: </w:t>
      </w:r>
      <w:r w:rsidRPr="000A4187">
        <w:rPr>
          <w:rFonts w:cs="Times New Roman"/>
          <w:b/>
          <w:color w:val="0D0D0D" w:themeColor="text1" w:themeTint="F2"/>
          <w:sz w:val="36"/>
          <w:lang w:val="en-GB"/>
        </w:rPr>
        <w:t>THE GLOBAL BUSINESS ENVIRONMENT</w:t>
      </w:r>
      <w:r w:rsidR="0012446E">
        <w:rPr>
          <w:rFonts w:cs="Times New Roman"/>
          <w:b/>
          <w:color w:val="0D0D0D" w:themeColor="text1" w:themeTint="F2"/>
          <w:sz w:val="36"/>
          <w:lang w:val="en-GB"/>
        </w:rPr>
        <w:t xml:space="preserve"> </w:t>
      </w:r>
    </w:p>
    <w:p w14:paraId="3CC2B6BD" w14:textId="77777777" w:rsidR="00991ED2" w:rsidRDefault="0012446E" w:rsidP="00991ED2">
      <w:pPr>
        <w:jc w:val="center"/>
        <w:rPr>
          <w:rFonts w:cs="Times New Roman"/>
          <w:b/>
          <w:color w:val="0D0D0D" w:themeColor="text1" w:themeTint="F2"/>
          <w:sz w:val="36"/>
          <w:lang w:val="en-GB"/>
        </w:rPr>
      </w:pPr>
      <w:bookmarkStart w:id="0" w:name="_GoBack"/>
      <w:bookmarkEnd w:id="0"/>
      <w:r>
        <w:rPr>
          <w:rFonts w:cs="Times New Roman"/>
          <w:b/>
          <w:color w:val="0D0D0D" w:themeColor="text1" w:themeTint="F2"/>
          <w:sz w:val="36"/>
          <w:lang w:val="en-GB"/>
        </w:rPr>
        <w:t>ASSESMENT2 RESIT/REWORK</w:t>
      </w:r>
    </w:p>
    <w:p w14:paraId="14E935F9" w14:textId="77777777" w:rsidR="00991ED2" w:rsidRDefault="00991ED2" w:rsidP="00991ED2">
      <w:pPr>
        <w:jc w:val="center"/>
        <w:rPr>
          <w:rFonts w:cs="Times New Roman"/>
          <w:b/>
          <w:color w:val="0D0D0D" w:themeColor="text1" w:themeTint="F2"/>
          <w:sz w:val="36"/>
          <w:lang w:val="en-GB"/>
        </w:rPr>
      </w:pPr>
      <w:r>
        <w:rPr>
          <w:rFonts w:cs="Times New Roman"/>
          <w:b/>
          <w:color w:val="0D0D0D" w:themeColor="text1" w:themeTint="F2"/>
          <w:sz w:val="36"/>
          <w:lang w:val="en-GB"/>
        </w:rPr>
        <w:t>MODULE NUMBER: LCBB</w:t>
      </w:r>
      <w:r w:rsidR="0012446E">
        <w:rPr>
          <w:rFonts w:cs="Times New Roman"/>
          <w:b/>
          <w:color w:val="0D0D0D" w:themeColor="text1" w:themeTint="F2"/>
          <w:sz w:val="36"/>
          <w:lang w:val="en-GB"/>
        </w:rPr>
        <w:t>4005</w:t>
      </w:r>
    </w:p>
    <w:p w14:paraId="51C8459B" w14:textId="77777777" w:rsidR="00991ED2" w:rsidRPr="00DE468B" w:rsidRDefault="0012446E" w:rsidP="00991ED2">
      <w:pPr>
        <w:spacing w:line="276" w:lineRule="auto"/>
        <w:jc w:val="center"/>
        <w:rPr>
          <w:rFonts w:cs="Times New Roman"/>
          <w:b/>
          <w:bCs/>
          <w:color w:val="0D0D0D" w:themeColor="text1" w:themeTint="F2"/>
          <w:sz w:val="32"/>
          <w:szCs w:val="20"/>
          <w:lang w:val="en-GB"/>
        </w:rPr>
      </w:pPr>
      <w:r>
        <w:rPr>
          <w:rFonts w:cs="Times New Roman"/>
          <w:b/>
          <w:bCs/>
          <w:color w:val="0D0D0D" w:themeColor="text1" w:themeTint="F2"/>
          <w:sz w:val="32"/>
          <w:szCs w:val="20"/>
          <w:lang w:val="en-GB"/>
        </w:rPr>
        <w:t>LECTURER NAME: Rexton Nting</w:t>
      </w:r>
    </w:p>
    <w:p w14:paraId="0B233556" w14:textId="77777777" w:rsidR="0012446E" w:rsidRDefault="0012446E" w:rsidP="00991ED2">
      <w:pPr>
        <w:spacing w:line="276" w:lineRule="auto"/>
        <w:jc w:val="center"/>
        <w:rPr>
          <w:rFonts w:cs="Times New Roman"/>
          <w:b/>
          <w:bCs/>
          <w:color w:val="0D0D0D" w:themeColor="text1" w:themeTint="F2"/>
          <w:sz w:val="32"/>
          <w:szCs w:val="20"/>
          <w:lang w:val="en-GB"/>
        </w:rPr>
      </w:pPr>
      <w:r>
        <w:rPr>
          <w:rFonts w:cs="Times New Roman"/>
          <w:b/>
          <w:bCs/>
          <w:color w:val="0D0D0D" w:themeColor="text1" w:themeTint="F2"/>
          <w:sz w:val="32"/>
          <w:szCs w:val="20"/>
          <w:lang w:val="en-GB"/>
        </w:rPr>
        <w:t>STUDENT NAME: Maria Taleva</w:t>
      </w:r>
    </w:p>
    <w:p w14:paraId="60C1D88A" w14:textId="77777777" w:rsidR="00991ED2" w:rsidRPr="00DE468B" w:rsidRDefault="0012446E" w:rsidP="00991ED2">
      <w:pPr>
        <w:spacing w:line="276" w:lineRule="auto"/>
        <w:jc w:val="center"/>
        <w:rPr>
          <w:rFonts w:cs="Times New Roman"/>
          <w:b/>
          <w:bCs/>
          <w:color w:val="0D0D0D" w:themeColor="text1" w:themeTint="F2"/>
          <w:sz w:val="32"/>
          <w:szCs w:val="20"/>
          <w:lang w:val="en-GB"/>
        </w:rPr>
      </w:pPr>
      <w:r>
        <w:rPr>
          <w:rFonts w:cs="Times New Roman"/>
          <w:b/>
          <w:bCs/>
          <w:color w:val="0D0D0D" w:themeColor="text1" w:themeTint="F2"/>
          <w:sz w:val="32"/>
          <w:szCs w:val="20"/>
          <w:lang w:val="en-GB"/>
        </w:rPr>
        <w:t>STUDENT ID: 1812411</w:t>
      </w:r>
      <w:r w:rsidR="00991ED2" w:rsidRPr="00DE468B">
        <w:rPr>
          <w:rFonts w:cs="Times New Roman"/>
          <w:b/>
          <w:bCs/>
          <w:color w:val="0D0D0D" w:themeColor="text1" w:themeTint="F2"/>
          <w:sz w:val="32"/>
          <w:szCs w:val="20"/>
          <w:lang w:val="en-GB"/>
        </w:rPr>
        <w:t xml:space="preserve"> </w:t>
      </w:r>
    </w:p>
    <w:p w14:paraId="079D1E19" w14:textId="77777777" w:rsidR="00991ED2" w:rsidRPr="000A4187" w:rsidRDefault="00991ED2" w:rsidP="00991ED2">
      <w:pPr>
        <w:spacing w:line="276" w:lineRule="auto"/>
        <w:jc w:val="left"/>
        <w:rPr>
          <w:rFonts w:cs="Times New Roman"/>
          <w:color w:val="0D0D0D" w:themeColor="text1" w:themeTint="F2"/>
          <w:lang w:val="en-GB"/>
        </w:rPr>
      </w:pPr>
      <w:r w:rsidRPr="000A4187">
        <w:rPr>
          <w:rFonts w:cs="Times New Roman"/>
          <w:color w:val="0D0D0D" w:themeColor="text1" w:themeTint="F2"/>
          <w:lang w:val="en-GB"/>
        </w:rPr>
        <w:br w:type="page"/>
      </w:r>
    </w:p>
    <w:p w14:paraId="31985124" w14:textId="77777777" w:rsidR="00991ED2" w:rsidRPr="000A4187" w:rsidRDefault="00991ED2" w:rsidP="00991ED2">
      <w:pPr>
        <w:pStyle w:val="Heading1"/>
        <w:rPr>
          <w:rFonts w:cs="Times New Roman"/>
          <w:color w:val="0D0D0D" w:themeColor="text1" w:themeTint="F2"/>
          <w:lang w:val="en-GB"/>
        </w:rPr>
      </w:pPr>
      <w:r w:rsidRPr="000A4187">
        <w:rPr>
          <w:rFonts w:cs="Times New Roman"/>
          <w:color w:val="0D0D0D" w:themeColor="text1" w:themeTint="F2"/>
          <w:lang w:val="en-GB"/>
        </w:rPr>
        <w:lastRenderedPageBreak/>
        <w:t>Introduction</w:t>
      </w:r>
    </w:p>
    <w:p w14:paraId="3B6DA46D"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This assignment is based around the new and emerging trends in the realm of Electric vehicles, which are gaining fast ground as well as prevalence in the European and the global business landscape, which are in the form of destructive innovation, wherein the associated organisations and trends are being metamorphosed like a gas station and associated auxiliary services that are associated with the automobile industry. Thereby, this assignment pulls aim to identify and highlight the coming trends and business opportunity theory the introduction as well as the mass adoption of the electric vehicles through the utilisation of related and associated business tools and techniques.  </w:t>
      </w:r>
    </w:p>
    <w:p w14:paraId="7849B4F9" w14:textId="77777777" w:rsidR="00991ED2" w:rsidRPr="000A4187" w:rsidRDefault="00991ED2" w:rsidP="00991ED2">
      <w:pPr>
        <w:pStyle w:val="Heading1"/>
        <w:rPr>
          <w:rFonts w:cs="Times New Roman"/>
          <w:color w:val="0D0D0D" w:themeColor="text1" w:themeTint="F2"/>
          <w:lang w:val="en-GB"/>
        </w:rPr>
      </w:pPr>
      <w:r w:rsidRPr="000A4187">
        <w:rPr>
          <w:rFonts w:cs="Times New Roman"/>
          <w:color w:val="0D0D0D" w:themeColor="text1" w:themeTint="F2"/>
          <w:lang w:val="en-GB"/>
        </w:rPr>
        <w:t>Discussion</w:t>
      </w:r>
    </w:p>
    <w:p w14:paraId="3EB0AA52"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electric vehicle in the automobile segment is considered to be a destructive innovation, as they have the potential to disrupt the existing market, as well as business opportunities as well as trends and power structure in the current and existing automobile market, which are driven by crude oil and ICE or Internal combustion Engines. The Internal Combustion Engine was established and utilised in the automobile segment since the inception of the automobiles, by Karl Benz, the founder of Mercedes way back in the early 1870s, and since then the Internal combustion Engines have been the core engines driving the Automobiles</w:t>
      </w:r>
      <w:r w:rsidRPr="000A4187">
        <w:rPr>
          <w:rFonts w:cs="Times New Roman"/>
          <w:noProof/>
          <w:color w:val="0D0D0D" w:themeColor="text1" w:themeTint="F2"/>
          <w:lang w:val="en-GB"/>
        </w:rPr>
        <w:t xml:space="preserve"> (industryweek.com, 2020)</w:t>
      </w:r>
      <w:r w:rsidRPr="000A4187">
        <w:rPr>
          <w:rFonts w:cs="Times New Roman"/>
          <w:color w:val="0D0D0D" w:themeColor="text1" w:themeTint="F2"/>
          <w:lang w:val="en-GB"/>
        </w:rPr>
        <w:t>. </w:t>
      </w:r>
    </w:p>
    <w:p w14:paraId="1A82DAFE"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On the other hand, with the Electric Vehicles in the global and national market, are automobiles that do not rely on crude oil or natural gas for driving the automobiles, thereby eliminating the need of Combustion Engines that drive the cars through burning crude oil and gases. The Electric vehicles, operate on batteries and are known as Powertrains that drive the automobiles through storing electricity in rechargeable batteries that can store significant amounts of power, and converts the electric energy for driving the vehicle, thereby creating new business opportunities as well as trends as these vehicles have their own set of requirements</w:t>
      </w:r>
      <w:r w:rsidRPr="000A4187">
        <w:rPr>
          <w:rFonts w:cs="Times New Roman"/>
          <w:noProof/>
          <w:color w:val="0D0D0D" w:themeColor="text1" w:themeTint="F2"/>
          <w:lang w:val="en-GB"/>
        </w:rPr>
        <w:t xml:space="preserve"> (Kapustin &amp; Grushevenko, 2020)</w:t>
      </w:r>
      <w:r w:rsidRPr="000A4187">
        <w:rPr>
          <w:rFonts w:cs="Times New Roman"/>
          <w:color w:val="0D0D0D" w:themeColor="text1" w:themeTint="F2"/>
          <w:lang w:val="en-GB"/>
        </w:rPr>
        <w:t>. </w:t>
      </w:r>
    </w:p>
    <w:p w14:paraId="2917F587"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Thereby, assessing and identifying the major forces changing and metamorphic the global business environment in the automobile sector through the utilisation of the PESTEL analysis, this would highlight the international factors that are promoting the electric vehicles as an alternative to the ICE. Wherein, the Political and Legal factors are in the form of the government stimulus that is adopted and utilised by various countries for boosting and promoting the adsorption of electric vehicles by taking initiatives for forming the electric vehicle infrastructure that is required in the initial stages. These infrastructural requirements are in the form of the power station that is required for the automobiles for charging the vehicles, as opposed to ICE vehicle, that store CNG and fossil fuel for powering them, and consuming it in the combustion chamber, the electric vehicles, stores electricity in lithium-ion batteries that require some time for charging as opposed to the Fossil fuel-powered vehicles. The governments are taking initiatives for establishing these power stations wherein the automobiles can be charged, along with promoting the sales of the electronic vehicles by phasing out the use of fossil fuels and ICE as a whole</w:t>
      </w:r>
      <w:r w:rsidRPr="000A4187">
        <w:rPr>
          <w:rFonts w:cs="Times New Roman"/>
          <w:noProof/>
          <w:color w:val="0D0D0D" w:themeColor="text1" w:themeTint="F2"/>
          <w:lang w:val="en-GB"/>
        </w:rPr>
        <w:t xml:space="preserve"> (Chen et al., 2020)</w:t>
      </w:r>
      <w:r w:rsidRPr="000A4187">
        <w:rPr>
          <w:rFonts w:cs="Times New Roman"/>
          <w:color w:val="0D0D0D" w:themeColor="text1" w:themeTint="F2"/>
          <w:lang w:val="en-GB"/>
        </w:rPr>
        <w:t>.     </w:t>
      </w:r>
    </w:p>
    <w:p w14:paraId="1732F8D0"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Economic factors that promote the electric automobile sales are in the form of the change in policies as well as the rebates that are being offered by the countries for promoting the mass adoption and the utilisation of the Electric vehicles by the citizens, as the government and authorities offer rebates as well as a concession on the purchase of electric vehicles. These concessions range from rebates that are offering the tax declaration, along with the exemption from the road tax, car registration charges along with the road tax, and other range of taxes that are applicable when consumers purchase an ICE powered vehicle</w:t>
      </w:r>
      <w:r w:rsidRPr="000A4187">
        <w:rPr>
          <w:rFonts w:cs="Times New Roman"/>
          <w:noProof/>
          <w:color w:val="0D0D0D" w:themeColor="text1" w:themeTint="F2"/>
          <w:lang w:val="en-GB"/>
        </w:rPr>
        <w:t xml:space="preserve"> (Kim et al., 2020)</w:t>
      </w:r>
      <w:r w:rsidRPr="000A4187">
        <w:rPr>
          <w:rFonts w:cs="Times New Roman"/>
          <w:color w:val="0D0D0D" w:themeColor="text1" w:themeTint="F2"/>
          <w:lang w:val="en-GB"/>
        </w:rPr>
        <w:t>. </w:t>
      </w:r>
    </w:p>
    <w:p w14:paraId="198002F4"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Social and Ecological factors that affect and impact the phasing out of the ICE in the national and international market are primarily the socially and environmentally driven people, who are aware of the damage caused by the remnant of the ICE to the environment that results from the fossil fuel consumption. Thereby the people are more aware and active about their choices and the impact on the environment, of the specific choices as a whole. Thereafter, the electric vehicles also offer a cost-effective solution as opposed to the ICE power vehicle which relies on fossil fuel and crude oil whose prices rely on the international demands and supply</w:t>
      </w:r>
      <w:r w:rsidRPr="000A4187">
        <w:rPr>
          <w:rFonts w:cs="Times New Roman"/>
          <w:noProof/>
          <w:color w:val="0D0D0D" w:themeColor="text1" w:themeTint="F2"/>
          <w:lang w:val="en-GB"/>
        </w:rPr>
        <w:t xml:space="preserve"> (Sajjad et al., 2020)</w:t>
      </w:r>
      <w:r w:rsidRPr="000A4187">
        <w:rPr>
          <w:rFonts w:cs="Times New Roman"/>
          <w:color w:val="0D0D0D" w:themeColor="text1" w:themeTint="F2"/>
          <w:lang w:val="en-GB"/>
        </w:rPr>
        <w:t>.   </w:t>
      </w:r>
    </w:p>
    <w:p w14:paraId="5EFE17BE"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Technological factors that support and impact the Electric Vehicles and related business opportunities are in the form of the adoption of the electric vehicles and breakthroughs in the realm of storing the electricity in the vehicles and the introduction of the power trains. As opposed to the ICE engines, the Powertrains are quieter and safer as they utilise Lithium-ion batteries and as opposed to hybrid vehicles, and the predecessors of the electronic vehicles the modern vehicles have greater range and significantly reduced charging time, with the introduction of fast-charging stations</w:t>
      </w:r>
      <w:r w:rsidRPr="000A4187">
        <w:rPr>
          <w:rFonts w:cs="Times New Roman"/>
          <w:noProof/>
          <w:color w:val="0D0D0D" w:themeColor="text1" w:themeTint="F2"/>
          <w:lang w:val="en-GB"/>
        </w:rPr>
        <w:t xml:space="preserve"> (Liebig et al., 2020)</w:t>
      </w:r>
      <w:r w:rsidRPr="000A4187">
        <w:rPr>
          <w:rFonts w:cs="Times New Roman"/>
          <w:color w:val="0D0D0D" w:themeColor="text1" w:themeTint="F2"/>
          <w:lang w:val="en-GB"/>
        </w:rPr>
        <w:t>. </w:t>
      </w:r>
    </w:p>
    <w:p w14:paraId="54E1AA57"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Thereafter, the competitive environment within the industry of electronic vehicles are defined through Porter's five forces analysis, that can assist in identifying the impact of the competitive forces like the suppliers, customers and other factors within the electric vehicle industry for the Volvo automobile company. The Impact of the Competitors and Substitutes in the electric vehicles segment is directed and highlighted by limited competition, and a monopoly int6he segment, since the majority of the traditional automobile manufacturers are engaged in utilising and manufacturing cars that utilise ICE, and are currently making breakthroughs and figuring out the powertrain. The primary competitor in the electric vehicle segment is Tesla motors, which is backed by the PayPal billionaire Elon Musk, though the competition in this segment is relatively low, as the company Tesla, have not patented their breakthrough, and provide assistance to companies for adopting Electronic vehicles and Powertrain</w:t>
      </w:r>
      <w:r w:rsidRPr="000A4187">
        <w:rPr>
          <w:rFonts w:cs="Times New Roman"/>
          <w:noProof/>
          <w:color w:val="0D0D0D" w:themeColor="text1" w:themeTint="F2"/>
          <w:lang w:val="en-GB"/>
        </w:rPr>
        <w:t xml:space="preserve"> (Meunier &amp; Ponssard, 2020)</w:t>
      </w:r>
      <w:r w:rsidRPr="000A4187">
        <w:rPr>
          <w:rFonts w:cs="Times New Roman"/>
          <w:color w:val="0D0D0D" w:themeColor="text1" w:themeTint="F2"/>
          <w:lang w:val="en-GB"/>
        </w:rPr>
        <w:t>. </w:t>
      </w:r>
    </w:p>
    <w:p w14:paraId="7050AF08"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impact of the Suppliers on the decision making capability of the firm is relatively high and the buyer is relatively low, since the raw material required for manufacturing the electric vehicles are not easily accessible, and not multitudes of suppliers can provide the lithium-ion batteries required for the power trains are limited and not easily provided by suppliers. Thereafter the impact of the customer is also relatively low on the company and the sector as a whole since the customer are faced with lucrative options between the ICE vehicles and electric vehicles and the concessions that are offered by the government, reduce the impact that the individuals have on the company</w:t>
      </w:r>
      <w:r w:rsidRPr="000A4187">
        <w:rPr>
          <w:rFonts w:cs="Times New Roman"/>
          <w:noProof/>
          <w:color w:val="0D0D0D" w:themeColor="text1" w:themeTint="F2"/>
          <w:lang w:val="en-GB"/>
        </w:rPr>
        <w:t xml:space="preserve"> (Habib et al., 2020)</w:t>
      </w:r>
      <w:r w:rsidRPr="000A4187">
        <w:rPr>
          <w:rFonts w:cs="Times New Roman"/>
          <w:color w:val="0D0D0D" w:themeColor="text1" w:themeTint="F2"/>
          <w:lang w:val="en-GB"/>
        </w:rPr>
        <w:t>. </w:t>
      </w:r>
    </w:p>
    <w:p w14:paraId="6257C788"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threat of the new entrants of the company are intermediate since the electric vehicle segment is currently dominated by one company, that is Tesla, and the industry is relatively open for the companies to enter into the market and though the level of capital infusion, as well as the technological breakthroughs that are required for the companies for entering into the market, are also relatively high and complicated which is not easily achieved by the majority of the companies, and a range of companies that have failed to enter the market, Faraday motors is the prime example of such a company</w:t>
      </w:r>
      <w:r w:rsidRPr="000A4187">
        <w:rPr>
          <w:rFonts w:cs="Times New Roman"/>
          <w:noProof/>
          <w:color w:val="0D0D0D" w:themeColor="text1" w:themeTint="F2"/>
          <w:lang w:val="en-GB"/>
        </w:rPr>
        <w:t xml:space="preserve"> (Henschel et al., 2020)</w:t>
      </w:r>
      <w:r w:rsidRPr="000A4187">
        <w:rPr>
          <w:rFonts w:cs="Times New Roman"/>
          <w:color w:val="0D0D0D" w:themeColor="text1" w:themeTint="F2"/>
          <w:lang w:val="en-GB"/>
        </w:rPr>
        <w:t>. </w:t>
      </w:r>
    </w:p>
    <w:p w14:paraId="5C8E8F89"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Thereby, in the mainframe of the electric vehicle segment, the industry presents a range of business as well as entrepreneurship opportunities for the companies and individuals to enter into the market and utilise the business opportunity that is created by the entry of the electric vehicle segment into the international automobile mainframe. Thereafter applying the Product Life cycle for assessing the life cycle of the electric vehicle segment in the ICE engines as a whole. The ICE engine are in their decline phase, since the companies have been producing and operating the ICE driven automobile since the inception of the automobiles in the late 18th century, and over time the ICE engines have seen adjustment as well as up gradation and modification of the ICE engines, built the core consist of the engines have remained the same relatively. Thus, in the current landscape, the demand often ICE engines and the related businesses, as well as trends, are seeing a decline in demand, with the rise of the electric vehicles in the global market, along with the rising awareness of the customer of their impact on the environment as well</w:t>
      </w:r>
      <w:r w:rsidRPr="000A4187">
        <w:rPr>
          <w:rFonts w:cs="Times New Roman"/>
          <w:noProof/>
          <w:color w:val="0D0D0D" w:themeColor="text1" w:themeTint="F2"/>
          <w:lang w:val="en-GB"/>
        </w:rPr>
        <w:t xml:space="preserve"> (Garrido-Hidalgo et al., 2020)</w:t>
      </w:r>
      <w:r w:rsidRPr="000A4187">
        <w:rPr>
          <w:rFonts w:cs="Times New Roman"/>
          <w:color w:val="0D0D0D" w:themeColor="text1" w:themeTint="F2"/>
          <w:lang w:val="en-GB"/>
        </w:rPr>
        <w:t>. </w:t>
      </w:r>
    </w:p>
    <w:p w14:paraId="64256085"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 Product Life cycle of the electric vehicle segment currently is witnessing developmental or growing trends in the organisational mainframe, since the industry is going through a phase of increment, wherein, more and more automobiles companies are entering into the electric vehicle segment as a whole either through disrupting their existing product line, or establishing new products in the international market landscape. Therein, the electric vehicle segment is expected to continue growing in the upcoming years and establish new products as well as trends in the form of ancillary market for supporting the electric vehicle segment. Furthermore, with the government stimulus and initiatives in the electric vehicle segment plays a significant factor in the growth of the industry, since people are becoming more aware of their choices and the carbon footprint of the existing vehicles, thereby the government stimulus in the form of economic policies and relaxation of taxes. </w:t>
      </w:r>
    </w:p>
    <w:p w14:paraId="08F4C1C9"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Thus, apart from the production and selling of the electric vehicles, the ancillary industry or the business opportunity that can be established under the electric vehicle industry is primarily in the form of charging stations that cater to the requirements of the electric vehicles. Since, the electric vehicle segment, there are only two types of charging modules, available, the Tesla module that cater only to the Tesla automobiles, the general charging station, that are made for all the electric vehicles and are subdivided into three categories, slow, rapid and fast charging facilities based on the requirement of the customer</w:t>
      </w:r>
      <w:r w:rsidRPr="000A4187">
        <w:rPr>
          <w:rFonts w:cs="Times New Roman"/>
          <w:noProof/>
          <w:color w:val="0D0D0D" w:themeColor="text1" w:themeTint="F2"/>
          <w:lang w:val="en-GB"/>
        </w:rPr>
        <w:t xml:space="preserve"> (Lim et al., 2020)</w:t>
      </w:r>
      <w:r w:rsidRPr="000A4187">
        <w:rPr>
          <w:rFonts w:cs="Times New Roman"/>
          <w:color w:val="0D0D0D" w:themeColor="text1" w:themeTint="F2"/>
          <w:lang w:val="en-GB"/>
        </w:rPr>
        <w:t>. </w:t>
      </w:r>
    </w:p>
    <w:p w14:paraId="30BAEBFA"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Thus, the businesses can utilize the need for electric vehicle infrastructure as well as a new business opportunity that is not connected with the production of electric vehicles but as supporting infrastructure in order to provide the customers with the essential services related to the electronic vehicle segment as a whole</w:t>
      </w:r>
      <w:r w:rsidRPr="000A4187">
        <w:rPr>
          <w:rFonts w:cs="Times New Roman"/>
          <w:noProof/>
          <w:color w:val="0D0D0D" w:themeColor="text1" w:themeTint="F2"/>
          <w:lang w:val="en-GB"/>
        </w:rPr>
        <w:t xml:space="preserve"> (Lane et al., 2020)</w:t>
      </w:r>
      <w:r w:rsidRPr="000A4187">
        <w:rPr>
          <w:rFonts w:cs="Times New Roman"/>
          <w:color w:val="0D0D0D" w:themeColor="text1" w:themeTint="F2"/>
          <w:lang w:val="en-GB"/>
        </w:rPr>
        <w:t>. Thereafter, the business opportunities are also in the form of leasing electric vehicles as opposed to ICE-powered vehicles, since the approach as well as set up, features and utility of the  electronic vehicle are different from the ICE-powered vehicles, and the consumer would require time in order to adjust to an electronic vehicle</w:t>
      </w:r>
      <w:r w:rsidRPr="000A4187">
        <w:rPr>
          <w:rFonts w:cs="Times New Roman"/>
          <w:noProof/>
          <w:color w:val="0D0D0D" w:themeColor="text1" w:themeTint="F2"/>
          <w:lang w:val="en-GB"/>
        </w:rPr>
        <w:t xml:space="preserve"> (Sato &amp; Nakata, 2020)</w:t>
      </w:r>
      <w:r w:rsidRPr="000A4187">
        <w:rPr>
          <w:rFonts w:cs="Times New Roman"/>
          <w:color w:val="0D0D0D" w:themeColor="text1" w:themeTint="F2"/>
          <w:lang w:val="en-GB"/>
        </w:rPr>
        <w:t>. </w:t>
      </w:r>
    </w:p>
    <w:p w14:paraId="0DFB92E4"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Thereafter, a business opportunity is also in the form of leasing batteries and that power the electronic vehicles since the electronic vehicles have a limited range, and requires a substantial amount of time for refuelling and recharging for hitting the roads as well. Thus, the companies can provide swappable battery packs that can be changed when necessary to provide an infinite range to the electric vehicles, swapping batteries whenever they run out, or leasing the batteries until their original ones are being recharged in the outlet or the charging module in the meantime</w:t>
      </w:r>
      <w:r w:rsidRPr="000A4187">
        <w:rPr>
          <w:rFonts w:cs="Times New Roman"/>
          <w:noProof/>
          <w:color w:val="0D0D0D" w:themeColor="text1" w:themeTint="F2"/>
          <w:lang w:val="en-GB"/>
        </w:rPr>
        <w:t xml:space="preserve"> (Hemmati et al., 2020)</w:t>
      </w:r>
      <w:r w:rsidRPr="000A4187">
        <w:rPr>
          <w:rFonts w:cs="Times New Roman"/>
          <w:color w:val="0D0D0D" w:themeColor="text1" w:themeTint="F2"/>
          <w:lang w:val="en-GB"/>
        </w:rPr>
        <w:t>. </w:t>
      </w:r>
    </w:p>
    <w:p w14:paraId="073EE9BB"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In addition to that, since the lithium-ion utilise in the batteries are a scarce resource and are in relatively limited quantities, the scrapping, as well as recycling of the lithium-ion, also presents as a new opportunity in the electric vehicle segment. Thereafter, the availability of public charging stations for the electronic vehicles and the utility generated from them can be boosted by the utilisation of RFID cards for processing payment based on the units consumed and charged directly charged from the bank account of the consumers, thereby reducing the hassle involved due to the high charging time, and the manually overlooking the process</w:t>
      </w:r>
      <w:r w:rsidRPr="000A4187">
        <w:rPr>
          <w:rFonts w:cs="Times New Roman"/>
          <w:noProof/>
          <w:color w:val="0D0D0D" w:themeColor="text1" w:themeTint="F2"/>
          <w:lang w:val="en-GB"/>
        </w:rPr>
        <w:t xml:space="preserve"> (Liu et al., 2020)</w:t>
      </w:r>
      <w:r w:rsidRPr="000A4187">
        <w:rPr>
          <w:rFonts w:cs="Times New Roman"/>
          <w:color w:val="0D0D0D" w:themeColor="text1" w:themeTint="F2"/>
          <w:lang w:val="en-GB"/>
        </w:rPr>
        <w:t>. </w:t>
      </w:r>
    </w:p>
    <w:p w14:paraId="1399678E" w14:textId="77777777" w:rsidR="00991ED2" w:rsidRPr="000A4187" w:rsidRDefault="00991ED2" w:rsidP="00991ED2">
      <w:pPr>
        <w:pStyle w:val="Heading1"/>
        <w:rPr>
          <w:rFonts w:cs="Times New Roman"/>
          <w:color w:val="0D0D0D" w:themeColor="text1" w:themeTint="F2"/>
          <w:lang w:val="en-GB"/>
        </w:rPr>
      </w:pPr>
      <w:r w:rsidRPr="000A4187">
        <w:rPr>
          <w:rFonts w:cs="Times New Roman"/>
          <w:color w:val="0D0D0D" w:themeColor="text1" w:themeTint="F2"/>
          <w:lang w:val="en-GB"/>
        </w:rPr>
        <w:t>Conclusion</w:t>
      </w:r>
    </w:p>
    <w:p w14:paraId="7F266409" w14:textId="77777777" w:rsidR="00991ED2" w:rsidRPr="000A4187" w:rsidRDefault="00991ED2" w:rsidP="00991ED2">
      <w:pPr>
        <w:rPr>
          <w:rFonts w:cs="Times New Roman"/>
          <w:color w:val="0D0D0D" w:themeColor="text1" w:themeTint="F2"/>
          <w:lang w:val="en-GB"/>
        </w:rPr>
      </w:pPr>
      <w:r w:rsidRPr="000A4187">
        <w:rPr>
          <w:rFonts w:cs="Times New Roman"/>
          <w:color w:val="0D0D0D" w:themeColor="text1" w:themeTint="F2"/>
          <w:lang w:val="en-GB"/>
        </w:rPr>
        <w:t>Thus, in a brief, this assignment effectively brings forwards and presents the major global forces that have an impact on the feasibility as well as the adoption of the electric vehicle segment, along with highlighting the competitive forces that can impact on the entry as well as the feasibility of operations for Volvo in the electric vehicle segment as a whole. This essay also brings forward the business opportunities that are printed in the electric vehicle segment, though evaluating the product life cycle of the Electric and ICE vehicles that are in the form of supporting or auxiliary industry. </w:t>
      </w:r>
    </w:p>
    <w:p w14:paraId="7ED8A8F9" w14:textId="77777777" w:rsidR="00991ED2" w:rsidRPr="000A4187" w:rsidRDefault="00991ED2" w:rsidP="00991ED2">
      <w:pPr>
        <w:spacing w:line="276" w:lineRule="auto"/>
        <w:jc w:val="left"/>
        <w:rPr>
          <w:rFonts w:cs="Times New Roman"/>
          <w:color w:val="0D0D0D" w:themeColor="text1" w:themeTint="F2"/>
          <w:lang w:val="en-GB"/>
        </w:rPr>
      </w:pPr>
      <w:r w:rsidRPr="000A4187">
        <w:rPr>
          <w:rFonts w:cs="Times New Roman"/>
          <w:color w:val="0D0D0D" w:themeColor="text1" w:themeTint="F2"/>
          <w:lang w:val="en-GB"/>
        </w:rPr>
        <w:br w:type="page"/>
      </w:r>
    </w:p>
    <w:p w14:paraId="58D75476" w14:textId="77777777" w:rsidR="00991ED2" w:rsidRPr="000A4187" w:rsidRDefault="00991ED2" w:rsidP="00991ED2">
      <w:pPr>
        <w:pStyle w:val="Heading1"/>
        <w:rPr>
          <w:rFonts w:cs="Times New Roman"/>
          <w:color w:val="0D0D0D" w:themeColor="text1" w:themeTint="F2"/>
          <w:lang w:val="en-GB"/>
        </w:rPr>
      </w:pPr>
      <w:r w:rsidRPr="000A4187">
        <w:rPr>
          <w:rFonts w:eastAsiaTheme="minorHAnsi" w:cs="Times New Roman"/>
          <w:color w:val="0D0D0D" w:themeColor="text1" w:themeTint="F2"/>
          <w:lang w:val="en-GB"/>
        </w:rPr>
        <w:t>References</w:t>
      </w:r>
    </w:p>
    <w:p w14:paraId="57D02462"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Chen, T. et al., 2020.. A Review on Electric Vehicle Charging Infrastructure Development in the UK.. </w:t>
      </w:r>
      <w:r w:rsidRPr="000A4187">
        <w:rPr>
          <w:rFonts w:cs="Times New Roman"/>
          <w:i/>
          <w:iCs/>
          <w:noProof/>
          <w:color w:val="0D0D0D" w:themeColor="text1" w:themeTint="F2"/>
          <w:lang w:val="en-GB"/>
        </w:rPr>
        <w:t>Journal of Modern Power Systems and Clean Energy</w:t>
      </w:r>
      <w:r w:rsidRPr="000A4187">
        <w:rPr>
          <w:rFonts w:cs="Times New Roman"/>
          <w:noProof/>
          <w:color w:val="0D0D0D" w:themeColor="text1" w:themeTint="F2"/>
          <w:lang w:val="en-GB"/>
        </w:rPr>
        <w:t>, 8(2), pp.193-205.</w:t>
      </w:r>
    </w:p>
    <w:p w14:paraId="6710A48F"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Garrido-Hidalgo, C., Ramirez, F.J., Olivares, T. &amp; Roda-Sanchez, L., 2020. The adoption of Internet of Things in a Circular Supply Chain framework for the recovery of WEEE: The case of Lithium-ion electric vehicle battery packs. </w:t>
      </w:r>
      <w:r w:rsidRPr="000A4187">
        <w:rPr>
          <w:rFonts w:cs="Times New Roman"/>
          <w:i/>
          <w:iCs/>
          <w:noProof/>
          <w:color w:val="0D0D0D" w:themeColor="text1" w:themeTint="F2"/>
          <w:lang w:val="en-GB"/>
        </w:rPr>
        <w:t>Waste Management</w:t>
      </w:r>
      <w:r w:rsidRPr="000A4187">
        <w:rPr>
          <w:rFonts w:cs="Times New Roman"/>
          <w:noProof/>
          <w:color w:val="0D0D0D" w:themeColor="text1" w:themeTint="F2"/>
          <w:lang w:val="en-GB"/>
        </w:rPr>
        <w:t>, 101.</w:t>
      </w:r>
    </w:p>
    <w:p w14:paraId="0485DD71"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Habib, K., Hansdóttir, S.T. &amp; Habib, H., 2020. Critical metals for electromobility: Global demand scenarios for passenger vehicles, 2015–2050. </w:t>
      </w:r>
      <w:r w:rsidRPr="000A4187">
        <w:rPr>
          <w:rFonts w:cs="Times New Roman"/>
          <w:i/>
          <w:iCs/>
          <w:noProof/>
          <w:color w:val="0D0D0D" w:themeColor="text1" w:themeTint="F2"/>
          <w:lang w:val="en-GB"/>
        </w:rPr>
        <w:t>Resources, Conservation and Recycling</w:t>
      </w:r>
      <w:r w:rsidRPr="000A4187">
        <w:rPr>
          <w:rFonts w:cs="Times New Roman"/>
          <w:noProof/>
          <w:color w:val="0D0D0D" w:themeColor="text1" w:themeTint="F2"/>
          <w:lang w:val="en-GB"/>
        </w:rPr>
        <w:t>, 154, p.104603.</w:t>
      </w:r>
    </w:p>
    <w:p w14:paraId="1E8CE336"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Hemmati, M., Abapour, M. &amp; Mohammadi-Ivatloo, B., 2020. Optimal scheduling of smart Microgrid in presence of battery swapping station of electrical vehicles.. In </w:t>
      </w:r>
      <w:r w:rsidRPr="000A4187">
        <w:rPr>
          <w:rFonts w:cs="Times New Roman"/>
          <w:i/>
          <w:iCs/>
          <w:noProof/>
          <w:color w:val="0D0D0D" w:themeColor="text1" w:themeTint="F2"/>
          <w:lang w:val="en-GB"/>
        </w:rPr>
        <w:t>In Electric Vehicles in Energy Systems</w:t>
      </w:r>
      <w:r w:rsidRPr="000A4187">
        <w:rPr>
          <w:rFonts w:cs="Times New Roman"/>
          <w:noProof/>
          <w:color w:val="0D0D0D" w:themeColor="text1" w:themeTint="F2"/>
          <w:lang w:val="en-GB"/>
        </w:rPr>
        <w:t>. Cham: Springer. pp.249-67.</w:t>
      </w:r>
    </w:p>
    <w:p w14:paraId="1DF55A13"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Henschel, J. et al., 2020. Lithium ion battery electrolyte degradation of field-tested electric vehicle battery cells. </w:t>
      </w:r>
      <w:r w:rsidRPr="000A4187">
        <w:rPr>
          <w:rFonts w:cs="Times New Roman"/>
          <w:i/>
          <w:iCs/>
          <w:noProof/>
          <w:color w:val="0D0D0D" w:themeColor="text1" w:themeTint="F2"/>
          <w:lang w:val="en-GB"/>
        </w:rPr>
        <w:t>A comprehensive analytical study. Journal of Power Sources,</w:t>
      </w:r>
      <w:r w:rsidRPr="000A4187">
        <w:rPr>
          <w:rFonts w:cs="Times New Roman"/>
          <w:noProof/>
          <w:color w:val="0D0D0D" w:themeColor="text1" w:themeTint="F2"/>
          <w:lang w:val="en-GB"/>
        </w:rPr>
        <w:t xml:space="preserve"> 447, p.227370.</w:t>
      </w:r>
    </w:p>
    <w:p w14:paraId="688D3B01"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industryweek.com, 2020. </w:t>
      </w:r>
      <w:r w:rsidRPr="000A4187">
        <w:rPr>
          <w:rFonts w:cs="Times New Roman"/>
          <w:i/>
          <w:iCs/>
          <w:noProof/>
          <w:color w:val="0D0D0D" w:themeColor="text1" w:themeTint="F2"/>
          <w:lang w:val="en-GB"/>
        </w:rPr>
        <w:t>gm-maps-all-electric-future-20-models-arriving-2023</w:t>
      </w:r>
      <w:r w:rsidRPr="000A4187">
        <w:rPr>
          <w:rFonts w:cs="Times New Roman"/>
          <w:noProof/>
          <w:color w:val="0D0D0D" w:themeColor="text1" w:themeTint="F2"/>
          <w:lang w:val="en-GB"/>
        </w:rPr>
        <w:t xml:space="preserve">. [Online] Available at:   HYPERLINK "https://www.industryweek.com/emerging-technologies/gm-maps-all-electric-future-20-models-arriving-2023"   </w:t>
      </w:r>
      <w:r w:rsidRPr="000A4187">
        <w:rPr>
          <w:rStyle w:val="Hyperlink"/>
          <w:rFonts w:cs="Times New Roman"/>
          <w:noProof/>
          <w:color w:val="0D0D0D" w:themeColor="text1" w:themeTint="F2"/>
          <w:lang w:val="en-GB"/>
        </w:rPr>
        <w:t>https://www.industryweek.com/emerging-technologies/gm-maps-all-electric-future-20-models-arriving-2023</w:t>
      </w:r>
      <w:r w:rsidRPr="000A4187">
        <w:rPr>
          <w:rFonts w:cs="Times New Roman"/>
          <w:noProof/>
          <w:color w:val="0D0D0D" w:themeColor="text1" w:themeTint="F2"/>
          <w:lang w:val="en-GB"/>
        </w:rPr>
        <w:t xml:space="preserve">  [Accessed 2020].</w:t>
      </w:r>
    </w:p>
    <w:p w14:paraId="0D1D86BC"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Kapustin, N.O. &amp; Grushevenko, D.A., 2020. Long-term electric vehicles outlook and their potential impact on electric grid. </w:t>
      </w:r>
      <w:r w:rsidRPr="000A4187">
        <w:rPr>
          <w:rFonts w:cs="Times New Roman"/>
          <w:i/>
          <w:iCs/>
          <w:noProof/>
          <w:color w:val="0D0D0D" w:themeColor="text1" w:themeTint="F2"/>
          <w:lang w:val="en-GB"/>
        </w:rPr>
        <w:t>Energy Policy</w:t>
      </w:r>
      <w:r w:rsidRPr="000A4187">
        <w:rPr>
          <w:rFonts w:cs="Times New Roman"/>
          <w:noProof/>
          <w:color w:val="0D0D0D" w:themeColor="text1" w:themeTint="F2"/>
          <w:lang w:val="en-GB"/>
        </w:rPr>
        <w:t>, 137, p.111103.</w:t>
      </w:r>
    </w:p>
    <w:p w14:paraId="40C686F4"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Kim, J., Seung, H., Lee, J. &amp; Ahn, J.., 2020. Asymmetric preference and loss aversion for electric vehicles: The reference-dependent choice model capturing different preference directions.. </w:t>
      </w:r>
      <w:r w:rsidRPr="000A4187">
        <w:rPr>
          <w:rFonts w:cs="Times New Roman"/>
          <w:i/>
          <w:iCs/>
          <w:noProof/>
          <w:color w:val="0D0D0D" w:themeColor="text1" w:themeTint="F2"/>
          <w:lang w:val="en-GB"/>
        </w:rPr>
        <w:t>Energy Economics</w:t>
      </w:r>
      <w:r w:rsidRPr="000A4187">
        <w:rPr>
          <w:rFonts w:cs="Times New Roman"/>
          <w:noProof/>
          <w:color w:val="0D0D0D" w:themeColor="text1" w:themeTint="F2"/>
          <w:lang w:val="en-GB"/>
        </w:rPr>
        <w:t>, p.104666.</w:t>
      </w:r>
    </w:p>
    <w:p w14:paraId="1B34225F"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Lane, B., Shaffer, B. &amp; Samuelsen, S.., 2020. A comparison of alternative vehicle fueling infrastructure scenarios.. </w:t>
      </w:r>
      <w:r w:rsidRPr="000A4187">
        <w:rPr>
          <w:rFonts w:cs="Times New Roman"/>
          <w:i/>
          <w:iCs/>
          <w:noProof/>
          <w:color w:val="0D0D0D" w:themeColor="text1" w:themeTint="F2"/>
          <w:lang w:val="en-GB"/>
        </w:rPr>
        <w:t>Applied Energy</w:t>
      </w:r>
      <w:r w:rsidRPr="000A4187">
        <w:rPr>
          <w:rFonts w:cs="Times New Roman"/>
          <w:noProof/>
          <w:color w:val="0D0D0D" w:themeColor="text1" w:themeTint="F2"/>
          <w:lang w:val="en-GB"/>
        </w:rPr>
        <w:t>, 259, p.114128.</w:t>
      </w:r>
    </w:p>
    <w:p w14:paraId="3A176749"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Liebig, G. et al., 2020. The Impact of Environmental Factors on the Thermal Characteristic of a Lithium–ion Battery.. </w:t>
      </w:r>
      <w:r w:rsidRPr="000A4187">
        <w:rPr>
          <w:rFonts w:cs="Times New Roman"/>
          <w:i/>
          <w:iCs/>
          <w:noProof/>
          <w:color w:val="0D0D0D" w:themeColor="text1" w:themeTint="F2"/>
          <w:lang w:val="en-GB"/>
        </w:rPr>
        <w:t>Batteries</w:t>
      </w:r>
      <w:r w:rsidRPr="000A4187">
        <w:rPr>
          <w:rFonts w:cs="Times New Roman"/>
          <w:noProof/>
          <w:color w:val="0D0D0D" w:themeColor="text1" w:themeTint="F2"/>
          <w:lang w:val="en-GB"/>
        </w:rPr>
        <w:t>, 6(1), p.3.</w:t>
      </w:r>
    </w:p>
    <w:p w14:paraId="2EE22E04"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Lim, K.L., Speidel, S. &amp; Bräunl, T.., 2020. A Unified Telemetry Platform for Electric Vehicles and Charging Infrastructure. In </w:t>
      </w:r>
      <w:r w:rsidRPr="000A4187">
        <w:rPr>
          <w:rFonts w:cs="Times New Roman"/>
          <w:i/>
          <w:iCs/>
          <w:noProof/>
          <w:color w:val="0D0D0D" w:themeColor="text1" w:themeTint="F2"/>
          <w:lang w:val="en-GB"/>
        </w:rPr>
        <w:t>In Connected Vehicles in the Internet of Things</w:t>
      </w:r>
      <w:r w:rsidRPr="000A4187">
        <w:rPr>
          <w:rFonts w:cs="Times New Roman"/>
          <w:noProof/>
          <w:color w:val="0D0D0D" w:themeColor="text1" w:themeTint="F2"/>
          <w:lang w:val="en-GB"/>
        </w:rPr>
        <w:t>. Springer. pp.167-219.</w:t>
      </w:r>
    </w:p>
    <w:p w14:paraId="360C28C5"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Liu, Q. et al., 2020. Lean Management Method for Distribution Network Assets Operation and Maintenance Based on RFID. In </w:t>
      </w:r>
      <w:r w:rsidRPr="000A4187">
        <w:rPr>
          <w:rFonts w:cs="Times New Roman"/>
          <w:i/>
          <w:iCs/>
          <w:noProof/>
          <w:color w:val="0D0D0D" w:themeColor="text1" w:themeTint="F2"/>
          <w:lang w:val="en-GB"/>
        </w:rPr>
        <w:t>In Proceedings of PURPLE MOUNTAIN FORUM 2019-International Forum on Smart Grid Protection and Control</w:t>
      </w:r>
      <w:r w:rsidRPr="000A4187">
        <w:rPr>
          <w:rFonts w:cs="Times New Roman"/>
          <w:noProof/>
          <w:color w:val="0D0D0D" w:themeColor="text1" w:themeTint="F2"/>
          <w:lang w:val="en-GB"/>
        </w:rPr>
        <w:t>. Springer. pp.1007-15.</w:t>
      </w:r>
    </w:p>
    <w:p w14:paraId="0B84D4D4"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Meunier, G. &amp; Ponssard, J.P.., 2020. Optimal Policy and Network Effects for the Deployment of Zero Emission Vehicles.. </w:t>
      </w:r>
      <w:r w:rsidRPr="000A4187">
        <w:rPr>
          <w:rFonts w:cs="Times New Roman"/>
          <w:i/>
          <w:iCs/>
          <w:noProof/>
          <w:color w:val="0D0D0D" w:themeColor="text1" w:themeTint="F2"/>
          <w:lang w:val="en-GB"/>
        </w:rPr>
        <w:t>European Economic Review</w:t>
      </w:r>
      <w:r w:rsidRPr="000A4187">
        <w:rPr>
          <w:rFonts w:cs="Times New Roman"/>
          <w:noProof/>
          <w:color w:val="0D0D0D" w:themeColor="text1" w:themeTint="F2"/>
          <w:lang w:val="en-GB"/>
        </w:rPr>
        <w:t>, p.103449.</w:t>
      </w:r>
    </w:p>
    <w:p w14:paraId="01E57288"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Sajjad, A., Asmi, F., Chu, J. &amp; Anwar, M.A., 2020. Environmental concerns and switching toward electric vehicles: geographic and institutional perspectives. </w:t>
      </w:r>
      <w:r w:rsidRPr="000A4187">
        <w:rPr>
          <w:rFonts w:cs="Times New Roman"/>
          <w:i/>
          <w:iCs/>
          <w:noProof/>
          <w:color w:val="0D0D0D" w:themeColor="text1" w:themeTint="F2"/>
          <w:lang w:val="en-GB"/>
        </w:rPr>
        <w:t>Environmental Science and Pollution Research</w:t>
      </w:r>
      <w:r w:rsidRPr="000A4187">
        <w:rPr>
          <w:rFonts w:cs="Times New Roman"/>
          <w:noProof/>
          <w:color w:val="0D0D0D" w:themeColor="text1" w:themeTint="F2"/>
          <w:lang w:val="en-GB"/>
        </w:rPr>
        <w:t>, pp.1-12.</w:t>
      </w:r>
    </w:p>
    <w:p w14:paraId="5A6770A5" w14:textId="77777777" w:rsidR="00991ED2" w:rsidRPr="000A4187" w:rsidRDefault="00991ED2" w:rsidP="00991ED2">
      <w:pPr>
        <w:pStyle w:val="Bibliography"/>
        <w:rPr>
          <w:rFonts w:cs="Times New Roman"/>
          <w:noProof/>
          <w:color w:val="0D0D0D" w:themeColor="text1" w:themeTint="F2"/>
          <w:lang w:val="en-GB"/>
        </w:rPr>
      </w:pPr>
      <w:r w:rsidRPr="000A4187">
        <w:rPr>
          <w:rFonts w:cs="Times New Roman"/>
          <w:noProof/>
          <w:color w:val="0D0D0D" w:themeColor="text1" w:themeTint="F2"/>
          <w:lang w:val="en-GB"/>
        </w:rPr>
        <w:t xml:space="preserve">Sato, F.E.K. &amp; Nakata, T.., 2020. Recoverability Analysis of Critical Materials from Electric Vehicle Lithium-Ion Batteries through a Dynamic Fleet-Based Approach for Japan.. </w:t>
      </w:r>
      <w:r w:rsidRPr="000A4187">
        <w:rPr>
          <w:rFonts w:cs="Times New Roman"/>
          <w:i/>
          <w:iCs/>
          <w:noProof/>
          <w:color w:val="0D0D0D" w:themeColor="text1" w:themeTint="F2"/>
          <w:lang w:val="en-GB"/>
        </w:rPr>
        <w:t>Sustainability</w:t>
      </w:r>
      <w:r w:rsidRPr="000A4187">
        <w:rPr>
          <w:rFonts w:cs="Times New Roman"/>
          <w:noProof/>
          <w:color w:val="0D0D0D" w:themeColor="text1" w:themeTint="F2"/>
          <w:lang w:val="en-GB"/>
        </w:rPr>
        <w:t>, 12(1), p.147.</w:t>
      </w:r>
    </w:p>
    <w:p w14:paraId="4D594E59" w14:textId="77777777" w:rsidR="00991ED2" w:rsidRPr="000A4187" w:rsidRDefault="00991ED2" w:rsidP="00991ED2">
      <w:pPr>
        <w:rPr>
          <w:rFonts w:cs="Times New Roman"/>
          <w:color w:val="0D0D0D" w:themeColor="text1" w:themeTint="F2"/>
          <w:lang w:val="en-GB"/>
        </w:rPr>
      </w:pPr>
    </w:p>
    <w:p w14:paraId="761F8618" w14:textId="77777777" w:rsidR="00991ED2" w:rsidRPr="000A4187" w:rsidRDefault="00991ED2" w:rsidP="00991ED2">
      <w:pPr>
        <w:rPr>
          <w:rFonts w:cs="Times New Roman"/>
          <w:color w:val="0D0D0D" w:themeColor="text1" w:themeTint="F2"/>
          <w:lang w:val="en-GB"/>
        </w:rPr>
      </w:pPr>
    </w:p>
    <w:p w14:paraId="326837C9" w14:textId="77777777" w:rsidR="00991ED2" w:rsidRPr="000A4187" w:rsidRDefault="00991ED2" w:rsidP="00991ED2">
      <w:pPr>
        <w:rPr>
          <w:rFonts w:cs="Times New Roman"/>
          <w:color w:val="0D0D0D" w:themeColor="text1" w:themeTint="F2"/>
          <w:lang w:val="en-GB"/>
        </w:rPr>
      </w:pPr>
    </w:p>
    <w:p w14:paraId="6330F79A" w14:textId="77777777" w:rsidR="00991ED2" w:rsidRPr="000A4187" w:rsidRDefault="00991ED2" w:rsidP="00991ED2">
      <w:pPr>
        <w:rPr>
          <w:rFonts w:cs="Times New Roman"/>
          <w:color w:val="0D0D0D" w:themeColor="text1" w:themeTint="F2"/>
          <w:lang w:val="en-GB"/>
        </w:rPr>
      </w:pPr>
    </w:p>
    <w:p w14:paraId="6897CA20" w14:textId="77777777" w:rsidR="00130637" w:rsidRDefault="00130637"/>
    <w:sectPr w:rsidR="00130637" w:rsidSect="00FE7A77">
      <w:footerReference w:type="default" r:id="rI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5847408"/>
      <w:docPartObj>
        <w:docPartGallery w:val="Page Numbers (Bottom of Page)"/>
        <w:docPartUnique/>
      </w:docPartObj>
    </w:sdtPr>
    <w:sdtEndPr>
      <w:rPr>
        <w:noProof/>
      </w:rPr>
    </w:sdtEndPr>
    <w:sdtContent>
      <w:p w14:paraId="55CAE749" w14:textId="77777777" w:rsidR="00DE36A2" w:rsidRDefault="0012446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417B67B" w14:textId="77777777" w:rsidR="00DE36A2" w:rsidRDefault="0012446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ED2"/>
    <w:rsid w:val="0012446E"/>
    <w:rsid w:val="00130637"/>
    <w:rsid w:val="0073183D"/>
    <w:rsid w:val="00991ED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E94016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91ED2"/>
    <w:pPr>
      <w:spacing w:after="200" w:line="360" w:lineRule="auto"/>
      <w:jc w:val="both"/>
    </w:pPr>
    <w:rPr>
      <w:rFonts w:ascii="Times New Roman" w:hAnsi="Times New Roman"/>
      <w:szCs w:val="22"/>
      <w:lang w:val="en-IN"/>
    </w:rPr>
  </w:style>
  <w:style w:type="paragraph" w:styleId="Heading1">
    <w:name w:val="heading 1"/>
    <w:basedOn w:val="Normal"/>
    <w:next w:val="Normal"/>
    <w:link w:val="Heading1Char"/>
    <w:uiPriority w:val="9"/>
    <w:qFormat/>
    <w:rsid w:val="00991ED2"/>
    <w:pPr>
      <w:keepNext/>
      <w:keepLines/>
      <w:spacing w:before="480" w:after="0"/>
      <w:outlineLvl w:val="0"/>
    </w:pPr>
    <w:rPr>
      <w:rFonts w:eastAsiaTheme="majorEastAsia"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ED2"/>
    <w:rPr>
      <w:rFonts w:ascii="Times New Roman" w:eastAsiaTheme="majorEastAsia" w:hAnsi="Times New Roman" w:cstheme="majorBidi"/>
      <w:b/>
      <w:bCs/>
      <w:color w:val="2F5496" w:themeColor="accent1" w:themeShade="BF"/>
      <w:sz w:val="28"/>
      <w:szCs w:val="28"/>
      <w:lang w:val="en-IN"/>
    </w:rPr>
  </w:style>
  <w:style w:type="paragraph" w:styleId="Footer">
    <w:name w:val="footer"/>
    <w:basedOn w:val="Normal"/>
    <w:link w:val="FooterChar"/>
    <w:uiPriority w:val="99"/>
    <w:unhideWhenUsed/>
    <w:rsid w:val="00991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ED2"/>
    <w:rPr>
      <w:rFonts w:ascii="Times New Roman" w:hAnsi="Times New Roman"/>
      <w:szCs w:val="22"/>
      <w:lang w:val="en-IN"/>
    </w:rPr>
  </w:style>
  <w:style w:type="paragraph" w:styleId="Bibliography">
    <w:name w:val="Bibliography"/>
    <w:basedOn w:val="Normal"/>
    <w:next w:val="Normal"/>
    <w:uiPriority w:val="37"/>
    <w:unhideWhenUsed/>
    <w:rsid w:val="00991ED2"/>
  </w:style>
  <w:style w:type="character" w:styleId="Hyperlink">
    <w:name w:val="Hyperlink"/>
    <w:basedOn w:val="DefaultParagraphFont"/>
    <w:uiPriority w:val="99"/>
    <w:semiHidden/>
    <w:unhideWhenUsed/>
    <w:rsid w:val="00991E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er" Target="footer1.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2441</Words>
  <Characters>13920</Characters>
  <Application>Microsoft Macintosh Word</Application>
  <DocSecurity>0</DocSecurity>
  <Lines>116</Lines>
  <Paragraphs>32</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Discussion</vt:lpstr>
      <vt:lpstr>Conclusion</vt:lpstr>
      <vt:lpstr>References</vt:lpstr>
    </vt:vector>
  </TitlesOfParts>
  <LinksUpToDate>false</LinksUpToDate>
  <CharactersWithSpaces>16329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2020-05-18T21:25:00Z</dcterms:created>
  <dcterms:modified xsi:type="dcterms:W3CDTF">2020-05-18T21:30:00Z</dcterms:modified>
</cp:coreProperties>
</file>