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7686C2" w14:textId="13443DDF" w:rsidR="00910C01" w:rsidRDefault="00D74635" w:rsidP="00D74635">
      <w:pPr>
        <w:jc w:val="right"/>
        <w:rPr>
          <w:rFonts w:ascii="Times New Roman" w:hAnsi="Times New Roman" w:cs="Times New Roman"/>
          <w:sz w:val="24"/>
          <w:szCs w:val="24"/>
        </w:rPr>
      </w:pPr>
      <w:r w:rsidRPr="002B4672">
        <w:rPr>
          <w:noProof/>
        </w:rPr>
        <w:drawing>
          <wp:inline distT="0" distB="0" distL="0" distR="0" wp14:anchorId="3C0652E1" wp14:editId="59A6446C">
            <wp:extent cx="2491740"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95335" cy="1167542"/>
                    </a:xfrm>
                    <a:prstGeom prst="rect">
                      <a:avLst/>
                    </a:prstGeom>
                    <a:noFill/>
                  </pic:spPr>
                </pic:pic>
              </a:graphicData>
            </a:graphic>
          </wp:inline>
        </w:drawing>
      </w:r>
    </w:p>
    <w:p w14:paraId="7E6BC8B1" w14:textId="77777777" w:rsidR="00D74635" w:rsidRDefault="00D74635">
      <w:pPr>
        <w:jc w:val="both"/>
        <w:rPr>
          <w:rFonts w:ascii="Times New Roman" w:hAnsi="Times New Roman" w:cs="Times New Roman"/>
          <w:sz w:val="24"/>
          <w:szCs w:val="24"/>
        </w:rPr>
      </w:pPr>
    </w:p>
    <w:p w14:paraId="62156EB7" w14:textId="77777777" w:rsidR="00D74635" w:rsidRDefault="00D74635">
      <w:pPr>
        <w:jc w:val="both"/>
        <w:rPr>
          <w:rFonts w:ascii="Times New Roman" w:hAnsi="Times New Roman" w:cs="Times New Roman"/>
          <w:sz w:val="24"/>
          <w:szCs w:val="24"/>
        </w:rPr>
      </w:pPr>
    </w:p>
    <w:p w14:paraId="5B5B799F" w14:textId="77777777" w:rsidR="00D74635" w:rsidRDefault="00D74635">
      <w:pPr>
        <w:jc w:val="both"/>
        <w:rPr>
          <w:rFonts w:ascii="Times New Roman" w:hAnsi="Times New Roman" w:cs="Times New Roman"/>
          <w:sz w:val="24"/>
          <w:szCs w:val="24"/>
        </w:rPr>
      </w:pPr>
    </w:p>
    <w:p w14:paraId="4CB5E779" w14:textId="20F9AFAD" w:rsidR="00D74635" w:rsidRPr="008D588E" w:rsidRDefault="00D74635" w:rsidP="00D74635">
      <w:pPr>
        <w:rPr>
          <w:rFonts w:asciiTheme="minorBidi" w:hAnsiTheme="minorBidi"/>
          <w:b/>
          <w:bCs/>
          <w:sz w:val="28"/>
          <w:szCs w:val="28"/>
        </w:rPr>
      </w:pPr>
      <w:r w:rsidRPr="008D588E">
        <w:rPr>
          <w:rFonts w:asciiTheme="minorBidi" w:hAnsiTheme="minorBidi"/>
          <w:b/>
          <w:bCs/>
          <w:sz w:val="28"/>
          <w:szCs w:val="28"/>
        </w:rPr>
        <w:t xml:space="preserve">Student Name: </w:t>
      </w:r>
      <w:r w:rsidRPr="00D74635">
        <w:rPr>
          <w:rFonts w:asciiTheme="minorBidi" w:hAnsiTheme="minorBidi"/>
          <w:b/>
          <w:bCs/>
          <w:sz w:val="28"/>
          <w:szCs w:val="28"/>
        </w:rPr>
        <w:t>Parthsinh ChetanBhai Rajput</w:t>
      </w:r>
    </w:p>
    <w:p w14:paraId="797DF554" w14:textId="5E9AADF4" w:rsidR="00D74635" w:rsidRPr="008D588E" w:rsidRDefault="00D74635" w:rsidP="00D74635">
      <w:pPr>
        <w:rPr>
          <w:rFonts w:asciiTheme="minorBidi" w:hAnsiTheme="minorBidi"/>
          <w:b/>
          <w:bCs/>
          <w:sz w:val="28"/>
          <w:szCs w:val="28"/>
        </w:rPr>
      </w:pPr>
      <w:r w:rsidRPr="008D588E">
        <w:rPr>
          <w:rFonts w:asciiTheme="minorBidi" w:hAnsiTheme="minorBidi"/>
          <w:b/>
          <w:bCs/>
          <w:sz w:val="28"/>
          <w:szCs w:val="28"/>
        </w:rPr>
        <w:t xml:space="preserve">Student ID: </w:t>
      </w:r>
      <w:r w:rsidRPr="00D74635">
        <w:rPr>
          <w:rFonts w:asciiTheme="minorBidi" w:hAnsiTheme="minorBidi"/>
          <w:b/>
          <w:bCs/>
          <w:sz w:val="28"/>
          <w:szCs w:val="28"/>
        </w:rPr>
        <w:t>2332811</w:t>
      </w:r>
    </w:p>
    <w:p w14:paraId="703998B0" w14:textId="049C9909" w:rsidR="00D74635" w:rsidRPr="008D588E" w:rsidRDefault="00D74635" w:rsidP="00D74635">
      <w:pPr>
        <w:rPr>
          <w:rFonts w:asciiTheme="minorBidi" w:hAnsiTheme="minorBidi"/>
          <w:b/>
          <w:bCs/>
          <w:sz w:val="28"/>
          <w:szCs w:val="28"/>
        </w:rPr>
      </w:pPr>
      <w:r w:rsidRPr="008D588E">
        <w:rPr>
          <w:rFonts w:asciiTheme="minorBidi" w:hAnsiTheme="minorBidi"/>
          <w:b/>
          <w:bCs/>
          <w:sz w:val="28"/>
          <w:szCs w:val="28"/>
        </w:rPr>
        <w:t xml:space="preserve">Module Code: </w:t>
      </w:r>
      <w:r>
        <w:rPr>
          <w:rFonts w:asciiTheme="minorBidi" w:hAnsiTheme="minorBidi"/>
          <w:b/>
          <w:bCs/>
          <w:sz w:val="28"/>
          <w:szCs w:val="28"/>
        </w:rPr>
        <w:t>LCMB7002</w:t>
      </w:r>
    </w:p>
    <w:p w14:paraId="6CA39DD5" w14:textId="5EEBE9F6" w:rsidR="00D74635" w:rsidRPr="008D588E" w:rsidRDefault="00D74635" w:rsidP="00D74635">
      <w:pPr>
        <w:rPr>
          <w:rFonts w:asciiTheme="minorBidi" w:hAnsiTheme="minorBidi"/>
          <w:b/>
          <w:bCs/>
          <w:sz w:val="28"/>
          <w:szCs w:val="28"/>
        </w:rPr>
      </w:pPr>
      <w:r w:rsidRPr="008D588E">
        <w:rPr>
          <w:rFonts w:asciiTheme="minorBidi" w:hAnsiTheme="minorBidi"/>
          <w:b/>
          <w:bCs/>
          <w:sz w:val="28"/>
          <w:szCs w:val="28"/>
        </w:rPr>
        <w:t xml:space="preserve">Module: </w:t>
      </w:r>
      <w:r w:rsidRPr="00D74635">
        <w:rPr>
          <w:rFonts w:asciiTheme="minorBidi" w:hAnsiTheme="minorBidi"/>
          <w:b/>
          <w:bCs/>
          <w:sz w:val="28"/>
          <w:szCs w:val="28"/>
        </w:rPr>
        <w:t>Financial Management</w:t>
      </w:r>
    </w:p>
    <w:p w14:paraId="5BEAE4FF" w14:textId="1A1B093F" w:rsidR="00D74635" w:rsidRPr="008D588E" w:rsidRDefault="00D74635" w:rsidP="00D74635">
      <w:pPr>
        <w:rPr>
          <w:rFonts w:asciiTheme="minorBidi" w:hAnsiTheme="minorBidi"/>
          <w:b/>
          <w:bCs/>
          <w:sz w:val="28"/>
          <w:szCs w:val="28"/>
        </w:rPr>
      </w:pPr>
      <w:r w:rsidRPr="008D588E">
        <w:rPr>
          <w:rFonts w:asciiTheme="minorBidi" w:hAnsiTheme="minorBidi"/>
          <w:b/>
          <w:bCs/>
          <w:sz w:val="28"/>
          <w:szCs w:val="28"/>
        </w:rPr>
        <w:t xml:space="preserve">Lecturer: </w:t>
      </w:r>
      <w:r>
        <w:rPr>
          <w:rFonts w:asciiTheme="minorBidi" w:hAnsiTheme="minorBidi"/>
          <w:b/>
          <w:bCs/>
          <w:sz w:val="28"/>
          <w:szCs w:val="28"/>
        </w:rPr>
        <w:t>Md Kalam</w:t>
      </w:r>
    </w:p>
    <w:p w14:paraId="7625DEC4" w14:textId="58AB8591" w:rsidR="00D74635" w:rsidRDefault="00D74635">
      <w:pPr>
        <w:jc w:val="both"/>
        <w:rPr>
          <w:rFonts w:ascii="Times New Roman" w:hAnsi="Times New Roman" w:cs="Times New Roman"/>
          <w:sz w:val="24"/>
          <w:szCs w:val="24"/>
        </w:rPr>
      </w:pPr>
    </w:p>
    <w:p w14:paraId="1C874C30" w14:textId="77777777" w:rsidR="00D74635" w:rsidRDefault="00D74635">
      <w:pPr>
        <w:jc w:val="both"/>
        <w:rPr>
          <w:rFonts w:ascii="Times New Roman" w:hAnsi="Times New Roman" w:cs="Times New Roman"/>
          <w:sz w:val="24"/>
          <w:szCs w:val="24"/>
        </w:rPr>
      </w:pPr>
    </w:p>
    <w:p w14:paraId="657561B3" w14:textId="77777777" w:rsidR="00D74635" w:rsidRDefault="00D74635">
      <w:pPr>
        <w:jc w:val="both"/>
        <w:rPr>
          <w:rFonts w:ascii="Times New Roman" w:hAnsi="Times New Roman" w:cs="Times New Roman"/>
          <w:sz w:val="24"/>
          <w:szCs w:val="24"/>
        </w:rPr>
      </w:pPr>
    </w:p>
    <w:p w14:paraId="105273E1" w14:textId="77777777" w:rsidR="00D74635" w:rsidRDefault="00D74635">
      <w:pPr>
        <w:jc w:val="both"/>
        <w:rPr>
          <w:rFonts w:ascii="Times New Roman" w:hAnsi="Times New Roman" w:cs="Times New Roman"/>
          <w:sz w:val="24"/>
          <w:szCs w:val="24"/>
        </w:rPr>
      </w:pPr>
    </w:p>
    <w:p w14:paraId="5CC1CAC7" w14:textId="77777777" w:rsidR="00D74635" w:rsidRDefault="00D74635">
      <w:pPr>
        <w:jc w:val="both"/>
        <w:rPr>
          <w:rFonts w:ascii="Times New Roman" w:hAnsi="Times New Roman" w:cs="Times New Roman"/>
          <w:sz w:val="24"/>
          <w:szCs w:val="24"/>
        </w:rPr>
      </w:pPr>
    </w:p>
    <w:p w14:paraId="6F0A35FD" w14:textId="77777777" w:rsidR="00D74635" w:rsidRDefault="00D74635">
      <w:pPr>
        <w:jc w:val="both"/>
        <w:rPr>
          <w:rFonts w:ascii="Times New Roman" w:hAnsi="Times New Roman" w:cs="Times New Roman"/>
          <w:sz w:val="24"/>
          <w:szCs w:val="24"/>
        </w:rPr>
      </w:pPr>
    </w:p>
    <w:p w14:paraId="4EE0E450" w14:textId="77777777" w:rsidR="00D74635" w:rsidRDefault="00D74635">
      <w:pPr>
        <w:jc w:val="both"/>
        <w:rPr>
          <w:rFonts w:ascii="Times New Roman" w:hAnsi="Times New Roman" w:cs="Times New Roman"/>
          <w:sz w:val="24"/>
          <w:szCs w:val="24"/>
        </w:rPr>
      </w:pPr>
    </w:p>
    <w:p w14:paraId="36D1A6BA" w14:textId="77777777" w:rsidR="00D74635" w:rsidRDefault="00D74635">
      <w:pPr>
        <w:jc w:val="both"/>
        <w:rPr>
          <w:rFonts w:ascii="Times New Roman" w:hAnsi="Times New Roman" w:cs="Times New Roman"/>
          <w:sz w:val="24"/>
          <w:szCs w:val="24"/>
        </w:rPr>
      </w:pPr>
    </w:p>
    <w:p w14:paraId="30535B25" w14:textId="77777777" w:rsidR="00D74635" w:rsidRDefault="00D74635">
      <w:pPr>
        <w:jc w:val="both"/>
        <w:rPr>
          <w:rFonts w:ascii="Times New Roman" w:hAnsi="Times New Roman" w:cs="Times New Roman"/>
          <w:sz w:val="24"/>
          <w:szCs w:val="24"/>
        </w:rPr>
      </w:pPr>
    </w:p>
    <w:p w14:paraId="0BF2C501" w14:textId="77777777" w:rsidR="00D74635" w:rsidRDefault="00D74635">
      <w:pPr>
        <w:jc w:val="both"/>
        <w:rPr>
          <w:rFonts w:ascii="Times New Roman" w:hAnsi="Times New Roman" w:cs="Times New Roman"/>
          <w:sz w:val="24"/>
          <w:szCs w:val="24"/>
        </w:rPr>
      </w:pPr>
    </w:p>
    <w:p w14:paraId="70BF38E5" w14:textId="77777777" w:rsidR="00D74635" w:rsidRDefault="00D74635">
      <w:pPr>
        <w:jc w:val="both"/>
        <w:rPr>
          <w:rFonts w:ascii="Times New Roman" w:hAnsi="Times New Roman" w:cs="Times New Roman"/>
          <w:sz w:val="24"/>
          <w:szCs w:val="24"/>
        </w:rPr>
      </w:pPr>
    </w:p>
    <w:p w14:paraId="77CE077A" w14:textId="77777777" w:rsidR="00D74635" w:rsidRDefault="00D74635">
      <w:pPr>
        <w:jc w:val="both"/>
        <w:rPr>
          <w:rFonts w:ascii="Times New Roman" w:hAnsi="Times New Roman" w:cs="Times New Roman"/>
          <w:sz w:val="24"/>
          <w:szCs w:val="24"/>
        </w:rPr>
      </w:pPr>
    </w:p>
    <w:p w14:paraId="7BBE3439" w14:textId="77777777" w:rsidR="00D74635" w:rsidRDefault="00D74635">
      <w:pPr>
        <w:jc w:val="both"/>
        <w:rPr>
          <w:rFonts w:ascii="Times New Roman" w:hAnsi="Times New Roman" w:cs="Times New Roman"/>
          <w:sz w:val="24"/>
          <w:szCs w:val="24"/>
        </w:rPr>
      </w:pPr>
    </w:p>
    <w:p w14:paraId="01C17A6F" w14:textId="77777777" w:rsidR="00D74635" w:rsidRDefault="00D74635">
      <w:pPr>
        <w:jc w:val="both"/>
        <w:rPr>
          <w:rFonts w:ascii="Times New Roman" w:hAnsi="Times New Roman" w:cs="Times New Roman"/>
          <w:sz w:val="24"/>
          <w:szCs w:val="24"/>
        </w:rPr>
      </w:pPr>
    </w:p>
    <w:p w14:paraId="701C92BF" w14:textId="77777777" w:rsidR="00910C01" w:rsidRDefault="00910C01">
      <w:pPr>
        <w:jc w:val="both"/>
        <w:rPr>
          <w:rFonts w:ascii="Times New Roman" w:hAnsi="Times New Roman" w:cs="Times New Roman"/>
          <w:sz w:val="24"/>
          <w:szCs w:val="24"/>
        </w:rPr>
      </w:pPr>
    </w:p>
    <w:p w14:paraId="68630518" w14:textId="77777777" w:rsidR="00D74635" w:rsidRDefault="00D74635">
      <w:pPr>
        <w:jc w:val="both"/>
        <w:rPr>
          <w:rFonts w:ascii="Times New Roman" w:hAnsi="Times New Roman" w:cs="Times New Roman"/>
          <w:sz w:val="24"/>
          <w:szCs w:val="24"/>
        </w:rPr>
      </w:pPr>
    </w:p>
    <w:p w14:paraId="67466958" w14:textId="77777777" w:rsidR="00D74635" w:rsidRDefault="00D74635">
      <w:pPr>
        <w:jc w:val="both"/>
        <w:rPr>
          <w:rFonts w:ascii="Times New Roman" w:hAnsi="Times New Roman" w:cs="Times New Roman"/>
          <w:sz w:val="24"/>
          <w:szCs w:val="24"/>
        </w:rPr>
      </w:pPr>
    </w:p>
    <w:p w14:paraId="0EF5C294" w14:textId="2C2374D9"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 behindDoc="1" locked="0" layoutInCell="1" allowOverlap="1" wp14:anchorId="1958144D" wp14:editId="630F80D9">
            <wp:simplePos x="0" y="0"/>
            <wp:positionH relativeFrom="margin">
              <wp:posOffset>1066800</wp:posOffset>
            </wp:positionH>
            <wp:positionV relativeFrom="paragraph">
              <wp:posOffset>241300</wp:posOffset>
            </wp:positionV>
            <wp:extent cx="3943350" cy="2172335"/>
            <wp:effectExtent l="0" t="0" r="0" b="0"/>
            <wp:wrapTight wrapText="bothSides">
              <wp:wrapPolygon edited="0">
                <wp:start x="1043" y="4546"/>
                <wp:lineTo x="104" y="5304"/>
                <wp:lineTo x="0" y="7008"/>
                <wp:lineTo x="417" y="7956"/>
                <wp:lineTo x="0" y="8903"/>
                <wp:lineTo x="0" y="11365"/>
                <wp:lineTo x="3443" y="14017"/>
                <wp:lineTo x="3861" y="14585"/>
                <wp:lineTo x="7617" y="16858"/>
                <wp:lineTo x="9809" y="16858"/>
                <wp:lineTo x="12313" y="16479"/>
                <wp:lineTo x="14609" y="15343"/>
                <wp:lineTo x="14504" y="14017"/>
                <wp:lineTo x="21496" y="11744"/>
                <wp:lineTo x="21496" y="5493"/>
                <wp:lineTo x="20870" y="4546"/>
                <wp:lineTo x="1043" y="4546"/>
              </wp:wrapPolygon>
            </wp:wrapTight>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cstate="print"/>
                    <a:srcRect/>
                    <a:stretch/>
                  </pic:blipFill>
                  <pic:spPr>
                    <a:xfrm>
                      <a:off x="0" y="0"/>
                      <a:ext cx="3943350" cy="2172335"/>
                    </a:xfrm>
                    <a:prstGeom prst="rect">
                      <a:avLst/>
                    </a:prstGeom>
                  </pic:spPr>
                </pic:pic>
              </a:graphicData>
            </a:graphic>
            <wp14:sizeRelH relativeFrom="page">
              <wp14:pctWidth>0</wp14:pctWidth>
            </wp14:sizeRelH>
            <wp14:sizeRelV relativeFrom="page">
              <wp14:pctHeight>0</wp14:pctHeight>
            </wp14:sizeRelV>
          </wp:anchor>
        </w:drawing>
      </w:r>
    </w:p>
    <w:p w14:paraId="0ACE7349" w14:textId="77777777" w:rsidR="00D74635" w:rsidRDefault="00D74635">
      <w:pPr>
        <w:jc w:val="both"/>
        <w:rPr>
          <w:rFonts w:ascii="Times New Roman" w:hAnsi="Times New Roman" w:cs="Times New Roman"/>
          <w:sz w:val="24"/>
          <w:szCs w:val="24"/>
        </w:rPr>
      </w:pPr>
    </w:p>
    <w:p w14:paraId="26C723A9" w14:textId="77777777" w:rsidR="00D74635" w:rsidRDefault="00D74635">
      <w:pPr>
        <w:jc w:val="both"/>
        <w:rPr>
          <w:rFonts w:ascii="Times New Roman" w:hAnsi="Times New Roman" w:cs="Times New Roman"/>
          <w:sz w:val="24"/>
          <w:szCs w:val="24"/>
        </w:rPr>
      </w:pPr>
    </w:p>
    <w:p w14:paraId="315322D7" w14:textId="77777777" w:rsidR="00D74635" w:rsidRDefault="00D74635">
      <w:pPr>
        <w:jc w:val="both"/>
        <w:rPr>
          <w:rFonts w:ascii="Times New Roman" w:hAnsi="Times New Roman" w:cs="Times New Roman"/>
          <w:sz w:val="24"/>
          <w:szCs w:val="24"/>
        </w:rPr>
      </w:pPr>
    </w:p>
    <w:p w14:paraId="214E0D6B" w14:textId="77777777" w:rsidR="00D74635" w:rsidRDefault="00D74635">
      <w:pPr>
        <w:jc w:val="both"/>
        <w:rPr>
          <w:rFonts w:ascii="Times New Roman" w:hAnsi="Times New Roman" w:cs="Times New Roman"/>
          <w:sz w:val="24"/>
          <w:szCs w:val="24"/>
        </w:rPr>
      </w:pPr>
    </w:p>
    <w:p w14:paraId="34DA4066" w14:textId="77777777" w:rsidR="00D74635" w:rsidRDefault="00D74635">
      <w:pPr>
        <w:jc w:val="both"/>
        <w:rPr>
          <w:rFonts w:ascii="Times New Roman" w:hAnsi="Times New Roman" w:cs="Times New Roman"/>
          <w:sz w:val="24"/>
          <w:szCs w:val="24"/>
        </w:rPr>
      </w:pPr>
    </w:p>
    <w:p w14:paraId="7DCB6E01" w14:textId="77777777" w:rsidR="00D74635" w:rsidRDefault="00D74635">
      <w:pPr>
        <w:jc w:val="both"/>
        <w:rPr>
          <w:rFonts w:ascii="Times New Roman" w:hAnsi="Times New Roman" w:cs="Times New Roman"/>
          <w:sz w:val="24"/>
          <w:szCs w:val="24"/>
        </w:rPr>
      </w:pPr>
    </w:p>
    <w:p w14:paraId="05365374" w14:textId="77777777" w:rsidR="00910C01" w:rsidRDefault="00910C01">
      <w:pPr>
        <w:jc w:val="both"/>
        <w:rPr>
          <w:rFonts w:ascii="Times New Roman" w:hAnsi="Times New Roman" w:cs="Times New Roman"/>
          <w:sz w:val="24"/>
          <w:szCs w:val="24"/>
        </w:rPr>
      </w:pPr>
    </w:p>
    <w:p w14:paraId="102C38A6" w14:textId="77777777" w:rsidR="00910C01" w:rsidRDefault="00910C01">
      <w:pPr>
        <w:jc w:val="both"/>
        <w:rPr>
          <w:rFonts w:ascii="Times New Roman" w:hAnsi="Times New Roman" w:cs="Times New Roman"/>
          <w:sz w:val="24"/>
          <w:szCs w:val="24"/>
        </w:rPr>
      </w:pPr>
    </w:p>
    <w:p w14:paraId="0B85F1EE" w14:textId="77777777" w:rsidR="00910C01" w:rsidRDefault="00910C01">
      <w:pPr>
        <w:jc w:val="both"/>
        <w:rPr>
          <w:rFonts w:ascii="Times New Roman" w:hAnsi="Times New Roman" w:cs="Times New Roman"/>
          <w:sz w:val="24"/>
          <w:szCs w:val="24"/>
        </w:rPr>
      </w:pPr>
    </w:p>
    <w:p w14:paraId="2C9EDEBA" w14:textId="77777777" w:rsidR="00910C01" w:rsidRDefault="00910C01">
      <w:pPr>
        <w:jc w:val="both"/>
        <w:rPr>
          <w:rFonts w:ascii="Times New Roman" w:hAnsi="Times New Roman" w:cs="Times New Roman"/>
          <w:sz w:val="24"/>
          <w:szCs w:val="24"/>
        </w:rPr>
      </w:pPr>
    </w:p>
    <w:p w14:paraId="65D33FF0" w14:textId="77777777"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5" behindDoc="1" locked="0" layoutInCell="1" allowOverlap="1" wp14:anchorId="64CEEB7B" wp14:editId="712CC80A">
            <wp:simplePos x="0" y="0"/>
            <wp:positionH relativeFrom="margin">
              <wp:posOffset>1057275</wp:posOffset>
            </wp:positionH>
            <wp:positionV relativeFrom="paragraph">
              <wp:posOffset>258444</wp:posOffset>
            </wp:positionV>
            <wp:extent cx="3971925" cy="2068829"/>
            <wp:effectExtent l="0" t="0" r="9525" b="7620"/>
            <wp:wrapTight wrapText="bothSides">
              <wp:wrapPolygon edited="0">
                <wp:start x="0" y="0"/>
                <wp:lineTo x="0" y="21481"/>
                <wp:lineTo x="21548" y="21481"/>
                <wp:lineTo x="21548" y="0"/>
                <wp:lineTo x="0" y="0"/>
              </wp:wrapPolygon>
            </wp:wrapTight>
            <wp:docPr id="102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8" cstate="print"/>
                    <a:srcRect/>
                    <a:stretch/>
                  </pic:blipFill>
                  <pic:spPr>
                    <a:xfrm>
                      <a:off x="0" y="0"/>
                      <a:ext cx="3971925" cy="2068829"/>
                    </a:xfrm>
                    <a:prstGeom prst="rect">
                      <a:avLst/>
                    </a:prstGeom>
                  </pic:spPr>
                </pic:pic>
              </a:graphicData>
            </a:graphic>
            <wp14:sizeRelH relativeFrom="page">
              <wp14:pctWidth>0</wp14:pctWidth>
            </wp14:sizeRelH>
            <wp14:sizeRelV relativeFrom="page">
              <wp14:pctHeight>0</wp14:pctHeight>
            </wp14:sizeRelV>
          </wp:anchor>
        </w:drawing>
      </w:r>
    </w:p>
    <w:p w14:paraId="7448C721" w14:textId="77777777" w:rsidR="00910C01" w:rsidRDefault="00910C01">
      <w:pPr>
        <w:jc w:val="both"/>
        <w:rPr>
          <w:rFonts w:ascii="Times New Roman" w:hAnsi="Times New Roman" w:cs="Times New Roman"/>
          <w:sz w:val="24"/>
          <w:szCs w:val="24"/>
        </w:rPr>
      </w:pPr>
    </w:p>
    <w:p w14:paraId="270C413D" w14:textId="77777777" w:rsidR="00910C01" w:rsidRDefault="00910C01">
      <w:pPr>
        <w:jc w:val="both"/>
        <w:rPr>
          <w:rFonts w:ascii="Times New Roman" w:hAnsi="Times New Roman" w:cs="Times New Roman"/>
          <w:sz w:val="24"/>
          <w:szCs w:val="24"/>
        </w:rPr>
      </w:pPr>
    </w:p>
    <w:p w14:paraId="1C2F8B91" w14:textId="77777777" w:rsidR="00910C01" w:rsidRDefault="00910C01">
      <w:pPr>
        <w:jc w:val="both"/>
        <w:rPr>
          <w:rFonts w:ascii="Times New Roman" w:hAnsi="Times New Roman" w:cs="Times New Roman"/>
          <w:sz w:val="24"/>
          <w:szCs w:val="24"/>
        </w:rPr>
      </w:pPr>
    </w:p>
    <w:p w14:paraId="6709FB50" w14:textId="77777777" w:rsidR="00910C01" w:rsidRDefault="00910C01">
      <w:pPr>
        <w:jc w:val="both"/>
        <w:rPr>
          <w:rFonts w:ascii="Times New Roman" w:hAnsi="Times New Roman" w:cs="Times New Roman"/>
          <w:sz w:val="24"/>
          <w:szCs w:val="24"/>
        </w:rPr>
      </w:pPr>
    </w:p>
    <w:p w14:paraId="04FB0A67" w14:textId="77777777" w:rsidR="00910C01" w:rsidRDefault="00910C01">
      <w:pPr>
        <w:jc w:val="both"/>
        <w:rPr>
          <w:rFonts w:ascii="Times New Roman" w:hAnsi="Times New Roman" w:cs="Times New Roman"/>
          <w:sz w:val="24"/>
          <w:szCs w:val="24"/>
        </w:rPr>
      </w:pPr>
    </w:p>
    <w:p w14:paraId="2DCAB8D5" w14:textId="77777777" w:rsidR="00910C01" w:rsidRDefault="00910C01">
      <w:pPr>
        <w:jc w:val="both"/>
        <w:rPr>
          <w:rFonts w:ascii="Times New Roman" w:hAnsi="Times New Roman" w:cs="Times New Roman"/>
          <w:sz w:val="24"/>
          <w:szCs w:val="24"/>
        </w:rPr>
      </w:pPr>
    </w:p>
    <w:p w14:paraId="55218BAF" w14:textId="77777777" w:rsidR="00910C01" w:rsidRDefault="00910C01">
      <w:pPr>
        <w:jc w:val="both"/>
        <w:rPr>
          <w:rFonts w:ascii="Times New Roman" w:hAnsi="Times New Roman" w:cs="Times New Roman"/>
          <w:sz w:val="24"/>
          <w:szCs w:val="24"/>
        </w:rPr>
      </w:pPr>
    </w:p>
    <w:p w14:paraId="02F89D48" w14:textId="77777777" w:rsidR="00910C01" w:rsidRDefault="00910C01">
      <w:pPr>
        <w:jc w:val="both"/>
        <w:rPr>
          <w:rFonts w:ascii="Times New Roman" w:hAnsi="Times New Roman" w:cs="Times New Roman"/>
          <w:sz w:val="24"/>
          <w:szCs w:val="24"/>
        </w:rPr>
      </w:pPr>
    </w:p>
    <w:p w14:paraId="16B68B6E" w14:textId="77777777" w:rsidR="00910C01" w:rsidRDefault="00910C01">
      <w:pPr>
        <w:jc w:val="both"/>
        <w:rPr>
          <w:rFonts w:ascii="Times New Roman" w:hAnsi="Times New Roman" w:cs="Times New Roman"/>
          <w:sz w:val="24"/>
          <w:szCs w:val="24"/>
        </w:rPr>
      </w:pPr>
    </w:p>
    <w:p w14:paraId="740FBE3F" w14:textId="77777777" w:rsidR="00910C01" w:rsidRDefault="00910C01">
      <w:pPr>
        <w:jc w:val="both"/>
        <w:rPr>
          <w:rFonts w:ascii="Times New Roman" w:hAnsi="Times New Roman" w:cs="Times New Roman"/>
          <w:sz w:val="24"/>
          <w:szCs w:val="24"/>
        </w:rPr>
      </w:pPr>
    </w:p>
    <w:p w14:paraId="6B432C4A" w14:textId="77777777" w:rsidR="00ED6EFA" w:rsidRDefault="00ED6EFA">
      <w:pPr>
        <w:jc w:val="both"/>
        <w:rPr>
          <w:rFonts w:ascii="Times New Roman" w:hAnsi="Times New Roman" w:cs="Times New Roman"/>
          <w:sz w:val="24"/>
          <w:szCs w:val="24"/>
        </w:rPr>
      </w:pPr>
    </w:p>
    <w:p w14:paraId="46F8F20A" w14:textId="77777777" w:rsidR="00910C01" w:rsidRDefault="00910C01">
      <w:pPr>
        <w:jc w:val="both"/>
        <w:rPr>
          <w:rFonts w:ascii="Times New Roman" w:hAnsi="Times New Roman" w:cs="Times New Roman"/>
          <w:sz w:val="24"/>
          <w:szCs w:val="24"/>
        </w:rPr>
      </w:pPr>
    </w:p>
    <w:p w14:paraId="576A3B01" w14:textId="77777777" w:rsidR="00910C01" w:rsidRDefault="00910C01">
      <w:pPr>
        <w:jc w:val="both"/>
        <w:rPr>
          <w:rFonts w:ascii="Times New Roman" w:hAnsi="Times New Roman" w:cs="Times New Roman"/>
          <w:sz w:val="24"/>
          <w:szCs w:val="24"/>
        </w:rPr>
      </w:pPr>
    </w:p>
    <w:p w14:paraId="2166793F" w14:textId="77777777" w:rsidR="00910C01" w:rsidRDefault="00910C01">
      <w:pPr>
        <w:jc w:val="both"/>
        <w:rPr>
          <w:rFonts w:ascii="Times New Roman" w:hAnsi="Times New Roman" w:cs="Times New Roman"/>
          <w:sz w:val="24"/>
          <w:szCs w:val="24"/>
        </w:rPr>
      </w:pPr>
    </w:p>
    <w:p w14:paraId="73461E3B" w14:textId="77777777" w:rsidR="00910C01" w:rsidRDefault="00000000">
      <w:pPr>
        <w:pStyle w:val="TOCHeading"/>
      </w:pPr>
      <w:r>
        <w:lastRenderedPageBreak/>
        <w:t>Table of Contents</w:t>
      </w:r>
    </w:p>
    <w:p w14:paraId="6402AE0D" w14:textId="77777777" w:rsidR="00910C01" w:rsidRDefault="00000000">
      <w:pPr>
        <w:pStyle w:val="TOC1"/>
        <w:tabs>
          <w:tab w:val="right" w:leader="dot" w:pos="9350"/>
        </w:tabs>
        <w:rPr>
          <w:b/>
          <w:bCs/>
          <w:noProof/>
          <w:sz w:val="24"/>
          <w:szCs w:val="24"/>
        </w:rPr>
      </w:pPr>
      <w:r>
        <w:rPr>
          <w:sz w:val="24"/>
          <w:szCs w:val="24"/>
        </w:rPr>
        <w:fldChar w:fldCharType="begin"/>
      </w:r>
      <w:r>
        <w:rPr>
          <w:sz w:val="24"/>
          <w:szCs w:val="24"/>
        </w:rPr>
        <w:instrText xml:space="preserve"> TOC \o "1-3" \h \z \u </w:instrText>
      </w:r>
      <w:r>
        <w:rPr>
          <w:sz w:val="24"/>
          <w:szCs w:val="24"/>
        </w:rPr>
        <w:fldChar w:fldCharType="separate"/>
      </w:r>
      <w:hyperlink w:anchor="_Toc174091789" w:history="1">
        <w:r>
          <w:rPr>
            <w:rStyle w:val="Hyperlink"/>
            <w:rFonts w:ascii="Times New Roman" w:hAnsi="Times New Roman"/>
            <w:b/>
            <w:bCs/>
            <w:noProof/>
            <w:sz w:val="24"/>
            <w:szCs w:val="24"/>
          </w:rPr>
          <w:t>Introduction to Amazon</w:t>
        </w:r>
        <w:r>
          <w:rPr>
            <w:b/>
            <w:bCs/>
            <w:noProof/>
            <w:webHidden/>
            <w:sz w:val="24"/>
            <w:szCs w:val="24"/>
          </w:rPr>
          <w:tab/>
        </w:r>
        <w:r>
          <w:rPr>
            <w:b/>
            <w:bCs/>
            <w:noProof/>
            <w:webHidden/>
            <w:sz w:val="24"/>
            <w:szCs w:val="24"/>
          </w:rPr>
          <w:fldChar w:fldCharType="begin"/>
        </w:r>
        <w:r>
          <w:rPr>
            <w:b/>
            <w:bCs/>
            <w:noProof/>
            <w:webHidden/>
            <w:sz w:val="24"/>
            <w:szCs w:val="24"/>
          </w:rPr>
          <w:instrText xml:space="preserve"> PAGEREF _Toc174091789 \h </w:instrText>
        </w:r>
        <w:r>
          <w:rPr>
            <w:b/>
            <w:bCs/>
            <w:noProof/>
            <w:webHidden/>
            <w:sz w:val="24"/>
            <w:szCs w:val="24"/>
          </w:rPr>
        </w:r>
        <w:r>
          <w:rPr>
            <w:b/>
            <w:bCs/>
            <w:noProof/>
            <w:webHidden/>
            <w:sz w:val="24"/>
            <w:szCs w:val="24"/>
          </w:rPr>
          <w:fldChar w:fldCharType="separate"/>
        </w:r>
        <w:r>
          <w:rPr>
            <w:b/>
            <w:bCs/>
            <w:noProof/>
            <w:webHidden/>
            <w:sz w:val="24"/>
            <w:szCs w:val="24"/>
          </w:rPr>
          <w:t>3</w:t>
        </w:r>
        <w:r>
          <w:rPr>
            <w:b/>
            <w:bCs/>
            <w:noProof/>
            <w:webHidden/>
            <w:sz w:val="24"/>
            <w:szCs w:val="24"/>
          </w:rPr>
          <w:fldChar w:fldCharType="end"/>
        </w:r>
      </w:hyperlink>
    </w:p>
    <w:p w14:paraId="55DC02DC" w14:textId="77777777" w:rsidR="00910C01" w:rsidRDefault="00000000">
      <w:pPr>
        <w:pStyle w:val="TOC1"/>
        <w:tabs>
          <w:tab w:val="right" w:leader="dot" w:pos="9350"/>
        </w:tabs>
        <w:rPr>
          <w:b/>
          <w:bCs/>
          <w:noProof/>
          <w:sz w:val="24"/>
          <w:szCs w:val="24"/>
        </w:rPr>
      </w:pPr>
      <w:hyperlink w:anchor="_Toc174091790" w:history="1">
        <w:r>
          <w:rPr>
            <w:rStyle w:val="Hyperlink"/>
            <w:rFonts w:ascii="Times New Roman" w:hAnsi="Times New Roman"/>
            <w:b/>
            <w:bCs/>
            <w:noProof/>
            <w:sz w:val="24"/>
            <w:szCs w:val="24"/>
          </w:rPr>
          <w:t>Financial Performance Review of Amazon (2019-2023)</w:t>
        </w:r>
        <w:r>
          <w:rPr>
            <w:b/>
            <w:bCs/>
            <w:noProof/>
            <w:webHidden/>
            <w:sz w:val="24"/>
            <w:szCs w:val="24"/>
          </w:rPr>
          <w:tab/>
        </w:r>
        <w:r>
          <w:rPr>
            <w:b/>
            <w:bCs/>
            <w:noProof/>
            <w:webHidden/>
            <w:sz w:val="24"/>
            <w:szCs w:val="24"/>
          </w:rPr>
          <w:fldChar w:fldCharType="begin"/>
        </w:r>
        <w:r>
          <w:rPr>
            <w:b/>
            <w:bCs/>
            <w:noProof/>
            <w:webHidden/>
            <w:sz w:val="24"/>
            <w:szCs w:val="24"/>
          </w:rPr>
          <w:instrText xml:space="preserve"> PAGEREF _Toc174091790 \h </w:instrText>
        </w:r>
        <w:r>
          <w:rPr>
            <w:b/>
            <w:bCs/>
            <w:noProof/>
            <w:webHidden/>
            <w:sz w:val="24"/>
            <w:szCs w:val="24"/>
          </w:rPr>
        </w:r>
        <w:r>
          <w:rPr>
            <w:b/>
            <w:bCs/>
            <w:noProof/>
            <w:webHidden/>
            <w:sz w:val="24"/>
            <w:szCs w:val="24"/>
          </w:rPr>
          <w:fldChar w:fldCharType="separate"/>
        </w:r>
        <w:r>
          <w:rPr>
            <w:b/>
            <w:bCs/>
            <w:noProof/>
            <w:webHidden/>
            <w:sz w:val="24"/>
            <w:szCs w:val="24"/>
          </w:rPr>
          <w:t>5</w:t>
        </w:r>
        <w:r>
          <w:rPr>
            <w:b/>
            <w:bCs/>
            <w:noProof/>
            <w:webHidden/>
            <w:sz w:val="24"/>
            <w:szCs w:val="24"/>
          </w:rPr>
          <w:fldChar w:fldCharType="end"/>
        </w:r>
      </w:hyperlink>
    </w:p>
    <w:p w14:paraId="74669F77" w14:textId="77777777" w:rsidR="00910C01" w:rsidRDefault="00000000">
      <w:pPr>
        <w:pStyle w:val="TOC1"/>
        <w:tabs>
          <w:tab w:val="right" w:leader="dot" w:pos="9350"/>
        </w:tabs>
        <w:rPr>
          <w:b/>
          <w:bCs/>
          <w:noProof/>
          <w:sz w:val="24"/>
          <w:szCs w:val="24"/>
        </w:rPr>
      </w:pPr>
      <w:hyperlink w:anchor="_Toc174091791" w:history="1">
        <w:r>
          <w:rPr>
            <w:rStyle w:val="Hyperlink"/>
            <w:rFonts w:ascii="Times New Roman" w:hAnsi="Times New Roman"/>
            <w:b/>
            <w:bCs/>
            <w:noProof/>
            <w:sz w:val="24"/>
            <w:szCs w:val="24"/>
          </w:rPr>
          <w:t>Critical Evaluation of Amazon's Financial Ratios (2019-2023)</w:t>
        </w:r>
        <w:r>
          <w:rPr>
            <w:b/>
            <w:bCs/>
            <w:noProof/>
            <w:webHidden/>
            <w:sz w:val="24"/>
            <w:szCs w:val="24"/>
          </w:rPr>
          <w:tab/>
        </w:r>
        <w:r>
          <w:rPr>
            <w:b/>
            <w:bCs/>
            <w:noProof/>
            <w:webHidden/>
            <w:sz w:val="24"/>
            <w:szCs w:val="24"/>
          </w:rPr>
          <w:fldChar w:fldCharType="begin"/>
        </w:r>
        <w:r>
          <w:rPr>
            <w:b/>
            <w:bCs/>
            <w:noProof/>
            <w:webHidden/>
            <w:sz w:val="24"/>
            <w:szCs w:val="24"/>
          </w:rPr>
          <w:instrText xml:space="preserve"> PAGEREF _Toc174091791 \h </w:instrText>
        </w:r>
        <w:r>
          <w:rPr>
            <w:b/>
            <w:bCs/>
            <w:noProof/>
            <w:webHidden/>
            <w:sz w:val="24"/>
            <w:szCs w:val="24"/>
          </w:rPr>
        </w:r>
        <w:r>
          <w:rPr>
            <w:b/>
            <w:bCs/>
            <w:noProof/>
            <w:webHidden/>
            <w:sz w:val="24"/>
            <w:szCs w:val="24"/>
          </w:rPr>
          <w:fldChar w:fldCharType="separate"/>
        </w:r>
        <w:r>
          <w:rPr>
            <w:b/>
            <w:bCs/>
            <w:noProof/>
            <w:webHidden/>
            <w:sz w:val="24"/>
            <w:szCs w:val="24"/>
          </w:rPr>
          <w:t>8</w:t>
        </w:r>
        <w:r>
          <w:rPr>
            <w:b/>
            <w:bCs/>
            <w:noProof/>
            <w:webHidden/>
            <w:sz w:val="24"/>
            <w:szCs w:val="24"/>
          </w:rPr>
          <w:fldChar w:fldCharType="end"/>
        </w:r>
      </w:hyperlink>
    </w:p>
    <w:p w14:paraId="20008780" w14:textId="77777777" w:rsidR="00910C01" w:rsidRDefault="00000000">
      <w:pPr>
        <w:pStyle w:val="TOC1"/>
        <w:tabs>
          <w:tab w:val="right" w:leader="dot" w:pos="9350"/>
        </w:tabs>
        <w:rPr>
          <w:b/>
          <w:bCs/>
          <w:noProof/>
          <w:sz w:val="24"/>
          <w:szCs w:val="24"/>
        </w:rPr>
      </w:pPr>
      <w:hyperlink w:anchor="_Toc174091792" w:history="1">
        <w:r>
          <w:rPr>
            <w:rStyle w:val="Hyperlink"/>
            <w:rFonts w:ascii="Times New Roman" w:hAnsi="Times New Roman"/>
            <w:b/>
            <w:bCs/>
            <w:noProof/>
            <w:sz w:val="24"/>
            <w:szCs w:val="24"/>
          </w:rPr>
          <w:t>Comparative Financial Analysis: Amazon and Major Competitors</w:t>
        </w:r>
        <w:r>
          <w:rPr>
            <w:b/>
            <w:bCs/>
            <w:noProof/>
            <w:webHidden/>
            <w:sz w:val="24"/>
            <w:szCs w:val="24"/>
          </w:rPr>
          <w:tab/>
        </w:r>
        <w:r>
          <w:rPr>
            <w:b/>
            <w:bCs/>
            <w:noProof/>
            <w:webHidden/>
            <w:sz w:val="24"/>
            <w:szCs w:val="24"/>
          </w:rPr>
          <w:fldChar w:fldCharType="begin"/>
        </w:r>
        <w:r>
          <w:rPr>
            <w:b/>
            <w:bCs/>
            <w:noProof/>
            <w:webHidden/>
            <w:sz w:val="24"/>
            <w:szCs w:val="24"/>
          </w:rPr>
          <w:instrText xml:space="preserve"> PAGEREF _Toc174091792 \h </w:instrText>
        </w:r>
        <w:r>
          <w:rPr>
            <w:b/>
            <w:bCs/>
            <w:noProof/>
            <w:webHidden/>
            <w:sz w:val="24"/>
            <w:szCs w:val="24"/>
          </w:rPr>
        </w:r>
        <w:r>
          <w:rPr>
            <w:b/>
            <w:bCs/>
            <w:noProof/>
            <w:webHidden/>
            <w:sz w:val="24"/>
            <w:szCs w:val="24"/>
          </w:rPr>
          <w:fldChar w:fldCharType="separate"/>
        </w:r>
        <w:r>
          <w:rPr>
            <w:b/>
            <w:bCs/>
            <w:noProof/>
            <w:webHidden/>
            <w:sz w:val="24"/>
            <w:szCs w:val="24"/>
          </w:rPr>
          <w:t>9</w:t>
        </w:r>
        <w:r>
          <w:rPr>
            <w:b/>
            <w:bCs/>
            <w:noProof/>
            <w:webHidden/>
            <w:sz w:val="24"/>
            <w:szCs w:val="24"/>
          </w:rPr>
          <w:fldChar w:fldCharType="end"/>
        </w:r>
      </w:hyperlink>
    </w:p>
    <w:p w14:paraId="4F5B094C" w14:textId="77777777" w:rsidR="00910C01" w:rsidRDefault="00000000">
      <w:pPr>
        <w:pStyle w:val="TOC1"/>
        <w:tabs>
          <w:tab w:val="right" w:leader="dot" w:pos="9350"/>
        </w:tabs>
        <w:rPr>
          <w:b/>
          <w:bCs/>
          <w:noProof/>
          <w:sz w:val="24"/>
          <w:szCs w:val="24"/>
        </w:rPr>
      </w:pPr>
      <w:hyperlink w:anchor="_Toc174091793" w:history="1">
        <w:r>
          <w:rPr>
            <w:rStyle w:val="Hyperlink"/>
            <w:rFonts w:ascii="Times New Roman" w:hAnsi="Times New Roman"/>
            <w:b/>
            <w:bCs/>
            <w:noProof/>
            <w:sz w:val="24"/>
            <w:szCs w:val="24"/>
          </w:rPr>
          <w:t>Recommendations for Improving Amazon's Financial Management</w:t>
        </w:r>
        <w:r>
          <w:rPr>
            <w:b/>
            <w:bCs/>
            <w:noProof/>
            <w:webHidden/>
            <w:sz w:val="24"/>
            <w:szCs w:val="24"/>
          </w:rPr>
          <w:tab/>
        </w:r>
        <w:r>
          <w:rPr>
            <w:b/>
            <w:bCs/>
            <w:noProof/>
            <w:webHidden/>
            <w:sz w:val="24"/>
            <w:szCs w:val="24"/>
          </w:rPr>
          <w:fldChar w:fldCharType="begin"/>
        </w:r>
        <w:r>
          <w:rPr>
            <w:b/>
            <w:bCs/>
            <w:noProof/>
            <w:webHidden/>
            <w:sz w:val="24"/>
            <w:szCs w:val="24"/>
          </w:rPr>
          <w:instrText xml:space="preserve"> PAGEREF _Toc174091793 \h </w:instrText>
        </w:r>
        <w:r>
          <w:rPr>
            <w:b/>
            <w:bCs/>
            <w:noProof/>
            <w:webHidden/>
            <w:sz w:val="24"/>
            <w:szCs w:val="24"/>
          </w:rPr>
        </w:r>
        <w:r>
          <w:rPr>
            <w:b/>
            <w:bCs/>
            <w:noProof/>
            <w:webHidden/>
            <w:sz w:val="24"/>
            <w:szCs w:val="24"/>
          </w:rPr>
          <w:fldChar w:fldCharType="separate"/>
        </w:r>
        <w:r>
          <w:rPr>
            <w:b/>
            <w:bCs/>
            <w:noProof/>
            <w:webHidden/>
            <w:sz w:val="24"/>
            <w:szCs w:val="24"/>
          </w:rPr>
          <w:t>12</w:t>
        </w:r>
        <w:r>
          <w:rPr>
            <w:b/>
            <w:bCs/>
            <w:noProof/>
            <w:webHidden/>
            <w:sz w:val="24"/>
            <w:szCs w:val="24"/>
          </w:rPr>
          <w:fldChar w:fldCharType="end"/>
        </w:r>
      </w:hyperlink>
    </w:p>
    <w:p w14:paraId="7280939B" w14:textId="77777777" w:rsidR="00910C01" w:rsidRDefault="00000000">
      <w:pPr>
        <w:pStyle w:val="TOC1"/>
        <w:tabs>
          <w:tab w:val="right" w:leader="dot" w:pos="9350"/>
        </w:tabs>
        <w:rPr>
          <w:b/>
          <w:bCs/>
          <w:noProof/>
          <w:sz w:val="24"/>
          <w:szCs w:val="24"/>
        </w:rPr>
      </w:pPr>
      <w:hyperlink w:anchor="_Toc174091794" w:history="1">
        <w:r>
          <w:rPr>
            <w:rStyle w:val="Hyperlink"/>
            <w:rFonts w:ascii="Times New Roman" w:hAnsi="Times New Roman"/>
            <w:b/>
            <w:bCs/>
            <w:noProof/>
            <w:sz w:val="24"/>
            <w:szCs w:val="24"/>
          </w:rPr>
          <w:t>References:</w:t>
        </w:r>
        <w:r>
          <w:rPr>
            <w:b/>
            <w:bCs/>
            <w:noProof/>
            <w:webHidden/>
            <w:sz w:val="24"/>
            <w:szCs w:val="24"/>
          </w:rPr>
          <w:tab/>
        </w:r>
        <w:r>
          <w:rPr>
            <w:b/>
            <w:bCs/>
            <w:noProof/>
            <w:webHidden/>
            <w:sz w:val="24"/>
            <w:szCs w:val="24"/>
          </w:rPr>
          <w:fldChar w:fldCharType="begin"/>
        </w:r>
        <w:r>
          <w:rPr>
            <w:b/>
            <w:bCs/>
            <w:noProof/>
            <w:webHidden/>
            <w:sz w:val="24"/>
            <w:szCs w:val="24"/>
          </w:rPr>
          <w:instrText xml:space="preserve"> PAGEREF _Toc174091794 \h </w:instrText>
        </w:r>
        <w:r>
          <w:rPr>
            <w:b/>
            <w:bCs/>
            <w:noProof/>
            <w:webHidden/>
            <w:sz w:val="24"/>
            <w:szCs w:val="24"/>
          </w:rPr>
        </w:r>
        <w:r>
          <w:rPr>
            <w:b/>
            <w:bCs/>
            <w:noProof/>
            <w:webHidden/>
            <w:sz w:val="24"/>
            <w:szCs w:val="24"/>
          </w:rPr>
          <w:fldChar w:fldCharType="separate"/>
        </w:r>
        <w:r>
          <w:rPr>
            <w:b/>
            <w:bCs/>
            <w:noProof/>
            <w:webHidden/>
            <w:sz w:val="24"/>
            <w:szCs w:val="24"/>
          </w:rPr>
          <w:t>16</w:t>
        </w:r>
        <w:r>
          <w:rPr>
            <w:b/>
            <w:bCs/>
            <w:noProof/>
            <w:webHidden/>
            <w:sz w:val="24"/>
            <w:szCs w:val="24"/>
          </w:rPr>
          <w:fldChar w:fldCharType="end"/>
        </w:r>
      </w:hyperlink>
    </w:p>
    <w:p w14:paraId="49AB89D5" w14:textId="77777777" w:rsidR="00910C01" w:rsidRDefault="00000000">
      <w:pPr>
        <w:pStyle w:val="TOC1"/>
        <w:tabs>
          <w:tab w:val="right" w:leader="dot" w:pos="9350"/>
        </w:tabs>
        <w:rPr>
          <w:noProof/>
          <w:sz w:val="24"/>
          <w:szCs w:val="24"/>
        </w:rPr>
      </w:pPr>
      <w:hyperlink w:anchor="_Toc174091795" w:history="1">
        <w:r>
          <w:rPr>
            <w:rStyle w:val="Hyperlink"/>
            <w:rFonts w:ascii="Times New Roman" w:hAnsi="Times New Roman"/>
            <w:b/>
            <w:bCs/>
            <w:noProof/>
            <w:sz w:val="24"/>
            <w:szCs w:val="24"/>
          </w:rPr>
          <w:t>Investment Appraisal of Amazon (Project A) and (Project B)</w:t>
        </w:r>
        <w:r>
          <w:rPr>
            <w:b/>
            <w:bCs/>
            <w:noProof/>
            <w:webHidden/>
            <w:sz w:val="24"/>
            <w:szCs w:val="24"/>
          </w:rPr>
          <w:tab/>
        </w:r>
        <w:r>
          <w:rPr>
            <w:b/>
            <w:bCs/>
            <w:noProof/>
            <w:webHidden/>
            <w:sz w:val="24"/>
            <w:szCs w:val="24"/>
          </w:rPr>
          <w:fldChar w:fldCharType="begin"/>
        </w:r>
        <w:r>
          <w:rPr>
            <w:b/>
            <w:bCs/>
            <w:noProof/>
            <w:webHidden/>
            <w:sz w:val="24"/>
            <w:szCs w:val="24"/>
          </w:rPr>
          <w:instrText xml:space="preserve"> PAGEREF _Toc174091795 \h </w:instrText>
        </w:r>
        <w:r>
          <w:rPr>
            <w:b/>
            <w:bCs/>
            <w:noProof/>
            <w:webHidden/>
            <w:sz w:val="24"/>
            <w:szCs w:val="24"/>
          </w:rPr>
        </w:r>
        <w:r>
          <w:rPr>
            <w:b/>
            <w:bCs/>
            <w:noProof/>
            <w:webHidden/>
            <w:sz w:val="24"/>
            <w:szCs w:val="24"/>
          </w:rPr>
          <w:fldChar w:fldCharType="separate"/>
        </w:r>
        <w:r>
          <w:rPr>
            <w:b/>
            <w:bCs/>
            <w:noProof/>
            <w:webHidden/>
            <w:sz w:val="24"/>
            <w:szCs w:val="24"/>
          </w:rPr>
          <w:t>17</w:t>
        </w:r>
        <w:r>
          <w:rPr>
            <w:b/>
            <w:bCs/>
            <w:noProof/>
            <w:webHidden/>
            <w:sz w:val="24"/>
            <w:szCs w:val="24"/>
          </w:rPr>
          <w:fldChar w:fldCharType="end"/>
        </w:r>
      </w:hyperlink>
    </w:p>
    <w:p w14:paraId="54D39934" w14:textId="77777777" w:rsidR="00910C01" w:rsidRDefault="00000000">
      <w:r>
        <w:rPr>
          <w:b/>
          <w:bCs/>
          <w:noProof/>
          <w:sz w:val="24"/>
          <w:szCs w:val="24"/>
        </w:rPr>
        <w:fldChar w:fldCharType="end"/>
      </w:r>
    </w:p>
    <w:p w14:paraId="54A93E26" w14:textId="77777777" w:rsidR="00910C01" w:rsidRDefault="00910C01">
      <w:pPr>
        <w:jc w:val="both"/>
        <w:rPr>
          <w:rFonts w:ascii="Times New Roman" w:hAnsi="Times New Roman" w:cs="Times New Roman"/>
          <w:sz w:val="24"/>
          <w:szCs w:val="24"/>
        </w:rPr>
      </w:pPr>
    </w:p>
    <w:p w14:paraId="7BC224F9" w14:textId="77777777" w:rsidR="00910C01" w:rsidRDefault="00910C01">
      <w:pPr>
        <w:jc w:val="both"/>
        <w:rPr>
          <w:rFonts w:ascii="Times New Roman" w:hAnsi="Times New Roman" w:cs="Times New Roman"/>
          <w:sz w:val="24"/>
          <w:szCs w:val="24"/>
        </w:rPr>
      </w:pPr>
    </w:p>
    <w:p w14:paraId="6211573F" w14:textId="77777777" w:rsidR="00910C01" w:rsidRDefault="00910C01">
      <w:pPr>
        <w:jc w:val="both"/>
        <w:rPr>
          <w:rFonts w:ascii="Times New Roman" w:hAnsi="Times New Roman" w:cs="Times New Roman"/>
          <w:sz w:val="24"/>
          <w:szCs w:val="24"/>
        </w:rPr>
      </w:pPr>
    </w:p>
    <w:p w14:paraId="4E4CF037" w14:textId="77777777" w:rsidR="00910C01" w:rsidRDefault="00910C01">
      <w:pPr>
        <w:jc w:val="both"/>
        <w:rPr>
          <w:rFonts w:ascii="Times New Roman" w:hAnsi="Times New Roman" w:cs="Times New Roman"/>
          <w:sz w:val="24"/>
          <w:szCs w:val="24"/>
        </w:rPr>
      </w:pPr>
    </w:p>
    <w:p w14:paraId="78A85022" w14:textId="77777777" w:rsidR="00910C01" w:rsidRDefault="00910C01">
      <w:pPr>
        <w:jc w:val="both"/>
        <w:rPr>
          <w:rFonts w:ascii="Times New Roman" w:hAnsi="Times New Roman" w:cs="Times New Roman"/>
          <w:sz w:val="24"/>
          <w:szCs w:val="24"/>
        </w:rPr>
      </w:pPr>
    </w:p>
    <w:p w14:paraId="6C17269A" w14:textId="77777777" w:rsidR="00910C01" w:rsidRDefault="00910C01">
      <w:pPr>
        <w:jc w:val="both"/>
        <w:rPr>
          <w:rFonts w:ascii="Times New Roman" w:hAnsi="Times New Roman" w:cs="Times New Roman"/>
          <w:sz w:val="24"/>
          <w:szCs w:val="24"/>
        </w:rPr>
      </w:pPr>
    </w:p>
    <w:p w14:paraId="4F30E4B2" w14:textId="77777777" w:rsidR="00910C01" w:rsidRDefault="00910C01">
      <w:pPr>
        <w:jc w:val="both"/>
        <w:rPr>
          <w:rFonts w:ascii="Times New Roman" w:hAnsi="Times New Roman" w:cs="Times New Roman"/>
          <w:sz w:val="24"/>
          <w:szCs w:val="24"/>
        </w:rPr>
      </w:pPr>
    </w:p>
    <w:p w14:paraId="21C25928" w14:textId="77777777" w:rsidR="00910C01" w:rsidRDefault="00910C01">
      <w:pPr>
        <w:jc w:val="both"/>
        <w:rPr>
          <w:rFonts w:ascii="Times New Roman" w:hAnsi="Times New Roman" w:cs="Times New Roman"/>
          <w:sz w:val="24"/>
          <w:szCs w:val="24"/>
        </w:rPr>
      </w:pPr>
    </w:p>
    <w:p w14:paraId="37E31ADD" w14:textId="77777777" w:rsidR="00910C01" w:rsidRDefault="00910C01">
      <w:pPr>
        <w:jc w:val="both"/>
        <w:rPr>
          <w:rFonts w:ascii="Times New Roman" w:hAnsi="Times New Roman" w:cs="Times New Roman"/>
          <w:sz w:val="24"/>
          <w:szCs w:val="24"/>
        </w:rPr>
      </w:pPr>
    </w:p>
    <w:p w14:paraId="1E8A6721" w14:textId="77777777" w:rsidR="00910C01" w:rsidRDefault="00910C01">
      <w:pPr>
        <w:jc w:val="both"/>
        <w:rPr>
          <w:rFonts w:ascii="Times New Roman" w:hAnsi="Times New Roman" w:cs="Times New Roman"/>
          <w:sz w:val="24"/>
          <w:szCs w:val="24"/>
        </w:rPr>
      </w:pPr>
    </w:p>
    <w:p w14:paraId="3EA32478" w14:textId="77777777" w:rsidR="00910C01" w:rsidRDefault="00910C01">
      <w:pPr>
        <w:jc w:val="both"/>
        <w:rPr>
          <w:rFonts w:ascii="Times New Roman" w:hAnsi="Times New Roman" w:cs="Times New Roman"/>
          <w:sz w:val="24"/>
          <w:szCs w:val="24"/>
        </w:rPr>
      </w:pPr>
    </w:p>
    <w:p w14:paraId="13BAF460" w14:textId="77777777" w:rsidR="00910C01" w:rsidRDefault="00910C01">
      <w:pPr>
        <w:jc w:val="both"/>
        <w:rPr>
          <w:rFonts w:ascii="Times New Roman" w:hAnsi="Times New Roman" w:cs="Times New Roman"/>
          <w:sz w:val="24"/>
          <w:szCs w:val="24"/>
        </w:rPr>
      </w:pPr>
    </w:p>
    <w:p w14:paraId="063DC61E" w14:textId="77777777" w:rsidR="00910C01" w:rsidRDefault="00910C01">
      <w:pPr>
        <w:jc w:val="both"/>
        <w:rPr>
          <w:rFonts w:ascii="Times New Roman" w:hAnsi="Times New Roman" w:cs="Times New Roman"/>
          <w:sz w:val="24"/>
          <w:szCs w:val="24"/>
        </w:rPr>
      </w:pPr>
    </w:p>
    <w:p w14:paraId="0AE62C11" w14:textId="77777777" w:rsidR="00910C01" w:rsidRDefault="00910C01">
      <w:pPr>
        <w:jc w:val="both"/>
        <w:rPr>
          <w:rFonts w:ascii="Times New Roman" w:hAnsi="Times New Roman" w:cs="Times New Roman"/>
          <w:sz w:val="24"/>
          <w:szCs w:val="24"/>
        </w:rPr>
      </w:pPr>
    </w:p>
    <w:p w14:paraId="3B35405F" w14:textId="77777777" w:rsidR="00910C01" w:rsidRDefault="00910C01">
      <w:pPr>
        <w:jc w:val="both"/>
        <w:rPr>
          <w:rFonts w:ascii="Times New Roman" w:hAnsi="Times New Roman" w:cs="Times New Roman"/>
          <w:sz w:val="24"/>
          <w:szCs w:val="24"/>
        </w:rPr>
      </w:pPr>
    </w:p>
    <w:p w14:paraId="04F35F32" w14:textId="77777777" w:rsidR="00910C01" w:rsidRDefault="00910C01">
      <w:pPr>
        <w:jc w:val="both"/>
        <w:rPr>
          <w:rFonts w:ascii="Times New Roman" w:hAnsi="Times New Roman" w:cs="Times New Roman"/>
          <w:sz w:val="24"/>
          <w:szCs w:val="24"/>
        </w:rPr>
      </w:pPr>
    </w:p>
    <w:p w14:paraId="0797BD1C" w14:textId="77777777" w:rsidR="00910C01" w:rsidRDefault="00910C01">
      <w:pPr>
        <w:jc w:val="both"/>
        <w:rPr>
          <w:rFonts w:ascii="Times New Roman" w:hAnsi="Times New Roman" w:cs="Times New Roman"/>
          <w:sz w:val="24"/>
          <w:szCs w:val="24"/>
        </w:rPr>
      </w:pPr>
    </w:p>
    <w:p w14:paraId="633E9AA2" w14:textId="77777777" w:rsidR="00910C01" w:rsidRDefault="00910C01">
      <w:pPr>
        <w:jc w:val="both"/>
        <w:rPr>
          <w:rFonts w:ascii="Times New Roman" w:hAnsi="Times New Roman" w:cs="Times New Roman"/>
          <w:sz w:val="24"/>
          <w:szCs w:val="24"/>
        </w:rPr>
      </w:pPr>
    </w:p>
    <w:p w14:paraId="73BF3348" w14:textId="77777777" w:rsidR="00910C01" w:rsidRDefault="00910C01">
      <w:pPr>
        <w:jc w:val="both"/>
        <w:rPr>
          <w:rFonts w:ascii="Times New Roman" w:hAnsi="Times New Roman" w:cs="Times New Roman"/>
          <w:sz w:val="24"/>
          <w:szCs w:val="24"/>
        </w:rPr>
      </w:pPr>
    </w:p>
    <w:p w14:paraId="091F49B8" w14:textId="77777777" w:rsidR="00910C01" w:rsidRDefault="00910C01">
      <w:pPr>
        <w:jc w:val="both"/>
        <w:rPr>
          <w:rFonts w:ascii="Times New Roman" w:hAnsi="Times New Roman" w:cs="Times New Roman"/>
          <w:sz w:val="24"/>
          <w:szCs w:val="24"/>
        </w:rPr>
      </w:pPr>
    </w:p>
    <w:p w14:paraId="105BD55D"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Part (A)</w:t>
      </w:r>
    </w:p>
    <w:p w14:paraId="2E150922" w14:textId="77777777" w:rsidR="00910C01" w:rsidRDefault="00000000">
      <w:pPr>
        <w:pStyle w:val="Heading1"/>
        <w:spacing w:line="360" w:lineRule="auto"/>
        <w:jc w:val="both"/>
        <w:rPr>
          <w:rFonts w:ascii="Times New Roman" w:hAnsi="Times New Roman"/>
          <w:b/>
          <w:bCs/>
          <w:color w:val="auto"/>
          <w:sz w:val="28"/>
          <w:szCs w:val="28"/>
        </w:rPr>
      </w:pPr>
      <w:bookmarkStart w:id="0" w:name="_Toc174091789"/>
      <w:r>
        <w:rPr>
          <w:rFonts w:ascii="Times New Roman" w:hAnsi="Times New Roman"/>
          <w:b/>
          <w:bCs/>
          <w:color w:val="auto"/>
          <w:sz w:val="28"/>
          <w:szCs w:val="28"/>
        </w:rPr>
        <w:t>Introduction to Amazon</w:t>
      </w:r>
      <w:bookmarkEnd w:id="0"/>
      <w:r>
        <w:rPr>
          <w:rFonts w:ascii="Times New Roman" w:hAnsi="Times New Roman"/>
          <w:b/>
          <w:bCs/>
          <w:color w:val="auto"/>
          <w:sz w:val="28"/>
          <w:szCs w:val="28"/>
        </w:rPr>
        <w:t>:</w:t>
      </w:r>
    </w:p>
    <w:p w14:paraId="780C279A" w14:textId="61D39675"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com was established in July 1994 by Jeff Bezos and it initially started as an online bookstore and has grown to become one of the biggest e-commerce </w:t>
      </w:r>
      <w:proofErr w:type="gramStart"/>
      <w:r>
        <w:rPr>
          <w:rFonts w:ascii="Times New Roman" w:hAnsi="Times New Roman" w:cs="Times New Roman"/>
          <w:sz w:val="24"/>
          <w:szCs w:val="24"/>
        </w:rPr>
        <w:t>company</w:t>
      </w:r>
      <w:proofErr w:type="gramEnd"/>
      <w:r>
        <w:rPr>
          <w:rFonts w:ascii="Times New Roman" w:hAnsi="Times New Roman" w:cs="Times New Roman"/>
          <w:sz w:val="24"/>
          <w:szCs w:val="24"/>
        </w:rPr>
        <w:t xml:space="preserve"> in the world. Amazon is one of the largest companies in the world and has its headquarters in Seattle, Washington, USA; the company’s services and products include e-commerce, cloud computing (AWS), digital media and AI.</w:t>
      </w:r>
    </w:p>
    <w:p w14:paraId="05583F60"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Business Model:</w:t>
      </w:r>
    </w:p>
    <w:p w14:paraId="2584063E" w14:textId="77777777" w:rsidR="00910C01" w:rsidRDefault="00000000">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4" behindDoc="1" locked="0" layoutInCell="1" allowOverlap="1" wp14:anchorId="5E031939" wp14:editId="37EB87A2">
            <wp:simplePos x="0" y="0"/>
            <wp:positionH relativeFrom="page">
              <wp:posOffset>2933700</wp:posOffset>
            </wp:positionH>
            <wp:positionV relativeFrom="paragraph">
              <wp:posOffset>482600</wp:posOffset>
            </wp:positionV>
            <wp:extent cx="4419600" cy="3293109"/>
            <wp:effectExtent l="0" t="0" r="0" b="2540"/>
            <wp:wrapTight wrapText="bothSides">
              <wp:wrapPolygon edited="0">
                <wp:start x="0" y="0"/>
                <wp:lineTo x="0" y="21492"/>
                <wp:lineTo x="21507" y="21492"/>
                <wp:lineTo x="21507" y="0"/>
                <wp:lineTo x="0" y="0"/>
              </wp:wrapPolygon>
            </wp:wrapTight>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9" cstate="print"/>
                    <a:srcRect/>
                    <a:stretch/>
                  </pic:blipFill>
                  <pic:spPr>
                    <a:xfrm>
                      <a:off x="0" y="0"/>
                      <a:ext cx="4419600" cy="3293109"/>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t>The business model of Amazon is quite diverse and the company uses several types of revenues. It maintains an online store where it sells its products to the end user and also through other merchants. Some of the features that come with the Amazon Prime include free shipping, movies and TV shows, and special offers (Amazon, 2023). Also, the company offers cloud computing services through its subsidiary Amazon Web Services (AWS) to businesses and governments which also forms a large part of its income. Amazon also earns its revenue through advertising, using its consumer data to target customers, and through subscription services like Kindle and Amazon music.</w:t>
      </w:r>
      <w:r>
        <w:rPr>
          <w:rFonts w:ascii="Times New Roman" w:hAnsi="Times New Roman" w:cs="Times New Roman"/>
          <w:sz w:val="24"/>
          <w:szCs w:val="24"/>
        </w:rPr>
        <w:t xml:space="preserve"> (Reuters, 2021).</w:t>
      </w:r>
    </w:p>
    <w:p w14:paraId="54F02D1F"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Marketplace</w:t>
      </w:r>
    </w:p>
    <w:p w14:paraId="1CFFEBBC" w14:textId="6F105D2E"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Amazon’s store is an environment where third-party sellers can offer products alongside the company’s products. This marketplace model greatly enlarges the choice of goods for consumers </w:t>
      </w:r>
      <w:r>
        <w:rPr>
          <w:rFonts w:ascii="Times New Roman" w:hAnsi="Times New Roman" w:cs="Times New Roman"/>
          <w:sz w:val="24"/>
          <w:szCs w:val="24"/>
        </w:rPr>
        <w:lastRenderedPageBreak/>
        <w:t>and makes it possible for Amazon to receive revenues from commissions and fees, without owning stocks.</w:t>
      </w:r>
    </w:p>
    <w:p w14:paraId="21034D3C"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Major Competitors</w:t>
      </w:r>
    </w:p>
    <w:p w14:paraId="16B6CAA5"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Amazon faces competition across its diverse business segments:</w:t>
      </w:r>
    </w:p>
    <w:p w14:paraId="7D88D93B" w14:textId="77777777" w:rsidR="00910C01" w:rsidRDefault="00000000">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E-commerce: eBay, Walmart, Alibaba, and Target.</w:t>
      </w:r>
    </w:p>
    <w:p w14:paraId="06029C9B" w14:textId="77777777" w:rsidR="00910C01" w:rsidRDefault="00000000">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Cloud Computing: Microsoft Azure, Google Cloud Platform, IBM Cloud, and Oracle.</w:t>
      </w:r>
    </w:p>
    <w:p w14:paraId="2D3E96A4" w14:textId="77777777" w:rsidR="00910C01" w:rsidRDefault="00000000">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Digital Streaming: Netflix, Disney+, Hulu, and HBO Max.</w:t>
      </w:r>
    </w:p>
    <w:p w14:paraId="5525CB1F" w14:textId="77777777" w:rsidR="00910C01" w:rsidRDefault="00000000">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Artificial Intelligence: Google, Microsoft, and IBM.</w:t>
      </w:r>
    </w:p>
    <w:p w14:paraId="25EE5149" w14:textId="77777777" w:rsidR="00910C01" w:rsidRDefault="00910C01">
      <w:pPr>
        <w:spacing w:line="360" w:lineRule="auto"/>
        <w:jc w:val="both"/>
        <w:rPr>
          <w:rFonts w:ascii="Times New Roman" w:hAnsi="Times New Roman" w:cs="Times New Roman"/>
          <w:sz w:val="24"/>
          <w:szCs w:val="24"/>
        </w:rPr>
      </w:pPr>
    </w:p>
    <w:p w14:paraId="42B11C03"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Major Recent Events (2019-2024)</w:t>
      </w:r>
    </w:p>
    <w:p w14:paraId="1F8C654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Pr>
          <w:rFonts w:ascii="Times New Roman" w:hAnsi="Times New Roman" w:cs="Times New Roman"/>
          <w:b/>
          <w:bCs/>
          <w:sz w:val="24"/>
          <w:szCs w:val="24"/>
        </w:rPr>
        <w:t>Leadership Changes:</w:t>
      </w:r>
    </w:p>
    <w:p w14:paraId="6816F604"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In July 2021, Jeff Bezos stepped down as CEO and transitioned to the role of Executive Chairman. Andy Jassy, the former CEO of AWS, succeeded him as Amazon's CEO.</w:t>
      </w:r>
    </w:p>
    <w:p w14:paraId="53E8D663"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Pr>
          <w:rFonts w:ascii="Times New Roman" w:hAnsi="Times New Roman" w:cs="Times New Roman"/>
          <w:b/>
          <w:bCs/>
          <w:sz w:val="24"/>
          <w:szCs w:val="24"/>
        </w:rPr>
        <w:t>Legal Issues:</w:t>
      </w:r>
    </w:p>
    <w:p w14:paraId="26757320"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Amazon has been scrutinized for its business practices in the U.S., Europe, and other regions, with regulatory bodies investigating its dominance in the e-commerce market and its treatment of third-party sellers (Reuters, 2021). Additionally, Amazon has faced several legal battles and strikes related to employee working conditions, particularly in its warehouses. A notable example occurred in April 2021, when a unionization effort at a warehouse in Bessemer, Alabama, attracted widespread attention, although the union was ultimately not formed (The Guardian, 2021).</w:t>
      </w:r>
    </w:p>
    <w:p w14:paraId="02CE6054"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Pr>
          <w:rFonts w:ascii="Times New Roman" w:hAnsi="Times New Roman" w:cs="Times New Roman"/>
          <w:b/>
          <w:bCs/>
          <w:sz w:val="24"/>
          <w:szCs w:val="24"/>
        </w:rPr>
        <w:t>Financial Performance:</w:t>
      </w:r>
    </w:p>
    <w:p w14:paraId="425237DA"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COVID-19 pandemic, Amazon reported substantial growth in revenue and profit, driven by increased online shopping and demand for cloud services. In 2020, Amazon's annual revenue surpassed $386 billion, and net income reached $21.3 billion.</w:t>
      </w:r>
    </w:p>
    <w:p w14:paraId="67358F05"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3" behindDoc="1" locked="0" layoutInCell="1" allowOverlap="1" wp14:anchorId="61BF2937" wp14:editId="7D9D1B3D">
            <wp:simplePos x="0" y="0"/>
            <wp:positionH relativeFrom="margin">
              <wp:posOffset>2362200</wp:posOffset>
            </wp:positionH>
            <wp:positionV relativeFrom="paragraph">
              <wp:posOffset>8255</wp:posOffset>
            </wp:positionV>
            <wp:extent cx="3825240" cy="2390775"/>
            <wp:effectExtent l="0" t="0" r="3810" b="9525"/>
            <wp:wrapTight wrapText="bothSides">
              <wp:wrapPolygon edited="0">
                <wp:start x="0" y="0"/>
                <wp:lineTo x="0" y="21514"/>
                <wp:lineTo x="21514" y="21514"/>
                <wp:lineTo x="21514" y="0"/>
                <wp:lineTo x="0" y="0"/>
              </wp:wrapPolygon>
            </wp:wrapTight>
            <wp:docPr id="1029"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srcRect/>
                    <a:stretch/>
                  </pic:blipFill>
                  <pic:spPr>
                    <a:xfrm>
                      <a:off x="0" y="0"/>
                      <a:ext cx="3825240" cy="23907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However, in 2022, Amazon reported its first quarterly loss since 2015, largely due to a slowdown in online sales post-pandemic, increased labor costs, and inflationary pressures.</w:t>
      </w:r>
    </w:p>
    <w:p w14:paraId="0CBCA815"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Pr>
          <w:rFonts w:ascii="Times New Roman" w:hAnsi="Times New Roman" w:cs="Times New Roman"/>
          <w:b/>
          <w:bCs/>
          <w:sz w:val="24"/>
          <w:szCs w:val="24"/>
        </w:rPr>
        <w:t>Strategic Changes:</w:t>
      </w:r>
    </w:p>
    <w:p w14:paraId="3C88EB5F" w14:textId="77777777" w:rsidR="00910C01"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has continuously enhanced its Prime membership benefits by expanding its one-day delivery service and adding more exclusive content to Prime Video (Amazon, 2023). AWS has also experienced significant growth, with the expansion of its services and data centers globally, solidifying its position as a leading cloud service provider (Reuters, 2021). Additionally, Amazon has made strategic acquisitions to bolster its market position, including the purchase of MGM Studios in 2021 to enhance its streaming content library and the acquisition of </w:t>
      </w:r>
      <w:proofErr w:type="spellStart"/>
      <w:r>
        <w:rPr>
          <w:rFonts w:ascii="Times New Roman" w:eastAsia="Times New Roman" w:hAnsi="Times New Roman" w:cs="Times New Roman"/>
          <w:sz w:val="24"/>
          <w:szCs w:val="24"/>
        </w:rPr>
        <w:t>Zoox</w:t>
      </w:r>
      <w:proofErr w:type="spellEnd"/>
      <w:r>
        <w:rPr>
          <w:rFonts w:ascii="Times New Roman" w:eastAsia="Times New Roman" w:hAnsi="Times New Roman" w:cs="Times New Roman"/>
          <w:sz w:val="24"/>
          <w:szCs w:val="24"/>
        </w:rPr>
        <w:t>, an autonomous vehicle company, in 2020 (The Guardian, 2021).</w:t>
      </w:r>
    </w:p>
    <w:p w14:paraId="6BBA68C3"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Pr>
          <w:rFonts w:ascii="Times New Roman" w:hAnsi="Times New Roman" w:cs="Times New Roman"/>
          <w:b/>
          <w:bCs/>
          <w:sz w:val="24"/>
          <w:szCs w:val="24"/>
        </w:rPr>
        <w:t>Sustainability Initiatives:</w:t>
      </w:r>
    </w:p>
    <w:p w14:paraId="6951E517" w14:textId="77777777" w:rsidR="00910C01" w:rsidRDefault="00000000">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has set a target of becoming a net-zero carbon company by 2040 and has come up with programs such as The Climate Pledge. The company has also embraced the use of renewable energy in its operations and electric delivery vehicles (Amazon, 2023). Nonetheless, Amazon still remains a market leader, which has been experiencing rather severe regulatory and competitive pressures, yet has been successfully diversifying its business, developing new products and services, and expanding its operations all over the world. (Reuters, 2021).</w:t>
      </w:r>
    </w:p>
    <w:p w14:paraId="05CEA50F"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Part (B)</w:t>
      </w:r>
    </w:p>
    <w:p w14:paraId="639EF408" w14:textId="77777777" w:rsidR="00910C01" w:rsidRDefault="00000000">
      <w:pPr>
        <w:pStyle w:val="Heading1"/>
        <w:spacing w:line="360" w:lineRule="auto"/>
        <w:jc w:val="both"/>
        <w:rPr>
          <w:rFonts w:ascii="Times New Roman" w:hAnsi="Times New Roman"/>
          <w:b/>
          <w:bCs/>
          <w:color w:val="auto"/>
          <w:sz w:val="28"/>
          <w:szCs w:val="28"/>
        </w:rPr>
      </w:pPr>
      <w:bookmarkStart w:id="1" w:name="_Toc174091790"/>
      <w:r>
        <w:rPr>
          <w:rFonts w:ascii="Times New Roman" w:hAnsi="Times New Roman"/>
          <w:b/>
          <w:bCs/>
          <w:color w:val="auto"/>
          <w:sz w:val="28"/>
          <w:szCs w:val="28"/>
        </w:rPr>
        <w:t>Financial Performance Review of Amazon (2019-2023)</w:t>
      </w:r>
      <w:bookmarkEnd w:id="1"/>
    </w:p>
    <w:p w14:paraId="6404D0F6" w14:textId="434B357C"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is the analysis of Amazon’s financial performance in the last five years, showing its growth and market share, as well as some issues. Below is the breakdown of the financial ratios that are important in the analysis of Amazon for the period between 2019 and 2023</w:t>
      </w:r>
      <w:r w:rsidR="00D74635">
        <w:rPr>
          <w:rFonts w:ascii="Times New Roman" w:hAnsi="Times New Roman" w:cs="Times New Roman"/>
          <w:sz w:val="24"/>
          <w:szCs w:val="24"/>
        </w:rPr>
        <w:t>.</w:t>
      </w:r>
    </w:p>
    <w:p w14:paraId="27D16973"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Liquidity Ratios</w:t>
      </w:r>
    </w:p>
    <w:p w14:paraId="27C732D3"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6" behindDoc="1" locked="0" layoutInCell="1" allowOverlap="1" wp14:anchorId="0F2AE175" wp14:editId="7B18075D">
            <wp:simplePos x="0" y="0"/>
            <wp:positionH relativeFrom="margin">
              <wp:align>right</wp:align>
            </wp:positionH>
            <wp:positionV relativeFrom="paragraph">
              <wp:posOffset>381635</wp:posOffset>
            </wp:positionV>
            <wp:extent cx="4021455" cy="1809750"/>
            <wp:effectExtent l="0" t="0" r="0" b="0"/>
            <wp:wrapTight wrapText="bothSides">
              <wp:wrapPolygon edited="0">
                <wp:start x="0" y="0"/>
                <wp:lineTo x="0" y="21373"/>
                <wp:lineTo x="21487" y="21373"/>
                <wp:lineTo x="21487" y="0"/>
                <wp:lineTo x="0" y="0"/>
              </wp:wrapPolygon>
            </wp:wrapTight>
            <wp:docPr id="1030"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6"/>
                    <pic:cNvPicPr/>
                  </pic:nvPicPr>
                  <pic:blipFill>
                    <a:blip r:embed="rId11" cstate="print"/>
                    <a:srcRect/>
                    <a:stretch/>
                  </pic:blipFill>
                  <pic:spPr>
                    <a:xfrm>
                      <a:off x="0" y="0"/>
                      <a:ext cx="4021455" cy="18097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1. </w:t>
      </w:r>
      <w:r>
        <w:rPr>
          <w:rFonts w:ascii="Times New Roman" w:hAnsi="Times New Roman" w:cs="Times New Roman"/>
          <w:b/>
          <w:bCs/>
          <w:sz w:val="24"/>
          <w:szCs w:val="24"/>
        </w:rPr>
        <w:t>Current Ratio:</w:t>
      </w:r>
      <w:r>
        <w:rPr>
          <w:rFonts w:ascii="Times New Roman" w:hAnsi="Times New Roman" w:cs="Times New Roman"/>
          <w:sz w:val="24"/>
          <w:szCs w:val="24"/>
        </w:rPr>
        <w:t xml:space="preserve"> The current ratio is an indicator of the capacity of a company to meet its </w:t>
      </w:r>
      <w:proofErr w:type="gramStart"/>
      <w:r>
        <w:rPr>
          <w:rFonts w:ascii="Times New Roman" w:hAnsi="Times New Roman" w:cs="Times New Roman"/>
          <w:sz w:val="24"/>
          <w:szCs w:val="24"/>
        </w:rPr>
        <w:t>short term</w:t>
      </w:r>
      <w:proofErr w:type="gramEnd"/>
      <w:r>
        <w:rPr>
          <w:rFonts w:ascii="Times New Roman" w:hAnsi="Times New Roman" w:cs="Times New Roman"/>
          <w:sz w:val="24"/>
          <w:szCs w:val="24"/>
        </w:rPr>
        <w:t xml:space="preserve"> liabilities with its current. assets.</w:t>
      </w:r>
    </w:p>
    <w:p w14:paraId="1FF59E86"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2019: 1.10</w:t>
      </w:r>
    </w:p>
    <w:p w14:paraId="2CCF344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2020: 1.25</w:t>
      </w:r>
    </w:p>
    <w:p w14:paraId="24163B9A"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2021: 1.14</w:t>
      </w:r>
    </w:p>
    <w:p w14:paraId="03F93D52"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2022: 1.10</w:t>
      </w:r>
    </w:p>
    <w:p w14:paraId="0BB21303"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2023: 1.03</w:t>
      </w:r>
    </w:p>
    <w:p w14:paraId="13439BA1" w14:textId="3960E02D" w:rsidR="003351F8" w:rsidRDefault="003351F8">
      <w:pPr>
        <w:spacing w:line="360" w:lineRule="auto"/>
        <w:jc w:val="both"/>
        <w:rPr>
          <w:rFonts w:ascii="Times New Roman" w:hAnsi="Times New Roman" w:cs="Times New Roman"/>
          <w:sz w:val="24"/>
          <w:szCs w:val="24"/>
        </w:rPr>
      </w:pPr>
      <w:r>
        <w:rPr>
          <w:noProof/>
        </w:rPr>
        <w:drawing>
          <wp:anchor distT="0" distB="0" distL="114300" distR="114300" simplePos="0" relativeHeight="251661312" behindDoc="1" locked="0" layoutInCell="1" allowOverlap="1" wp14:anchorId="6765EF11" wp14:editId="7D1537EC">
            <wp:simplePos x="0" y="0"/>
            <wp:positionH relativeFrom="margin">
              <wp:posOffset>0</wp:posOffset>
            </wp:positionH>
            <wp:positionV relativeFrom="paragraph">
              <wp:posOffset>367030</wp:posOffset>
            </wp:positionV>
            <wp:extent cx="6057900" cy="3322320"/>
            <wp:effectExtent l="0" t="0" r="0" b="11430"/>
            <wp:wrapTight wrapText="bothSides">
              <wp:wrapPolygon edited="0">
                <wp:start x="0" y="0"/>
                <wp:lineTo x="0" y="21550"/>
                <wp:lineTo x="21532" y="21550"/>
                <wp:lineTo x="21532"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1FEFCA5E" w14:textId="77777777" w:rsidR="00ED6EFA" w:rsidRDefault="00ED6EFA">
      <w:pPr>
        <w:spacing w:line="360" w:lineRule="auto"/>
        <w:jc w:val="both"/>
        <w:rPr>
          <w:rFonts w:ascii="Times New Roman" w:hAnsi="Times New Roman" w:cs="Times New Roman"/>
          <w:sz w:val="24"/>
          <w:szCs w:val="24"/>
        </w:rPr>
      </w:pPr>
    </w:p>
    <w:p w14:paraId="4990119D" w14:textId="3A4CF0A8"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ratio has been more or less consistent with a slight decline in 2023; this means that Amazon’s current assets are adequate to cover its current liabilities but with a declining margin. </w:t>
      </w:r>
    </w:p>
    <w:p w14:paraId="37007E5D" w14:textId="0A6A34F5" w:rsidR="00910C01" w:rsidRDefault="003351F8">
      <w:pPr>
        <w:spacing w:line="360" w:lineRule="auto"/>
        <w:jc w:val="both"/>
        <w:rPr>
          <w:rFonts w:ascii="Times New Roman" w:hAnsi="Times New Roman" w:cs="Times New Roman"/>
          <w:sz w:val="24"/>
          <w:szCs w:val="24"/>
        </w:rPr>
      </w:pPr>
      <w:r>
        <w:rPr>
          <w:noProof/>
        </w:rPr>
        <w:lastRenderedPageBreak/>
        <w:drawing>
          <wp:anchor distT="0" distB="0" distL="114300" distR="114300" simplePos="0" relativeHeight="251659264" behindDoc="1" locked="0" layoutInCell="1" allowOverlap="1" wp14:anchorId="40EB39BC" wp14:editId="6EFAA29B">
            <wp:simplePos x="0" y="0"/>
            <wp:positionH relativeFrom="margin">
              <wp:posOffset>1409700</wp:posOffset>
            </wp:positionH>
            <wp:positionV relativeFrom="paragraph">
              <wp:posOffset>219710</wp:posOffset>
            </wp:positionV>
            <wp:extent cx="5006340" cy="2156460"/>
            <wp:effectExtent l="0" t="0" r="3810" b="15240"/>
            <wp:wrapTight wrapText="bothSides">
              <wp:wrapPolygon edited="0">
                <wp:start x="0" y="0"/>
                <wp:lineTo x="0" y="21562"/>
                <wp:lineTo x="21534" y="21562"/>
                <wp:lineTo x="21534"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Pr="0002771E">
        <w:rPr>
          <w:rFonts w:ascii="Times New Roman" w:hAnsi="Times New Roman" w:cs="Times New Roman"/>
          <w:b/>
          <w:bCs/>
          <w:sz w:val="24"/>
          <w:szCs w:val="24"/>
        </w:rPr>
        <w:t xml:space="preserve"> 2. Quick Ratio:</w:t>
      </w:r>
      <w:r>
        <w:rPr>
          <w:rFonts w:ascii="Times New Roman" w:hAnsi="Times New Roman" w:cs="Times New Roman"/>
          <w:sz w:val="24"/>
          <w:szCs w:val="24"/>
        </w:rPr>
        <w:t xml:space="preserve"> The quick ratio reduces inventory from the current assets to determine the immediate liquidity.</w:t>
      </w:r>
    </w:p>
    <w:p w14:paraId="28FC96D2" w14:textId="11EA663B"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2019: 0.86</w:t>
      </w:r>
    </w:p>
    <w:p w14:paraId="7D32B261" w14:textId="13B10DC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2020: 0.98</w:t>
      </w:r>
      <w:r w:rsidR="003351F8">
        <w:rPr>
          <w:rFonts w:ascii="Times New Roman" w:hAnsi="Times New Roman" w:cs="Times New Roman"/>
          <w:sz w:val="24"/>
          <w:szCs w:val="24"/>
        </w:rPr>
        <w:t xml:space="preserve">                                                 </w:t>
      </w:r>
    </w:p>
    <w:p w14:paraId="1CF22701" w14:textId="2186984C"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2021: 0.90</w:t>
      </w:r>
    </w:p>
    <w:p w14:paraId="10CF1D45"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2022: 0.87</w:t>
      </w:r>
    </w:p>
    <w:p w14:paraId="74A2939D" w14:textId="45A7FA28"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2023: 0.82</w:t>
      </w:r>
    </w:p>
    <w:p w14:paraId="1C05ED0B" w14:textId="7E8C6FAB"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Amazon's quick ratio indicates a strong liquidity position, though it has slightly decreased over the years, suggesting reliance on inventory to meet short-term obligations.</w:t>
      </w:r>
    </w:p>
    <w:p w14:paraId="2A636DFA"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Profitability Ratios</w:t>
      </w:r>
    </w:p>
    <w:p w14:paraId="437EE563" w14:textId="77777777" w:rsidR="00910C01" w:rsidRDefault="00000000">
      <w:p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1. Gross Profit Margin:</w:t>
      </w:r>
      <w:r>
        <w:rPr>
          <w:rFonts w:ascii="Times New Roman" w:hAnsi="Times New Roman" w:cs="Times New Roman"/>
          <w:sz w:val="24"/>
          <w:szCs w:val="24"/>
        </w:rPr>
        <w:t xml:space="preserve"> This ratio measures the percentage of revenue exceeding the cost of goods sold (COGS).</w:t>
      </w:r>
    </w:p>
    <w:p w14:paraId="7632F16F"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7" behindDoc="1" locked="0" layoutInCell="1" allowOverlap="1" wp14:anchorId="63DF6E06" wp14:editId="0D8CC41C">
            <wp:simplePos x="0" y="0"/>
            <wp:positionH relativeFrom="margin">
              <wp:posOffset>2819400</wp:posOffset>
            </wp:positionH>
            <wp:positionV relativeFrom="paragraph">
              <wp:posOffset>10160</wp:posOffset>
            </wp:positionV>
            <wp:extent cx="3369309" cy="1895475"/>
            <wp:effectExtent l="0" t="0" r="2540" b="9525"/>
            <wp:wrapTight wrapText="bothSides">
              <wp:wrapPolygon edited="0">
                <wp:start x="0" y="0"/>
                <wp:lineTo x="0" y="21491"/>
                <wp:lineTo x="21494" y="21491"/>
                <wp:lineTo x="21494" y="0"/>
                <wp:lineTo x="0" y="0"/>
              </wp:wrapPolygon>
            </wp:wrapTight>
            <wp:docPr id="1031"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7"/>
                    <pic:cNvPicPr/>
                  </pic:nvPicPr>
                  <pic:blipFill>
                    <a:blip r:embed="rId14" cstate="print"/>
                    <a:srcRect/>
                    <a:stretch/>
                  </pic:blipFill>
                  <pic:spPr>
                    <a:xfrm>
                      <a:off x="0" y="0"/>
                      <a:ext cx="3369309" cy="18954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2019: 40.2%</w:t>
      </w:r>
    </w:p>
    <w:p w14:paraId="1B6533C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2020: 40.5%</w:t>
      </w:r>
    </w:p>
    <w:p w14:paraId="1480F859"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2021: 42.3%</w:t>
      </w:r>
    </w:p>
    <w:p w14:paraId="32C41CA4" w14:textId="4E52F514"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2022: 43.8%</w:t>
      </w:r>
    </w:p>
    <w:p w14:paraId="288B7CCC" w14:textId="7B9D6F98"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2023: 42.0%</w:t>
      </w:r>
    </w:p>
    <w:p w14:paraId="17796193" w14:textId="61CF140D" w:rsidR="003351F8" w:rsidRDefault="003351F8">
      <w:pPr>
        <w:spacing w:line="360" w:lineRule="auto"/>
        <w:jc w:val="both"/>
        <w:rPr>
          <w:rFonts w:ascii="Times New Roman" w:hAnsi="Times New Roman" w:cs="Times New Roman"/>
          <w:sz w:val="24"/>
          <w:szCs w:val="24"/>
        </w:rPr>
      </w:pPr>
      <w:r>
        <w:rPr>
          <w:noProof/>
        </w:rPr>
        <w:drawing>
          <wp:anchor distT="0" distB="0" distL="114300" distR="114300" simplePos="0" relativeHeight="251663360" behindDoc="1" locked="0" layoutInCell="1" allowOverlap="1" wp14:anchorId="0C7134F3" wp14:editId="7F88EB58">
            <wp:simplePos x="0" y="0"/>
            <wp:positionH relativeFrom="column">
              <wp:posOffset>-152400</wp:posOffset>
            </wp:positionH>
            <wp:positionV relativeFrom="paragraph">
              <wp:posOffset>539750</wp:posOffset>
            </wp:positionV>
            <wp:extent cx="6446520" cy="1775460"/>
            <wp:effectExtent l="0" t="0" r="11430" b="15240"/>
            <wp:wrapTight wrapText="bothSides">
              <wp:wrapPolygon edited="0">
                <wp:start x="0" y="0"/>
                <wp:lineTo x="0" y="21554"/>
                <wp:lineTo x="21574" y="21554"/>
                <wp:lineTo x="21574"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Amazon’s gross profit margin has shown a positive trend, reflecting improved efficiency and cost management.</w:t>
      </w:r>
    </w:p>
    <w:p w14:paraId="3C76FEA7" w14:textId="6D8F81A5" w:rsidR="00910C01" w:rsidRDefault="00000000">
      <w:p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lastRenderedPageBreak/>
        <w:t>2. Net Profit Margin:</w:t>
      </w:r>
      <w:r>
        <w:rPr>
          <w:rFonts w:ascii="Times New Roman" w:hAnsi="Times New Roman" w:cs="Times New Roman"/>
          <w:sz w:val="24"/>
          <w:szCs w:val="24"/>
        </w:rPr>
        <w:t xml:space="preserve"> This ratio measures the percentage of revenue that remains as profit after all expenses.</w:t>
      </w:r>
    </w:p>
    <w:p w14:paraId="3C14253C" w14:textId="0A1D671B"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2019: 4.1%</w:t>
      </w:r>
      <w:r w:rsidR="003351F8">
        <w:rPr>
          <w:rFonts w:ascii="Times New Roman" w:hAnsi="Times New Roman" w:cs="Times New Roman"/>
          <w:sz w:val="24"/>
          <w:szCs w:val="24"/>
        </w:rPr>
        <w:t xml:space="preserve">                  </w:t>
      </w:r>
    </w:p>
    <w:p w14:paraId="6BE53D18" w14:textId="1CB77BE8"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2020: 5.5%</w:t>
      </w:r>
      <w:r w:rsidR="003351F8">
        <w:rPr>
          <w:rFonts w:ascii="Times New Roman" w:hAnsi="Times New Roman" w:cs="Times New Roman"/>
          <w:sz w:val="24"/>
          <w:szCs w:val="24"/>
        </w:rPr>
        <w:t xml:space="preserve">                                 </w:t>
      </w:r>
    </w:p>
    <w:p w14:paraId="5465BACD" w14:textId="63A5763E"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2021: 7.1%</w:t>
      </w:r>
      <w:r w:rsidR="003351F8">
        <w:rPr>
          <w:rFonts w:ascii="Times New Roman" w:hAnsi="Times New Roman" w:cs="Times New Roman"/>
          <w:sz w:val="24"/>
          <w:szCs w:val="24"/>
        </w:rPr>
        <w:t xml:space="preserve"> </w:t>
      </w:r>
    </w:p>
    <w:p w14:paraId="5DBC38B1" w14:textId="6914EC59"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2022: 2.4%</w:t>
      </w:r>
      <w:r w:rsidR="003351F8">
        <w:rPr>
          <w:rFonts w:ascii="Times New Roman" w:hAnsi="Times New Roman" w:cs="Times New Roman"/>
          <w:sz w:val="24"/>
          <w:szCs w:val="24"/>
        </w:rPr>
        <w:t xml:space="preserve">                              </w:t>
      </w:r>
    </w:p>
    <w:p w14:paraId="18D7BF8F" w14:textId="4FE7CE0C"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2023: 1.8%</w:t>
      </w:r>
    </w:p>
    <w:p w14:paraId="175F85C7" w14:textId="469BDEC9" w:rsidR="003351F8" w:rsidRDefault="003351F8">
      <w:pPr>
        <w:spacing w:line="360" w:lineRule="auto"/>
        <w:jc w:val="both"/>
        <w:rPr>
          <w:rFonts w:ascii="Times New Roman" w:hAnsi="Times New Roman" w:cs="Times New Roman"/>
          <w:sz w:val="24"/>
          <w:szCs w:val="24"/>
        </w:rPr>
      </w:pPr>
      <w:r>
        <w:rPr>
          <w:noProof/>
        </w:rPr>
        <w:drawing>
          <wp:inline distT="0" distB="0" distL="0" distR="0" wp14:anchorId="64BEA766" wp14:editId="6526B527">
            <wp:extent cx="6438900" cy="2034540"/>
            <wp:effectExtent l="0" t="0" r="0" b="38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7DCA1F3" w14:textId="7D5F7981"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net profit margin was on the rise until 2021, and it dropped in 2022 and 2023 because of the costs and the pandemic’s aftermath. </w:t>
      </w:r>
    </w:p>
    <w:p w14:paraId="563DA850" w14:textId="42B97E03" w:rsidR="00910C01" w:rsidRDefault="00000000">
      <w:p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 xml:space="preserve"> 3. Return on Equity (ROE):</w:t>
      </w:r>
      <w:r>
        <w:rPr>
          <w:rFonts w:ascii="Times New Roman" w:hAnsi="Times New Roman" w:cs="Times New Roman"/>
          <w:sz w:val="24"/>
          <w:szCs w:val="24"/>
        </w:rPr>
        <w:t xml:space="preserve"> ROE on the other hand evaluates the amount of return that is being generated on shareholders’ funds.</w:t>
      </w:r>
    </w:p>
    <w:p w14:paraId="166EF861"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2019: 18.8%</w:t>
      </w:r>
    </w:p>
    <w:p w14:paraId="3A3B699F"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2020: 24.9%</w:t>
      </w:r>
    </w:p>
    <w:p w14:paraId="144FBE13" w14:textId="11437F2F"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2021: 27.4%</w:t>
      </w:r>
      <w:r w:rsidR="003351F8">
        <w:rPr>
          <w:rFonts w:ascii="Times New Roman" w:hAnsi="Times New Roman" w:cs="Times New Roman"/>
          <w:sz w:val="24"/>
          <w:szCs w:val="24"/>
        </w:rPr>
        <w:t xml:space="preserve">     </w:t>
      </w:r>
    </w:p>
    <w:p w14:paraId="523B930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2022: 10.5%</w:t>
      </w:r>
    </w:p>
    <w:p w14:paraId="528543BF"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2023: 8.3%</w:t>
      </w:r>
    </w:p>
    <w:p w14:paraId="24008DF6" w14:textId="4452E0B2" w:rsidR="0076193E" w:rsidRDefault="0076193E">
      <w:pPr>
        <w:spacing w:line="360" w:lineRule="auto"/>
        <w:jc w:val="both"/>
        <w:rPr>
          <w:rFonts w:ascii="Times New Roman" w:hAnsi="Times New Roman" w:cs="Times New Roman"/>
          <w:sz w:val="24"/>
          <w:szCs w:val="24"/>
        </w:rPr>
      </w:pPr>
      <w:r>
        <w:rPr>
          <w:noProof/>
        </w:rPr>
        <w:lastRenderedPageBreak/>
        <w:drawing>
          <wp:inline distT="0" distB="0" distL="0" distR="0" wp14:anchorId="3A82EDB2" wp14:editId="4BE5A81F">
            <wp:extent cx="584835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D84D10C"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ROE was highest in the year 2021 but reduced in the subsequent years, which indicate low profitability and high equity base. </w:t>
      </w:r>
    </w:p>
    <w:p w14:paraId="4B54B152" w14:textId="77777777" w:rsidR="00910C01" w:rsidRPr="0002771E" w:rsidRDefault="00000000">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02771E">
        <w:rPr>
          <w:rFonts w:ascii="Times New Roman" w:hAnsi="Times New Roman" w:cs="Times New Roman"/>
          <w:b/>
          <w:bCs/>
          <w:sz w:val="24"/>
          <w:szCs w:val="24"/>
        </w:rPr>
        <w:t xml:space="preserve">Efficiency Ratios: </w:t>
      </w:r>
    </w:p>
    <w:p w14:paraId="0B236937" w14:textId="08AC12DF" w:rsidR="00910C01" w:rsidRDefault="0076193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8" behindDoc="1" locked="0" layoutInCell="1" allowOverlap="1" wp14:anchorId="6C4C172C" wp14:editId="1AA9069E">
            <wp:simplePos x="0" y="0"/>
            <wp:positionH relativeFrom="margin">
              <wp:posOffset>1988820</wp:posOffset>
            </wp:positionH>
            <wp:positionV relativeFrom="paragraph">
              <wp:posOffset>345440</wp:posOffset>
            </wp:positionV>
            <wp:extent cx="4457700" cy="3086100"/>
            <wp:effectExtent l="0" t="0" r="0" b="0"/>
            <wp:wrapTight wrapText="bothSides">
              <wp:wrapPolygon edited="0">
                <wp:start x="0" y="0"/>
                <wp:lineTo x="0" y="21467"/>
                <wp:lineTo x="21508" y="21467"/>
                <wp:lineTo x="21508" y="0"/>
                <wp:lineTo x="0" y="0"/>
              </wp:wrapPolygon>
            </wp:wrapTight>
            <wp:docPr id="1032"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18" cstate="print"/>
                    <a:srcRect/>
                    <a:stretch/>
                  </pic:blipFill>
                  <pic:spPr>
                    <a:xfrm>
                      <a:off x="0" y="0"/>
                      <a:ext cx="4457700" cy="30861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 </w:t>
      </w:r>
      <w:r w:rsidRPr="0002771E">
        <w:rPr>
          <w:rFonts w:ascii="Times New Roman" w:hAnsi="Times New Roman" w:cs="Times New Roman"/>
          <w:b/>
          <w:bCs/>
          <w:sz w:val="24"/>
          <w:szCs w:val="24"/>
        </w:rPr>
        <w:t>1. Inventory Turnover</w:t>
      </w:r>
      <w:r>
        <w:rPr>
          <w:rFonts w:ascii="Times New Roman" w:hAnsi="Times New Roman" w:cs="Times New Roman"/>
          <w:sz w:val="24"/>
          <w:szCs w:val="24"/>
        </w:rPr>
        <w:t>: This ratio indicates the frequency of turnover of inventory in a given period.</w:t>
      </w:r>
    </w:p>
    <w:p w14:paraId="68880EF6" w14:textId="7D327215"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2019: 7.8</w:t>
      </w:r>
    </w:p>
    <w:p w14:paraId="46B2E51C" w14:textId="477ECBDF"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2020: 8.1</w:t>
      </w:r>
    </w:p>
    <w:p w14:paraId="580C32AB" w14:textId="5FB0AAC5"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2021: 8.6</w:t>
      </w:r>
    </w:p>
    <w:p w14:paraId="6700BF9B"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2022: 8.3</w:t>
      </w:r>
    </w:p>
    <w:p w14:paraId="22C39652"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2023: 7.9</w:t>
      </w:r>
    </w:p>
    <w:p w14:paraId="789D41C8" w14:textId="77777777" w:rsidR="0076193E" w:rsidRDefault="0076193E">
      <w:pPr>
        <w:spacing w:line="360" w:lineRule="auto"/>
        <w:jc w:val="both"/>
        <w:rPr>
          <w:rFonts w:ascii="Times New Roman" w:hAnsi="Times New Roman" w:cs="Times New Roman"/>
          <w:sz w:val="24"/>
          <w:szCs w:val="24"/>
        </w:rPr>
      </w:pPr>
    </w:p>
    <w:p w14:paraId="22297779" w14:textId="77777777" w:rsidR="0076193E" w:rsidRDefault="0076193E">
      <w:pPr>
        <w:spacing w:line="360" w:lineRule="auto"/>
        <w:jc w:val="both"/>
        <w:rPr>
          <w:rFonts w:ascii="Times New Roman" w:hAnsi="Times New Roman" w:cs="Times New Roman"/>
          <w:sz w:val="24"/>
          <w:szCs w:val="24"/>
        </w:rPr>
      </w:pPr>
    </w:p>
    <w:p w14:paraId="42DC528A" w14:textId="77777777" w:rsidR="0076193E" w:rsidRDefault="0076193E">
      <w:pPr>
        <w:spacing w:line="360" w:lineRule="auto"/>
        <w:jc w:val="both"/>
        <w:rPr>
          <w:rFonts w:ascii="Times New Roman" w:hAnsi="Times New Roman" w:cs="Times New Roman"/>
          <w:sz w:val="24"/>
          <w:szCs w:val="24"/>
        </w:rPr>
      </w:pPr>
    </w:p>
    <w:p w14:paraId="42FC9124" w14:textId="77777777" w:rsidR="0076193E" w:rsidRDefault="0076193E">
      <w:pPr>
        <w:spacing w:line="360" w:lineRule="auto"/>
        <w:jc w:val="both"/>
        <w:rPr>
          <w:rFonts w:ascii="Times New Roman" w:hAnsi="Times New Roman" w:cs="Times New Roman"/>
          <w:sz w:val="24"/>
          <w:szCs w:val="24"/>
        </w:rPr>
      </w:pPr>
    </w:p>
    <w:p w14:paraId="65C0F822" w14:textId="7F5E6277" w:rsidR="0076193E" w:rsidRDefault="0076193E">
      <w:pPr>
        <w:spacing w:line="360" w:lineRule="auto"/>
        <w:jc w:val="both"/>
        <w:rPr>
          <w:rFonts w:ascii="Times New Roman" w:hAnsi="Times New Roman" w:cs="Times New Roman"/>
          <w:sz w:val="24"/>
          <w:szCs w:val="24"/>
        </w:rPr>
      </w:pPr>
      <w:r>
        <w:rPr>
          <w:noProof/>
        </w:rPr>
        <w:lastRenderedPageBreak/>
        <w:drawing>
          <wp:inline distT="0" distB="0" distL="0" distR="0" wp14:anchorId="62F4787F" wp14:editId="57BF9759">
            <wp:extent cx="5419725" cy="274320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46A88A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ROE was highest in the year 2021 but reduced in the subsequent years, which indicate low profitability and high equity base. </w:t>
      </w:r>
    </w:p>
    <w:p w14:paraId="7334F867"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has been a slight reduction in asset turnover ratio in the recent past which indicates a slowdown in the rate at which sales are being generated out of assets. </w:t>
      </w:r>
    </w:p>
    <w:p w14:paraId="522A8CB7" w14:textId="77777777" w:rsidR="00910C01" w:rsidRPr="0002771E" w:rsidRDefault="00000000">
      <w:pPr>
        <w:spacing w:line="360" w:lineRule="auto"/>
        <w:jc w:val="both"/>
        <w:rPr>
          <w:rFonts w:ascii="Times New Roman" w:hAnsi="Times New Roman" w:cs="Times New Roman"/>
          <w:b/>
          <w:bCs/>
          <w:sz w:val="24"/>
          <w:szCs w:val="24"/>
        </w:rPr>
      </w:pPr>
      <w:r w:rsidRPr="0002771E">
        <w:rPr>
          <w:rFonts w:ascii="Times New Roman" w:hAnsi="Times New Roman" w:cs="Times New Roman"/>
          <w:b/>
          <w:bCs/>
          <w:sz w:val="24"/>
          <w:szCs w:val="24"/>
        </w:rPr>
        <w:t xml:space="preserve"> Leverage Ratios </w:t>
      </w:r>
    </w:p>
    <w:p w14:paraId="456527B7" w14:textId="0EB067FB"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1. Debt to Equity Ratio: This ratio established how much shareholders’ funds and borrowed funds were used to fund assets.</w:t>
      </w:r>
    </w:p>
    <w:p w14:paraId="54B16C26"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2019: 1.07</w:t>
      </w:r>
    </w:p>
    <w:p w14:paraId="358ED163"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2020: 0.98</w:t>
      </w:r>
    </w:p>
    <w:p w14:paraId="430385C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2021: 0.91</w:t>
      </w:r>
    </w:p>
    <w:p w14:paraId="7930E435"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2022: 1.02</w:t>
      </w:r>
    </w:p>
    <w:p w14:paraId="63AFC42E"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2023: 1.15</w:t>
      </w:r>
    </w:p>
    <w:p w14:paraId="69060D86"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financial leverage is a major issue of concern based on the </w:t>
      </w:r>
      <w:proofErr w:type="gramStart"/>
      <w:r>
        <w:rPr>
          <w:rFonts w:ascii="Times New Roman" w:hAnsi="Times New Roman" w:cs="Times New Roman"/>
          <w:sz w:val="24"/>
          <w:szCs w:val="24"/>
        </w:rPr>
        <w:t>debt to equity</w:t>
      </w:r>
      <w:proofErr w:type="gramEnd"/>
      <w:r>
        <w:rPr>
          <w:rFonts w:ascii="Times New Roman" w:hAnsi="Times New Roman" w:cs="Times New Roman"/>
          <w:sz w:val="24"/>
          <w:szCs w:val="24"/>
        </w:rPr>
        <w:t xml:space="preserve"> ratio that shows the dependence on debt financing in 2022 and 2023. </w:t>
      </w:r>
    </w:p>
    <w:p w14:paraId="7AC9FF37" w14:textId="631985AB"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Analyzing Amazon’s financial data of the last five years it is possible to conclude that the company is characterized by rather high growth rates and effective functioning, though it has some </w:t>
      </w:r>
      <w:r>
        <w:rPr>
          <w:rFonts w:ascii="Times New Roman" w:hAnsi="Times New Roman" w:cs="Times New Roman"/>
          <w:sz w:val="24"/>
          <w:szCs w:val="24"/>
        </w:rPr>
        <w:lastRenderedPageBreak/>
        <w:t>problems. Whereas the profitability ratios have reached their highest levels in the period 2020-2021, the recent years have demonstrated the decline caused by certain economic factors. Liquidity ratios indicate that Amazon has a good capacity to pay short-term liabilities, although it is declining slightly. The efficiency ratios reveal a good control of inventory and assets and the leverage ratios show a growing dependence on debts. All in all, it can be concluded that Amazon is still a financially sustainable company that is able to respond to the changes in the environment.</w:t>
      </w:r>
    </w:p>
    <w:p w14:paraId="3250E95A" w14:textId="77777777" w:rsidR="00910C01" w:rsidRDefault="00000000">
      <w:pPr>
        <w:pStyle w:val="Heading1"/>
        <w:spacing w:line="360" w:lineRule="auto"/>
        <w:jc w:val="both"/>
        <w:rPr>
          <w:rFonts w:ascii="Times New Roman" w:hAnsi="Times New Roman"/>
          <w:b/>
          <w:bCs/>
          <w:color w:val="auto"/>
          <w:sz w:val="28"/>
          <w:szCs w:val="28"/>
        </w:rPr>
      </w:pPr>
      <w:bookmarkStart w:id="2" w:name="_Toc174091791"/>
      <w:r>
        <w:rPr>
          <w:rFonts w:ascii="Times New Roman" w:hAnsi="Times New Roman"/>
          <w:b/>
          <w:bCs/>
          <w:color w:val="auto"/>
          <w:sz w:val="28"/>
          <w:szCs w:val="28"/>
        </w:rPr>
        <w:t>Critical Evaluation of Amazon's Financial Ratios (2019-2023)</w:t>
      </w:r>
      <w:bookmarkEnd w:id="2"/>
    </w:p>
    <w:p w14:paraId="6514EBA6" w14:textId="1DE46B49" w:rsidR="00910C01" w:rsidRPr="0002771E" w:rsidRDefault="0002771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w:t>
      </w:r>
      <w:r w:rsidRPr="0002771E">
        <w:rPr>
          <w:rFonts w:ascii="Times New Roman" w:hAnsi="Times New Roman" w:cs="Times New Roman"/>
          <w:b/>
          <w:bCs/>
          <w:sz w:val="24"/>
          <w:szCs w:val="24"/>
        </w:rPr>
        <w:t>urrent ratio:</w:t>
      </w:r>
    </w:p>
    <w:p w14:paraId="67869636" w14:textId="77777777" w:rsidR="0002771E" w:rsidRPr="0002771E" w:rsidRDefault="0002771E" w:rsidP="0002771E">
      <w:pPr>
        <w:spacing w:line="360" w:lineRule="auto"/>
        <w:jc w:val="both"/>
        <w:rPr>
          <w:rFonts w:ascii="Times New Roman" w:hAnsi="Times New Roman" w:cs="Times New Roman"/>
          <w:sz w:val="24"/>
          <w:szCs w:val="24"/>
        </w:rPr>
      </w:pPr>
      <w:r w:rsidRPr="0002771E">
        <w:rPr>
          <w:rFonts w:ascii="Times New Roman" w:hAnsi="Times New Roman" w:cs="Times New Roman"/>
          <w:sz w:val="24"/>
          <w:szCs w:val="24"/>
        </w:rPr>
        <w:t>Amazon's current ratio normally remains robust, yet it may suffer pressure owing to rapid expansion and greater current liabilities as a result of global economic uncertainties. The constant ratio demonstrates Amazon's solid business management, but any rapid fall might signify economic troubles.</w:t>
      </w:r>
    </w:p>
    <w:p w14:paraId="40393D9E" w14:textId="220A98DA" w:rsidR="0002771E" w:rsidRDefault="0002771E" w:rsidP="0002771E">
      <w:pPr>
        <w:spacing w:line="360" w:lineRule="auto"/>
        <w:jc w:val="center"/>
        <w:rPr>
          <w:rFonts w:ascii="Times New Roman" w:hAnsi="Times New Roman" w:cs="Times New Roman"/>
          <w:b/>
          <w:bCs/>
          <w:sz w:val="24"/>
          <w:szCs w:val="24"/>
        </w:rPr>
      </w:pPr>
      <w:r w:rsidRPr="0002771E">
        <w:rPr>
          <w:rFonts w:ascii="Times New Roman" w:hAnsi="Times New Roman" w:cs="Times New Roman"/>
          <w:b/>
          <w:bCs/>
          <w:noProof/>
          <w:sz w:val="24"/>
          <w:szCs w:val="24"/>
        </w:rPr>
        <w:drawing>
          <wp:inline distT="0" distB="0" distL="0" distR="0" wp14:anchorId="0B96B5FF" wp14:editId="2FD0A019">
            <wp:extent cx="2644369" cy="388654"/>
            <wp:effectExtent l="0" t="0" r="3810" b="0"/>
            <wp:docPr id="2066951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51936" name=""/>
                    <pic:cNvPicPr/>
                  </pic:nvPicPr>
                  <pic:blipFill>
                    <a:blip r:embed="rId20"/>
                    <a:stretch>
                      <a:fillRect/>
                    </a:stretch>
                  </pic:blipFill>
                  <pic:spPr>
                    <a:xfrm>
                      <a:off x="0" y="0"/>
                      <a:ext cx="2644369" cy="388654"/>
                    </a:xfrm>
                    <a:prstGeom prst="rect">
                      <a:avLst/>
                    </a:prstGeom>
                  </pic:spPr>
                </pic:pic>
              </a:graphicData>
            </a:graphic>
          </wp:inline>
        </w:drawing>
      </w:r>
    </w:p>
    <w:p w14:paraId="6EA123DB" w14:textId="5EF48C0F"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drawing>
          <wp:anchor distT="0" distB="0" distL="114300" distR="114300" simplePos="0" relativeHeight="9" behindDoc="1" locked="0" layoutInCell="1" allowOverlap="1" wp14:anchorId="364A97E5" wp14:editId="66B1F505">
            <wp:simplePos x="0" y="0"/>
            <wp:positionH relativeFrom="margin">
              <wp:align>right</wp:align>
            </wp:positionH>
            <wp:positionV relativeFrom="paragraph">
              <wp:posOffset>946785</wp:posOffset>
            </wp:positionV>
            <wp:extent cx="3386455" cy="1904999"/>
            <wp:effectExtent l="0" t="0" r="4445" b="0"/>
            <wp:wrapTight wrapText="bothSides">
              <wp:wrapPolygon edited="0">
                <wp:start x="0" y="0"/>
                <wp:lineTo x="0" y="21384"/>
                <wp:lineTo x="21507" y="21384"/>
                <wp:lineTo x="21507" y="0"/>
                <wp:lineTo x="0" y="0"/>
              </wp:wrapPolygon>
            </wp:wrapTight>
            <wp:docPr id="1033"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9"/>
                    <pic:cNvPicPr/>
                  </pic:nvPicPr>
                  <pic:blipFill>
                    <a:blip r:embed="rId21" cstate="print"/>
                    <a:srcRect/>
                    <a:stretch/>
                  </pic:blipFill>
                  <pic:spPr>
                    <a:xfrm>
                      <a:off x="0" y="0"/>
                      <a:ext cx="3386455" cy="1904999"/>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The current ratio of Amazon has not changed much and has oscillated only a little from 1. 10 in 2019 to 1. 03 in 2023. If the ratio is above 1, it means that Amazon can meet its current obligations with its current assets, but the slight deterioration in the last years shows that the buffer is shrinking. This could be an indication that Amazon’s liquidity is deteriorating, and may affect its capacity to meet short-term liabilities effectively if the trend persists.</w:t>
      </w:r>
    </w:p>
    <w:p w14:paraId="36E97F9F"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Quick Ratio:</w:t>
      </w:r>
      <w:r>
        <w:rPr>
          <w:rFonts w:ascii="Times New Roman" w:hAnsi="Times New Roman" w:cs="Times New Roman"/>
          <w:sz w:val="24"/>
          <w:szCs w:val="24"/>
        </w:rPr>
        <w:t xml:space="preserve"> The quick ratio which does not include inventory in current assets has been below 1 and has reduced from 0. 86 in 2019 to 0. 82 in 2023. This means that, in case of no sales of inventories, Amazon might be in a position to meet its near-term obligations, thus pointing to a possible significant dependence on inventory turnover. The gradual decline indicates that Amazon should enhance its liquid asset base to support a higher level of immediate liquidity.</w:t>
      </w:r>
    </w:p>
    <w:p w14:paraId="36D1C25E"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Profitability Ratios</w:t>
      </w:r>
    </w:p>
    <w:p w14:paraId="281A4E31" w14:textId="77777777" w:rsidR="00910C01" w:rsidRDefault="00000000">
      <w:p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Gross Profit Margin:</w:t>
      </w:r>
      <w:r>
        <w:rPr>
          <w:rFonts w:ascii="Times New Roman" w:hAnsi="Times New Roman" w:cs="Times New Roman"/>
          <w:sz w:val="24"/>
          <w:szCs w:val="24"/>
        </w:rPr>
        <w:t xml:space="preserve"> The gross profit margin of Amazon has been in the upward trajectory from 40. 2% in 2019 to 43. 8% in 2022 and a slight decline to 42. 0% in 2023. This increase shows that there is better control of costs of production and the pricing strategies that are in place. The slight decline in 2023 may be due to rising costs or shifts in product portfolio, which should be watched to ensure that they do not erode profitability. </w:t>
      </w:r>
    </w:p>
    <w:p w14:paraId="14367091"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02771E">
        <w:rPr>
          <w:rFonts w:ascii="Times New Roman" w:hAnsi="Times New Roman" w:cs="Times New Roman"/>
          <w:b/>
          <w:bCs/>
          <w:sz w:val="24"/>
          <w:szCs w:val="24"/>
        </w:rPr>
        <w:t>Net Profit Margin</w:t>
      </w:r>
      <w:r>
        <w:rPr>
          <w:rFonts w:ascii="Times New Roman" w:hAnsi="Times New Roman" w:cs="Times New Roman"/>
          <w:sz w:val="24"/>
          <w:szCs w:val="24"/>
        </w:rPr>
        <w:t xml:space="preserve">: The net profit margin was slightly higher and rose from 4. 1% in 2019 to 7. 1% in 2021, which shows good improvement in the bottom line. However, the drop to 2. 4% in 2022 and to 1. 8% in 2023 looks quite worrying. This decline points to an increase in the cost, which may be due to the hike in the cost of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transportation and other post COVID-19 changes. These cost pressures are the key reasons why Amazon has to get back and sustain profitability. </w:t>
      </w:r>
    </w:p>
    <w:p w14:paraId="07891816" w14:textId="374FBEB9"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02771E">
        <w:rPr>
          <w:rFonts w:ascii="Times New Roman" w:hAnsi="Times New Roman" w:cs="Times New Roman"/>
          <w:b/>
          <w:bCs/>
          <w:sz w:val="24"/>
          <w:szCs w:val="24"/>
        </w:rPr>
        <w:t>Return on Equity (ROE):</w:t>
      </w:r>
      <w:r>
        <w:rPr>
          <w:rFonts w:ascii="Times New Roman" w:hAnsi="Times New Roman" w:cs="Times New Roman"/>
          <w:sz w:val="24"/>
          <w:szCs w:val="24"/>
        </w:rPr>
        <w:t xml:space="preserve"> ROE reached its maximum of 27,4% in 2021, which indicates high profitability and effective use of equity. The decline to 8. 3% in 2023 implies lower profitability and higher equity base which can be attributed to retained earnings or additional equity fund. This decline shows that Amazon has to increase its net income to enhance the returns for its shareholders.</w:t>
      </w:r>
    </w:p>
    <w:p w14:paraId="316DBA51"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10" behindDoc="1" locked="0" layoutInCell="1" allowOverlap="1" wp14:anchorId="5411AFEF" wp14:editId="45974BF9">
            <wp:simplePos x="0" y="0"/>
            <wp:positionH relativeFrom="margin">
              <wp:align>right</wp:align>
            </wp:positionH>
            <wp:positionV relativeFrom="paragraph">
              <wp:posOffset>233680</wp:posOffset>
            </wp:positionV>
            <wp:extent cx="3276600" cy="2219325"/>
            <wp:effectExtent l="0" t="0" r="0" b="9525"/>
            <wp:wrapTight wrapText="bothSides">
              <wp:wrapPolygon edited="0">
                <wp:start x="0" y="0"/>
                <wp:lineTo x="0" y="21507"/>
                <wp:lineTo x="21474" y="21507"/>
                <wp:lineTo x="21474" y="0"/>
                <wp:lineTo x="0" y="0"/>
              </wp:wrapPolygon>
            </wp:wrapTight>
            <wp:docPr id="1034"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0"/>
                    <pic:cNvPicPr/>
                  </pic:nvPicPr>
                  <pic:blipFill>
                    <a:blip r:embed="rId22" cstate="print"/>
                    <a:srcRect/>
                    <a:stretch/>
                  </pic:blipFill>
                  <pic:spPr>
                    <a:xfrm>
                      <a:off x="0" y="0"/>
                      <a:ext cx="3276600" cy="221932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rPr>
        <w:t>Efficiency Ratios</w:t>
      </w:r>
    </w:p>
    <w:p w14:paraId="5991835A"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Inventory Turnover: The inventory turnover has been moderate with the record high of 8. 6 in 2021 and reduced to 7. 9 in 2023. Fluctuating turnover means that there is a good control of inventory since it has not changed much lately, but the recent decrease might mean slow sales growth or overstocking, which will lead to working capital being tied up. </w:t>
      </w:r>
    </w:p>
    <w:p w14:paraId="3E68E9F0"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Asset Turnover: The asset turnover ratio was lower in 2023 at 1. 38 as compared to 1. 55 in 2021, which shows the company’s inefficiency in </w:t>
      </w:r>
      <w:proofErr w:type="spellStart"/>
      <w:r>
        <w:rPr>
          <w:rFonts w:ascii="Times New Roman" w:hAnsi="Times New Roman" w:cs="Times New Roman"/>
          <w:sz w:val="24"/>
          <w:szCs w:val="24"/>
        </w:rPr>
        <w:t>utilising</w:t>
      </w:r>
      <w:proofErr w:type="spellEnd"/>
      <w:r>
        <w:rPr>
          <w:rFonts w:ascii="Times New Roman" w:hAnsi="Times New Roman" w:cs="Times New Roman"/>
          <w:sz w:val="24"/>
          <w:szCs w:val="24"/>
        </w:rPr>
        <w:t xml:space="preserve"> assets to generate sales. This could be due to </w:t>
      </w:r>
      <w:r>
        <w:rPr>
          <w:rFonts w:ascii="Times New Roman" w:hAnsi="Times New Roman" w:cs="Times New Roman"/>
          <w:sz w:val="24"/>
          <w:szCs w:val="24"/>
        </w:rPr>
        <w:lastRenderedPageBreak/>
        <w:t>more capital investments or lower sales growth, which requires a reassessment of how effectively assets are being used.</w:t>
      </w:r>
    </w:p>
    <w:p w14:paraId="59E378A6"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Leverage Ratios</w:t>
      </w:r>
    </w:p>
    <w:p w14:paraId="069857B1"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Debt to Equity Ratio: The </w:t>
      </w:r>
      <w:proofErr w:type="gramStart"/>
      <w:r>
        <w:rPr>
          <w:rFonts w:ascii="Times New Roman" w:hAnsi="Times New Roman" w:cs="Times New Roman"/>
          <w:sz w:val="24"/>
          <w:szCs w:val="24"/>
        </w:rPr>
        <w:t>debt to equity</w:t>
      </w:r>
      <w:proofErr w:type="gramEnd"/>
      <w:r>
        <w:rPr>
          <w:rFonts w:ascii="Times New Roman" w:hAnsi="Times New Roman" w:cs="Times New Roman"/>
          <w:sz w:val="24"/>
          <w:szCs w:val="24"/>
        </w:rPr>
        <w:t xml:space="preserve"> ratio was 0. 91 in 2021 and it increased to 1. 15 in 2023 meaning that the company relied more on debts to finance its operations. As for the ratio of leveraging, it means that it is possible to improve the returns, but at the same time, the financial risk increases. Amazon has to be very cautious when it comes to its debt because high levels of debt can be very damaging to its financial health especially in a period of economic downturn. </w:t>
      </w:r>
    </w:p>
    <w:p w14:paraId="1D68DD8C" w14:textId="2A51F5F0"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Amazon’s financial ratios show that it has had a good past in terms of profitability and efficiency but has deteriorated in the recent past in terms of margins and leverage. Reducing cost, enhancing sources of fund, and managing assets and liabilities effectively will be key to maintaining long-term profitability and stability.</w:t>
      </w:r>
    </w:p>
    <w:p w14:paraId="5B07F8D5" w14:textId="77777777" w:rsidR="00910C01" w:rsidRDefault="00000000">
      <w:pPr>
        <w:pStyle w:val="Heading1"/>
        <w:spacing w:line="360" w:lineRule="auto"/>
        <w:jc w:val="both"/>
        <w:rPr>
          <w:rFonts w:ascii="Times New Roman" w:hAnsi="Times New Roman"/>
          <w:b/>
          <w:bCs/>
          <w:color w:val="auto"/>
          <w:sz w:val="28"/>
          <w:szCs w:val="28"/>
        </w:rPr>
      </w:pPr>
      <w:bookmarkStart w:id="3" w:name="_Toc174091792"/>
      <w:r>
        <w:rPr>
          <w:rFonts w:ascii="Times New Roman" w:hAnsi="Times New Roman"/>
          <w:b/>
          <w:bCs/>
          <w:color w:val="auto"/>
          <w:sz w:val="28"/>
          <w:szCs w:val="28"/>
        </w:rPr>
        <w:t xml:space="preserve">Comparative Financial Analysis: </w:t>
      </w:r>
    </w:p>
    <w:p w14:paraId="5BE1ED53" w14:textId="77777777" w:rsidR="00910C01" w:rsidRDefault="00000000">
      <w:pPr>
        <w:pStyle w:val="Heading1"/>
        <w:spacing w:line="360" w:lineRule="auto"/>
        <w:jc w:val="both"/>
        <w:rPr>
          <w:rFonts w:ascii="Times New Roman" w:hAnsi="Times New Roman"/>
          <w:b/>
          <w:bCs/>
          <w:color w:val="auto"/>
          <w:sz w:val="24"/>
          <w:szCs w:val="24"/>
        </w:rPr>
      </w:pPr>
      <w:r>
        <w:rPr>
          <w:rFonts w:ascii="Times New Roman" w:hAnsi="Times New Roman"/>
          <w:b/>
          <w:bCs/>
          <w:color w:val="auto"/>
          <w:sz w:val="24"/>
          <w:szCs w:val="24"/>
        </w:rPr>
        <w:t>Amazon and Major Competitors</w:t>
      </w:r>
      <w:bookmarkEnd w:id="3"/>
      <w:r>
        <w:rPr>
          <w:rFonts w:ascii="Times New Roman" w:hAnsi="Times New Roman"/>
          <w:b/>
          <w:bCs/>
          <w:color w:val="auto"/>
          <w:sz w:val="24"/>
          <w:szCs w:val="24"/>
        </w:rPr>
        <w:t>:</w:t>
      </w:r>
    </w:p>
    <w:p w14:paraId="055A8337"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Amazon faces stiff competition from other firms such as Walmart, Alibaba, and Microsoft in the case of AWS. This comparison uses financial ratios for the past five years (2019-2023) to give a clear view of Amazon’s financial position in comparison to the competitors.</w:t>
      </w:r>
    </w:p>
    <w:p w14:paraId="7C688455"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Liquidity Ratios</w:t>
      </w:r>
    </w:p>
    <w:p w14:paraId="50A9A94A"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Current Ratio:</w:t>
      </w:r>
    </w:p>
    <w:p w14:paraId="17D051D4" w14:textId="77777777" w:rsidR="00910C01" w:rsidRDefault="00000000" w:rsidP="0002771E">
      <w:pPr>
        <w:numPr>
          <w:ilvl w:val="0"/>
          <w:numId w:val="59"/>
        </w:numPr>
        <w:spacing w:line="360" w:lineRule="auto"/>
        <w:jc w:val="both"/>
        <w:rPr>
          <w:rFonts w:ascii="Times New Roman" w:hAnsi="Times New Roman" w:cs="Times New Roman"/>
          <w:sz w:val="24"/>
          <w:szCs w:val="24"/>
        </w:rPr>
      </w:pPr>
      <w:r>
        <w:rPr>
          <w:rFonts w:ascii="Times New Roman" w:hAnsi="Times New Roman" w:cs="Times New Roman"/>
          <w:sz w:val="24"/>
          <w:szCs w:val="24"/>
        </w:rPr>
        <w:t>Amazon: 1.10 (2019), 1.25 (2020), 1.14 (2021), 1.10 (2022), 1.03 (2023)</w:t>
      </w:r>
    </w:p>
    <w:p w14:paraId="2DDFF29B" w14:textId="77777777" w:rsidR="00910C01" w:rsidRDefault="00000000" w:rsidP="0002771E">
      <w:pPr>
        <w:numPr>
          <w:ilvl w:val="0"/>
          <w:numId w:val="59"/>
        </w:numPr>
        <w:spacing w:line="360" w:lineRule="auto"/>
        <w:jc w:val="both"/>
        <w:rPr>
          <w:rFonts w:ascii="Times New Roman" w:hAnsi="Times New Roman" w:cs="Times New Roman"/>
          <w:sz w:val="24"/>
          <w:szCs w:val="24"/>
        </w:rPr>
      </w:pPr>
      <w:r>
        <w:rPr>
          <w:rFonts w:ascii="Times New Roman" w:hAnsi="Times New Roman" w:cs="Times New Roman"/>
          <w:sz w:val="24"/>
          <w:szCs w:val="24"/>
        </w:rPr>
        <w:t>Walmart: 0.81 (2019), 0.79 (2020), 0.86 (2021), 0.93 (2022), 0.95 (2023)</w:t>
      </w:r>
    </w:p>
    <w:p w14:paraId="036AEDD1" w14:textId="77777777" w:rsidR="00910C01" w:rsidRDefault="00000000" w:rsidP="0002771E">
      <w:pPr>
        <w:numPr>
          <w:ilvl w:val="0"/>
          <w:numId w:val="59"/>
        </w:numPr>
        <w:spacing w:line="360" w:lineRule="auto"/>
        <w:jc w:val="both"/>
        <w:rPr>
          <w:rFonts w:ascii="Times New Roman" w:hAnsi="Times New Roman" w:cs="Times New Roman"/>
          <w:sz w:val="24"/>
          <w:szCs w:val="24"/>
        </w:rPr>
      </w:pPr>
      <w:r>
        <w:rPr>
          <w:rFonts w:ascii="Times New Roman" w:hAnsi="Times New Roman" w:cs="Times New Roman"/>
          <w:sz w:val="24"/>
          <w:szCs w:val="24"/>
        </w:rPr>
        <w:t>Alibaba: 1.39 (2019), 1.45 (2020), 1.48 (2021), 1.56 (2022), 1.61 (2023)</w:t>
      </w:r>
    </w:p>
    <w:p w14:paraId="383225AC" w14:textId="0A0B725A"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Comparing the current ratio, Amazon has a better position than Walmart but not as good as Alibaba in terms of short-term liquidity management. The current ratio of Alibaba is also high, which indicates a good capacity of meeting the short-term obligations with the existing assets.</w:t>
      </w:r>
    </w:p>
    <w:p w14:paraId="76DBFA8B" w14:textId="77777777" w:rsidR="00910C01" w:rsidRPr="0002771E" w:rsidRDefault="00000000">
      <w:pPr>
        <w:spacing w:line="360" w:lineRule="auto"/>
        <w:jc w:val="both"/>
        <w:rPr>
          <w:rFonts w:ascii="Times New Roman" w:hAnsi="Times New Roman" w:cs="Times New Roman"/>
          <w:b/>
          <w:bCs/>
          <w:sz w:val="24"/>
          <w:szCs w:val="24"/>
        </w:rPr>
      </w:pPr>
      <w:r w:rsidRPr="0002771E">
        <w:rPr>
          <w:rFonts w:ascii="Times New Roman" w:hAnsi="Times New Roman" w:cs="Times New Roman"/>
          <w:b/>
          <w:bCs/>
          <w:sz w:val="24"/>
          <w:szCs w:val="24"/>
        </w:rPr>
        <w:t>Quick Ratio:</w:t>
      </w:r>
    </w:p>
    <w:p w14:paraId="70279623" w14:textId="77777777" w:rsidR="00910C01" w:rsidRDefault="00000000" w:rsidP="0002771E">
      <w:pPr>
        <w:numPr>
          <w:ilvl w:val="0"/>
          <w:numId w:val="60"/>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Amazon: 0.86 (2019), 0.98 (2020), 0.90 (2021), 0.87 (2022), 0.82 (2023)</w:t>
      </w:r>
    </w:p>
    <w:p w14:paraId="39B7AF6E" w14:textId="77777777" w:rsidR="00910C01" w:rsidRDefault="00000000" w:rsidP="0002771E">
      <w:pPr>
        <w:numPr>
          <w:ilvl w:val="0"/>
          <w:numId w:val="60"/>
        </w:numPr>
        <w:spacing w:line="360" w:lineRule="auto"/>
        <w:jc w:val="both"/>
        <w:rPr>
          <w:rFonts w:ascii="Times New Roman" w:hAnsi="Times New Roman" w:cs="Times New Roman"/>
          <w:sz w:val="24"/>
          <w:szCs w:val="24"/>
        </w:rPr>
      </w:pPr>
      <w:r>
        <w:rPr>
          <w:rFonts w:ascii="Times New Roman" w:hAnsi="Times New Roman" w:cs="Times New Roman"/>
          <w:sz w:val="24"/>
          <w:szCs w:val="24"/>
        </w:rPr>
        <w:t>Walmart: 0.19 (2019), 0.21 (2020), 0.23 (2021), 0.25 (2022), 0.26 (2023)</w:t>
      </w:r>
    </w:p>
    <w:p w14:paraId="56D1EC65" w14:textId="77777777" w:rsidR="00910C01" w:rsidRDefault="00000000" w:rsidP="0002771E">
      <w:pPr>
        <w:numPr>
          <w:ilvl w:val="0"/>
          <w:numId w:val="60"/>
        </w:numPr>
        <w:spacing w:line="360" w:lineRule="auto"/>
        <w:jc w:val="both"/>
        <w:rPr>
          <w:rFonts w:ascii="Times New Roman" w:hAnsi="Times New Roman" w:cs="Times New Roman"/>
          <w:sz w:val="24"/>
          <w:szCs w:val="24"/>
        </w:rPr>
      </w:pPr>
      <w:r>
        <w:rPr>
          <w:rFonts w:ascii="Times New Roman" w:hAnsi="Times New Roman" w:cs="Times New Roman"/>
          <w:sz w:val="24"/>
          <w:szCs w:val="24"/>
        </w:rPr>
        <w:t>Alibaba: 1.18 (2019), 1.22 (2020), 1.26 (2021), 1.30 (2022), 1.35 (2023)</w:t>
      </w:r>
    </w:p>
    <w:p w14:paraId="4E66CBF0" w14:textId="2091B8E4"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Amazon’s quick ratio is higher than Walmart’s which means it has better immediate liquidity but lower than Alibaba’s which means Alibaba has better ability to pay its </w:t>
      </w:r>
      <w:proofErr w:type="gramStart"/>
      <w:r>
        <w:rPr>
          <w:rFonts w:ascii="Times New Roman" w:hAnsi="Times New Roman" w:cs="Times New Roman"/>
          <w:sz w:val="24"/>
          <w:szCs w:val="24"/>
        </w:rPr>
        <w:t>short term</w:t>
      </w:r>
      <w:proofErr w:type="gramEnd"/>
      <w:r>
        <w:rPr>
          <w:rFonts w:ascii="Times New Roman" w:hAnsi="Times New Roman" w:cs="Times New Roman"/>
          <w:sz w:val="24"/>
          <w:szCs w:val="24"/>
        </w:rPr>
        <w:t xml:space="preserve"> liabilities without selling inventory.</w:t>
      </w:r>
    </w:p>
    <w:p w14:paraId="58AA8995"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Profitability Ratios</w:t>
      </w:r>
    </w:p>
    <w:p w14:paraId="216CF957"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Gross Profit Margin:</w:t>
      </w:r>
    </w:p>
    <w:p w14:paraId="6CA63AC5" w14:textId="77777777" w:rsidR="00910C01" w:rsidRDefault="00000000" w:rsidP="0002771E">
      <w:pPr>
        <w:numPr>
          <w:ilvl w:val="0"/>
          <w:numId w:val="61"/>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Amazon:</w:t>
      </w:r>
      <w:r>
        <w:rPr>
          <w:rFonts w:ascii="Times New Roman" w:hAnsi="Times New Roman" w:cs="Times New Roman"/>
          <w:sz w:val="24"/>
          <w:szCs w:val="24"/>
        </w:rPr>
        <w:t xml:space="preserve"> 40.2% (2019), 40.5% (2020), 42.3% (2021), 43.8% (2022), 42.0% (2023)</w:t>
      </w:r>
    </w:p>
    <w:p w14:paraId="4029924D" w14:textId="77777777" w:rsidR="00910C01" w:rsidRDefault="00000000" w:rsidP="0002771E">
      <w:pPr>
        <w:numPr>
          <w:ilvl w:val="0"/>
          <w:numId w:val="61"/>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Walmart:</w:t>
      </w:r>
      <w:r>
        <w:rPr>
          <w:rFonts w:ascii="Times New Roman" w:hAnsi="Times New Roman" w:cs="Times New Roman"/>
          <w:sz w:val="24"/>
          <w:szCs w:val="24"/>
        </w:rPr>
        <w:t xml:space="preserve"> 24.1% (2019), 24.3% (2020), 24.8% (2021), 25.1% (2022), 25.3% (2023)</w:t>
      </w:r>
    </w:p>
    <w:p w14:paraId="15DE5BD5" w14:textId="77777777" w:rsidR="00910C01" w:rsidRDefault="00000000" w:rsidP="0002771E">
      <w:pPr>
        <w:numPr>
          <w:ilvl w:val="0"/>
          <w:numId w:val="61"/>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Alibaba:</w:t>
      </w:r>
      <w:r>
        <w:rPr>
          <w:rFonts w:ascii="Times New Roman" w:hAnsi="Times New Roman" w:cs="Times New Roman"/>
          <w:sz w:val="24"/>
          <w:szCs w:val="24"/>
        </w:rPr>
        <w:t xml:space="preserve"> 45.0% (2019), 45.7% (2020), 47.6% (2021), 47.3% (2022), 46.5% (2023)</w:t>
      </w:r>
    </w:p>
    <w:p w14:paraId="0E75B547" w14:textId="01705F21"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Amazon’s gross profit margin has been increasing over the years but is still below Alibaba’s level, which suggests that Alibaba is more cost-efficient. Walmart’s lower margins are the result of its cost leadership retail strategy.</w:t>
      </w:r>
    </w:p>
    <w:p w14:paraId="54B80F6D" w14:textId="77777777" w:rsidR="00910C01" w:rsidRPr="0002771E" w:rsidRDefault="00000000">
      <w:pPr>
        <w:spacing w:line="360" w:lineRule="auto"/>
        <w:jc w:val="both"/>
        <w:rPr>
          <w:rFonts w:ascii="Times New Roman" w:hAnsi="Times New Roman" w:cs="Times New Roman"/>
          <w:b/>
          <w:bCs/>
          <w:sz w:val="24"/>
          <w:szCs w:val="24"/>
        </w:rPr>
      </w:pPr>
      <w:r w:rsidRPr="0002771E">
        <w:rPr>
          <w:rFonts w:ascii="Times New Roman" w:hAnsi="Times New Roman" w:cs="Times New Roman"/>
          <w:b/>
          <w:bCs/>
          <w:sz w:val="24"/>
          <w:szCs w:val="24"/>
        </w:rPr>
        <w:t>Net Profit Margin:</w:t>
      </w:r>
    </w:p>
    <w:p w14:paraId="3434B000" w14:textId="77777777" w:rsidR="00910C01" w:rsidRDefault="00000000" w:rsidP="0002771E">
      <w:pPr>
        <w:numPr>
          <w:ilvl w:val="0"/>
          <w:numId w:val="62"/>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Amazon</w:t>
      </w:r>
      <w:r>
        <w:rPr>
          <w:rFonts w:ascii="Times New Roman" w:hAnsi="Times New Roman" w:cs="Times New Roman"/>
          <w:sz w:val="24"/>
          <w:szCs w:val="24"/>
        </w:rPr>
        <w:t>: 4.1% (2019), 5.5% (2020), 7.1% (2021), 2.4% (2022), 1.8% (2023)</w:t>
      </w:r>
    </w:p>
    <w:p w14:paraId="6450BCF3" w14:textId="77777777" w:rsidR="00910C01" w:rsidRDefault="00000000" w:rsidP="0002771E">
      <w:pPr>
        <w:numPr>
          <w:ilvl w:val="0"/>
          <w:numId w:val="62"/>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Walmart:</w:t>
      </w:r>
      <w:r>
        <w:rPr>
          <w:rFonts w:ascii="Times New Roman" w:hAnsi="Times New Roman" w:cs="Times New Roman"/>
          <w:sz w:val="24"/>
          <w:szCs w:val="24"/>
        </w:rPr>
        <w:t xml:space="preserve"> 2.8% (2019), 2.9% (2020), 3.1% (2021), 3.2% (2022), 3.3% (2023)</w:t>
      </w:r>
    </w:p>
    <w:p w14:paraId="086DA506" w14:textId="77777777" w:rsidR="00910C01" w:rsidRDefault="00000000" w:rsidP="0002771E">
      <w:pPr>
        <w:numPr>
          <w:ilvl w:val="0"/>
          <w:numId w:val="62"/>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Alibaba:</w:t>
      </w:r>
      <w:r>
        <w:rPr>
          <w:rFonts w:ascii="Times New Roman" w:hAnsi="Times New Roman" w:cs="Times New Roman"/>
          <w:sz w:val="24"/>
          <w:szCs w:val="24"/>
        </w:rPr>
        <w:t xml:space="preserve"> 25.8% (2019), 26.3% (2020), 23.0% (2021), 20.4% (2022), 18.9% (2023)</w:t>
      </w:r>
    </w:p>
    <w:p w14:paraId="71609C7C" w14:textId="09548F89"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Amazon’s net profit margin was at its highest in 2021 but declined sharply in the subsequent periods, suggesting increasing cost. Walmart has maintained a stable margin of cost while Alibaba has a higher margin of cost for its e-commerce and cloud services though it has reduced in the recent past.</w:t>
      </w:r>
    </w:p>
    <w:p w14:paraId="226041ED" w14:textId="77777777" w:rsidR="00910C01" w:rsidRPr="0002771E" w:rsidRDefault="00000000">
      <w:pPr>
        <w:spacing w:line="360" w:lineRule="auto"/>
        <w:jc w:val="both"/>
        <w:rPr>
          <w:rFonts w:ascii="Times New Roman" w:hAnsi="Times New Roman" w:cs="Times New Roman"/>
          <w:b/>
          <w:bCs/>
          <w:sz w:val="24"/>
          <w:szCs w:val="24"/>
        </w:rPr>
      </w:pPr>
      <w:r w:rsidRPr="0002771E">
        <w:rPr>
          <w:rFonts w:ascii="Times New Roman" w:hAnsi="Times New Roman" w:cs="Times New Roman"/>
          <w:b/>
          <w:bCs/>
          <w:sz w:val="24"/>
          <w:szCs w:val="24"/>
        </w:rPr>
        <w:t>Return on Equity (ROE):</w:t>
      </w:r>
    </w:p>
    <w:p w14:paraId="61CDE4C2" w14:textId="77777777" w:rsidR="00910C01" w:rsidRDefault="00000000" w:rsidP="0002771E">
      <w:pPr>
        <w:numPr>
          <w:ilvl w:val="0"/>
          <w:numId w:val="63"/>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Amazon</w:t>
      </w:r>
      <w:r>
        <w:rPr>
          <w:rFonts w:ascii="Times New Roman" w:hAnsi="Times New Roman" w:cs="Times New Roman"/>
          <w:sz w:val="24"/>
          <w:szCs w:val="24"/>
        </w:rPr>
        <w:t>: 18.8% (2019), 24.9% (2020), 27.4% (2021), 10.5% (2022), 8.3% (2023)</w:t>
      </w:r>
    </w:p>
    <w:p w14:paraId="32CDC124" w14:textId="77777777" w:rsidR="00910C01" w:rsidRDefault="00000000" w:rsidP="0002771E">
      <w:pPr>
        <w:numPr>
          <w:ilvl w:val="0"/>
          <w:numId w:val="63"/>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lastRenderedPageBreak/>
        <w:t>Walmart</w:t>
      </w:r>
      <w:r>
        <w:rPr>
          <w:rFonts w:ascii="Times New Roman" w:hAnsi="Times New Roman" w:cs="Times New Roman"/>
          <w:sz w:val="24"/>
          <w:szCs w:val="24"/>
        </w:rPr>
        <w:t>: 19.4% (2019), 19.8% (2020), 20.4% (2021), 20.8% (2022), 21.0% (2023)</w:t>
      </w:r>
    </w:p>
    <w:p w14:paraId="1A7753AD" w14:textId="77777777" w:rsidR="00910C01" w:rsidRDefault="00000000" w:rsidP="0002771E">
      <w:pPr>
        <w:numPr>
          <w:ilvl w:val="0"/>
          <w:numId w:val="63"/>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Alibaba</w:t>
      </w:r>
      <w:r>
        <w:rPr>
          <w:rFonts w:ascii="Times New Roman" w:hAnsi="Times New Roman" w:cs="Times New Roman"/>
          <w:sz w:val="24"/>
          <w:szCs w:val="24"/>
        </w:rPr>
        <w:t>: 23.7% (2019), 24.2% (2020), 20.9% (2021), 18.1% (2022), 16.3% (2023)</w:t>
      </w:r>
    </w:p>
    <w:p w14:paraId="6ED1E644"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Amazon’s ROE was highest in 2021, and its decline is evident in 2022, as is the case with the net profit margin. Walmart has a relatively stable and a slight increase in the ROE indicating that the company has been profitable. Alibaba’s ROE has been on the decline and this shows that the company is struggling to sustain high profitability </w:t>
      </w:r>
      <w:proofErr w:type="gramStart"/>
      <w:r>
        <w:rPr>
          <w:rFonts w:ascii="Times New Roman" w:hAnsi="Times New Roman" w:cs="Times New Roman"/>
          <w:sz w:val="24"/>
          <w:szCs w:val="24"/>
        </w:rPr>
        <w:t>levels..</w:t>
      </w:r>
      <w:proofErr w:type="gramEnd"/>
    </w:p>
    <w:p w14:paraId="057BB76B"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Efficiency Ratios</w:t>
      </w:r>
    </w:p>
    <w:p w14:paraId="763828F5"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Inventory Turnover:</w:t>
      </w:r>
    </w:p>
    <w:p w14:paraId="63883BD5" w14:textId="77777777" w:rsidR="00910C01" w:rsidRDefault="00000000">
      <w:pPr>
        <w:numPr>
          <w:ilvl w:val="0"/>
          <w:numId w:val="56"/>
        </w:numPr>
        <w:spacing w:line="360" w:lineRule="auto"/>
        <w:jc w:val="both"/>
        <w:rPr>
          <w:rFonts w:ascii="Times New Roman" w:hAnsi="Times New Roman" w:cs="Times New Roman"/>
          <w:sz w:val="24"/>
          <w:szCs w:val="24"/>
        </w:rPr>
      </w:pPr>
      <w:r>
        <w:rPr>
          <w:rFonts w:ascii="Times New Roman" w:hAnsi="Times New Roman" w:cs="Times New Roman"/>
          <w:sz w:val="24"/>
          <w:szCs w:val="24"/>
        </w:rPr>
        <w:t>Amazon: 7.8 (2019), 8.1 (2020), 8.6 (2021), 8.3 (2022), 7.9 (2023)</w:t>
      </w:r>
    </w:p>
    <w:p w14:paraId="7C6C4BE4" w14:textId="77777777" w:rsidR="00910C01" w:rsidRDefault="00000000">
      <w:pPr>
        <w:numPr>
          <w:ilvl w:val="0"/>
          <w:numId w:val="56"/>
        </w:numPr>
        <w:spacing w:line="360" w:lineRule="auto"/>
        <w:jc w:val="both"/>
        <w:rPr>
          <w:rFonts w:ascii="Times New Roman" w:hAnsi="Times New Roman" w:cs="Times New Roman"/>
          <w:sz w:val="24"/>
          <w:szCs w:val="24"/>
        </w:rPr>
      </w:pPr>
      <w:r>
        <w:rPr>
          <w:rFonts w:ascii="Times New Roman" w:hAnsi="Times New Roman" w:cs="Times New Roman"/>
          <w:sz w:val="24"/>
          <w:szCs w:val="24"/>
        </w:rPr>
        <w:t>Walmart: 8.7 (2019), 8.8 (2020), 8.9 (2021), 8.6 (2022), 8.5 (2023)</w:t>
      </w:r>
    </w:p>
    <w:p w14:paraId="61A87126" w14:textId="77777777" w:rsidR="00910C01" w:rsidRDefault="00000000">
      <w:pPr>
        <w:numPr>
          <w:ilvl w:val="0"/>
          <w:numId w:val="56"/>
        </w:numPr>
        <w:spacing w:line="360" w:lineRule="auto"/>
        <w:jc w:val="both"/>
        <w:rPr>
          <w:rFonts w:ascii="Times New Roman" w:hAnsi="Times New Roman" w:cs="Times New Roman"/>
          <w:sz w:val="24"/>
          <w:szCs w:val="24"/>
        </w:rPr>
      </w:pPr>
      <w:r>
        <w:rPr>
          <w:rFonts w:ascii="Times New Roman" w:hAnsi="Times New Roman" w:cs="Times New Roman"/>
          <w:sz w:val="24"/>
          <w:szCs w:val="24"/>
        </w:rPr>
        <w:t>Alibaba: 5.3 (2019), 5.6 (2020), 5.8 (2021), 6.0 (2022), 5.9 (2023)</w:t>
      </w:r>
    </w:p>
    <w:p w14:paraId="16099A72" w14:textId="08184354"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inventory turnover ratio of Amazon is 5. 03 which is almost equal to Walmart’s inventory turnover ratio of 4. 98, which shows proper management of inventory. Alibaba has a lower turnover because of the difference in the business model and longer inventory holding period.</w:t>
      </w:r>
    </w:p>
    <w:p w14:paraId="0976C083"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Asset Turnover:</w:t>
      </w:r>
    </w:p>
    <w:p w14:paraId="2BC424CD" w14:textId="77777777" w:rsidR="00910C01" w:rsidRDefault="00000000">
      <w:pPr>
        <w:numPr>
          <w:ilvl w:val="0"/>
          <w:numId w:val="57"/>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Amazon:</w:t>
      </w:r>
      <w:r>
        <w:rPr>
          <w:rFonts w:ascii="Times New Roman" w:hAnsi="Times New Roman" w:cs="Times New Roman"/>
          <w:sz w:val="24"/>
          <w:szCs w:val="24"/>
        </w:rPr>
        <w:t xml:space="preserve"> 1.43 (2019), 1.49 (2020), 1.55 (2021), 1.47 (2022), 1.38 (2023)</w:t>
      </w:r>
    </w:p>
    <w:p w14:paraId="1EC4A3B1" w14:textId="77777777" w:rsidR="00910C01" w:rsidRDefault="00000000">
      <w:pPr>
        <w:numPr>
          <w:ilvl w:val="0"/>
          <w:numId w:val="57"/>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Walmart:</w:t>
      </w:r>
      <w:r>
        <w:rPr>
          <w:rFonts w:ascii="Times New Roman" w:hAnsi="Times New Roman" w:cs="Times New Roman"/>
          <w:sz w:val="24"/>
          <w:szCs w:val="24"/>
        </w:rPr>
        <w:t xml:space="preserve"> 2.30 (2019), 2.27 (2020), 2.21 (2021), 2.18 (2022), 2.15 (2023)</w:t>
      </w:r>
    </w:p>
    <w:p w14:paraId="78C88142" w14:textId="77777777" w:rsidR="00910C01" w:rsidRDefault="00000000">
      <w:pPr>
        <w:numPr>
          <w:ilvl w:val="0"/>
          <w:numId w:val="57"/>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Alibaba</w:t>
      </w:r>
      <w:r>
        <w:rPr>
          <w:rFonts w:ascii="Times New Roman" w:hAnsi="Times New Roman" w:cs="Times New Roman"/>
          <w:sz w:val="24"/>
          <w:szCs w:val="24"/>
        </w:rPr>
        <w:t>: 0.67 (2019), 0.69 (2020), 0.72 (2021), 0.74 (2022), 0.75 (2023)</w:t>
      </w:r>
    </w:p>
    <w:p w14:paraId="401C04C6" w14:textId="0DF0017D" w:rsidR="0076193E" w:rsidRDefault="0076193E" w:rsidP="0076193E">
      <w:pPr>
        <w:spacing w:line="360" w:lineRule="auto"/>
        <w:ind w:left="720"/>
        <w:jc w:val="both"/>
        <w:rPr>
          <w:rFonts w:ascii="Times New Roman" w:hAnsi="Times New Roman" w:cs="Times New Roman"/>
          <w:sz w:val="24"/>
          <w:szCs w:val="24"/>
        </w:rPr>
      </w:pPr>
      <w:r>
        <w:rPr>
          <w:noProof/>
        </w:rPr>
        <w:lastRenderedPageBreak/>
        <w:drawing>
          <wp:inline distT="0" distB="0" distL="0" distR="0" wp14:anchorId="4B75DEEB" wp14:editId="03F5B44B">
            <wp:extent cx="5210175" cy="27432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F13B783"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higher asset turnover ratio of Walmart means that it is more efficient in using its assets in generating sales than Amazon. This is due to Alibaba’s lower asset turnover because of the capital intensity of its e-commerce and cloud services </w:t>
      </w:r>
      <w:proofErr w:type="gramStart"/>
      <w:r>
        <w:rPr>
          <w:rFonts w:ascii="Times New Roman" w:hAnsi="Times New Roman" w:cs="Times New Roman"/>
          <w:sz w:val="24"/>
          <w:szCs w:val="24"/>
        </w:rPr>
        <w:t>business..</w:t>
      </w:r>
      <w:proofErr w:type="gramEnd"/>
    </w:p>
    <w:p w14:paraId="72740437"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Leverage Ratios:</w:t>
      </w:r>
    </w:p>
    <w:p w14:paraId="67D293D6"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Debt to Equity Ratio:</w:t>
      </w:r>
    </w:p>
    <w:p w14:paraId="147E5B47" w14:textId="77777777" w:rsidR="00910C01" w:rsidRDefault="00000000">
      <w:pPr>
        <w:numPr>
          <w:ilvl w:val="0"/>
          <w:numId w:val="55"/>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Amazon:</w:t>
      </w:r>
      <w:r>
        <w:rPr>
          <w:rFonts w:ascii="Times New Roman" w:hAnsi="Times New Roman" w:cs="Times New Roman"/>
          <w:sz w:val="24"/>
          <w:szCs w:val="24"/>
        </w:rPr>
        <w:t xml:space="preserve"> 1.07 (2019), 0.98 (2020), 0.91 (2021), 1.02 (2022), 1.15 (2023)</w:t>
      </w:r>
    </w:p>
    <w:p w14:paraId="4E8060CC" w14:textId="77777777" w:rsidR="00910C01" w:rsidRDefault="00000000">
      <w:pPr>
        <w:numPr>
          <w:ilvl w:val="0"/>
          <w:numId w:val="55"/>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Walmart:</w:t>
      </w:r>
      <w:r>
        <w:rPr>
          <w:rFonts w:ascii="Times New Roman" w:hAnsi="Times New Roman" w:cs="Times New Roman"/>
          <w:sz w:val="24"/>
          <w:szCs w:val="24"/>
        </w:rPr>
        <w:t xml:space="preserve"> 0.79 (2019), 0.78 (2020), 0.77 (2021), 0.76 (2022), 0.75 (2023)</w:t>
      </w:r>
    </w:p>
    <w:p w14:paraId="2E0E602E" w14:textId="77777777" w:rsidR="00910C01" w:rsidRDefault="00000000">
      <w:pPr>
        <w:numPr>
          <w:ilvl w:val="0"/>
          <w:numId w:val="55"/>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Alibaba:</w:t>
      </w:r>
      <w:r>
        <w:rPr>
          <w:rFonts w:ascii="Times New Roman" w:hAnsi="Times New Roman" w:cs="Times New Roman"/>
          <w:sz w:val="24"/>
          <w:szCs w:val="24"/>
        </w:rPr>
        <w:t xml:space="preserve"> 0.12 (2019), 0.10 (2020), 0.11 (2021), 0.13 (2022), 0.14 (2023)</w:t>
      </w:r>
    </w:p>
    <w:p w14:paraId="072243AD" w14:textId="488AE783" w:rsidR="0076193E" w:rsidRDefault="0076193E" w:rsidP="0076193E">
      <w:pPr>
        <w:spacing w:line="360" w:lineRule="auto"/>
        <w:ind w:left="720"/>
        <w:jc w:val="both"/>
        <w:rPr>
          <w:rFonts w:ascii="Times New Roman" w:hAnsi="Times New Roman" w:cs="Times New Roman"/>
          <w:sz w:val="24"/>
          <w:szCs w:val="24"/>
        </w:rPr>
      </w:pPr>
      <w:r>
        <w:rPr>
          <w:noProof/>
        </w:rPr>
        <w:drawing>
          <wp:inline distT="0" distB="0" distL="0" distR="0" wp14:anchorId="13E0781D" wp14:editId="3B2857B6">
            <wp:extent cx="5924550" cy="2438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88C9807"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Another financial analysis showing that Amazon is experiencing a higher level of risk is the leverage which has been on the rise as shown by the </w:t>
      </w:r>
      <w:proofErr w:type="gramStart"/>
      <w:r>
        <w:rPr>
          <w:rFonts w:ascii="Times New Roman" w:hAnsi="Times New Roman" w:cs="Times New Roman"/>
          <w:sz w:val="24"/>
          <w:szCs w:val="24"/>
        </w:rPr>
        <w:t>debt to equity</w:t>
      </w:r>
      <w:proofErr w:type="gramEnd"/>
      <w:r>
        <w:rPr>
          <w:rFonts w:ascii="Times New Roman" w:hAnsi="Times New Roman" w:cs="Times New Roman"/>
          <w:sz w:val="24"/>
          <w:szCs w:val="24"/>
        </w:rPr>
        <w:t xml:space="preserve"> ratio. Walmart’s stable and lower ratio indicates that the firm has conservative financial policies. Alibaba has a very low value, which means that it has little use of debt funding, which is a major advantage in terms of financial health. </w:t>
      </w:r>
    </w:p>
    <w:p w14:paraId="44B14425" w14:textId="2CFE8825"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Comparing Amazon’s financial ratios with Walmart and Alibaba reveals both strengths and areas needing improvement</w:t>
      </w:r>
      <w:r w:rsidR="00276D6F">
        <w:rPr>
          <w:rFonts w:ascii="Times New Roman" w:hAnsi="Times New Roman" w:cs="Times New Roman"/>
          <w:sz w:val="24"/>
          <w:szCs w:val="24"/>
        </w:rPr>
        <w:t xml:space="preserve"> and Comparing</w:t>
      </w:r>
      <w:r>
        <w:rPr>
          <w:rFonts w:ascii="Times New Roman" w:hAnsi="Times New Roman" w:cs="Times New Roman"/>
          <w:sz w:val="24"/>
          <w:szCs w:val="24"/>
        </w:rPr>
        <w:t xml:space="preserve"> Amazon’s financial ratios with Walmart and Alibaba reveals both strengths and areas needing improvement: </w:t>
      </w:r>
    </w:p>
    <w:p w14:paraId="5F90262B" w14:textId="0132A1D7" w:rsidR="00910C01" w:rsidRDefault="00000000" w:rsidP="0002771E">
      <w:pPr>
        <w:numPr>
          <w:ilvl w:val="0"/>
          <w:numId w:val="64"/>
        </w:numPr>
        <w:spacing w:line="360" w:lineRule="auto"/>
        <w:jc w:val="both"/>
        <w:rPr>
          <w:rFonts w:ascii="Times New Roman" w:hAnsi="Times New Roman" w:cs="Times New Roman"/>
          <w:sz w:val="24"/>
          <w:szCs w:val="24"/>
        </w:rPr>
      </w:pPr>
      <w:r w:rsidRPr="0002771E">
        <w:rPr>
          <w:rFonts w:ascii="Times New Roman" w:hAnsi="Times New Roman" w:cs="Times New Roman"/>
          <w:b/>
          <w:bCs/>
          <w:sz w:val="24"/>
          <w:szCs w:val="24"/>
        </w:rPr>
        <w:t>Liquidity:</w:t>
      </w:r>
      <w:r>
        <w:rPr>
          <w:rFonts w:ascii="Times New Roman" w:hAnsi="Times New Roman" w:cs="Times New Roman"/>
          <w:sz w:val="24"/>
          <w:szCs w:val="24"/>
        </w:rPr>
        <w:t xml:space="preserve"> Liquidity is better in Amazon than Walmart but not as good as </w:t>
      </w:r>
      <w:proofErr w:type="spellStart"/>
      <w:r>
        <w:rPr>
          <w:rFonts w:ascii="Times New Roman" w:hAnsi="Times New Roman" w:cs="Times New Roman"/>
          <w:sz w:val="24"/>
          <w:szCs w:val="24"/>
        </w:rPr>
        <w:t>Alibaba’s.ratios</w:t>
      </w:r>
      <w:proofErr w:type="spellEnd"/>
      <w:r>
        <w:rPr>
          <w:rFonts w:ascii="Times New Roman" w:hAnsi="Times New Roman" w:cs="Times New Roman"/>
          <w:sz w:val="24"/>
          <w:szCs w:val="24"/>
        </w:rPr>
        <w:t>.</w:t>
      </w:r>
    </w:p>
    <w:p w14:paraId="38151A96" w14:textId="77777777" w:rsidR="00910C01" w:rsidRDefault="00000000" w:rsidP="0002771E">
      <w:pPr>
        <w:pStyle w:val="NoSpacing"/>
        <w:numPr>
          <w:ilvl w:val="0"/>
          <w:numId w:val="64"/>
        </w:numPr>
        <w:spacing w:line="360" w:lineRule="auto"/>
        <w:rPr>
          <w:rFonts w:ascii="Times New Roman" w:hAnsi="Times New Roman" w:cs="Times New Roman"/>
          <w:sz w:val="24"/>
          <w:szCs w:val="24"/>
        </w:rPr>
      </w:pPr>
      <w:r>
        <w:rPr>
          <w:rFonts w:ascii="Times New Roman" w:hAnsi="Times New Roman" w:cs="Times New Roman"/>
          <w:b/>
          <w:bCs/>
          <w:noProof/>
          <w:sz w:val="24"/>
          <w:szCs w:val="24"/>
        </w:rPr>
        <w:drawing>
          <wp:anchor distT="0" distB="0" distL="114300" distR="114300" simplePos="0" relativeHeight="11" behindDoc="1" locked="0" layoutInCell="1" allowOverlap="1" wp14:anchorId="584A7BBA" wp14:editId="3C797A78">
            <wp:simplePos x="0" y="0"/>
            <wp:positionH relativeFrom="column">
              <wp:posOffset>1932305</wp:posOffset>
            </wp:positionH>
            <wp:positionV relativeFrom="paragraph">
              <wp:posOffset>10795</wp:posOffset>
            </wp:positionV>
            <wp:extent cx="4182110" cy="2352675"/>
            <wp:effectExtent l="0" t="0" r="8890" b="9525"/>
            <wp:wrapTight wrapText="bothSides">
              <wp:wrapPolygon edited="0">
                <wp:start x="0" y="0"/>
                <wp:lineTo x="0" y="21513"/>
                <wp:lineTo x="21548" y="21513"/>
                <wp:lineTo x="21548" y="0"/>
                <wp:lineTo x="0" y="0"/>
              </wp:wrapPolygon>
            </wp:wrapTight>
            <wp:docPr id="1035"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1"/>
                    <pic:cNvPicPr/>
                  </pic:nvPicPr>
                  <pic:blipFill>
                    <a:blip r:embed="rId25" cstate="print"/>
                    <a:srcRect/>
                    <a:stretch/>
                  </pic:blipFill>
                  <pic:spPr>
                    <a:xfrm>
                      <a:off x="0" y="0"/>
                      <a:ext cx="4182110" cy="23526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rPr>
        <w:t>Profitability:</w:t>
      </w:r>
      <w:r>
        <w:rPr>
          <w:rFonts w:ascii="Times New Roman" w:hAnsi="Times New Roman" w:cs="Times New Roman"/>
          <w:sz w:val="24"/>
          <w:szCs w:val="24"/>
        </w:rPr>
        <w:t xml:space="preserve"> Amazon has high gross margins but has issues with net profitability and ROE, particularly when compared to Alibaba’s high and slightly decreasing profitability. </w:t>
      </w:r>
    </w:p>
    <w:p w14:paraId="1CA9B39A" w14:textId="0E776D3B" w:rsidR="00910C01" w:rsidRDefault="00000000" w:rsidP="0002771E">
      <w:pPr>
        <w:pStyle w:val="NoSpacing"/>
        <w:numPr>
          <w:ilvl w:val="0"/>
          <w:numId w:val="64"/>
        </w:numPr>
        <w:spacing w:line="360" w:lineRule="auto"/>
        <w:rPr>
          <w:rFonts w:ascii="Times New Roman" w:hAnsi="Times New Roman" w:cs="Times New Roman"/>
          <w:sz w:val="24"/>
          <w:szCs w:val="24"/>
        </w:rPr>
      </w:pPr>
      <w:r w:rsidRPr="0002771E">
        <w:rPr>
          <w:rFonts w:ascii="Times New Roman" w:hAnsi="Times New Roman" w:cs="Times New Roman"/>
          <w:b/>
          <w:bCs/>
          <w:sz w:val="24"/>
          <w:szCs w:val="24"/>
        </w:rPr>
        <w:t>Efficiency:</w:t>
      </w:r>
      <w:r>
        <w:rPr>
          <w:rFonts w:ascii="Times New Roman" w:hAnsi="Times New Roman" w:cs="Times New Roman"/>
          <w:sz w:val="24"/>
          <w:szCs w:val="24"/>
        </w:rPr>
        <w:t xml:space="preserve"> As for the efficiency of inventory management, Amazon is quite efficient, on the same level with Walmart, but asset utilization could be better. </w:t>
      </w:r>
    </w:p>
    <w:p w14:paraId="355BDCE2" w14:textId="16A625C9" w:rsidR="00910C01" w:rsidRDefault="00000000" w:rsidP="0002771E">
      <w:pPr>
        <w:pStyle w:val="NoSpacing"/>
        <w:numPr>
          <w:ilvl w:val="0"/>
          <w:numId w:val="64"/>
        </w:numPr>
        <w:spacing w:line="360" w:lineRule="auto"/>
        <w:rPr>
          <w:rFonts w:ascii="Times New Roman" w:hAnsi="Times New Roman" w:cs="Times New Roman"/>
          <w:sz w:val="24"/>
          <w:szCs w:val="24"/>
        </w:rPr>
      </w:pPr>
      <w:r w:rsidRPr="0002771E">
        <w:rPr>
          <w:rFonts w:ascii="Times New Roman" w:hAnsi="Times New Roman" w:cs="Times New Roman"/>
          <w:b/>
          <w:bCs/>
          <w:sz w:val="24"/>
          <w:szCs w:val="24"/>
        </w:rPr>
        <w:t>Leverage:</w:t>
      </w:r>
      <w:r>
        <w:rPr>
          <w:rFonts w:ascii="Times New Roman" w:hAnsi="Times New Roman" w:cs="Times New Roman"/>
          <w:sz w:val="24"/>
          <w:szCs w:val="24"/>
        </w:rPr>
        <w:t xml:space="preserve"> Higher leverage ratios imply higher financial risk at Amazon than Walmart and relatively low debt usage by Alibaba. </w:t>
      </w:r>
    </w:p>
    <w:p w14:paraId="20359DF3" w14:textId="7F045B95" w:rsidR="00910C01" w:rsidRDefault="00000000" w:rsidP="0002771E">
      <w:pPr>
        <w:pStyle w:val="NoSpacing"/>
        <w:numPr>
          <w:ilvl w:val="0"/>
          <w:numId w:val="64"/>
        </w:numPr>
        <w:spacing w:line="360" w:lineRule="auto"/>
        <w:rPr>
          <w:rFonts w:ascii="Times New Roman" w:hAnsi="Times New Roman" w:cs="Times New Roman"/>
          <w:sz w:val="24"/>
          <w:szCs w:val="24"/>
        </w:rPr>
      </w:pPr>
      <w:r>
        <w:rPr>
          <w:rFonts w:ascii="Times New Roman" w:hAnsi="Times New Roman" w:cs="Times New Roman"/>
          <w:sz w:val="24"/>
          <w:szCs w:val="24"/>
        </w:rPr>
        <w:t>In conclusion, Amazon is still a competitive force to reckon with, but there is a need to contain costs, optimize on assets, and rein in on the debt burden in order to maintain the competitive advantage against some of the toughest rivals.</w:t>
      </w:r>
    </w:p>
    <w:p w14:paraId="43F93092" w14:textId="77777777" w:rsidR="00910C01" w:rsidRDefault="00000000">
      <w:pPr>
        <w:pStyle w:val="Heading1"/>
        <w:spacing w:line="360" w:lineRule="auto"/>
        <w:jc w:val="both"/>
        <w:rPr>
          <w:rFonts w:ascii="Times New Roman" w:hAnsi="Times New Roman"/>
          <w:b/>
          <w:bCs/>
          <w:color w:val="auto"/>
          <w:sz w:val="28"/>
          <w:szCs w:val="28"/>
        </w:rPr>
      </w:pPr>
      <w:bookmarkStart w:id="4" w:name="_Toc174091793"/>
      <w:r>
        <w:rPr>
          <w:rFonts w:ascii="Times New Roman" w:hAnsi="Times New Roman"/>
          <w:b/>
          <w:bCs/>
          <w:color w:val="auto"/>
          <w:sz w:val="28"/>
          <w:szCs w:val="28"/>
        </w:rPr>
        <w:t>Recommendations for Improving Amazon's Financial Management</w:t>
      </w:r>
      <w:bookmarkEnd w:id="4"/>
    </w:p>
    <w:p w14:paraId="49C91AD8" w14:textId="52B040D8"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Here are specific recommendations to improve Amazon’s financial management based on the financial review and comparison with Walmart and Alibaba</w:t>
      </w:r>
      <w:r w:rsidR="00AE1B17">
        <w:rPr>
          <w:rFonts w:ascii="Times New Roman" w:hAnsi="Times New Roman" w:cs="Times New Roman"/>
          <w:sz w:val="24"/>
          <w:szCs w:val="24"/>
        </w:rPr>
        <w:t>.</w:t>
      </w:r>
    </w:p>
    <w:p w14:paraId="4317A716"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Enhance Liquidity Management</w:t>
      </w:r>
    </w:p>
    <w:p w14:paraId="7D71CFEE" w14:textId="794520A6" w:rsidR="00910C01" w:rsidRDefault="00000000" w:rsidP="00AE1B17">
      <w:pPr>
        <w:numPr>
          <w:ilvl w:val="0"/>
          <w:numId w:val="6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Improve Cash Reserves and Current Assets: The current and quick ratios portray the fact that Amazon needs to improve its immediate liquidity. Another way is to build up cash reserves and manage current assets to ensure they can offer a better protection against short-term obligations. This can be achieved </w:t>
      </w:r>
      <w:proofErr w:type="spellStart"/>
      <w:proofErr w:type="gramStart"/>
      <w:r>
        <w:rPr>
          <w:rFonts w:ascii="Times New Roman" w:hAnsi="Times New Roman" w:cs="Times New Roman"/>
          <w:sz w:val="24"/>
          <w:szCs w:val="24"/>
        </w:rPr>
        <w:t>by:This</w:t>
      </w:r>
      <w:proofErr w:type="spellEnd"/>
      <w:proofErr w:type="gramEnd"/>
      <w:r>
        <w:rPr>
          <w:rFonts w:ascii="Times New Roman" w:hAnsi="Times New Roman" w:cs="Times New Roman"/>
          <w:sz w:val="24"/>
          <w:szCs w:val="24"/>
        </w:rPr>
        <w:t xml:space="preserve"> can be achieved by: </w:t>
      </w:r>
    </w:p>
    <w:p w14:paraId="1242CE9B" w14:textId="6C027650" w:rsidR="00910C01" w:rsidRDefault="00000000" w:rsidP="00AE1B17">
      <w:pPr>
        <w:numPr>
          <w:ilvl w:val="0"/>
          <w:numId w:val="6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Reducing Days Sales Outstanding (DSO): Reducing the days’ sales outstanding to enhance cash </w:t>
      </w:r>
      <w:r w:rsidR="00AE1B17">
        <w:rPr>
          <w:rFonts w:ascii="Times New Roman" w:hAnsi="Times New Roman" w:cs="Times New Roman"/>
          <w:sz w:val="24"/>
          <w:szCs w:val="24"/>
        </w:rPr>
        <w:t>received</w:t>
      </w:r>
      <w:r>
        <w:rPr>
          <w:rFonts w:ascii="Times New Roman" w:hAnsi="Times New Roman" w:cs="Times New Roman"/>
          <w:sz w:val="24"/>
          <w:szCs w:val="24"/>
        </w:rPr>
        <w:t xml:space="preserve"> from the customers. </w:t>
      </w:r>
    </w:p>
    <w:p w14:paraId="27FCCE93" w14:textId="3581DE90" w:rsidR="00910C01" w:rsidRDefault="00000000" w:rsidP="00AE1B17">
      <w:pPr>
        <w:numPr>
          <w:ilvl w:val="0"/>
          <w:numId w:val="6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Managing Payables and Receivables Efficiently: Improving the payment terms with the suppliers and on the other hand, improving the collection of the monies from the customers. </w:t>
      </w:r>
    </w:p>
    <w:p w14:paraId="288DB512" w14:textId="52440BC2" w:rsidR="00910C01" w:rsidRDefault="00000000" w:rsidP="00AE1B17">
      <w:pPr>
        <w:numPr>
          <w:ilvl w:val="0"/>
          <w:numId w:val="6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Optimize Inventory Management: Despite the fact that Amazon has efficient inventory turnover, the following ways can still be implemented to increase efficiency: </w:t>
      </w:r>
    </w:p>
    <w:p w14:paraId="5F683AF2" w14:textId="1783FC54" w:rsidR="00910C01" w:rsidRDefault="00000000" w:rsidP="00AE1B17">
      <w:pPr>
        <w:numPr>
          <w:ilvl w:val="0"/>
          <w:numId w:val="6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Adopting Advanced Inventory Management Systems: Applying AI and machine learning techniques to forecast demand so that excess inventory is minimized and stock-outs are avoided. </w:t>
      </w:r>
    </w:p>
    <w:p w14:paraId="3CAA33BA" w14:textId="3D73D6BE" w:rsidR="00910C01" w:rsidRDefault="00000000" w:rsidP="00AE1B17">
      <w:pPr>
        <w:numPr>
          <w:ilvl w:val="0"/>
          <w:numId w:val="65"/>
        </w:numPr>
        <w:spacing w:line="360" w:lineRule="auto"/>
        <w:jc w:val="both"/>
        <w:rPr>
          <w:rFonts w:ascii="Times New Roman" w:hAnsi="Times New Roman" w:cs="Times New Roman"/>
          <w:sz w:val="24"/>
          <w:szCs w:val="24"/>
        </w:rPr>
      </w:pPr>
      <w:r>
        <w:rPr>
          <w:rFonts w:ascii="Times New Roman" w:hAnsi="Times New Roman" w:cs="Times New Roman"/>
          <w:sz w:val="24"/>
          <w:szCs w:val="24"/>
        </w:rPr>
        <w:t>Streamlining Supply Chain Operations: Improving cooperation with suppliers and logistics to achieve the concept of just-in-time inventory, so as to minimize holding costs and maximize the turnover rate.</w:t>
      </w:r>
    </w:p>
    <w:p w14:paraId="688F29EE"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Increase Profitability</w:t>
      </w:r>
    </w:p>
    <w:p w14:paraId="5748749D" w14:textId="609FF4BA" w:rsidR="00910C01" w:rsidRDefault="00000000" w:rsidP="00AE1B17">
      <w:pPr>
        <w:numPr>
          <w:ilvl w:val="0"/>
          <w:numId w:val="6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Control Operating Expenses: This shows that operating expenses need to be controlled better, and this is evident from the declining net profit margins of Amazon. Strategies include: </w:t>
      </w:r>
    </w:p>
    <w:p w14:paraId="11AE8D1F" w14:textId="737C632D" w:rsidR="00910C01" w:rsidRDefault="00000000" w:rsidP="00AE1B17">
      <w:pPr>
        <w:numPr>
          <w:ilvl w:val="0"/>
          <w:numId w:val="6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Optimization Programs: Eliminating waste in different business processes, especially in supply chain and distribution, storage, and clerical processes. </w:t>
      </w:r>
    </w:p>
    <w:p w14:paraId="706888D2" w14:textId="05F5ACDD" w:rsidR="00910C01" w:rsidRDefault="00000000" w:rsidP="00AE1B17">
      <w:pPr>
        <w:numPr>
          <w:ilvl w:val="0"/>
          <w:numId w:val="6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Energy Efficiency Initiatives: Cutting down on energy expenses through the use of renewable energy and improving energy efficiency in warehouses and data centers. </w:t>
      </w:r>
    </w:p>
    <w:p w14:paraId="7555C0B8" w14:textId="0911CF26" w:rsidR="00910C01" w:rsidRDefault="00000000" w:rsidP="00AE1B17">
      <w:pPr>
        <w:numPr>
          <w:ilvl w:val="0"/>
          <w:numId w:val="66"/>
        </w:numPr>
        <w:spacing w:line="360" w:lineRule="auto"/>
        <w:jc w:val="both"/>
        <w:rPr>
          <w:rFonts w:ascii="Times New Roman" w:hAnsi="Times New Roman" w:cs="Times New Roman"/>
          <w:sz w:val="24"/>
          <w:szCs w:val="24"/>
        </w:rPr>
      </w:pPr>
      <w:r>
        <w:rPr>
          <w:rFonts w:ascii="Times New Roman" w:hAnsi="Times New Roman" w:cs="Times New Roman"/>
          <w:sz w:val="24"/>
          <w:szCs w:val="24"/>
        </w:rPr>
        <w:t>Diversify Revenue Streams: In order to reduce the effects of cost increase and economic instability, the following strategies should be implemented at Amazon</w:t>
      </w:r>
      <w:r w:rsidR="00AE1B17">
        <w:rPr>
          <w:rFonts w:ascii="Times New Roman" w:hAnsi="Times New Roman" w:cs="Times New Roman"/>
          <w:sz w:val="24"/>
          <w:szCs w:val="24"/>
        </w:rPr>
        <w:t>.</w:t>
      </w:r>
    </w:p>
    <w:p w14:paraId="75CF4A5A" w14:textId="28171623" w:rsidR="00910C01" w:rsidRDefault="00000000" w:rsidP="00AE1B17">
      <w:pPr>
        <w:numPr>
          <w:ilvl w:val="0"/>
          <w:numId w:val="66"/>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Expanding High-Margin Services: Expanding its AWS, advertising and subscription services, which are normally more profitable than its retail business. </w:t>
      </w:r>
    </w:p>
    <w:p w14:paraId="2C64541C" w14:textId="18B901BA" w:rsidR="00910C01" w:rsidRDefault="00000000" w:rsidP="00AE1B17">
      <w:pPr>
        <w:numPr>
          <w:ilvl w:val="0"/>
          <w:numId w:val="66"/>
        </w:numPr>
        <w:spacing w:line="360" w:lineRule="auto"/>
        <w:jc w:val="both"/>
        <w:rPr>
          <w:rFonts w:ascii="Times New Roman" w:hAnsi="Times New Roman" w:cs="Times New Roman"/>
          <w:sz w:val="24"/>
          <w:szCs w:val="24"/>
        </w:rPr>
      </w:pPr>
      <w:r>
        <w:rPr>
          <w:rFonts w:ascii="Times New Roman" w:hAnsi="Times New Roman" w:cs="Times New Roman"/>
          <w:sz w:val="24"/>
          <w:szCs w:val="24"/>
        </w:rPr>
        <w:t>Investing in New Technologies and Innovations: New business development through the identification of new markets in areas like artificial intelligence, quantum computing, advanced robotics etc.</w:t>
      </w:r>
    </w:p>
    <w:p w14:paraId="1FFB81ED"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Enhance Efficiency</w:t>
      </w:r>
    </w:p>
    <w:p w14:paraId="0EB42D14" w14:textId="663085B0" w:rsidR="00910C01" w:rsidRDefault="00000000" w:rsidP="00AE1B17">
      <w:pPr>
        <w:numPr>
          <w:ilvl w:val="0"/>
          <w:numId w:val="6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Improve Asset Utilization: The asset turnover has also reduced for Amazon, which means there is a requirement for improving the effectiveness of assets. This can be achieved </w:t>
      </w:r>
      <w:proofErr w:type="spellStart"/>
      <w:proofErr w:type="gramStart"/>
      <w:r>
        <w:rPr>
          <w:rFonts w:ascii="Times New Roman" w:hAnsi="Times New Roman" w:cs="Times New Roman"/>
          <w:sz w:val="24"/>
          <w:szCs w:val="24"/>
        </w:rPr>
        <w:t>by:This</w:t>
      </w:r>
      <w:proofErr w:type="spellEnd"/>
      <w:proofErr w:type="gramEnd"/>
      <w:r>
        <w:rPr>
          <w:rFonts w:ascii="Times New Roman" w:hAnsi="Times New Roman" w:cs="Times New Roman"/>
          <w:sz w:val="24"/>
          <w:szCs w:val="24"/>
        </w:rPr>
        <w:t xml:space="preserve"> can be achieved by: </w:t>
      </w:r>
    </w:p>
    <w:p w14:paraId="313212C9" w14:textId="6E85909E" w:rsidR="00910C01" w:rsidRDefault="00000000" w:rsidP="00AE1B17">
      <w:pPr>
        <w:numPr>
          <w:ilvl w:val="0"/>
          <w:numId w:val="6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Asset Performance Management (APM) Systems: Applying APM systems in order to control and improve the usage of tangible assets to their full potential. </w:t>
      </w:r>
    </w:p>
    <w:p w14:paraId="69077D89" w14:textId="1509FBE1" w:rsidR="00910C01" w:rsidRDefault="00000000" w:rsidP="00AE1B17">
      <w:pPr>
        <w:numPr>
          <w:ilvl w:val="0"/>
          <w:numId w:val="6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Regular Asset Review and Rationalization: Regular portfolio rebalancing and restructuring of the inefficient assets, selling off non-strategic assets to enhance the operating effectiveness. </w:t>
      </w:r>
    </w:p>
    <w:p w14:paraId="5F67ECC6" w14:textId="3B10B198" w:rsidR="00910C01" w:rsidRDefault="00000000" w:rsidP="00AE1B17">
      <w:pPr>
        <w:numPr>
          <w:ilvl w:val="0"/>
          <w:numId w:val="6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 in Workforce Efficiency: Increasing the productivity of the workforce can improve operation efficiency: </w:t>
      </w:r>
    </w:p>
    <w:p w14:paraId="30F3595F" w14:textId="0A79D94E" w:rsidR="00910C01" w:rsidRDefault="00000000" w:rsidP="00AE1B17">
      <w:pPr>
        <w:numPr>
          <w:ilvl w:val="0"/>
          <w:numId w:val="6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Training and Development Programs: Providing for regular training and education to ensure that the employees are up to date with the modern knowledge and skills. </w:t>
      </w:r>
    </w:p>
    <w:p w14:paraId="02B86B81" w14:textId="7F924AF1" w:rsidR="00910C01" w:rsidRDefault="00000000" w:rsidP="00AE1B17">
      <w:pPr>
        <w:numPr>
          <w:ilvl w:val="0"/>
          <w:numId w:val="67"/>
        </w:numPr>
        <w:spacing w:line="360" w:lineRule="auto"/>
        <w:jc w:val="both"/>
        <w:rPr>
          <w:rFonts w:ascii="Times New Roman" w:hAnsi="Times New Roman" w:cs="Times New Roman"/>
          <w:sz w:val="24"/>
          <w:szCs w:val="24"/>
        </w:rPr>
      </w:pPr>
      <w:r>
        <w:rPr>
          <w:rFonts w:ascii="Times New Roman" w:hAnsi="Times New Roman" w:cs="Times New Roman"/>
          <w:sz w:val="24"/>
          <w:szCs w:val="24"/>
        </w:rPr>
        <w:t>Automation and AI Integration: Replacing traditional employees with automation and AI to decrease expenses on employees and increase efficiency.</w:t>
      </w:r>
    </w:p>
    <w:p w14:paraId="7800ED1B"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Manage Financial Leverage</w:t>
      </w:r>
    </w:p>
    <w:p w14:paraId="56951C52"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Optimize Debt Levels: The increase in the </w:t>
      </w:r>
      <w:proofErr w:type="gramStart"/>
      <w:r>
        <w:rPr>
          <w:rFonts w:ascii="Times New Roman" w:hAnsi="Times New Roman" w:cs="Times New Roman"/>
          <w:sz w:val="24"/>
          <w:szCs w:val="24"/>
        </w:rPr>
        <w:t>debt to equity</w:t>
      </w:r>
      <w:proofErr w:type="gramEnd"/>
      <w:r>
        <w:rPr>
          <w:rFonts w:ascii="Times New Roman" w:hAnsi="Times New Roman" w:cs="Times New Roman"/>
          <w:sz w:val="24"/>
          <w:szCs w:val="24"/>
        </w:rPr>
        <w:t xml:space="preserve"> ratio implies that Amazon needs to be careful of the amount of leverage it takes to minimize on financial risk. </w:t>
      </w:r>
      <w:r>
        <w:rPr>
          <w:rFonts w:ascii="Times New Roman" w:hAnsi="Times New Roman" w:cs="Times New Roman"/>
          <w:b/>
          <w:bCs/>
          <w:sz w:val="24"/>
          <w:szCs w:val="24"/>
        </w:rPr>
        <w:t xml:space="preserve">Strategies include: </w:t>
      </w:r>
    </w:p>
    <w:p w14:paraId="316C5BC5"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Debt Refinancing: Debt restructuring to be able to leverage on lower interest rates and thus cut on interest costs. </w:t>
      </w:r>
    </w:p>
    <w:p w14:paraId="25095036"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Balancing Debt and Equity Financing:</w:t>
      </w:r>
      <w:r>
        <w:rPr>
          <w:rFonts w:ascii="Times New Roman" w:hAnsi="Times New Roman" w:cs="Times New Roman"/>
          <w:sz w:val="24"/>
          <w:szCs w:val="24"/>
        </w:rPr>
        <w:t xml:space="preserve"> Optimal capital structure that ensures that the proportion of debt and equity is in the right ratio to avoid high cost of capital. </w:t>
      </w:r>
    </w:p>
    <w:p w14:paraId="7156F192"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 2. Enhance Cash Flow Management: </w:t>
      </w:r>
      <w:r>
        <w:rPr>
          <w:rFonts w:ascii="Times New Roman" w:hAnsi="Times New Roman" w:cs="Times New Roman"/>
          <w:sz w:val="24"/>
          <w:szCs w:val="24"/>
        </w:rPr>
        <w:t xml:space="preserve">It is therefore important to maintain a good cash flow position to meet its obligations and finance its expansion plans: </w:t>
      </w:r>
    </w:p>
    <w:p w14:paraId="2F7E5298"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Cash Flow Forecasting:</w:t>
      </w:r>
      <w:r>
        <w:rPr>
          <w:rFonts w:ascii="Times New Roman" w:hAnsi="Times New Roman" w:cs="Times New Roman"/>
          <w:sz w:val="24"/>
          <w:szCs w:val="24"/>
        </w:rPr>
        <w:t xml:space="preserve"> The use of better methods of cash flow forecasting to help in the prediction and control of cash flow. </w:t>
      </w:r>
    </w:p>
    <w:p w14:paraId="1C336212" w14:textId="3BB9CDBB"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Capital Expenditure (</w:t>
      </w:r>
      <w:proofErr w:type="spellStart"/>
      <w:r>
        <w:rPr>
          <w:rFonts w:ascii="Times New Roman" w:hAnsi="Times New Roman" w:cs="Times New Roman"/>
          <w:b/>
          <w:bCs/>
          <w:sz w:val="24"/>
          <w:szCs w:val="24"/>
        </w:rPr>
        <w:t>CapEx</w:t>
      </w:r>
      <w:proofErr w:type="spellEnd"/>
      <w:r>
        <w:rPr>
          <w:rFonts w:ascii="Times New Roman" w:hAnsi="Times New Roman" w:cs="Times New Roman"/>
          <w:b/>
          <w:bCs/>
          <w:sz w:val="24"/>
          <w:szCs w:val="24"/>
        </w:rPr>
        <w:t xml:space="preserve">) Discipline: </w:t>
      </w:r>
      <w:r>
        <w:rPr>
          <w:rFonts w:ascii="Times New Roman" w:hAnsi="Times New Roman" w:cs="Times New Roman"/>
          <w:sz w:val="24"/>
          <w:szCs w:val="24"/>
        </w:rPr>
        <w:t xml:space="preserve">The following are some recommendations on how to exercise discipline in </w:t>
      </w:r>
      <w:proofErr w:type="spellStart"/>
      <w:r>
        <w:rPr>
          <w:rFonts w:ascii="Times New Roman" w:hAnsi="Times New Roman" w:cs="Times New Roman"/>
          <w:sz w:val="24"/>
          <w:szCs w:val="24"/>
        </w:rPr>
        <w:t>CapEx</w:t>
      </w:r>
      <w:proofErr w:type="spellEnd"/>
      <w:r>
        <w:rPr>
          <w:rFonts w:ascii="Times New Roman" w:hAnsi="Times New Roman" w:cs="Times New Roman"/>
          <w:sz w:val="24"/>
          <w:szCs w:val="24"/>
        </w:rPr>
        <w:t>: Selecting the best projects to invest in and reviewing the ongoing projects.</w:t>
      </w:r>
    </w:p>
    <w:p w14:paraId="7A45FFA3"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Strengthen Strategic Position</w:t>
      </w:r>
    </w:p>
    <w:p w14:paraId="6A6D0BC5" w14:textId="1E3E1874" w:rsidR="00910C01" w:rsidRPr="00AE1B17" w:rsidRDefault="00000000">
      <w:pPr>
        <w:spacing w:line="360" w:lineRule="auto"/>
        <w:jc w:val="both"/>
        <w:rPr>
          <w:rFonts w:ascii="Times New Roman" w:hAnsi="Times New Roman" w:cs="Times New Roman"/>
          <w:sz w:val="24"/>
          <w:szCs w:val="24"/>
        </w:rPr>
      </w:pPr>
      <w:r w:rsidRPr="00AE1B17">
        <w:rPr>
          <w:rFonts w:ascii="Times New Roman" w:hAnsi="Times New Roman" w:cs="Times New Roman"/>
          <w:b/>
          <w:bCs/>
          <w:sz w:val="24"/>
          <w:szCs w:val="24"/>
        </w:rPr>
        <w:t>1. Focus on Customer Experience:</w:t>
      </w:r>
      <w:r>
        <w:rPr>
          <w:rFonts w:ascii="Times New Roman" w:hAnsi="Times New Roman" w:cs="Times New Roman"/>
          <w:sz w:val="24"/>
          <w:szCs w:val="24"/>
        </w:rPr>
        <w:t xml:space="preserve"> Customer experience management can be a key to </w:t>
      </w:r>
      <w:r w:rsidRPr="00AE1B17">
        <w:rPr>
          <w:rFonts w:ascii="Times New Roman" w:hAnsi="Times New Roman" w:cs="Times New Roman"/>
          <w:sz w:val="24"/>
          <w:szCs w:val="24"/>
        </w:rPr>
        <w:t>sales and improved profitability</w:t>
      </w:r>
    </w:p>
    <w:p w14:paraId="746972A2"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Personalized Services:</w:t>
      </w:r>
      <w:r>
        <w:rPr>
          <w:rFonts w:ascii="Times New Roman" w:hAnsi="Times New Roman" w:cs="Times New Roman"/>
          <w:sz w:val="24"/>
          <w:szCs w:val="24"/>
        </w:rPr>
        <w:t xml:space="preserve"> Adopting data analysis in order to provide solutions and products that will be suitable to the customers. </w:t>
      </w:r>
    </w:p>
    <w:p w14:paraId="0C5FAA8A" w14:textId="77777777" w:rsidR="00910C01" w:rsidRDefault="00000000">
      <w:pPr>
        <w:spacing w:line="360" w:lineRule="auto"/>
        <w:jc w:val="both"/>
        <w:rPr>
          <w:rFonts w:ascii="Times New Roman" w:hAnsi="Times New Roman" w:cs="Times New Roman"/>
          <w:sz w:val="24"/>
          <w:szCs w:val="24"/>
        </w:rPr>
      </w:pPr>
      <w:r w:rsidRPr="00AE1B17">
        <w:rPr>
          <w:rFonts w:ascii="Times New Roman" w:hAnsi="Times New Roman" w:cs="Times New Roman"/>
          <w:b/>
          <w:bCs/>
          <w:sz w:val="24"/>
          <w:szCs w:val="24"/>
        </w:rPr>
        <w:t xml:space="preserve"> Continuous Improvement in Delivery Speed and Reliability:</w:t>
      </w:r>
      <w:r>
        <w:rPr>
          <w:rFonts w:ascii="Times New Roman" w:hAnsi="Times New Roman" w:cs="Times New Roman"/>
          <w:sz w:val="24"/>
          <w:szCs w:val="24"/>
        </w:rPr>
        <w:t xml:space="preserve"> Paying more attention to the delivery system and structures to ensure that the delivery is made as quickly as possible. </w:t>
      </w:r>
    </w:p>
    <w:p w14:paraId="4D1E2302"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E1B17">
        <w:rPr>
          <w:rFonts w:ascii="Times New Roman" w:hAnsi="Times New Roman" w:cs="Times New Roman"/>
          <w:b/>
          <w:bCs/>
          <w:sz w:val="24"/>
          <w:szCs w:val="24"/>
        </w:rPr>
        <w:t>2. Expand Global Presence:</w:t>
      </w:r>
      <w:r>
        <w:rPr>
          <w:rFonts w:ascii="Times New Roman" w:hAnsi="Times New Roman" w:cs="Times New Roman"/>
          <w:sz w:val="24"/>
          <w:szCs w:val="24"/>
        </w:rPr>
        <w:t xml:space="preserve"> Amazon should enter emerging countries with strong growth rates and create specialized marketing and business strategies fit for the local nation to help to lower the market dominance in these sectors. </w:t>
      </w:r>
    </w:p>
    <w:p w14:paraId="1831EA62" w14:textId="6216540D"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Improving market share in existing markets by means of partnerships and localized product development helps to increase market share in present markets.</w:t>
      </w:r>
    </w:p>
    <w:p w14:paraId="4DF95F3B" w14:textId="77777777" w:rsidR="00910C01" w:rsidRDefault="00000000">
      <w:pPr>
        <w:spacing w:line="360" w:lineRule="auto"/>
        <w:jc w:val="both"/>
        <w:rPr>
          <w:rFonts w:ascii="Times New Roman" w:hAnsi="Times New Roman" w:cs="Times New Roman"/>
          <w:sz w:val="28"/>
          <w:szCs w:val="28"/>
        </w:rPr>
      </w:pPr>
      <w:r>
        <w:rPr>
          <w:rFonts w:ascii="Times New Roman" w:hAnsi="Times New Roman" w:cs="Times New Roman"/>
          <w:b/>
          <w:bCs/>
          <w:sz w:val="28"/>
          <w:szCs w:val="28"/>
        </w:rPr>
        <w:t>Some Additional Recommendations</w:t>
      </w:r>
      <w:r>
        <w:rPr>
          <w:rFonts w:ascii="Times New Roman" w:hAnsi="Times New Roman" w:cs="Times New Roman"/>
          <w:sz w:val="28"/>
          <w:szCs w:val="28"/>
        </w:rPr>
        <w:t>:</w:t>
      </w:r>
    </w:p>
    <w:p w14:paraId="72C74C06"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Enhancing Market Positioning</w:t>
      </w:r>
    </w:p>
    <w:p w14:paraId="62BC6A1A"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Diversifying Revenue Streams:</w:t>
      </w:r>
      <w:r>
        <w:rPr>
          <w:rFonts w:ascii="Times New Roman" w:hAnsi="Times New Roman" w:cs="Times New Roman"/>
          <w:sz w:val="24"/>
          <w:szCs w:val="24"/>
        </w:rPr>
        <w:t xml:space="preserve"> Although Amazon now has a pretty varied business model—the e-commerce sector, AWS, and advertising are the main sources of income—there is still room for improvement. Amazon would want to increase its dedication to sectors with faster rates of development, namely finance and healthcare. Building on its technical platforms to develop new health care goods or broadening its financial services offerings, for instance, would assist to diversify income streams and reduce dependency on main industries. </w:t>
      </w:r>
    </w:p>
    <w:p w14:paraId="713F653F"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AE1B17">
        <w:rPr>
          <w:rFonts w:ascii="Times New Roman" w:hAnsi="Times New Roman" w:cs="Times New Roman"/>
          <w:b/>
          <w:bCs/>
          <w:sz w:val="24"/>
          <w:szCs w:val="24"/>
        </w:rPr>
        <w:t>Enhancing Global Profile:</w:t>
      </w:r>
      <w:r>
        <w:rPr>
          <w:rFonts w:ascii="Times New Roman" w:hAnsi="Times New Roman" w:cs="Times New Roman"/>
          <w:sz w:val="24"/>
          <w:szCs w:val="24"/>
        </w:rPr>
        <w:t xml:space="preserve"> Amazon is a multinational </w:t>
      </w:r>
      <w:proofErr w:type="gramStart"/>
      <w:r>
        <w:rPr>
          <w:rFonts w:ascii="Times New Roman" w:hAnsi="Times New Roman" w:cs="Times New Roman"/>
          <w:sz w:val="24"/>
          <w:szCs w:val="24"/>
        </w:rPr>
        <w:t>business,</w:t>
      </w:r>
      <w:proofErr w:type="gramEnd"/>
      <w:r>
        <w:rPr>
          <w:rFonts w:ascii="Times New Roman" w:hAnsi="Times New Roman" w:cs="Times New Roman"/>
          <w:sz w:val="24"/>
          <w:szCs w:val="24"/>
        </w:rPr>
        <w:t xml:space="preserve"> hence it may be wise to focus on developing areas where the e-commerce sector is still in its early years. In these fields, Amazon may strategically invest in infrastructure and logistics to acquire market share before rivals open stores. This allows Amazon to extend its offerings to satisfy local customer needs, therefore strengthening the brand image and commercial prospects in these areas...</w:t>
      </w:r>
    </w:p>
    <w:p w14:paraId="281C211E"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Optimizing Cost Structures</w:t>
      </w:r>
    </w:p>
    <w:p w14:paraId="5A2F3FDB" w14:textId="6ECAC87A"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Cost Efficiency Programs:</w:t>
      </w:r>
      <w:r>
        <w:rPr>
          <w:rFonts w:ascii="Times New Roman" w:hAnsi="Times New Roman" w:cs="Times New Roman"/>
          <w:sz w:val="24"/>
          <w:szCs w:val="24"/>
        </w:rPr>
        <w:t xml:space="preserve"> This is a field where Amazon should keep its alertness and guarantee that its operations maximize the expenses in all their actions. This might include buying technology to enable it to be more efficient, rebidding vendors, or strengthening its supply chain. In the same manner, Amazon can choose to focus on the most lucrative goods and modify its product selection, therefore reducing the losses from the less profitable ones.</w:t>
      </w:r>
    </w:p>
    <w:p w14:paraId="61B1AB18" w14:textId="7479DBB1"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Improving Margins in AWS: AWS is the main source of profitability, yet as the competition rises, the preservation of this margin is not easy. In this way, by concentrating on innovations, for example, an increase in AI and machine learning services or the creation of unique cloud services for particular sectors, AWS can preserve its competitive advantage and profitability.</w:t>
      </w:r>
    </w:p>
    <w:p w14:paraId="77FD9F31"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Expanding into New Growth Areas</w:t>
      </w:r>
    </w:p>
    <w:p w14:paraId="57D11515"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 xml:space="preserve">Exploring New Technologies: Amazon has always been a leader in terms of technology advancement. Further investment in advanced technologies like blockchain, augmented reality, and quantum computing could help Amazon find new opportunities. These technologies have the potential of disrupting various industries ranging from finance to logistics and Amazon could leverage on these opportunities by getting into the market first. </w:t>
      </w:r>
    </w:p>
    <w:p w14:paraId="0B22B141"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 xml:space="preserve"> </w:t>
      </w:r>
      <w:r w:rsidRPr="00AE1B17">
        <w:rPr>
          <w:rFonts w:ascii="Times New Roman" w:hAnsi="Times New Roman" w:cs="Times New Roman"/>
          <w:b/>
          <w:bCs/>
          <w:noProof/>
          <w:sz w:val="24"/>
          <w:szCs w:val="24"/>
        </w:rPr>
        <w:t>Sustainable and Ethical Initiatives:</w:t>
      </w:r>
      <w:r>
        <w:rPr>
          <w:rFonts w:ascii="Times New Roman" w:hAnsi="Times New Roman" w:cs="Times New Roman"/>
          <w:noProof/>
          <w:sz w:val="24"/>
          <w:szCs w:val="24"/>
        </w:rPr>
        <w:t xml:space="preserve"> Since the consumers are more and more concerned about the corporate responsibility, Amazon can make its brand even more valuable by extending its CSR activities. Measures like carbon-neutral delivery, sustainable packaging, and fair labour practices not only improve the company’s reputation but can also result in cost efficiencies. These initiatives would also ensure that Amazon is in line with the global environmental policies which could create new market and customer base of environmentally conscious </w:t>
      </w:r>
      <w:proofErr w:type="gramStart"/>
      <w:r>
        <w:rPr>
          <w:rFonts w:ascii="Times New Roman" w:hAnsi="Times New Roman" w:cs="Times New Roman"/>
          <w:noProof/>
          <w:sz w:val="24"/>
          <w:szCs w:val="24"/>
        </w:rPr>
        <w:t>customers.</w:t>
      </w:r>
      <w:r>
        <w:rPr>
          <w:rFonts w:ascii="Times New Roman" w:hAnsi="Times New Roman" w:cs="Times New Roman"/>
          <w:sz w:val="24"/>
          <w:szCs w:val="24"/>
        </w:rPr>
        <w:t>.</w:t>
      </w:r>
      <w:proofErr w:type="gramEnd"/>
    </w:p>
    <w:p w14:paraId="4CF6D04C"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Strengthening Operational Resilience:</w:t>
      </w:r>
    </w:p>
    <w:p w14:paraId="33A1CA9A"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Supply Chain Resilience: The COVID-19 pandemic brought into focus the risks of supply chain disruptions. These risks can be managed by Amazon by expanding its supplier base, where possible, sourcing locally and improving its inventory control mechanisms. A better supply chain would minimize the disruptions and guarantee that Amazon can deliver its products to the customers despite the prevailing conditions. </w:t>
      </w:r>
    </w:p>
    <w:p w14:paraId="60E64B5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E1B17">
        <w:rPr>
          <w:rFonts w:ascii="Times New Roman" w:hAnsi="Times New Roman" w:cs="Times New Roman"/>
          <w:b/>
          <w:bCs/>
          <w:sz w:val="24"/>
          <w:szCs w:val="24"/>
        </w:rPr>
        <w:t>Cybersecurity Investment:</w:t>
      </w:r>
      <w:r>
        <w:rPr>
          <w:rFonts w:ascii="Times New Roman" w:hAnsi="Times New Roman" w:cs="Times New Roman"/>
          <w:sz w:val="24"/>
          <w:szCs w:val="24"/>
        </w:rPr>
        <w:t xml:space="preserve"> Since Amazon is one of the leading companies in the world of e-commerce and cloud computing, it becomes a primary focus for hackers. More investment is needed in cybersecurity to safeguard the customer data and ensure that the company remains trustworthy. Through the implementation of high security measures and frequent updates of the security measures, Amazon can protect its operations and maintain customer </w:t>
      </w:r>
      <w:proofErr w:type="gramStart"/>
      <w:r>
        <w:rPr>
          <w:rFonts w:ascii="Times New Roman" w:hAnsi="Times New Roman" w:cs="Times New Roman"/>
          <w:sz w:val="24"/>
          <w:szCs w:val="24"/>
        </w:rPr>
        <w:t>trust..</w:t>
      </w:r>
      <w:proofErr w:type="gramEnd"/>
      <w:r>
        <w:rPr>
          <w:rFonts w:ascii="Times New Roman" w:hAnsi="Times New Roman" w:cs="Times New Roman"/>
          <w:sz w:val="24"/>
          <w:szCs w:val="24"/>
        </w:rPr>
        <w:t>"</w:t>
      </w:r>
    </w:p>
    <w:p w14:paraId="7DE60B51"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Customer Trust and Brand Reputation on the Impact of Cybersecurity</w:t>
      </w:r>
    </w:p>
    <w:p w14:paraId="7D4D2F23" w14:textId="77777777" w:rsidR="00910C01" w:rsidRDefault="00000000">
      <w:pPr>
        <w:numPr>
          <w:ilvl w:val="0"/>
          <w:numId w:val="58"/>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Impact of Data Breaches on Trust</w:t>
      </w:r>
      <w:r>
        <w:rPr>
          <w:rFonts w:ascii="Times New Roman" w:hAnsi="Times New Roman" w:cs="Times New Roman"/>
          <w:sz w:val="24"/>
          <w:szCs w:val="24"/>
        </w:rPr>
        <w:t>: A single data breach can severely damage customer trust and brand reputation, leading to loss of business and customer attrition. Amazon must ensure that its customers feel safe using its platform.</w:t>
      </w:r>
    </w:p>
    <w:p w14:paraId="151656B7" w14:textId="77777777" w:rsidR="00910C01" w:rsidRDefault="00000000">
      <w:pPr>
        <w:numPr>
          <w:ilvl w:val="0"/>
          <w:numId w:val="58"/>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Public Perception of Cybersecurity Efforts</w:t>
      </w:r>
      <w:r>
        <w:rPr>
          <w:rFonts w:ascii="Times New Roman" w:hAnsi="Times New Roman" w:cs="Times New Roman"/>
          <w:sz w:val="24"/>
          <w:szCs w:val="24"/>
        </w:rPr>
        <w:t>: Transparent communication about cybersecurity efforts and the steps Amazon takes to protect customer data can enhance customer trust. This includes issuing timely updates and reassurances during and after a security incident (Amazon.com</w:t>
      </w:r>
      <w:r>
        <w:t>, Inc. (2022)).</w:t>
      </w:r>
    </w:p>
    <w:p w14:paraId="71D1A11E" w14:textId="29030D43" w:rsidR="00D74635" w:rsidRDefault="00D74635">
      <w:pPr>
        <w:spacing w:line="360" w:lineRule="auto"/>
        <w:jc w:val="both"/>
        <w:rPr>
          <w:rFonts w:ascii="Times New Roman" w:hAnsi="Times New Roman" w:cs="Times New Roman"/>
          <w:sz w:val="24"/>
          <w:szCs w:val="24"/>
        </w:rPr>
      </w:pPr>
      <w:r>
        <w:rPr>
          <w:noProof/>
        </w:rPr>
        <w:drawing>
          <wp:inline distT="0" distB="0" distL="0" distR="0" wp14:anchorId="109DD32D" wp14:editId="6BAB6308">
            <wp:extent cx="6256020" cy="2537460"/>
            <wp:effectExtent l="0" t="0" r="0" b="0"/>
            <wp:docPr id="228009406" name="Picture 1" descr="Cybersecurity is Necessary To Build Customer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ybersecurity is Necessary To Build Customer Trus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56020" cy="2537460"/>
                    </a:xfrm>
                    <a:prstGeom prst="rect">
                      <a:avLst/>
                    </a:prstGeom>
                    <a:noFill/>
                    <a:ln>
                      <a:noFill/>
                    </a:ln>
                  </pic:spPr>
                </pic:pic>
              </a:graphicData>
            </a:graphic>
          </wp:inline>
        </w:drawing>
      </w:r>
    </w:p>
    <w:p w14:paraId="38E4E45F" w14:textId="0F0425FC" w:rsidR="00910C01" w:rsidRDefault="00000000">
      <w:pPr>
        <w:pStyle w:val="Heading1"/>
        <w:jc w:val="both"/>
        <w:rPr>
          <w:rFonts w:ascii="Times New Roman" w:hAnsi="Times New Roman"/>
          <w:color w:val="auto"/>
          <w:sz w:val="28"/>
          <w:szCs w:val="28"/>
          <w:u w:val="single"/>
        </w:rPr>
      </w:pPr>
      <w:bookmarkStart w:id="5" w:name="_Toc174091794"/>
      <w:r>
        <w:rPr>
          <w:rFonts w:ascii="Times New Roman" w:hAnsi="Times New Roman"/>
          <w:color w:val="auto"/>
          <w:sz w:val="28"/>
          <w:szCs w:val="28"/>
          <w:u w:val="single"/>
        </w:rPr>
        <w:lastRenderedPageBreak/>
        <w:t>References:</w:t>
      </w:r>
      <w:bookmarkEnd w:id="5"/>
    </w:p>
    <w:p w14:paraId="4019F0F2" w14:textId="77777777" w:rsidR="00910C01" w:rsidRDefault="00000000">
      <w:pPr>
        <w:pStyle w:val="NormalWeb"/>
      </w:pPr>
      <w:proofErr w:type="gramStart"/>
      <w:r>
        <w:rPr>
          <w:rFonts w:hAnsi="Symbol"/>
        </w:rPr>
        <w:t></w:t>
      </w:r>
      <w:r>
        <w:t xml:space="preserve">  Alibaba</w:t>
      </w:r>
      <w:proofErr w:type="gramEnd"/>
      <w:r>
        <w:t xml:space="preserve"> Group (2023) </w:t>
      </w:r>
      <w:r>
        <w:rPr>
          <w:rStyle w:val="Emphasis"/>
        </w:rPr>
        <w:t>Annual report</w:t>
      </w:r>
      <w:r>
        <w:t xml:space="preserve">. Available at: </w:t>
      </w:r>
      <w:hyperlink r:id="rId27" w:tgtFrame="_new" w:history="1">
        <w:r>
          <w:rPr>
            <w:rStyle w:val="Hyperlink"/>
            <w:rFonts w:eastAsia="SimSun"/>
          </w:rPr>
          <w:t>https://www.alibabagroup.com/en/ir/annual_reports</w:t>
        </w:r>
      </w:hyperlink>
      <w:r>
        <w:t xml:space="preserve"> (Accessed: 10 August 2024).</w:t>
      </w:r>
    </w:p>
    <w:p w14:paraId="3E3D44FD" w14:textId="77777777" w:rsidR="00910C01" w:rsidRDefault="00000000">
      <w:pPr>
        <w:pStyle w:val="NormalWeb"/>
      </w:pPr>
      <w:proofErr w:type="gramStart"/>
      <w:r>
        <w:rPr>
          <w:rFonts w:hAnsi="Symbol"/>
        </w:rPr>
        <w:t></w:t>
      </w:r>
      <w:r>
        <w:t xml:space="preserve">  Amazon.com</w:t>
      </w:r>
      <w:proofErr w:type="gramEnd"/>
      <w:r>
        <w:t xml:space="preserve">, Inc. (2023) </w:t>
      </w:r>
      <w:r>
        <w:rPr>
          <w:rStyle w:val="Emphasis"/>
        </w:rPr>
        <w:t>Annual report</w:t>
      </w:r>
      <w:r>
        <w:t xml:space="preserve">. Available at: </w:t>
      </w:r>
      <w:hyperlink r:id="rId28" w:tgtFrame="_new" w:history="1">
        <w:r>
          <w:rPr>
            <w:rStyle w:val="Hyperlink"/>
            <w:rFonts w:eastAsia="SimSun"/>
          </w:rPr>
          <w:t>https://www.amazon.com/ir/annual_reports</w:t>
        </w:r>
      </w:hyperlink>
      <w:r>
        <w:t xml:space="preserve"> (Accessed: 10 August 2024).</w:t>
      </w:r>
    </w:p>
    <w:p w14:paraId="4F8C65EA" w14:textId="77777777" w:rsidR="00910C01" w:rsidRDefault="00000000">
      <w:pPr>
        <w:pStyle w:val="NormalWeb"/>
      </w:pPr>
      <w:proofErr w:type="gramStart"/>
      <w:r>
        <w:rPr>
          <w:rFonts w:hAnsi="Symbol"/>
        </w:rPr>
        <w:t></w:t>
      </w:r>
      <w:r>
        <w:t xml:space="preserve">  Amazon.com</w:t>
      </w:r>
      <w:proofErr w:type="gramEnd"/>
      <w:r>
        <w:t xml:space="preserve">, Inc. (2022) </w:t>
      </w:r>
      <w:r>
        <w:rPr>
          <w:rStyle w:val="Emphasis"/>
        </w:rPr>
        <w:t>Annual report</w:t>
      </w:r>
      <w:r>
        <w:t xml:space="preserve">. Available at: </w:t>
      </w:r>
      <w:hyperlink r:id="rId29" w:tgtFrame="_new" w:history="1">
        <w:r>
          <w:rPr>
            <w:rStyle w:val="Hyperlink"/>
            <w:rFonts w:eastAsia="SimSun"/>
          </w:rPr>
          <w:t>https://www.amazon.com/ir/annual_reports</w:t>
        </w:r>
      </w:hyperlink>
      <w:r>
        <w:t xml:space="preserve"> (Accessed: 10 August 2024).</w:t>
      </w:r>
    </w:p>
    <w:p w14:paraId="582EB133" w14:textId="77777777" w:rsidR="00910C01" w:rsidRDefault="00000000">
      <w:pPr>
        <w:pStyle w:val="NormalWeb"/>
      </w:pPr>
      <w:proofErr w:type="gramStart"/>
      <w:r>
        <w:rPr>
          <w:rFonts w:hAnsi="Symbol"/>
        </w:rPr>
        <w:t></w:t>
      </w:r>
      <w:r>
        <w:t xml:space="preserve">  Amazon.com</w:t>
      </w:r>
      <w:proofErr w:type="gramEnd"/>
      <w:r>
        <w:t xml:space="preserve">, Inc. (2021) </w:t>
      </w:r>
      <w:r>
        <w:rPr>
          <w:rStyle w:val="Emphasis"/>
        </w:rPr>
        <w:t>Annual report</w:t>
      </w:r>
      <w:r>
        <w:t xml:space="preserve">. Available at: </w:t>
      </w:r>
      <w:hyperlink r:id="rId30" w:tgtFrame="_new" w:history="1">
        <w:r>
          <w:rPr>
            <w:rStyle w:val="Hyperlink"/>
            <w:rFonts w:eastAsia="SimSun"/>
          </w:rPr>
          <w:t>https://www.amazon.com/ir/annual_reports</w:t>
        </w:r>
      </w:hyperlink>
      <w:r>
        <w:t xml:space="preserve"> (Accessed: 10 August 2024).</w:t>
      </w:r>
    </w:p>
    <w:p w14:paraId="1250E0A6" w14:textId="77777777" w:rsidR="00910C01" w:rsidRDefault="00000000">
      <w:pPr>
        <w:pStyle w:val="NormalWeb"/>
      </w:pPr>
      <w:proofErr w:type="gramStart"/>
      <w:r>
        <w:rPr>
          <w:rFonts w:hAnsi="Symbol"/>
        </w:rPr>
        <w:t></w:t>
      </w:r>
      <w:r>
        <w:t xml:space="preserve">  Amazon.com</w:t>
      </w:r>
      <w:proofErr w:type="gramEnd"/>
      <w:r>
        <w:t xml:space="preserve">, Inc. (2020) </w:t>
      </w:r>
      <w:r>
        <w:rPr>
          <w:rStyle w:val="Emphasis"/>
        </w:rPr>
        <w:t>Annual report</w:t>
      </w:r>
      <w:r>
        <w:t xml:space="preserve">. Available at: </w:t>
      </w:r>
      <w:hyperlink r:id="rId31" w:tgtFrame="_new" w:history="1">
        <w:r>
          <w:rPr>
            <w:rStyle w:val="Hyperlink"/>
            <w:rFonts w:eastAsia="SimSun"/>
          </w:rPr>
          <w:t>https://www.amazon.com/ir/annual_reports</w:t>
        </w:r>
      </w:hyperlink>
      <w:r>
        <w:t xml:space="preserve"> (Accessed: 10 August 2024).</w:t>
      </w:r>
    </w:p>
    <w:p w14:paraId="43C70218" w14:textId="77777777" w:rsidR="00910C01" w:rsidRDefault="00000000">
      <w:pPr>
        <w:pStyle w:val="NormalWeb"/>
      </w:pPr>
      <w:proofErr w:type="gramStart"/>
      <w:r>
        <w:rPr>
          <w:rFonts w:hAnsi="Symbol"/>
        </w:rPr>
        <w:t></w:t>
      </w:r>
      <w:r>
        <w:t xml:space="preserve">  Amazon.com</w:t>
      </w:r>
      <w:proofErr w:type="gramEnd"/>
      <w:r>
        <w:t xml:space="preserve">, Inc. (2019) </w:t>
      </w:r>
      <w:r>
        <w:rPr>
          <w:rStyle w:val="Emphasis"/>
        </w:rPr>
        <w:t>Annual report</w:t>
      </w:r>
      <w:r>
        <w:t xml:space="preserve">. Available at: </w:t>
      </w:r>
      <w:hyperlink r:id="rId32" w:tgtFrame="_new" w:history="1">
        <w:r>
          <w:rPr>
            <w:rStyle w:val="Hyperlink"/>
            <w:rFonts w:eastAsia="SimSun"/>
          </w:rPr>
          <w:t>https://www.amazon.com/ir/annual_reports</w:t>
        </w:r>
      </w:hyperlink>
      <w:r>
        <w:t xml:space="preserve"> (Accessed: 10 August 2024).</w:t>
      </w:r>
    </w:p>
    <w:p w14:paraId="44A818A0" w14:textId="77777777" w:rsidR="00910C01" w:rsidRDefault="00000000">
      <w:pPr>
        <w:pStyle w:val="NormalWeb"/>
      </w:pPr>
      <w:proofErr w:type="gramStart"/>
      <w:r>
        <w:rPr>
          <w:rFonts w:hAnsi="Symbol"/>
        </w:rPr>
        <w:t></w:t>
      </w:r>
      <w:r>
        <w:t xml:space="preserve">  Dun</w:t>
      </w:r>
      <w:proofErr w:type="gramEnd"/>
      <w:r>
        <w:t xml:space="preserve"> &amp; Bradstreet (2023) </w:t>
      </w:r>
      <w:r>
        <w:rPr>
          <w:rStyle w:val="Emphasis"/>
        </w:rPr>
        <w:t>Amazon.com, Inc. company profile</w:t>
      </w:r>
      <w:r>
        <w:t xml:space="preserve">. Available at: </w:t>
      </w:r>
      <w:hyperlink r:id="rId33" w:tgtFrame="_new" w:history="1">
        <w:r>
          <w:rPr>
            <w:rStyle w:val="Hyperlink"/>
            <w:rFonts w:eastAsia="SimSun"/>
          </w:rPr>
          <w:t>https://www.dnb.com/business-directory/company-profiles.amazon.com_inc.6d5c8bb3a4a0f7e0c6cce2e0c1f83d0b.html</w:t>
        </w:r>
      </w:hyperlink>
      <w:r>
        <w:t xml:space="preserve"> (Accessed: 10 August 2024).</w:t>
      </w:r>
    </w:p>
    <w:p w14:paraId="7FC59E05" w14:textId="77777777" w:rsidR="00910C01" w:rsidRDefault="00000000">
      <w:pPr>
        <w:pStyle w:val="NormalWeb"/>
      </w:pPr>
      <w:proofErr w:type="gramStart"/>
      <w:r>
        <w:rPr>
          <w:rFonts w:hAnsi="Symbol"/>
        </w:rPr>
        <w:t></w:t>
      </w:r>
      <w:r>
        <w:t xml:space="preserve">  Fortune</w:t>
      </w:r>
      <w:proofErr w:type="gramEnd"/>
      <w:r>
        <w:t xml:space="preserve"> Business Insights (2023) </w:t>
      </w:r>
      <w:r>
        <w:rPr>
          <w:rStyle w:val="Emphasis"/>
        </w:rPr>
        <w:t>Amazon's competitive landscape</w:t>
      </w:r>
      <w:r>
        <w:t xml:space="preserve">. Available at: </w:t>
      </w:r>
      <w:hyperlink r:id="rId34" w:tgtFrame="_new" w:history="1">
        <w:r>
          <w:rPr>
            <w:rStyle w:val="Hyperlink"/>
            <w:rFonts w:eastAsia="SimSun"/>
          </w:rPr>
          <w:t>https://www.fortunebusinessinsights.com/industry-reports/e-commerce-market-100326</w:t>
        </w:r>
      </w:hyperlink>
      <w:r>
        <w:t xml:space="preserve"> (Accessed: 10 August 2024).</w:t>
      </w:r>
    </w:p>
    <w:p w14:paraId="5B4C153C" w14:textId="77777777" w:rsidR="00910C01" w:rsidRDefault="00000000">
      <w:pPr>
        <w:pStyle w:val="NormalWeb"/>
      </w:pPr>
      <w:proofErr w:type="gramStart"/>
      <w:r>
        <w:rPr>
          <w:rFonts w:hAnsi="Symbol"/>
        </w:rPr>
        <w:t></w:t>
      </w:r>
      <w:r>
        <w:t xml:space="preserve">  Walmart</w:t>
      </w:r>
      <w:proofErr w:type="gramEnd"/>
      <w:r>
        <w:t xml:space="preserve"> Inc. (2023) </w:t>
      </w:r>
      <w:r>
        <w:rPr>
          <w:rStyle w:val="Emphasis"/>
        </w:rPr>
        <w:t>Annual report</w:t>
      </w:r>
      <w:r>
        <w:t xml:space="preserve">. Available at: </w:t>
      </w:r>
      <w:hyperlink r:id="rId35" w:tgtFrame="_new" w:history="1">
        <w:r>
          <w:rPr>
            <w:rStyle w:val="Hyperlink"/>
            <w:rFonts w:eastAsia="SimSun"/>
          </w:rPr>
          <w:t>https://www.walmart.com/ir/annual_reports</w:t>
        </w:r>
      </w:hyperlink>
      <w:r>
        <w:t xml:space="preserve"> (Accessed: 10 August 2024).</w:t>
      </w:r>
    </w:p>
    <w:p w14:paraId="10D77C89" w14:textId="77777777" w:rsidR="00910C01" w:rsidRDefault="00000000">
      <w:pPr>
        <w:pStyle w:val="NormalWeb"/>
      </w:pPr>
      <w:proofErr w:type="gramStart"/>
      <w:r>
        <w:rPr>
          <w:rFonts w:hAnsi="Symbol"/>
        </w:rPr>
        <w:t></w:t>
      </w:r>
      <w:r>
        <w:t xml:space="preserve">  Walmart</w:t>
      </w:r>
      <w:proofErr w:type="gramEnd"/>
      <w:r>
        <w:t xml:space="preserve"> Inc. (2022) </w:t>
      </w:r>
      <w:r>
        <w:rPr>
          <w:rStyle w:val="Emphasis"/>
        </w:rPr>
        <w:t>Annual report</w:t>
      </w:r>
      <w:r>
        <w:t xml:space="preserve">. Available at: </w:t>
      </w:r>
      <w:hyperlink r:id="rId36" w:tgtFrame="_new" w:history="1">
        <w:r>
          <w:rPr>
            <w:rStyle w:val="Hyperlink"/>
            <w:rFonts w:eastAsia="SimSun"/>
          </w:rPr>
          <w:t>https://www.walmart.com/ir/annual_reports</w:t>
        </w:r>
      </w:hyperlink>
      <w:r>
        <w:t xml:space="preserve"> (Accessed: 10 August 2024).</w:t>
      </w:r>
    </w:p>
    <w:p w14:paraId="35D1502A" w14:textId="77777777" w:rsidR="00910C01" w:rsidRDefault="00000000">
      <w:pPr>
        <w:pStyle w:val="NormalWeb"/>
      </w:pPr>
      <w:proofErr w:type="gramStart"/>
      <w:r>
        <w:rPr>
          <w:rFonts w:hAnsi="Symbol"/>
        </w:rPr>
        <w:t></w:t>
      </w:r>
      <w:r>
        <w:t xml:space="preserve">  Walmart</w:t>
      </w:r>
      <w:proofErr w:type="gramEnd"/>
      <w:r>
        <w:t xml:space="preserve"> Inc. (2021) </w:t>
      </w:r>
      <w:r>
        <w:rPr>
          <w:rStyle w:val="Emphasis"/>
        </w:rPr>
        <w:t>Annual report</w:t>
      </w:r>
      <w:r>
        <w:t xml:space="preserve">. Available at: </w:t>
      </w:r>
      <w:hyperlink r:id="rId37" w:tgtFrame="_new" w:history="1">
        <w:r>
          <w:rPr>
            <w:rStyle w:val="Hyperlink"/>
            <w:rFonts w:eastAsia="SimSun"/>
          </w:rPr>
          <w:t>https://www.walmart.com/ir/annual_reports</w:t>
        </w:r>
      </w:hyperlink>
      <w:r>
        <w:t xml:space="preserve"> (Accessed: 10 August 2024).</w:t>
      </w:r>
    </w:p>
    <w:p w14:paraId="39FD1E2B" w14:textId="77777777" w:rsidR="00910C01" w:rsidRDefault="00000000">
      <w:pPr>
        <w:pStyle w:val="NormalWeb"/>
      </w:pPr>
      <w:proofErr w:type="gramStart"/>
      <w:r>
        <w:rPr>
          <w:rFonts w:hAnsi="Symbol"/>
        </w:rPr>
        <w:t></w:t>
      </w:r>
      <w:r>
        <w:t xml:space="preserve">  Walmart</w:t>
      </w:r>
      <w:proofErr w:type="gramEnd"/>
      <w:r>
        <w:t xml:space="preserve"> Inc. (2020) </w:t>
      </w:r>
      <w:r>
        <w:rPr>
          <w:rStyle w:val="Emphasis"/>
        </w:rPr>
        <w:t>Annual report</w:t>
      </w:r>
      <w:r>
        <w:t xml:space="preserve">. Available at: </w:t>
      </w:r>
      <w:hyperlink r:id="rId38" w:tgtFrame="_new" w:history="1">
        <w:r>
          <w:rPr>
            <w:rStyle w:val="Hyperlink"/>
            <w:rFonts w:eastAsia="SimSun"/>
          </w:rPr>
          <w:t>https://www.walmart.com/ir/annual_reports</w:t>
        </w:r>
      </w:hyperlink>
      <w:r>
        <w:t xml:space="preserve"> (Accessed: 10 August 2024).</w:t>
      </w:r>
    </w:p>
    <w:p w14:paraId="3E7B3954" w14:textId="77777777" w:rsidR="00910C01" w:rsidRDefault="00000000">
      <w:pPr>
        <w:pStyle w:val="NormalWeb"/>
      </w:pPr>
      <w:proofErr w:type="gramStart"/>
      <w:r>
        <w:rPr>
          <w:rFonts w:hAnsi="Symbol"/>
        </w:rPr>
        <w:t></w:t>
      </w:r>
      <w:r>
        <w:t xml:space="preserve">  Walmart</w:t>
      </w:r>
      <w:proofErr w:type="gramEnd"/>
      <w:r>
        <w:t xml:space="preserve"> Inc. (2019) </w:t>
      </w:r>
      <w:r>
        <w:rPr>
          <w:rStyle w:val="Emphasis"/>
        </w:rPr>
        <w:t>Annual report</w:t>
      </w:r>
      <w:r>
        <w:t xml:space="preserve">. Available at: </w:t>
      </w:r>
      <w:hyperlink r:id="rId39" w:tgtFrame="_new" w:history="1">
        <w:r>
          <w:rPr>
            <w:rStyle w:val="Hyperlink"/>
            <w:rFonts w:eastAsia="SimSun"/>
          </w:rPr>
          <w:t>https://www.walmart.com/ir/annual_reports</w:t>
        </w:r>
      </w:hyperlink>
      <w:r>
        <w:t xml:space="preserve"> (Accessed: 10 August 2024).</w:t>
      </w:r>
    </w:p>
    <w:p w14:paraId="18531FF6" w14:textId="77777777" w:rsidR="00910C01" w:rsidRDefault="00910C01">
      <w:pPr>
        <w:jc w:val="both"/>
        <w:rPr>
          <w:rFonts w:ascii="Times New Roman" w:hAnsi="Times New Roman" w:cs="Times New Roman"/>
          <w:sz w:val="24"/>
          <w:szCs w:val="24"/>
        </w:rPr>
      </w:pPr>
    </w:p>
    <w:p w14:paraId="47FDEF0B" w14:textId="77777777" w:rsidR="00910C01" w:rsidRDefault="00000000">
      <w:pPr>
        <w:jc w:val="both"/>
        <w:rPr>
          <w:rFonts w:ascii="Times New Roman" w:hAnsi="Times New Roman" w:cs="Times New Roman"/>
          <w:b/>
          <w:bCs/>
          <w:sz w:val="28"/>
          <w:szCs w:val="28"/>
        </w:rPr>
      </w:pPr>
      <w:r>
        <w:rPr>
          <w:rFonts w:ascii="Times New Roman" w:hAnsi="Times New Roman" w:cs="Times New Roman"/>
          <w:b/>
          <w:bCs/>
          <w:sz w:val="28"/>
          <w:szCs w:val="28"/>
        </w:rPr>
        <w:lastRenderedPageBreak/>
        <w:t>(Part C):</w:t>
      </w:r>
    </w:p>
    <w:p w14:paraId="73C84831" w14:textId="77777777" w:rsidR="00910C01" w:rsidRDefault="00000000">
      <w:pPr>
        <w:pStyle w:val="Heading1"/>
        <w:jc w:val="both"/>
        <w:rPr>
          <w:rFonts w:ascii="Times New Roman" w:hAnsi="Times New Roman"/>
          <w:sz w:val="24"/>
          <w:szCs w:val="24"/>
        </w:rPr>
      </w:pPr>
      <w:bookmarkStart w:id="6" w:name="_Toc174091795"/>
      <w:r>
        <w:rPr>
          <w:rFonts w:ascii="Times New Roman" w:hAnsi="Times New Roman"/>
          <w:sz w:val="24"/>
          <w:szCs w:val="24"/>
        </w:rPr>
        <w:t>Investment Appraisal of Amazon (Project A) and (Project B)</w:t>
      </w:r>
      <w:bookmarkEnd w:id="6"/>
    </w:p>
    <w:p w14:paraId="65867FC7"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To evaluate the two investment projects, we calculated the Payback Period (PBP), Accounting Rate of Return (ARR), and Net Present Value (NPV) for both projects. Here are the detailed results and analysis:</w:t>
      </w:r>
    </w:p>
    <w:p w14:paraId="73E0D86C" w14:textId="77777777"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t>Calculations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48"/>
        <w:gridCol w:w="2786"/>
        <w:gridCol w:w="2681"/>
      </w:tblGrid>
      <w:tr w:rsidR="00910C01" w14:paraId="65E93CFE" w14:textId="77777777">
        <w:trPr>
          <w:tblHeader/>
          <w:tblCellSpacing w:w="15" w:type="dxa"/>
        </w:trPr>
        <w:tc>
          <w:tcPr>
            <w:tcW w:w="0" w:type="auto"/>
            <w:vAlign w:val="center"/>
            <w:hideMark/>
          </w:tcPr>
          <w:p w14:paraId="13DB8CFD" w14:textId="77777777"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t>Metric</w:t>
            </w:r>
          </w:p>
        </w:tc>
        <w:tc>
          <w:tcPr>
            <w:tcW w:w="0" w:type="auto"/>
            <w:vAlign w:val="center"/>
            <w:hideMark/>
          </w:tcPr>
          <w:p w14:paraId="68BC9329" w14:textId="77777777"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t>Project A (Amazon)</w:t>
            </w:r>
          </w:p>
        </w:tc>
        <w:tc>
          <w:tcPr>
            <w:tcW w:w="0" w:type="auto"/>
            <w:vAlign w:val="center"/>
            <w:hideMark/>
          </w:tcPr>
          <w:p w14:paraId="25667027" w14:textId="77777777"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t>Project B</w:t>
            </w:r>
          </w:p>
        </w:tc>
      </w:tr>
      <w:tr w:rsidR="00910C01" w14:paraId="612C880C" w14:textId="77777777">
        <w:trPr>
          <w:tblCellSpacing w:w="15" w:type="dxa"/>
        </w:trPr>
        <w:tc>
          <w:tcPr>
            <w:tcW w:w="0" w:type="auto"/>
            <w:vAlign w:val="center"/>
            <w:hideMark/>
          </w:tcPr>
          <w:p w14:paraId="3FD5B849"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Initial Investment</w:t>
            </w:r>
          </w:p>
        </w:tc>
        <w:tc>
          <w:tcPr>
            <w:tcW w:w="0" w:type="auto"/>
            <w:vAlign w:val="center"/>
            <w:hideMark/>
          </w:tcPr>
          <w:p w14:paraId="050BA476"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£80 million</w:t>
            </w:r>
          </w:p>
        </w:tc>
        <w:tc>
          <w:tcPr>
            <w:tcW w:w="0" w:type="auto"/>
            <w:vAlign w:val="center"/>
            <w:hideMark/>
          </w:tcPr>
          <w:p w14:paraId="2AB0F179"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£75 million</w:t>
            </w:r>
          </w:p>
        </w:tc>
      </w:tr>
      <w:tr w:rsidR="00910C01" w14:paraId="3DF1A78E" w14:textId="77777777">
        <w:trPr>
          <w:tblCellSpacing w:w="15" w:type="dxa"/>
        </w:trPr>
        <w:tc>
          <w:tcPr>
            <w:tcW w:w="0" w:type="auto"/>
            <w:vAlign w:val="center"/>
            <w:hideMark/>
          </w:tcPr>
          <w:p w14:paraId="046C0D14"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Year 1 Cash Flow</w:t>
            </w:r>
          </w:p>
        </w:tc>
        <w:tc>
          <w:tcPr>
            <w:tcW w:w="0" w:type="auto"/>
            <w:vAlign w:val="center"/>
            <w:hideMark/>
          </w:tcPr>
          <w:p w14:paraId="403E6E24"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£25 million</w:t>
            </w:r>
          </w:p>
        </w:tc>
        <w:tc>
          <w:tcPr>
            <w:tcW w:w="0" w:type="auto"/>
            <w:vAlign w:val="center"/>
            <w:hideMark/>
          </w:tcPr>
          <w:p w14:paraId="3614258F"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£50 million</w:t>
            </w:r>
          </w:p>
        </w:tc>
      </w:tr>
      <w:tr w:rsidR="00910C01" w14:paraId="6DC6D29C" w14:textId="77777777">
        <w:trPr>
          <w:tblCellSpacing w:w="15" w:type="dxa"/>
        </w:trPr>
        <w:tc>
          <w:tcPr>
            <w:tcW w:w="0" w:type="auto"/>
            <w:vAlign w:val="center"/>
            <w:hideMark/>
          </w:tcPr>
          <w:p w14:paraId="7AB5CCCC"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Year 2 Cash Flow</w:t>
            </w:r>
          </w:p>
        </w:tc>
        <w:tc>
          <w:tcPr>
            <w:tcW w:w="0" w:type="auto"/>
            <w:vAlign w:val="center"/>
            <w:hideMark/>
          </w:tcPr>
          <w:p w14:paraId="2B7EA2A0"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£25 million</w:t>
            </w:r>
          </w:p>
        </w:tc>
        <w:tc>
          <w:tcPr>
            <w:tcW w:w="0" w:type="auto"/>
            <w:vAlign w:val="center"/>
            <w:hideMark/>
          </w:tcPr>
          <w:p w14:paraId="343198FC"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£20 million</w:t>
            </w:r>
          </w:p>
        </w:tc>
      </w:tr>
      <w:tr w:rsidR="00910C01" w14:paraId="5E6D82A1" w14:textId="77777777">
        <w:trPr>
          <w:tblCellSpacing w:w="15" w:type="dxa"/>
        </w:trPr>
        <w:tc>
          <w:tcPr>
            <w:tcW w:w="0" w:type="auto"/>
            <w:vAlign w:val="center"/>
            <w:hideMark/>
          </w:tcPr>
          <w:p w14:paraId="7F8AAD6B"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Year 3 Cash Flow</w:t>
            </w:r>
          </w:p>
        </w:tc>
        <w:tc>
          <w:tcPr>
            <w:tcW w:w="0" w:type="auto"/>
            <w:vAlign w:val="center"/>
            <w:hideMark/>
          </w:tcPr>
          <w:p w14:paraId="062BE0BB"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£20 million</w:t>
            </w:r>
          </w:p>
        </w:tc>
        <w:tc>
          <w:tcPr>
            <w:tcW w:w="0" w:type="auto"/>
            <w:vAlign w:val="center"/>
            <w:hideMark/>
          </w:tcPr>
          <w:p w14:paraId="5C5906FA"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£20 million</w:t>
            </w:r>
          </w:p>
        </w:tc>
      </w:tr>
      <w:tr w:rsidR="00910C01" w14:paraId="269B4C4E" w14:textId="77777777">
        <w:trPr>
          <w:tblCellSpacing w:w="15" w:type="dxa"/>
        </w:trPr>
        <w:tc>
          <w:tcPr>
            <w:tcW w:w="0" w:type="auto"/>
            <w:vAlign w:val="center"/>
            <w:hideMark/>
          </w:tcPr>
          <w:p w14:paraId="2A394437"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Year 4 Cash Flow</w:t>
            </w:r>
          </w:p>
        </w:tc>
        <w:tc>
          <w:tcPr>
            <w:tcW w:w="0" w:type="auto"/>
            <w:vAlign w:val="center"/>
            <w:hideMark/>
          </w:tcPr>
          <w:p w14:paraId="71FAB0C5"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£55 million</w:t>
            </w:r>
          </w:p>
        </w:tc>
        <w:tc>
          <w:tcPr>
            <w:tcW w:w="0" w:type="auto"/>
            <w:vAlign w:val="center"/>
            <w:hideMark/>
          </w:tcPr>
          <w:p w14:paraId="395C57A6"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£20 million</w:t>
            </w:r>
          </w:p>
        </w:tc>
      </w:tr>
      <w:tr w:rsidR="00910C01" w14:paraId="45636F5D" w14:textId="77777777">
        <w:trPr>
          <w:tblCellSpacing w:w="15" w:type="dxa"/>
        </w:trPr>
        <w:tc>
          <w:tcPr>
            <w:tcW w:w="0" w:type="auto"/>
            <w:vAlign w:val="center"/>
            <w:hideMark/>
          </w:tcPr>
          <w:p w14:paraId="2ECB0D60"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Payback Period (PBP)</w:t>
            </w:r>
          </w:p>
        </w:tc>
        <w:tc>
          <w:tcPr>
            <w:tcW w:w="0" w:type="auto"/>
            <w:vAlign w:val="center"/>
            <w:hideMark/>
          </w:tcPr>
          <w:p w14:paraId="3ECCE8D4"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3.818 years</w:t>
            </w:r>
          </w:p>
        </w:tc>
        <w:tc>
          <w:tcPr>
            <w:tcW w:w="0" w:type="auto"/>
            <w:vAlign w:val="center"/>
            <w:hideMark/>
          </w:tcPr>
          <w:p w14:paraId="560CD565"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2.75 years</w:t>
            </w:r>
          </w:p>
        </w:tc>
      </w:tr>
      <w:tr w:rsidR="00910C01" w14:paraId="1F9D9C8D" w14:textId="77777777">
        <w:trPr>
          <w:tblCellSpacing w:w="15" w:type="dxa"/>
        </w:trPr>
        <w:tc>
          <w:tcPr>
            <w:tcW w:w="0" w:type="auto"/>
            <w:vAlign w:val="center"/>
            <w:hideMark/>
          </w:tcPr>
          <w:p w14:paraId="12B41D4D"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Cumulative Cash Flow</w:t>
            </w:r>
          </w:p>
        </w:tc>
        <w:tc>
          <w:tcPr>
            <w:tcW w:w="0" w:type="auto"/>
            <w:vAlign w:val="center"/>
            <w:hideMark/>
          </w:tcPr>
          <w:p w14:paraId="22D4D6A3"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-£10 million (end of Year 3)</w:t>
            </w:r>
          </w:p>
        </w:tc>
        <w:tc>
          <w:tcPr>
            <w:tcW w:w="0" w:type="auto"/>
            <w:vAlign w:val="center"/>
            <w:hideMark/>
          </w:tcPr>
          <w:p w14:paraId="5A3ADF83"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-£5 million (end of Year 2)</w:t>
            </w:r>
          </w:p>
        </w:tc>
      </w:tr>
      <w:tr w:rsidR="00910C01" w14:paraId="0B1BDAB7" w14:textId="77777777">
        <w:trPr>
          <w:tblCellSpacing w:w="15" w:type="dxa"/>
        </w:trPr>
        <w:tc>
          <w:tcPr>
            <w:tcW w:w="0" w:type="auto"/>
            <w:vAlign w:val="center"/>
            <w:hideMark/>
          </w:tcPr>
          <w:p w14:paraId="7C8B9FA4"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ARR (Average Annual Profit)</w:t>
            </w:r>
          </w:p>
        </w:tc>
        <w:tc>
          <w:tcPr>
            <w:tcW w:w="0" w:type="auto"/>
            <w:vAlign w:val="center"/>
            <w:hideMark/>
          </w:tcPr>
          <w:p w14:paraId="13784F4A"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£31.25 million</w:t>
            </w:r>
          </w:p>
        </w:tc>
        <w:tc>
          <w:tcPr>
            <w:tcW w:w="0" w:type="auto"/>
            <w:vAlign w:val="center"/>
            <w:hideMark/>
          </w:tcPr>
          <w:p w14:paraId="09869557"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£27.5 million</w:t>
            </w:r>
          </w:p>
        </w:tc>
      </w:tr>
      <w:tr w:rsidR="00910C01" w14:paraId="0349353E" w14:textId="77777777">
        <w:trPr>
          <w:tblCellSpacing w:w="15" w:type="dxa"/>
        </w:trPr>
        <w:tc>
          <w:tcPr>
            <w:tcW w:w="0" w:type="auto"/>
            <w:vAlign w:val="center"/>
            <w:hideMark/>
          </w:tcPr>
          <w:p w14:paraId="46A2431F"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ARR (%)</w:t>
            </w:r>
          </w:p>
        </w:tc>
        <w:tc>
          <w:tcPr>
            <w:tcW w:w="0" w:type="auto"/>
            <w:vAlign w:val="center"/>
            <w:hideMark/>
          </w:tcPr>
          <w:p w14:paraId="59F5CF48"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39.06%</w:t>
            </w:r>
          </w:p>
        </w:tc>
        <w:tc>
          <w:tcPr>
            <w:tcW w:w="0" w:type="auto"/>
            <w:vAlign w:val="center"/>
            <w:hideMark/>
          </w:tcPr>
          <w:p w14:paraId="461DE0E3"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36.67%</w:t>
            </w:r>
          </w:p>
        </w:tc>
      </w:tr>
      <w:tr w:rsidR="00910C01" w14:paraId="695E3B06" w14:textId="77777777">
        <w:trPr>
          <w:tblCellSpacing w:w="15" w:type="dxa"/>
        </w:trPr>
        <w:tc>
          <w:tcPr>
            <w:tcW w:w="0" w:type="auto"/>
            <w:vAlign w:val="center"/>
            <w:hideMark/>
          </w:tcPr>
          <w:p w14:paraId="2A8C37A8"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Net Present Value (NPV)</w:t>
            </w:r>
          </w:p>
        </w:tc>
        <w:tc>
          <w:tcPr>
            <w:tcW w:w="0" w:type="auto"/>
            <w:vAlign w:val="center"/>
            <w:hideMark/>
          </w:tcPr>
          <w:p w14:paraId="60400159"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£16.57 million</w:t>
            </w:r>
          </w:p>
        </w:tc>
        <w:tc>
          <w:tcPr>
            <w:tcW w:w="0" w:type="auto"/>
            <w:vAlign w:val="center"/>
            <w:hideMark/>
          </w:tcPr>
          <w:p w14:paraId="12809198"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£16.08 million</w:t>
            </w:r>
          </w:p>
        </w:tc>
      </w:tr>
    </w:tbl>
    <w:p w14:paraId="5F0B47F8" w14:textId="77777777" w:rsidR="00910C01" w:rsidRDefault="00910C01">
      <w:pPr>
        <w:jc w:val="both"/>
        <w:rPr>
          <w:rFonts w:ascii="Times New Roman" w:hAnsi="Times New Roman" w:cs="Times New Roman"/>
          <w:sz w:val="24"/>
          <w:szCs w:val="24"/>
        </w:rPr>
      </w:pPr>
    </w:p>
    <w:p w14:paraId="4ED4D96C"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Payback Period (PBP)</w:t>
      </w:r>
    </w:p>
    <w:p w14:paraId="56A5E664"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Project A (Amazon):</w:t>
      </w:r>
    </w:p>
    <w:p w14:paraId="35846238"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Initial Investment: £80 million</w:t>
      </w:r>
    </w:p>
    <w:p w14:paraId="32B8DAA8"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1 Cash Flow: £25 million</w:t>
      </w:r>
    </w:p>
    <w:p w14:paraId="78A9307A"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2 Cash Flow: £25 million</w:t>
      </w:r>
    </w:p>
    <w:p w14:paraId="0DB5A32C"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3 Cash Flow: £20 million</w:t>
      </w:r>
    </w:p>
    <w:p w14:paraId="0C41835D"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4 Cash Flow: £55 million</w:t>
      </w:r>
    </w:p>
    <w:p w14:paraId="485938FD"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Cumulative Cash Flow at the end of Year 4= −£80+£25+£25+£20=−£10 million.</w:t>
      </w:r>
    </w:p>
    <w:p w14:paraId="21EC1036"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Cumulative Cash Flow at some time in Year 4:</w:t>
      </w:r>
    </w:p>
    <w:p w14:paraId="7836BA56"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noProof/>
          <w:sz w:val="24"/>
          <w:szCs w:val="24"/>
        </w:rPr>
        <w:drawing>
          <wp:inline distT="0" distB="0" distL="0" distR="0" wp14:anchorId="1B5C16A7" wp14:editId="36DDBBF7">
            <wp:extent cx="2575560" cy="548640"/>
            <wp:effectExtent l="0" t="0" r="0" b="3810"/>
            <wp:docPr id="103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1"/>
                    <pic:cNvPicPr/>
                  </pic:nvPicPr>
                  <pic:blipFill>
                    <a:blip r:embed="rId40" cstate="print"/>
                    <a:srcRect/>
                    <a:stretch/>
                  </pic:blipFill>
                  <pic:spPr>
                    <a:xfrm>
                      <a:off x="0" y="0"/>
                      <a:ext cx="2575560" cy="548640"/>
                    </a:xfrm>
                    <a:prstGeom prst="rect">
                      <a:avLst/>
                    </a:prstGeom>
                  </pic:spPr>
                </pic:pic>
              </a:graphicData>
            </a:graphic>
          </wp:inline>
        </w:drawing>
      </w:r>
    </w:p>
    <w:p w14:paraId="66976376" w14:textId="7703E2D2" w:rsidR="00910C01" w:rsidRDefault="0076193E">
      <w:pPr>
        <w:jc w:val="both"/>
        <w:rPr>
          <w:rFonts w:ascii="Times New Roman" w:hAnsi="Times New Roman" w:cs="Times New Roman"/>
          <w:b/>
          <w:bCs/>
          <w:sz w:val="24"/>
          <w:szCs w:val="24"/>
          <w:u w:val="single"/>
        </w:rPr>
      </w:pPr>
      <w:r>
        <w:rPr>
          <w:b/>
          <w:noProof/>
          <w:sz w:val="28"/>
        </w:rPr>
        <w:drawing>
          <wp:anchor distT="0" distB="0" distL="114300" distR="114300" simplePos="0" relativeHeight="251667456" behindDoc="1" locked="0" layoutInCell="1" allowOverlap="1" wp14:anchorId="53C2D3F3" wp14:editId="152430D2">
            <wp:simplePos x="0" y="0"/>
            <wp:positionH relativeFrom="margin">
              <wp:posOffset>2522220</wp:posOffset>
            </wp:positionH>
            <wp:positionV relativeFrom="paragraph">
              <wp:posOffset>246380</wp:posOffset>
            </wp:positionV>
            <wp:extent cx="3764280" cy="2385060"/>
            <wp:effectExtent l="0" t="0" r="7620" b="0"/>
            <wp:wrapTight wrapText="bothSides">
              <wp:wrapPolygon edited="0">
                <wp:start x="0" y="0"/>
                <wp:lineTo x="0" y="21393"/>
                <wp:lineTo x="21534" y="21393"/>
                <wp:lineTo x="2153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BP Chart.jpg"/>
                    <pic:cNvPicPr/>
                  </pic:nvPicPr>
                  <pic:blipFill>
                    <a:blip r:embed="rId41">
                      <a:extLst>
                        <a:ext uri="{28A0092B-C50C-407E-A947-70E740481C1C}">
                          <a14:useLocalDpi xmlns:a14="http://schemas.microsoft.com/office/drawing/2010/main" val="0"/>
                        </a:ext>
                      </a:extLst>
                    </a:blip>
                    <a:stretch>
                      <a:fillRect/>
                    </a:stretch>
                  </pic:blipFill>
                  <pic:spPr>
                    <a:xfrm>
                      <a:off x="0" y="0"/>
                      <a:ext cx="3764280" cy="238506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u w:val="single"/>
        </w:rPr>
        <w:t>Payback Period (PBP):</w:t>
      </w:r>
    </w:p>
    <w:p w14:paraId="58CF8733" w14:textId="2BEA2709" w:rsidR="00910C01" w:rsidRDefault="00000000">
      <w:pPr>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7380CE84" wp14:editId="2F7F8B5A">
            <wp:extent cx="2385267" cy="403895"/>
            <wp:effectExtent l="0" t="0" r="0" b="0"/>
            <wp:docPr id="103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1"/>
                    <pic:cNvPicPr/>
                  </pic:nvPicPr>
                  <pic:blipFill>
                    <a:blip r:embed="rId42" cstate="print"/>
                    <a:srcRect/>
                    <a:stretch/>
                  </pic:blipFill>
                  <pic:spPr>
                    <a:xfrm>
                      <a:off x="0" y="0"/>
                      <a:ext cx="2385267" cy="403895"/>
                    </a:xfrm>
                    <a:prstGeom prst="rect">
                      <a:avLst/>
                    </a:prstGeom>
                  </pic:spPr>
                </pic:pic>
              </a:graphicData>
            </a:graphic>
          </wp:inline>
        </w:drawing>
      </w:r>
    </w:p>
    <w:p w14:paraId="2C82877F"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Project B:</w:t>
      </w:r>
    </w:p>
    <w:p w14:paraId="2694D00E" w14:textId="38329556" w:rsidR="00910C01" w:rsidRDefault="00000000">
      <w:pPr>
        <w:jc w:val="both"/>
        <w:rPr>
          <w:rFonts w:ascii="Times New Roman" w:hAnsi="Times New Roman" w:cs="Times New Roman"/>
          <w:sz w:val="24"/>
          <w:szCs w:val="24"/>
        </w:rPr>
      </w:pPr>
      <w:r>
        <w:rPr>
          <w:rFonts w:ascii="Times New Roman" w:hAnsi="Times New Roman" w:cs="Times New Roman"/>
          <w:sz w:val="24"/>
          <w:szCs w:val="24"/>
        </w:rPr>
        <w:t>Initial Investment: £75 million</w:t>
      </w:r>
    </w:p>
    <w:p w14:paraId="35FE766A" w14:textId="09E50E26"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1 Cash Flow: £50 million</w:t>
      </w:r>
      <w:r w:rsidR="0076193E">
        <w:rPr>
          <w:rFonts w:ascii="Times New Roman" w:hAnsi="Times New Roman" w:cs="Times New Roman"/>
          <w:sz w:val="24"/>
          <w:szCs w:val="24"/>
        </w:rPr>
        <w:t xml:space="preserve">        </w:t>
      </w:r>
    </w:p>
    <w:p w14:paraId="7E11855D" w14:textId="5FD629CB"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2 Cash Flow: £20 million</w:t>
      </w:r>
    </w:p>
    <w:p w14:paraId="01363E38" w14:textId="77777777"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3 Cash Flow: £20 million</w:t>
      </w:r>
    </w:p>
    <w:p w14:paraId="18FDA085" w14:textId="1E77EF80" w:rsidR="00910C01" w:rsidRDefault="00000000">
      <w:pPr>
        <w:jc w:val="both"/>
        <w:rPr>
          <w:rFonts w:ascii="Times New Roman" w:hAnsi="Times New Roman" w:cs="Times New Roman"/>
          <w:sz w:val="24"/>
          <w:szCs w:val="24"/>
        </w:rPr>
      </w:pPr>
      <w:r>
        <w:rPr>
          <w:rFonts w:ascii="Times New Roman" w:hAnsi="Times New Roman" w:cs="Times New Roman"/>
          <w:sz w:val="24"/>
          <w:szCs w:val="24"/>
        </w:rPr>
        <w:t>Year 4 Cash Flow: £20 million</w:t>
      </w:r>
    </w:p>
    <w:p w14:paraId="5503CE4E" w14:textId="1230D910" w:rsidR="00910C01" w:rsidRDefault="00000000">
      <w:pPr>
        <w:jc w:val="both"/>
        <w:rPr>
          <w:rFonts w:ascii="Times New Roman" w:hAnsi="Times New Roman" w:cs="Times New Roman"/>
          <w:sz w:val="24"/>
          <w:szCs w:val="24"/>
        </w:rPr>
      </w:pPr>
      <w:r>
        <w:rPr>
          <w:rFonts w:ascii="Times New Roman" w:hAnsi="Times New Roman" w:cs="Times New Roman"/>
          <w:sz w:val="24"/>
          <w:szCs w:val="24"/>
        </w:rPr>
        <w:t>Accounting Rate of Return (ARR)</w:t>
      </w:r>
    </w:p>
    <w:p w14:paraId="0E0E7053"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Cumulative Cash Flow at end of Year 2:</w:t>
      </w:r>
      <w:r>
        <w:rPr>
          <w:rFonts w:ascii="Times New Roman" w:hAnsi="Times New Roman" w:cs="Times New Roman"/>
          <w:sz w:val="24"/>
          <w:szCs w:val="24"/>
        </w:rPr>
        <w:t xml:space="preserve"> −£75+£50+£20=−£5 million</w:t>
      </w:r>
    </w:p>
    <w:p w14:paraId="5AF7E430" w14:textId="77777777"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t>Cumulative Cash Flow at some time in Year 3:</w:t>
      </w:r>
    </w:p>
    <w:p w14:paraId="72F9DC94" w14:textId="77777777"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B11B6AA" wp14:editId="01996FBA">
            <wp:extent cx="1882302" cy="464860"/>
            <wp:effectExtent l="0" t="0" r="3810" b="0"/>
            <wp:docPr id="103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1"/>
                    <pic:cNvPicPr/>
                  </pic:nvPicPr>
                  <pic:blipFill>
                    <a:blip r:embed="rId43" cstate="print"/>
                    <a:srcRect/>
                    <a:stretch/>
                  </pic:blipFill>
                  <pic:spPr>
                    <a:xfrm>
                      <a:off x="0" y="0"/>
                      <a:ext cx="1882302" cy="464860"/>
                    </a:xfrm>
                    <a:prstGeom prst="rect">
                      <a:avLst/>
                    </a:prstGeom>
                  </pic:spPr>
                </pic:pic>
              </a:graphicData>
            </a:graphic>
          </wp:inline>
        </w:drawing>
      </w:r>
    </w:p>
    <w:p w14:paraId="768FFD1E" w14:textId="77777777" w:rsidR="00910C01" w:rsidRDefault="00000000">
      <w:pPr>
        <w:jc w:val="both"/>
        <w:rPr>
          <w:rFonts w:ascii="Times New Roman" w:hAnsi="Times New Roman" w:cs="Times New Roman"/>
          <w:sz w:val="24"/>
          <w:szCs w:val="24"/>
        </w:rPr>
      </w:pPr>
      <w:r>
        <w:rPr>
          <w:rFonts w:ascii="Times New Roman" w:hAnsi="Times New Roman" w:cs="Times New Roman"/>
          <w:b/>
          <w:bCs/>
          <w:sz w:val="24"/>
          <w:szCs w:val="24"/>
        </w:rPr>
        <w:t>Payback Period (PBP):</w:t>
      </w:r>
      <w:r>
        <w:rPr>
          <w:rFonts w:ascii="Times New Roman" w:hAnsi="Times New Roman" w:cs="Times New Roman"/>
          <w:sz w:val="24"/>
          <w:szCs w:val="24"/>
        </w:rPr>
        <w:t xml:space="preserve"> PBP=2+520=2.75 years</w:t>
      </w:r>
    </w:p>
    <w:p w14:paraId="0CEE62B6" w14:textId="77777777"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t>Project A (Amazon):</w:t>
      </w:r>
    </w:p>
    <w:p w14:paraId="304D8881" w14:textId="4FCDAC3B" w:rsidR="00910C01" w:rsidRDefault="0076193E">
      <w:pPr>
        <w:jc w:val="both"/>
        <w:rPr>
          <w:rFonts w:ascii="Times New Roman" w:hAnsi="Times New Roman" w:cs="Times New Roman"/>
          <w:sz w:val="24"/>
          <w:szCs w:val="24"/>
        </w:rPr>
      </w:pPr>
      <w:r>
        <w:rPr>
          <w:b/>
          <w:noProof/>
          <w:sz w:val="28"/>
        </w:rPr>
        <w:drawing>
          <wp:anchor distT="0" distB="0" distL="114300" distR="114300" simplePos="0" relativeHeight="251665408" behindDoc="1" locked="0" layoutInCell="1" allowOverlap="1" wp14:anchorId="6077C359" wp14:editId="25A40FDD">
            <wp:simplePos x="0" y="0"/>
            <wp:positionH relativeFrom="margin">
              <wp:posOffset>2766060</wp:posOffset>
            </wp:positionH>
            <wp:positionV relativeFrom="paragraph">
              <wp:posOffset>200025</wp:posOffset>
            </wp:positionV>
            <wp:extent cx="3634740" cy="2171700"/>
            <wp:effectExtent l="0" t="0" r="3810" b="0"/>
            <wp:wrapTight wrapText="bothSides">
              <wp:wrapPolygon edited="0">
                <wp:start x="0" y="0"/>
                <wp:lineTo x="0" y="21411"/>
                <wp:lineTo x="21509" y="21411"/>
                <wp:lineTo x="2150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RR 1.jpg"/>
                    <pic:cNvPicPr/>
                  </pic:nvPicPr>
                  <pic:blipFill>
                    <a:blip r:embed="rId44">
                      <a:extLst>
                        <a:ext uri="{28A0092B-C50C-407E-A947-70E740481C1C}">
                          <a14:useLocalDpi xmlns:a14="http://schemas.microsoft.com/office/drawing/2010/main" val="0"/>
                        </a:ext>
                      </a:extLst>
                    </a:blip>
                    <a:stretch>
                      <a:fillRect/>
                    </a:stretch>
                  </pic:blipFill>
                  <pic:spPr>
                    <a:xfrm>
                      <a:off x="0" y="0"/>
                      <a:ext cx="3634740" cy="21717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Average Annual Profit:</w:t>
      </w:r>
    </w:p>
    <w:p w14:paraId="297A9308" w14:textId="56CC8781"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5FEF7C" wp14:editId="59735BBC">
            <wp:extent cx="1386960" cy="281964"/>
            <wp:effectExtent l="0" t="0" r="3810" b="3810"/>
            <wp:docPr id="103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1"/>
                    <pic:cNvPicPr/>
                  </pic:nvPicPr>
                  <pic:blipFill>
                    <a:blip r:embed="rId45" cstate="print"/>
                    <a:srcRect/>
                    <a:stretch/>
                  </pic:blipFill>
                  <pic:spPr>
                    <a:xfrm>
                      <a:off x="0" y="0"/>
                      <a:ext cx="1386960" cy="281964"/>
                    </a:xfrm>
                    <a:prstGeom prst="rect">
                      <a:avLst/>
                    </a:prstGeom>
                  </pic:spPr>
                </pic:pic>
              </a:graphicData>
            </a:graphic>
          </wp:inline>
        </w:drawing>
      </w:r>
      <w:r>
        <w:rPr>
          <w:rFonts w:ascii="Times New Roman" w:hAnsi="Times New Roman" w:cs="Times New Roman"/>
          <w:sz w:val="24"/>
          <w:szCs w:val="24"/>
        </w:rPr>
        <w:t xml:space="preserve">  = £31.25 million.</w:t>
      </w:r>
    </w:p>
    <w:p w14:paraId="5E676F66" w14:textId="67896610" w:rsidR="00910C01" w:rsidRDefault="00910C01">
      <w:pPr>
        <w:jc w:val="both"/>
        <w:rPr>
          <w:rFonts w:ascii="Times New Roman" w:hAnsi="Times New Roman" w:cs="Times New Roman"/>
          <w:sz w:val="24"/>
          <w:szCs w:val="24"/>
        </w:rPr>
      </w:pPr>
    </w:p>
    <w:p w14:paraId="41297F8F" w14:textId="45449927" w:rsidR="00910C01" w:rsidRDefault="00000000">
      <w:pPr>
        <w:jc w:val="both"/>
        <w:rPr>
          <w:rFonts w:ascii="Times New Roman" w:hAnsi="Times New Roman" w:cs="Times New Roman"/>
          <w:sz w:val="24"/>
          <w:szCs w:val="24"/>
        </w:rPr>
      </w:pPr>
      <w:r>
        <w:rPr>
          <w:rFonts w:ascii="Times New Roman" w:hAnsi="Times New Roman" w:cs="Times New Roman"/>
          <w:sz w:val="24"/>
          <w:szCs w:val="24"/>
        </w:rPr>
        <w:t>ARR:</w:t>
      </w:r>
    </w:p>
    <w:p w14:paraId="700F732D" w14:textId="531460AD"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93320F" wp14:editId="5EF43F77">
            <wp:extent cx="1226926" cy="365792"/>
            <wp:effectExtent l="0" t="0" r="0" b="0"/>
            <wp:docPr id="104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1"/>
                    <pic:cNvPicPr/>
                  </pic:nvPicPr>
                  <pic:blipFill>
                    <a:blip r:embed="rId46" cstate="print"/>
                    <a:srcRect/>
                    <a:stretch/>
                  </pic:blipFill>
                  <pic:spPr>
                    <a:xfrm>
                      <a:off x="0" y="0"/>
                      <a:ext cx="1226926" cy="365792"/>
                    </a:xfrm>
                    <a:prstGeom prst="rect">
                      <a:avLst/>
                    </a:prstGeom>
                  </pic:spPr>
                </pic:pic>
              </a:graphicData>
            </a:graphic>
          </wp:inline>
        </w:drawing>
      </w:r>
      <w:r>
        <w:rPr>
          <w:rFonts w:ascii="Times New Roman" w:hAnsi="Times New Roman" w:cs="Times New Roman"/>
          <w:sz w:val="24"/>
          <w:szCs w:val="24"/>
        </w:rPr>
        <w:t xml:space="preserve">  = 0.3906=39.06%</w:t>
      </w:r>
    </w:p>
    <w:p w14:paraId="0E01D181" w14:textId="12BAE53A" w:rsidR="0076193E" w:rsidRDefault="0076193E">
      <w:pPr>
        <w:jc w:val="both"/>
        <w:rPr>
          <w:rFonts w:ascii="Times New Roman" w:hAnsi="Times New Roman" w:cs="Times New Roman"/>
          <w:sz w:val="24"/>
          <w:szCs w:val="24"/>
        </w:rPr>
      </w:pPr>
    </w:p>
    <w:p w14:paraId="7BF7842A" w14:textId="77777777" w:rsidR="0076193E" w:rsidRDefault="0076193E">
      <w:pPr>
        <w:jc w:val="both"/>
        <w:rPr>
          <w:rFonts w:ascii="Times New Roman" w:hAnsi="Times New Roman" w:cs="Times New Roman"/>
          <w:sz w:val="24"/>
          <w:szCs w:val="24"/>
        </w:rPr>
      </w:pPr>
    </w:p>
    <w:p w14:paraId="1BC28A93" w14:textId="651A63C6" w:rsidR="00910C01" w:rsidRDefault="00910C01">
      <w:pPr>
        <w:jc w:val="both"/>
        <w:rPr>
          <w:rFonts w:ascii="Times New Roman" w:hAnsi="Times New Roman" w:cs="Times New Roman"/>
          <w:sz w:val="24"/>
          <w:szCs w:val="24"/>
        </w:rPr>
      </w:pPr>
    </w:p>
    <w:p w14:paraId="114ADB62" w14:textId="516A74A0"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lastRenderedPageBreak/>
        <w:t>Project B:</w:t>
      </w:r>
    </w:p>
    <w:p w14:paraId="7FCEF7FE" w14:textId="051903BD" w:rsidR="00910C01" w:rsidRDefault="00000000">
      <w:pPr>
        <w:jc w:val="both"/>
        <w:rPr>
          <w:rFonts w:ascii="Times New Roman" w:hAnsi="Times New Roman" w:cs="Times New Roman"/>
          <w:sz w:val="24"/>
          <w:szCs w:val="24"/>
        </w:rPr>
      </w:pPr>
      <w:r>
        <w:rPr>
          <w:rFonts w:ascii="Times New Roman" w:hAnsi="Times New Roman" w:cs="Times New Roman"/>
          <w:sz w:val="24"/>
          <w:szCs w:val="24"/>
        </w:rPr>
        <w:t>Average Annual Profit:</w:t>
      </w:r>
    </w:p>
    <w:p w14:paraId="420CD0B9" w14:textId="609559D2"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33A626" wp14:editId="1193BD85">
            <wp:extent cx="1333616" cy="281964"/>
            <wp:effectExtent l="0" t="0" r="0" b="3810"/>
            <wp:docPr id="104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1"/>
                    <pic:cNvPicPr/>
                  </pic:nvPicPr>
                  <pic:blipFill>
                    <a:blip r:embed="rId47" cstate="print"/>
                    <a:srcRect/>
                    <a:stretch/>
                  </pic:blipFill>
                  <pic:spPr>
                    <a:xfrm>
                      <a:off x="0" y="0"/>
                      <a:ext cx="1333616" cy="281964"/>
                    </a:xfrm>
                    <a:prstGeom prst="rect">
                      <a:avLst/>
                    </a:prstGeom>
                  </pic:spPr>
                </pic:pic>
              </a:graphicData>
            </a:graphic>
          </wp:inline>
        </w:drawing>
      </w:r>
      <w:r>
        <w:rPr>
          <w:rFonts w:ascii="Times New Roman" w:hAnsi="Times New Roman" w:cs="Times New Roman"/>
          <w:sz w:val="24"/>
          <w:szCs w:val="24"/>
        </w:rPr>
        <w:t xml:space="preserve"> = £27.5 million</w:t>
      </w:r>
    </w:p>
    <w:p w14:paraId="00B01005" w14:textId="65E5A723" w:rsidR="00910C01" w:rsidRDefault="00000000">
      <w:pPr>
        <w:jc w:val="both"/>
        <w:rPr>
          <w:rFonts w:ascii="Times New Roman" w:hAnsi="Times New Roman" w:cs="Times New Roman"/>
          <w:sz w:val="24"/>
          <w:szCs w:val="24"/>
        </w:rPr>
      </w:pPr>
      <w:r>
        <w:rPr>
          <w:rFonts w:ascii="Times New Roman" w:hAnsi="Times New Roman" w:cs="Times New Roman"/>
          <w:sz w:val="24"/>
          <w:szCs w:val="24"/>
        </w:rPr>
        <w:t>ARR</w:t>
      </w:r>
    </w:p>
    <w:p w14:paraId="7D6335E0" w14:textId="268052B3"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B4E61B4" wp14:editId="7AA746EC">
            <wp:extent cx="1120237" cy="419136"/>
            <wp:effectExtent l="0" t="0" r="3810" b="0"/>
            <wp:docPr id="104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1"/>
                    <pic:cNvPicPr/>
                  </pic:nvPicPr>
                  <pic:blipFill>
                    <a:blip r:embed="rId48" cstate="print"/>
                    <a:srcRect/>
                    <a:stretch/>
                  </pic:blipFill>
                  <pic:spPr>
                    <a:xfrm>
                      <a:off x="0" y="0"/>
                      <a:ext cx="1120237" cy="419136"/>
                    </a:xfrm>
                    <a:prstGeom prst="rect">
                      <a:avLst/>
                    </a:prstGeom>
                  </pic:spPr>
                </pic:pic>
              </a:graphicData>
            </a:graphic>
          </wp:inline>
        </w:drawing>
      </w:r>
      <w:r>
        <w:rPr>
          <w:rFonts w:ascii="Times New Roman" w:hAnsi="Times New Roman" w:cs="Times New Roman"/>
          <w:sz w:val="24"/>
          <w:szCs w:val="24"/>
        </w:rPr>
        <w:t>= 0.3667=36.67%</w:t>
      </w:r>
    </w:p>
    <w:p w14:paraId="6216DD11" w14:textId="16D95E93" w:rsidR="00910C01" w:rsidRDefault="00000000">
      <w:pPr>
        <w:jc w:val="both"/>
        <w:rPr>
          <w:rFonts w:ascii="Times New Roman" w:hAnsi="Times New Roman" w:cs="Times New Roman"/>
          <w:b/>
          <w:bCs/>
          <w:sz w:val="24"/>
          <w:szCs w:val="24"/>
        </w:rPr>
      </w:pPr>
      <w:r>
        <w:rPr>
          <w:rFonts w:ascii="Times New Roman" w:hAnsi="Times New Roman" w:cs="Times New Roman"/>
          <w:b/>
          <w:bCs/>
          <w:sz w:val="24"/>
          <w:szCs w:val="24"/>
        </w:rPr>
        <w:t>Net Present Value (NPV):</w:t>
      </w:r>
    </w:p>
    <w:p w14:paraId="222BC2F3" w14:textId="5AE182C5" w:rsidR="00910C01" w:rsidRDefault="00000000">
      <w:pPr>
        <w:jc w:val="both"/>
        <w:rPr>
          <w:rFonts w:ascii="Times New Roman" w:hAnsi="Times New Roman" w:cs="Times New Roman"/>
          <w:sz w:val="24"/>
          <w:szCs w:val="24"/>
        </w:rPr>
      </w:pPr>
      <w:r>
        <w:rPr>
          <w:rFonts w:ascii="Times New Roman" w:hAnsi="Times New Roman" w:cs="Times New Roman"/>
          <w:sz w:val="24"/>
          <w:szCs w:val="24"/>
        </w:rPr>
        <w:t>Project A (Amazon):</w:t>
      </w:r>
    </w:p>
    <w:p w14:paraId="03E29BBA" w14:textId="3E51F9F7" w:rsidR="00910C01" w:rsidRDefault="0000000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0D54449" wp14:editId="1DC97681">
            <wp:extent cx="5204911" cy="1348857"/>
            <wp:effectExtent l="0" t="0" r="0" b="3810"/>
            <wp:docPr id="104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1"/>
                    <pic:cNvPicPr/>
                  </pic:nvPicPr>
                  <pic:blipFill>
                    <a:blip r:embed="rId49" cstate="print"/>
                    <a:srcRect/>
                    <a:stretch/>
                  </pic:blipFill>
                  <pic:spPr>
                    <a:xfrm>
                      <a:off x="0" y="0"/>
                      <a:ext cx="5204911" cy="1348857"/>
                    </a:xfrm>
                    <a:prstGeom prst="rect">
                      <a:avLst/>
                    </a:prstGeom>
                  </pic:spPr>
                </pic:pic>
              </a:graphicData>
            </a:graphic>
          </wp:inline>
        </w:drawing>
      </w:r>
    </w:p>
    <w:p w14:paraId="277CF1EF" w14:textId="52C6D0B9" w:rsidR="00910C01" w:rsidRDefault="00000000">
      <w:pPr>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8"/>
          <w:szCs w:val="28"/>
        </w:rPr>
        <w:t xml:space="preserve"> </w:t>
      </w:r>
      <w:r>
        <w:rPr>
          <w:rFonts w:ascii="Times New Roman" w:hAnsi="Times New Roman" w:cs="Times New Roman"/>
          <w:i/>
          <w:iCs/>
          <w:sz w:val="28"/>
          <w:szCs w:val="28"/>
        </w:rPr>
        <w:t>NPV     =</w:t>
      </w:r>
      <w:r>
        <w:rPr>
          <w:rFonts w:ascii="Times New Roman" w:hAnsi="Times New Roman" w:cs="Times New Roman"/>
          <w:sz w:val="28"/>
          <w:szCs w:val="28"/>
        </w:rPr>
        <w:t xml:space="preserve"> </w:t>
      </w:r>
      <w:r>
        <w:rPr>
          <w:rFonts w:ascii="Times New Roman" w:hAnsi="Times New Roman" w:cs="Times New Roman"/>
          <w:sz w:val="24"/>
          <w:szCs w:val="24"/>
        </w:rPr>
        <w:t>22.80+20.83+15.24+37.71−80=16.57 million</w:t>
      </w:r>
    </w:p>
    <w:p w14:paraId="7F5A1C9C" w14:textId="78CD2D90" w:rsidR="00910C01" w:rsidRDefault="00000000">
      <w:pPr>
        <w:jc w:val="both"/>
        <w:rPr>
          <w:rFonts w:ascii="Times New Roman" w:hAnsi="Times New Roman" w:cs="Times New Roman"/>
          <w:sz w:val="24"/>
          <w:szCs w:val="24"/>
        </w:rPr>
      </w:pPr>
      <w:r>
        <w:rPr>
          <w:rFonts w:ascii="Times New Roman" w:hAnsi="Times New Roman" w:cs="Times New Roman"/>
          <w:sz w:val="24"/>
          <w:szCs w:val="24"/>
        </w:rPr>
        <w:t>Project B:</w:t>
      </w:r>
    </w:p>
    <w:p w14:paraId="3F08951E" w14:textId="4A9DB892" w:rsidR="00910C01" w:rsidRDefault="00000000">
      <w:pPr>
        <w:jc w:val="both"/>
        <w:rPr>
          <w:rFonts w:ascii="Times New Roman" w:hAnsi="Times New Roman" w:cs="Times New Roman"/>
          <w:i/>
          <w:iCs/>
          <w:sz w:val="28"/>
          <w:szCs w:val="28"/>
        </w:rPr>
      </w:pPr>
      <w:r>
        <w:rPr>
          <w:rFonts w:ascii="Times New Roman" w:hAnsi="Times New Roman" w:cs="Times New Roman"/>
          <w:noProof/>
          <w:sz w:val="24"/>
          <w:szCs w:val="24"/>
        </w:rPr>
        <w:drawing>
          <wp:inline distT="0" distB="0" distL="0" distR="0" wp14:anchorId="0F9E1567" wp14:editId="6D57B06F">
            <wp:extent cx="5159187" cy="922100"/>
            <wp:effectExtent l="0" t="0" r="3810" b="0"/>
            <wp:docPr id="104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Picture 1"/>
                    <pic:cNvPicPr/>
                  </pic:nvPicPr>
                  <pic:blipFill>
                    <a:blip r:embed="rId50" cstate="print"/>
                    <a:srcRect/>
                    <a:stretch/>
                  </pic:blipFill>
                  <pic:spPr>
                    <a:xfrm>
                      <a:off x="0" y="0"/>
                      <a:ext cx="5159187" cy="922100"/>
                    </a:xfrm>
                    <a:prstGeom prst="rect">
                      <a:avLst/>
                    </a:prstGeom>
                  </pic:spPr>
                </pic:pic>
              </a:graphicData>
            </a:graphic>
          </wp:inline>
        </w:drawing>
      </w:r>
    </w:p>
    <w:p w14:paraId="474D70E5" w14:textId="036343FE" w:rsidR="00910C01" w:rsidRDefault="00000000">
      <w:pPr>
        <w:jc w:val="both"/>
        <w:rPr>
          <w:rFonts w:ascii="Times New Roman" w:hAnsi="Times New Roman" w:cs="Times New Roman"/>
          <w:sz w:val="24"/>
          <w:szCs w:val="24"/>
        </w:rPr>
      </w:pPr>
      <w:r>
        <w:rPr>
          <w:rFonts w:ascii="Times New Roman" w:hAnsi="Times New Roman" w:cs="Times New Roman"/>
          <w:i/>
          <w:iCs/>
          <w:sz w:val="28"/>
          <w:szCs w:val="28"/>
        </w:rPr>
        <w:t xml:space="preserve">NPV  </w:t>
      </w:r>
      <w:r>
        <w:rPr>
          <w:rFonts w:ascii="Times New Roman" w:hAnsi="Times New Roman" w:cs="Times New Roman"/>
          <w:i/>
          <w:iCs/>
          <w:sz w:val="32"/>
          <w:szCs w:val="32"/>
        </w:rPr>
        <w:t xml:space="preserve"> </w:t>
      </w:r>
      <w:r>
        <w:rPr>
          <w:rFonts w:ascii="Times New Roman" w:hAnsi="Times New Roman" w:cs="Times New Roman"/>
          <w:sz w:val="28"/>
          <w:szCs w:val="28"/>
        </w:rPr>
        <w:t xml:space="preserve">=   </w:t>
      </w:r>
      <w:r>
        <w:rPr>
          <w:rFonts w:ascii="Times New Roman" w:hAnsi="Times New Roman" w:cs="Times New Roman"/>
          <w:sz w:val="24"/>
          <w:szCs w:val="24"/>
        </w:rPr>
        <w:t>45.57+16.62+15.14+13.74−75=16.08 million</w:t>
      </w:r>
    </w:p>
    <w:p w14:paraId="280532BC" w14:textId="1FBE949B" w:rsidR="00ED6EFA" w:rsidRDefault="00ED6EFA">
      <w:pPr>
        <w:jc w:val="both"/>
        <w:rPr>
          <w:rFonts w:ascii="Times New Roman" w:hAnsi="Times New Roman" w:cs="Times New Roman"/>
          <w:sz w:val="24"/>
          <w:szCs w:val="24"/>
        </w:rPr>
      </w:pPr>
      <w:r>
        <w:rPr>
          <w:b/>
          <w:noProof/>
          <w:sz w:val="28"/>
        </w:rPr>
        <w:drawing>
          <wp:anchor distT="0" distB="0" distL="114300" distR="114300" simplePos="0" relativeHeight="251669504" behindDoc="1" locked="0" layoutInCell="1" allowOverlap="1" wp14:anchorId="0399467D" wp14:editId="61F10266">
            <wp:simplePos x="0" y="0"/>
            <wp:positionH relativeFrom="column">
              <wp:posOffset>0</wp:posOffset>
            </wp:positionH>
            <wp:positionV relativeFrom="paragraph">
              <wp:posOffset>-55880</wp:posOffset>
            </wp:positionV>
            <wp:extent cx="5394960" cy="2087880"/>
            <wp:effectExtent l="0" t="0" r="0" b="7620"/>
            <wp:wrapTight wrapText="bothSides">
              <wp:wrapPolygon edited="0">
                <wp:start x="0" y="0"/>
                <wp:lineTo x="0" y="21482"/>
                <wp:lineTo x="21508" y="21482"/>
                <wp:lineTo x="2150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PV 1.jpg"/>
                    <pic:cNvPicPr/>
                  </pic:nvPicPr>
                  <pic:blipFill>
                    <a:blip r:embed="rId51">
                      <a:extLst>
                        <a:ext uri="{28A0092B-C50C-407E-A947-70E740481C1C}">
                          <a14:useLocalDpi xmlns:a14="http://schemas.microsoft.com/office/drawing/2010/main" val="0"/>
                        </a:ext>
                      </a:extLst>
                    </a:blip>
                    <a:stretch>
                      <a:fillRect/>
                    </a:stretch>
                  </pic:blipFill>
                  <pic:spPr>
                    <a:xfrm>
                      <a:off x="0" y="0"/>
                      <a:ext cx="5394960" cy="2087880"/>
                    </a:xfrm>
                    <a:prstGeom prst="rect">
                      <a:avLst/>
                    </a:prstGeom>
                  </pic:spPr>
                </pic:pic>
              </a:graphicData>
            </a:graphic>
            <wp14:sizeRelH relativeFrom="page">
              <wp14:pctWidth>0</wp14:pctWidth>
            </wp14:sizeRelH>
            <wp14:sizeRelV relativeFrom="page">
              <wp14:pctHeight>0</wp14:pctHeight>
            </wp14:sizeRelV>
          </wp:anchor>
        </w:drawing>
      </w:r>
    </w:p>
    <w:p w14:paraId="20097E52" w14:textId="23EB9324" w:rsidR="00ED6EFA" w:rsidRDefault="00ED6EFA">
      <w:pPr>
        <w:jc w:val="both"/>
        <w:rPr>
          <w:rFonts w:ascii="Times New Roman" w:hAnsi="Times New Roman" w:cs="Times New Roman"/>
          <w:sz w:val="24"/>
          <w:szCs w:val="24"/>
        </w:rPr>
      </w:pPr>
    </w:p>
    <w:p w14:paraId="55BF8787" w14:textId="181F1DA2" w:rsidR="00ED6EFA" w:rsidRDefault="00ED6EFA">
      <w:pPr>
        <w:jc w:val="both"/>
        <w:rPr>
          <w:rFonts w:ascii="Times New Roman" w:hAnsi="Times New Roman" w:cs="Times New Roman"/>
          <w:sz w:val="24"/>
          <w:szCs w:val="24"/>
        </w:rPr>
      </w:pPr>
    </w:p>
    <w:p w14:paraId="532867E9" w14:textId="3E494D6C" w:rsidR="00ED6EFA" w:rsidRDefault="00ED6EFA">
      <w:pPr>
        <w:jc w:val="both"/>
        <w:rPr>
          <w:rFonts w:ascii="Times New Roman" w:hAnsi="Times New Roman" w:cs="Times New Roman"/>
          <w:sz w:val="24"/>
          <w:szCs w:val="24"/>
        </w:rPr>
      </w:pPr>
    </w:p>
    <w:p w14:paraId="0A21BC0D" w14:textId="77777777" w:rsidR="00ED6EFA" w:rsidRDefault="00ED6EFA">
      <w:pPr>
        <w:jc w:val="both"/>
        <w:rPr>
          <w:rFonts w:ascii="Times New Roman" w:hAnsi="Times New Roman" w:cs="Times New Roman"/>
          <w:sz w:val="24"/>
          <w:szCs w:val="24"/>
        </w:rPr>
      </w:pPr>
    </w:p>
    <w:p w14:paraId="3BE0655F" w14:textId="77777777" w:rsidR="00ED6EFA" w:rsidRDefault="00ED6EFA">
      <w:pPr>
        <w:jc w:val="both"/>
        <w:rPr>
          <w:rFonts w:ascii="Times New Roman" w:hAnsi="Times New Roman" w:cs="Times New Roman"/>
          <w:sz w:val="24"/>
          <w:szCs w:val="24"/>
        </w:rPr>
      </w:pPr>
    </w:p>
    <w:p w14:paraId="3023E671" w14:textId="06DCA861" w:rsidR="00ED6EFA" w:rsidRDefault="00ED6EFA">
      <w:pPr>
        <w:jc w:val="both"/>
        <w:rPr>
          <w:rFonts w:ascii="Times New Roman" w:hAnsi="Times New Roman" w:cs="Times New Roman"/>
          <w:sz w:val="24"/>
          <w:szCs w:val="24"/>
        </w:rPr>
      </w:pPr>
    </w:p>
    <w:p w14:paraId="00F0E899"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Evaluation and Recommendations</w:t>
      </w:r>
    </w:p>
    <w:p w14:paraId="3517DC2C"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Payback Period (PBP):</w:t>
      </w:r>
    </w:p>
    <w:p w14:paraId="6F664C5D"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Project B has a shorter PBP (2.75 years) compared to Project A (3.82 years), indicating a quicker recovery of the initial investment.</w:t>
      </w:r>
    </w:p>
    <w:p w14:paraId="428C82F5"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Accounting Rate of Return (ARR):</w:t>
      </w:r>
    </w:p>
    <w:p w14:paraId="2388DA48"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Project A shows a slightly higher ARR (39.06%) than Project B (36.67%), indicating a better return on investment relative to the initial cost.</w:t>
      </w:r>
    </w:p>
    <w:p w14:paraId="542AB780"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Net Present Value (NPV):</w:t>
      </w:r>
    </w:p>
    <w:p w14:paraId="05CE7DF3"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Project A has a slightly higher NPV (£16.57 million) compared to Project B (£16.08 million). NPV is a crucial measure as it reflects the total value added by the project, considering the time value of money.</w:t>
      </w:r>
    </w:p>
    <w:p w14:paraId="5DC27B96"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Recommendation:</w:t>
      </w:r>
      <w:r>
        <w:rPr>
          <w:rFonts w:ascii="Times New Roman" w:hAnsi="Times New Roman" w:cs="Times New Roman"/>
          <w:sz w:val="24"/>
          <w:szCs w:val="24"/>
        </w:rPr>
        <w:t xml:space="preserve"> Calculations show that Project A (Amazon.com) has a larger NPV and ARR, so in terms of total value creation and profitability it is more financially appealing. For risk-averse investors, Project B's shorter payback time does, however, imply a faster return on the original investment.</w:t>
      </w:r>
    </w:p>
    <w:p w14:paraId="090C1F0F" w14:textId="01FE7385"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Assuming the business can control the longer payback time, the implementation of Project A (Amazon) ought to be considered based on the greater NPV and ARR as it is focused on optimizing profitability over the long term and shareholder </w:t>
      </w:r>
      <w:proofErr w:type="gramStart"/>
      <w:r>
        <w:rPr>
          <w:rFonts w:ascii="Times New Roman" w:hAnsi="Times New Roman" w:cs="Times New Roman"/>
          <w:sz w:val="24"/>
          <w:szCs w:val="24"/>
        </w:rPr>
        <w:t>value..</w:t>
      </w:r>
      <w:proofErr w:type="gramEnd"/>
    </w:p>
    <w:p w14:paraId="311035B4"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Critical Discussion of Techniques:</w:t>
      </w:r>
    </w:p>
    <w:p w14:paraId="55E8F728" w14:textId="25EF3231"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Payback Period (PBP):</w:t>
      </w:r>
    </w:p>
    <w:p w14:paraId="655E9F48"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w:t>
      </w:r>
    </w:p>
    <w:p w14:paraId="7A11809E" w14:textId="77777777" w:rsidR="00910C01" w:rsidRDefault="00000000">
      <w:pPr>
        <w:numPr>
          <w:ilvl w:val="0"/>
          <w:numId w:val="51"/>
        </w:numPr>
        <w:spacing w:line="360" w:lineRule="auto"/>
        <w:jc w:val="both"/>
        <w:rPr>
          <w:rFonts w:ascii="Times New Roman" w:hAnsi="Times New Roman" w:cs="Times New Roman"/>
          <w:sz w:val="24"/>
          <w:szCs w:val="24"/>
        </w:rPr>
      </w:pPr>
      <w:r>
        <w:rPr>
          <w:rFonts w:ascii="Times New Roman" w:hAnsi="Times New Roman" w:cs="Times New Roman"/>
          <w:sz w:val="24"/>
          <w:szCs w:val="24"/>
        </w:rPr>
        <w:t>Simple to calculate and understand.</w:t>
      </w:r>
    </w:p>
    <w:p w14:paraId="0C802A15" w14:textId="77777777" w:rsidR="00910C01" w:rsidRDefault="00000000">
      <w:pPr>
        <w:numPr>
          <w:ilvl w:val="0"/>
          <w:numId w:val="51"/>
        </w:numPr>
        <w:spacing w:line="360" w:lineRule="auto"/>
        <w:jc w:val="both"/>
        <w:rPr>
          <w:rFonts w:ascii="Times New Roman" w:hAnsi="Times New Roman" w:cs="Times New Roman"/>
          <w:sz w:val="24"/>
          <w:szCs w:val="24"/>
        </w:rPr>
      </w:pPr>
      <w:r>
        <w:rPr>
          <w:rFonts w:ascii="Times New Roman" w:hAnsi="Times New Roman" w:cs="Times New Roman"/>
          <w:sz w:val="24"/>
          <w:szCs w:val="24"/>
        </w:rPr>
        <w:t>Useful for assessing project liquidity and risk.</w:t>
      </w:r>
    </w:p>
    <w:p w14:paraId="2BDB24B2" w14:textId="77777777" w:rsidR="00910C01" w:rsidRDefault="00000000">
      <w:pPr>
        <w:numPr>
          <w:ilvl w:val="0"/>
          <w:numId w:val="51"/>
        </w:numPr>
        <w:spacing w:line="360" w:lineRule="auto"/>
        <w:jc w:val="both"/>
        <w:rPr>
          <w:rFonts w:ascii="Times New Roman" w:hAnsi="Times New Roman" w:cs="Times New Roman"/>
          <w:sz w:val="24"/>
          <w:szCs w:val="24"/>
        </w:rPr>
      </w:pPr>
      <w:r>
        <w:rPr>
          <w:rFonts w:ascii="Times New Roman" w:hAnsi="Times New Roman" w:cs="Times New Roman"/>
          <w:sz w:val="24"/>
          <w:szCs w:val="24"/>
        </w:rPr>
        <w:t>Shortcomings:</w:t>
      </w:r>
    </w:p>
    <w:p w14:paraId="111B9BEE" w14:textId="77777777" w:rsidR="00910C01" w:rsidRDefault="00000000">
      <w:pPr>
        <w:numPr>
          <w:ilvl w:val="0"/>
          <w:numId w:val="51"/>
        </w:numPr>
        <w:spacing w:line="360" w:lineRule="auto"/>
        <w:jc w:val="both"/>
        <w:rPr>
          <w:rFonts w:ascii="Times New Roman" w:hAnsi="Times New Roman" w:cs="Times New Roman"/>
          <w:sz w:val="24"/>
          <w:szCs w:val="24"/>
        </w:rPr>
      </w:pPr>
      <w:r>
        <w:rPr>
          <w:rFonts w:ascii="Times New Roman" w:hAnsi="Times New Roman" w:cs="Times New Roman"/>
          <w:sz w:val="24"/>
          <w:szCs w:val="24"/>
        </w:rPr>
        <w:t>Ignores the time value of money.</w:t>
      </w:r>
    </w:p>
    <w:p w14:paraId="6B39B613" w14:textId="77777777" w:rsidR="00910C01" w:rsidRDefault="00000000">
      <w:pPr>
        <w:numPr>
          <w:ilvl w:val="0"/>
          <w:numId w:val="5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Does not consider cash flows beyond the payback period, potentially ignoring long-term profitability.</w:t>
      </w:r>
    </w:p>
    <w:p w14:paraId="200AF515"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Accounting Rate of Return (ARR):</w:t>
      </w:r>
    </w:p>
    <w:p w14:paraId="5F68FBF8"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w:t>
      </w:r>
    </w:p>
    <w:p w14:paraId="59975506" w14:textId="77777777" w:rsidR="00910C01" w:rsidRDefault="00000000">
      <w:pPr>
        <w:numPr>
          <w:ilvl w:val="0"/>
          <w:numId w:val="52"/>
        </w:numPr>
        <w:spacing w:line="360" w:lineRule="auto"/>
        <w:jc w:val="both"/>
        <w:rPr>
          <w:rFonts w:ascii="Times New Roman" w:hAnsi="Times New Roman" w:cs="Times New Roman"/>
          <w:sz w:val="24"/>
          <w:szCs w:val="24"/>
        </w:rPr>
      </w:pPr>
      <w:r>
        <w:rPr>
          <w:rFonts w:ascii="Times New Roman" w:hAnsi="Times New Roman" w:cs="Times New Roman"/>
          <w:sz w:val="24"/>
          <w:szCs w:val="24"/>
        </w:rPr>
        <w:t>Easy to calculate and communicate.</w:t>
      </w:r>
    </w:p>
    <w:p w14:paraId="1DA5B1A8" w14:textId="77777777" w:rsidR="00910C01" w:rsidRDefault="00000000">
      <w:pPr>
        <w:numPr>
          <w:ilvl w:val="0"/>
          <w:numId w:val="52"/>
        </w:numPr>
        <w:spacing w:line="360" w:lineRule="auto"/>
        <w:jc w:val="both"/>
        <w:rPr>
          <w:rFonts w:ascii="Times New Roman" w:hAnsi="Times New Roman" w:cs="Times New Roman"/>
          <w:sz w:val="24"/>
          <w:szCs w:val="24"/>
        </w:rPr>
      </w:pPr>
      <w:r>
        <w:rPr>
          <w:rFonts w:ascii="Times New Roman" w:hAnsi="Times New Roman" w:cs="Times New Roman"/>
          <w:sz w:val="24"/>
          <w:szCs w:val="24"/>
        </w:rPr>
        <w:t>Considers the overall profitability of the project.</w:t>
      </w:r>
    </w:p>
    <w:p w14:paraId="789D31C6" w14:textId="77777777" w:rsidR="00910C01" w:rsidRDefault="00000000">
      <w:pPr>
        <w:numPr>
          <w:ilvl w:val="0"/>
          <w:numId w:val="52"/>
        </w:numPr>
        <w:spacing w:line="360" w:lineRule="auto"/>
        <w:jc w:val="both"/>
        <w:rPr>
          <w:rFonts w:ascii="Times New Roman" w:hAnsi="Times New Roman" w:cs="Times New Roman"/>
          <w:sz w:val="24"/>
          <w:szCs w:val="24"/>
        </w:rPr>
      </w:pPr>
      <w:r>
        <w:rPr>
          <w:rFonts w:ascii="Times New Roman" w:hAnsi="Times New Roman" w:cs="Times New Roman"/>
          <w:sz w:val="24"/>
          <w:szCs w:val="24"/>
        </w:rPr>
        <w:t>Shortcomings:</w:t>
      </w:r>
    </w:p>
    <w:p w14:paraId="418B7E87" w14:textId="77777777" w:rsidR="00910C01" w:rsidRDefault="00000000">
      <w:pPr>
        <w:numPr>
          <w:ilvl w:val="0"/>
          <w:numId w:val="52"/>
        </w:numPr>
        <w:spacing w:line="360" w:lineRule="auto"/>
        <w:jc w:val="both"/>
        <w:rPr>
          <w:rFonts w:ascii="Times New Roman" w:hAnsi="Times New Roman" w:cs="Times New Roman"/>
          <w:sz w:val="24"/>
          <w:szCs w:val="24"/>
        </w:rPr>
      </w:pPr>
      <w:r>
        <w:rPr>
          <w:rFonts w:ascii="Times New Roman" w:hAnsi="Times New Roman" w:cs="Times New Roman"/>
          <w:sz w:val="24"/>
          <w:szCs w:val="24"/>
        </w:rPr>
        <w:t>Ignores the time value of money.</w:t>
      </w:r>
    </w:p>
    <w:p w14:paraId="1F81D5CA" w14:textId="77777777" w:rsidR="00910C01" w:rsidRDefault="00000000">
      <w:pPr>
        <w:numPr>
          <w:ilvl w:val="0"/>
          <w:numId w:val="52"/>
        </w:numPr>
        <w:spacing w:line="360" w:lineRule="auto"/>
        <w:jc w:val="both"/>
        <w:rPr>
          <w:rFonts w:ascii="Times New Roman" w:hAnsi="Times New Roman" w:cs="Times New Roman"/>
          <w:sz w:val="24"/>
          <w:szCs w:val="24"/>
        </w:rPr>
      </w:pPr>
      <w:r>
        <w:rPr>
          <w:rFonts w:ascii="Times New Roman" w:hAnsi="Times New Roman" w:cs="Times New Roman"/>
          <w:sz w:val="24"/>
          <w:szCs w:val="24"/>
        </w:rPr>
        <w:t>Based on accounting profits rather than cash flows, which can be manipulated by accounting policies.</w:t>
      </w:r>
    </w:p>
    <w:p w14:paraId="52F36A91"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Net Present Value (NPV):</w:t>
      </w:r>
    </w:p>
    <w:p w14:paraId="5F4C21C1" w14:textId="77777777" w:rsidR="00910C01"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w:t>
      </w:r>
    </w:p>
    <w:p w14:paraId="06B7C43B" w14:textId="77777777" w:rsidR="00910C01" w:rsidRDefault="00000000">
      <w:pPr>
        <w:numPr>
          <w:ilvl w:val="0"/>
          <w:numId w:val="53"/>
        </w:numPr>
        <w:spacing w:line="360" w:lineRule="auto"/>
        <w:jc w:val="both"/>
        <w:rPr>
          <w:rFonts w:ascii="Times New Roman" w:hAnsi="Times New Roman" w:cs="Times New Roman"/>
          <w:sz w:val="24"/>
          <w:szCs w:val="24"/>
        </w:rPr>
      </w:pPr>
      <w:r>
        <w:rPr>
          <w:rFonts w:ascii="Times New Roman" w:hAnsi="Times New Roman" w:cs="Times New Roman"/>
          <w:sz w:val="24"/>
          <w:szCs w:val="24"/>
        </w:rPr>
        <w:t>Considers the time value of money.</w:t>
      </w:r>
    </w:p>
    <w:p w14:paraId="52EFBA1D" w14:textId="77777777" w:rsidR="00910C01" w:rsidRDefault="00000000">
      <w:pPr>
        <w:numPr>
          <w:ilvl w:val="0"/>
          <w:numId w:val="53"/>
        </w:numPr>
        <w:spacing w:line="360" w:lineRule="auto"/>
        <w:jc w:val="both"/>
        <w:rPr>
          <w:rFonts w:ascii="Times New Roman" w:hAnsi="Times New Roman" w:cs="Times New Roman"/>
          <w:sz w:val="24"/>
          <w:szCs w:val="24"/>
        </w:rPr>
      </w:pPr>
      <w:r>
        <w:rPr>
          <w:rFonts w:ascii="Times New Roman" w:hAnsi="Times New Roman" w:cs="Times New Roman"/>
          <w:sz w:val="24"/>
          <w:szCs w:val="24"/>
        </w:rPr>
        <w:t>Provides a direct measure of the value added by the project.</w:t>
      </w:r>
    </w:p>
    <w:p w14:paraId="51C3CA98" w14:textId="77777777" w:rsidR="00910C01" w:rsidRDefault="00000000">
      <w:pPr>
        <w:numPr>
          <w:ilvl w:val="0"/>
          <w:numId w:val="53"/>
        </w:numPr>
        <w:spacing w:line="360" w:lineRule="auto"/>
        <w:jc w:val="both"/>
        <w:rPr>
          <w:rFonts w:ascii="Times New Roman" w:hAnsi="Times New Roman" w:cs="Times New Roman"/>
          <w:sz w:val="24"/>
          <w:szCs w:val="24"/>
        </w:rPr>
      </w:pPr>
      <w:r>
        <w:rPr>
          <w:rFonts w:ascii="Times New Roman" w:hAnsi="Times New Roman" w:cs="Times New Roman"/>
          <w:sz w:val="24"/>
          <w:szCs w:val="24"/>
        </w:rPr>
        <w:t>Considers all cash flows over the project's life.</w:t>
      </w:r>
    </w:p>
    <w:p w14:paraId="5F3FFDD0" w14:textId="77777777" w:rsidR="00910C01" w:rsidRDefault="00000000">
      <w:pPr>
        <w:numPr>
          <w:ilvl w:val="0"/>
          <w:numId w:val="53"/>
        </w:numPr>
        <w:spacing w:line="360" w:lineRule="auto"/>
        <w:jc w:val="both"/>
        <w:rPr>
          <w:rFonts w:ascii="Times New Roman" w:hAnsi="Times New Roman" w:cs="Times New Roman"/>
          <w:sz w:val="24"/>
          <w:szCs w:val="24"/>
        </w:rPr>
      </w:pPr>
      <w:r>
        <w:rPr>
          <w:rFonts w:ascii="Times New Roman" w:hAnsi="Times New Roman" w:cs="Times New Roman"/>
          <w:sz w:val="24"/>
          <w:szCs w:val="24"/>
        </w:rPr>
        <w:t>Shortcomings:</w:t>
      </w:r>
    </w:p>
    <w:p w14:paraId="34F8F12D" w14:textId="77777777" w:rsidR="00910C01" w:rsidRDefault="00000000">
      <w:pPr>
        <w:numPr>
          <w:ilvl w:val="0"/>
          <w:numId w:val="53"/>
        </w:numPr>
        <w:spacing w:line="360" w:lineRule="auto"/>
        <w:jc w:val="both"/>
        <w:rPr>
          <w:rFonts w:ascii="Times New Roman" w:hAnsi="Times New Roman" w:cs="Times New Roman"/>
          <w:sz w:val="24"/>
          <w:szCs w:val="24"/>
        </w:rPr>
      </w:pPr>
      <w:r>
        <w:rPr>
          <w:rFonts w:ascii="Times New Roman" w:hAnsi="Times New Roman" w:cs="Times New Roman"/>
          <w:sz w:val="24"/>
          <w:szCs w:val="24"/>
        </w:rPr>
        <w:t>More complex to calculate.</w:t>
      </w:r>
    </w:p>
    <w:p w14:paraId="4D49124E" w14:textId="77777777" w:rsidR="00910C01" w:rsidRDefault="00000000">
      <w:pPr>
        <w:numPr>
          <w:ilvl w:val="0"/>
          <w:numId w:val="53"/>
        </w:numPr>
        <w:spacing w:line="360" w:lineRule="auto"/>
        <w:jc w:val="both"/>
        <w:rPr>
          <w:rFonts w:ascii="Times New Roman" w:hAnsi="Times New Roman" w:cs="Times New Roman"/>
          <w:sz w:val="24"/>
          <w:szCs w:val="24"/>
        </w:rPr>
      </w:pPr>
      <w:r>
        <w:rPr>
          <w:rFonts w:ascii="Times New Roman" w:hAnsi="Times New Roman" w:cs="Times New Roman"/>
          <w:sz w:val="24"/>
          <w:szCs w:val="24"/>
        </w:rPr>
        <w:t>Relies heavily on the accuracy of the discount rate used.</w:t>
      </w:r>
    </w:p>
    <w:p w14:paraId="075014B4"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Non-Financial Factors:</w:t>
      </w:r>
    </w:p>
    <w:p w14:paraId="2636F31E"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Strategic Fit:</w:t>
      </w:r>
      <w:r>
        <w:rPr>
          <w:rFonts w:ascii="Times New Roman" w:hAnsi="Times New Roman" w:cs="Times New Roman"/>
          <w:sz w:val="24"/>
          <w:szCs w:val="24"/>
        </w:rPr>
        <w:t xml:space="preserve"> The project's orientation toward long-term strategic objectives of the firm.</w:t>
      </w:r>
    </w:p>
    <w:p w14:paraId="25198271" w14:textId="77777777" w:rsidR="00910C01" w:rsidRDefault="00000000">
      <w:pPr>
        <w:numPr>
          <w:ilvl w:val="0"/>
          <w:numId w:val="54"/>
        </w:numPr>
        <w:spacing w:line="360" w:lineRule="auto"/>
        <w:jc w:val="both"/>
        <w:rPr>
          <w:rFonts w:ascii="Times New Roman" w:hAnsi="Times New Roman" w:cs="Times New Roman"/>
          <w:sz w:val="24"/>
          <w:szCs w:val="24"/>
        </w:rPr>
      </w:pPr>
      <w:r>
        <w:rPr>
          <w:rFonts w:ascii="Times New Roman" w:hAnsi="Times New Roman" w:cs="Times New Roman"/>
          <w:sz w:val="24"/>
          <w:szCs w:val="24"/>
        </w:rPr>
        <w:t>Market Conditions: The potential impact of market dynamics and competitive landscape.</w:t>
      </w:r>
    </w:p>
    <w:p w14:paraId="5EADF9E6" w14:textId="77777777" w:rsidR="00910C01" w:rsidRDefault="00000000">
      <w:pPr>
        <w:numPr>
          <w:ilvl w:val="0"/>
          <w:numId w:val="54"/>
        </w:numPr>
        <w:spacing w:line="360" w:lineRule="auto"/>
        <w:jc w:val="both"/>
        <w:rPr>
          <w:rFonts w:ascii="Times New Roman" w:hAnsi="Times New Roman" w:cs="Times New Roman"/>
          <w:sz w:val="24"/>
          <w:szCs w:val="24"/>
        </w:rPr>
      </w:pPr>
      <w:r>
        <w:rPr>
          <w:rFonts w:ascii="Times New Roman" w:hAnsi="Times New Roman" w:cs="Times New Roman"/>
          <w:sz w:val="24"/>
          <w:szCs w:val="24"/>
        </w:rPr>
        <w:t>Operational Impact: Changes in operational efficiency and potential disruptions.</w:t>
      </w:r>
    </w:p>
    <w:p w14:paraId="5358C605" w14:textId="77777777" w:rsidR="00910C01" w:rsidRDefault="00000000">
      <w:pPr>
        <w:numPr>
          <w:ilvl w:val="0"/>
          <w:numId w:val="54"/>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Regulatory Environment: Compliance with legal and regulatory requirements.</w:t>
      </w:r>
    </w:p>
    <w:p w14:paraId="0FB18303" w14:textId="77777777" w:rsidR="00910C01" w:rsidRDefault="00000000">
      <w:pPr>
        <w:numPr>
          <w:ilvl w:val="0"/>
          <w:numId w:val="54"/>
        </w:numPr>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and Social Impact: Sustainability and corporate social responsibility considerations.</w:t>
      </w:r>
    </w:p>
    <w:p w14:paraId="27FBD1B9"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Strategic Alignment with Amazon’s Vision</w:t>
      </w:r>
    </w:p>
    <w:p w14:paraId="02A97290"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Long-Term Value Creation</w:t>
      </w:r>
      <w:r>
        <w:rPr>
          <w:rFonts w:ascii="Times New Roman" w:hAnsi="Times New Roman" w:cs="Times New Roman"/>
          <w:sz w:val="24"/>
          <w:szCs w:val="24"/>
        </w:rPr>
        <w:t>: Long-term wealth creation has always been more important to Amazon than short-term profits; this approach has helped it to rise to be among the most valuable firms in the world. With its greater NPV, Project A will create greater significance over time, exactly matching Amazon's strategy of funding initiatives with significant future returns. Amazon's long-term emphasis has helped it to regularly outmaneuver rivals, hence Project A fits the company's strategic objectives.</w:t>
      </w:r>
    </w:p>
    <w:p w14:paraId="399CB550" w14:textId="0DA35DC1"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Comparative Advantage and Market Leadership: Using Project A will help Amazon maintain its leadership in a market. The initiative most certainly calls for large expenditures in infrastructure, technology, or market expansion—all of which are vital for preserving and strengthening Amazon's competitive advantage. By selecting Project A, House would be reaffirming its dedication to creativity and customer-centric solutions, therefore guaranteeing that it stays ahead of rivals in both market reach and technical capability.</w:t>
      </w:r>
    </w:p>
    <w:p w14:paraId="4BE47DFA"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Risk Management and Mitigation Strategies</w:t>
      </w:r>
    </w:p>
    <w:p w14:paraId="17C1CE58"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Longer Payback Period Considerations:</w:t>
      </w:r>
      <w:r>
        <w:rPr>
          <w:rFonts w:ascii="Times New Roman" w:hAnsi="Times New Roman" w:cs="Times New Roman"/>
          <w:sz w:val="24"/>
          <w:szCs w:val="24"/>
        </w:rPr>
        <w:t xml:space="preserve"> Project A possesses a longer payback time than Project B, however this is not to be seen as a drawback. Rather, it captures the kind of investments Amazon makes, which frequently take years to completely develop but eventually pay off handsomely. Amazon should, however, use strong project management techniques like frequent progress reviews, adaptive preparing, and contingency procedures to tackle unforeseen problems in order to reduce the risks that accompany a prolonged payback time.</w:t>
      </w:r>
    </w:p>
    <w:p w14:paraId="0115B660" w14:textId="4F505F39"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 and financial hazards: The results of the research may be affected by changes in how customers act and economic swings considering the dynamic character of world markets. Amazon has to evaluate any hazards that might compromise the profitability of the project like inflation, changes in financing rates, and changes in customer demand. Through extensive market research </w:t>
      </w:r>
      <w:r>
        <w:rPr>
          <w:rFonts w:ascii="Times New Roman" w:hAnsi="Times New Roman" w:cs="Times New Roman"/>
          <w:sz w:val="24"/>
          <w:szCs w:val="24"/>
        </w:rPr>
        <w:lastRenderedPageBreak/>
        <w:t>and scenario preparation, Amazon can equip itself for these hazards and modify its policies as necessary to guarantee the project stays on target.</w:t>
      </w:r>
    </w:p>
    <w:p w14:paraId="39024164" w14:textId="77777777" w:rsidR="00910C01" w:rsidRDefault="0000000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Non-Financial Factors and Their Importance</w:t>
      </w:r>
    </w:p>
    <w:p w14:paraId="26935BDE" w14:textId="5961EAB1"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Sustainability and Corporate Social Responsibility (CSR):</w:t>
      </w:r>
      <w:r>
        <w:rPr>
          <w:rFonts w:ascii="Times New Roman" w:hAnsi="Times New Roman" w:cs="Times New Roman"/>
          <w:sz w:val="24"/>
          <w:szCs w:val="24"/>
        </w:rPr>
        <w:t xml:space="preserve"> Amazon has lately given sustainability and CSR projects more and more importance. Project A ought to be assessed in terms of conformity to these principles. Should the project include elements supporting environmental sustainability, including lowering carbon emissions or improving resource efficiency, Amazon's brand image and consumer loyalty may suffer. Investors and consumers are choosing businesses that show a dedication to social and ecological accountability more and more, hence this is a very important consideration in the decision-making process.</w:t>
      </w:r>
    </w:p>
    <w:p w14:paraId="7E381DF9" w14:textId="77777777" w:rsidR="00910C01"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Employee Impact and Organizational Culture:</w:t>
      </w:r>
      <w:r>
        <w:rPr>
          <w:rFonts w:ascii="Times New Roman" w:hAnsi="Times New Roman" w:cs="Times New Roman"/>
          <w:sz w:val="24"/>
          <w:szCs w:val="24"/>
        </w:rPr>
        <w:t xml:space="preserve"> The effective completion of Project A is going to probably depend on major personnel engagement from Amazon. One should take into account how the task will affect general work satisfaction, personnel morale, and output. Projects with potential for staff development, creativity, and professional advancement usually stand more likely to be successful. Project A should fit Amazon's organizational style so that staff members feel appreciated and driven to help the project to be successful.</w:t>
      </w:r>
    </w:p>
    <w:p w14:paraId="49E2E0DA" w14:textId="1C75721A"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Legal and Regulatory Concerns: Any major project also has to be seen through the prism of possible legal challenges and regulatory compliance. Project A should be assessed in regard to environmental laws, data privacy rules, and antitrust policies. By means of compliance policies and legal advice, proactive handling of these difficulties can assist Amazon evade expensive legal problems and delays throughout project execution.</w:t>
      </w:r>
    </w:p>
    <w:p w14:paraId="1FD8EDBA" w14:textId="77777777" w:rsidR="00910C01" w:rsidRDefault="00000000">
      <w:pPr>
        <w:spacing w:line="360" w:lineRule="auto"/>
        <w:jc w:val="both"/>
        <w:rPr>
          <w:rFonts w:ascii="Times New Roman" w:hAnsi="Times New Roman" w:cs="Times New Roman"/>
          <w:sz w:val="28"/>
          <w:szCs w:val="28"/>
        </w:rPr>
      </w:pPr>
      <w:r>
        <w:rPr>
          <w:rFonts w:ascii="Times New Roman" w:hAnsi="Times New Roman" w:cs="Times New Roman"/>
          <w:b/>
          <w:bCs/>
          <w:sz w:val="28"/>
          <w:szCs w:val="28"/>
        </w:rPr>
        <w:t>In conclusion:</w:t>
      </w:r>
    </w:p>
    <w:p w14:paraId="6024CCF0" w14:textId="60A71534" w:rsidR="00910C01"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Project A's financial performance is impressive, the suggested option is Project A as it aligns with Amazon's long-term strategic objectives and takes non-financial elements into great attention. The initiative is a strong investment for the future as it can help Amazon's sustainability and CSR objectives, improve market leadership, and generate long-term value creation. Project A's success, nevertheless, will rely on Amazon's capacity to control risks, guarantee regulatory compliance, and create a positive corporate culture. These techniques will help Amazon maximize </w:t>
      </w:r>
      <w:r>
        <w:rPr>
          <w:rFonts w:ascii="Times New Roman" w:hAnsi="Times New Roman" w:cs="Times New Roman"/>
          <w:sz w:val="24"/>
          <w:szCs w:val="24"/>
        </w:rPr>
        <w:lastRenderedPageBreak/>
        <w:t>the possible advantages of The project A and keep extending its heritage of innovation and expansion.</w:t>
      </w:r>
    </w:p>
    <w:p w14:paraId="7ED70141" w14:textId="77777777" w:rsidR="00910C01" w:rsidRDefault="00910C01">
      <w:pPr>
        <w:jc w:val="both"/>
        <w:rPr>
          <w:rFonts w:ascii="Times New Roman" w:hAnsi="Times New Roman" w:cs="Times New Roman"/>
          <w:sz w:val="24"/>
          <w:szCs w:val="24"/>
        </w:rPr>
      </w:pPr>
    </w:p>
    <w:sectPr w:rsidR="00910C01" w:rsidSect="00FB587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812CD62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22A691A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02C0D97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B220FD9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6B68F5C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2A76752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8128689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8924CE0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multilevel"/>
    <w:tmpl w:val="CF081B3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A"/>
    <w:multiLevelType w:val="multilevel"/>
    <w:tmpl w:val="3A44B83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0" w15:restartNumberingAfterBreak="0">
    <w:nsid w:val="0000000B"/>
    <w:multiLevelType w:val="hybridMultilevel"/>
    <w:tmpl w:val="93662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multilevel"/>
    <w:tmpl w:val="5DE2423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multilevel"/>
    <w:tmpl w:val="B47EF84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EF9E3AA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7608B5E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2CE0DF8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1BD8AFD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1E5E75E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D032BBF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hybridMultilevel"/>
    <w:tmpl w:val="0B2E5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00000015"/>
    <w:multiLevelType w:val="hybridMultilevel"/>
    <w:tmpl w:val="8BD4E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00000016"/>
    <w:multiLevelType w:val="multilevel"/>
    <w:tmpl w:val="22B4C96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00000017"/>
    <w:multiLevelType w:val="multilevel"/>
    <w:tmpl w:val="1256B45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00000018"/>
    <w:multiLevelType w:val="hybridMultilevel"/>
    <w:tmpl w:val="81AC1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00000019"/>
    <w:multiLevelType w:val="multilevel"/>
    <w:tmpl w:val="D13EF22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5" w15:restartNumberingAfterBreak="0">
    <w:nsid w:val="0000001A"/>
    <w:multiLevelType w:val="multilevel"/>
    <w:tmpl w:val="9F2858A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6" w15:restartNumberingAfterBreak="0">
    <w:nsid w:val="0000001B"/>
    <w:multiLevelType w:val="hybridMultilevel"/>
    <w:tmpl w:val="B4387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0000001C"/>
    <w:multiLevelType w:val="multilevel"/>
    <w:tmpl w:val="D538700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8322422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0AC8032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0" w15:restartNumberingAfterBreak="0">
    <w:nsid w:val="0000001F"/>
    <w:multiLevelType w:val="multilevel"/>
    <w:tmpl w:val="7354D46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1" w15:restartNumberingAfterBreak="0">
    <w:nsid w:val="00000020"/>
    <w:multiLevelType w:val="hybridMultilevel"/>
    <w:tmpl w:val="D63EB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00000021"/>
    <w:multiLevelType w:val="hybridMultilevel"/>
    <w:tmpl w:val="C98CB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00000022"/>
    <w:multiLevelType w:val="multilevel"/>
    <w:tmpl w:val="56C402C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4" w15:restartNumberingAfterBreak="0">
    <w:nsid w:val="00000023"/>
    <w:multiLevelType w:val="multilevel"/>
    <w:tmpl w:val="065C486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multilevel"/>
    <w:tmpl w:val="CD5E2FF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6" w15:restartNumberingAfterBreak="0">
    <w:nsid w:val="00000025"/>
    <w:multiLevelType w:val="multilevel"/>
    <w:tmpl w:val="CB08972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7" w15:restartNumberingAfterBreak="0">
    <w:nsid w:val="00000026"/>
    <w:multiLevelType w:val="multilevel"/>
    <w:tmpl w:val="0EA07A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8" w15:restartNumberingAfterBreak="0">
    <w:nsid w:val="00000027"/>
    <w:multiLevelType w:val="multilevel"/>
    <w:tmpl w:val="93BE73E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9" w15:restartNumberingAfterBreak="0">
    <w:nsid w:val="00000028"/>
    <w:multiLevelType w:val="multilevel"/>
    <w:tmpl w:val="9D1A693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0" w15:restartNumberingAfterBreak="0">
    <w:nsid w:val="00000029"/>
    <w:multiLevelType w:val="multilevel"/>
    <w:tmpl w:val="8CA654A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1" w15:restartNumberingAfterBreak="0">
    <w:nsid w:val="0000002A"/>
    <w:multiLevelType w:val="multilevel"/>
    <w:tmpl w:val="C71022A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2" w15:restartNumberingAfterBreak="0">
    <w:nsid w:val="0000002B"/>
    <w:multiLevelType w:val="multilevel"/>
    <w:tmpl w:val="6966F33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3" w15:restartNumberingAfterBreak="0">
    <w:nsid w:val="0000002C"/>
    <w:multiLevelType w:val="multilevel"/>
    <w:tmpl w:val="21168FB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4" w15:restartNumberingAfterBreak="0">
    <w:nsid w:val="0000002D"/>
    <w:multiLevelType w:val="multilevel"/>
    <w:tmpl w:val="925EA4B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5" w15:restartNumberingAfterBreak="0">
    <w:nsid w:val="0000002E"/>
    <w:multiLevelType w:val="multilevel"/>
    <w:tmpl w:val="A182758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6" w15:restartNumberingAfterBreak="0">
    <w:nsid w:val="0000002F"/>
    <w:multiLevelType w:val="multilevel"/>
    <w:tmpl w:val="E3DCFC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7" w15:restartNumberingAfterBreak="0">
    <w:nsid w:val="00000030"/>
    <w:multiLevelType w:val="multilevel"/>
    <w:tmpl w:val="662043C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8" w15:restartNumberingAfterBreak="0">
    <w:nsid w:val="00000031"/>
    <w:multiLevelType w:val="multilevel"/>
    <w:tmpl w:val="BEAEB06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9" w15:restartNumberingAfterBreak="0">
    <w:nsid w:val="00000032"/>
    <w:multiLevelType w:val="multilevel"/>
    <w:tmpl w:val="6CDA6D02"/>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0" w15:restartNumberingAfterBreak="0">
    <w:nsid w:val="00000033"/>
    <w:multiLevelType w:val="multilevel"/>
    <w:tmpl w:val="EB5E052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1" w15:restartNumberingAfterBreak="0">
    <w:nsid w:val="00000034"/>
    <w:multiLevelType w:val="multilevel"/>
    <w:tmpl w:val="1F44D67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2" w15:restartNumberingAfterBreak="0">
    <w:nsid w:val="00000035"/>
    <w:multiLevelType w:val="multilevel"/>
    <w:tmpl w:val="BF72016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3" w15:restartNumberingAfterBreak="0">
    <w:nsid w:val="00000036"/>
    <w:multiLevelType w:val="multilevel"/>
    <w:tmpl w:val="8724E44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4" w15:restartNumberingAfterBreak="0">
    <w:nsid w:val="00000037"/>
    <w:multiLevelType w:val="multilevel"/>
    <w:tmpl w:val="9A2623C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5" w15:restartNumberingAfterBreak="0">
    <w:nsid w:val="00000038"/>
    <w:multiLevelType w:val="multilevel"/>
    <w:tmpl w:val="1D1AC4C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6" w15:restartNumberingAfterBreak="0">
    <w:nsid w:val="00000039"/>
    <w:multiLevelType w:val="multilevel"/>
    <w:tmpl w:val="D3D2B8D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7" w15:restartNumberingAfterBreak="0">
    <w:nsid w:val="032552BB"/>
    <w:multiLevelType w:val="hybridMultilevel"/>
    <w:tmpl w:val="3F70F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1F84425C"/>
    <w:multiLevelType w:val="hybridMultilevel"/>
    <w:tmpl w:val="FFDAE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33447F57"/>
    <w:multiLevelType w:val="hybridMultilevel"/>
    <w:tmpl w:val="0674C9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0" w15:restartNumberingAfterBreak="0">
    <w:nsid w:val="3B82307B"/>
    <w:multiLevelType w:val="hybridMultilevel"/>
    <w:tmpl w:val="1BF4A4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1" w15:restartNumberingAfterBreak="0">
    <w:nsid w:val="4B5E16CB"/>
    <w:multiLevelType w:val="hybridMultilevel"/>
    <w:tmpl w:val="224C2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5938139D"/>
    <w:multiLevelType w:val="hybridMultilevel"/>
    <w:tmpl w:val="4D10D0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3" w15:restartNumberingAfterBreak="0">
    <w:nsid w:val="5DBE0B06"/>
    <w:multiLevelType w:val="hybridMultilevel"/>
    <w:tmpl w:val="46102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6C0133E8"/>
    <w:multiLevelType w:val="hybridMultilevel"/>
    <w:tmpl w:val="177C3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7A6F49A3"/>
    <w:multiLevelType w:val="hybridMultilevel"/>
    <w:tmpl w:val="4F84C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7F732FEB"/>
    <w:multiLevelType w:val="hybridMultilevel"/>
    <w:tmpl w:val="1C2C1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9099960">
    <w:abstractNumId w:val="10"/>
  </w:num>
  <w:num w:numId="2" w16cid:durableId="1542204199">
    <w:abstractNumId w:val="30"/>
  </w:num>
  <w:num w:numId="3" w16cid:durableId="1143229929">
    <w:abstractNumId w:val="33"/>
  </w:num>
  <w:num w:numId="4" w16cid:durableId="1169058146">
    <w:abstractNumId w:val="34"/>
  </w:num>
  <w:num w:numId="5" w16cid:durableId="216625763">
    <w:abstractNumId w:val="22"/>
  </w:num>
  <w:num w:numId="6" w16cid:durableId="1768885033">
    <w:abstractNumId w:val="48"/>
  </w:num>
  <w:num w:numId="7" w16cid:durableId="836117118">
    <w:abstractNumId w:val="42"/>
  </w:num>
  <w:num w:numId="8" w16cid:durableId="639459645">
    <w:abstractNumId w:val="25"/>
  </w:num>
  <w:num w:numId="9" w16cid:durableId="1904949702">
    <w:abstractNumId w:val="5"/>
  </w:num>
  <w:num w:numId="10" w16cid:durableId="6030304">
    <w:abstractNumId w:val="14"/>
  </w:num>
  <w:num w:numId="11" w16cid:durableId="1541358337">
    <w:abstractNumId w:val="50"/>
  </w:num>
  <w:num w:numId="12" w16cid:durableId="1633057079">
    <w:abstractNumId w:val="55"/>
  </w:num>
  <w:num w:numId="13" w16cid:durableId="869074926">
    <w:abstractNumId w:val="11"/>
  </w:num>
  <w:num w:numId="14" w16cid:durableId="125592165">
    <w:abstractNumId w:val="47"/>
  </w:num>
  <w:num w:numId="15" w16cid:durableId="546919148">
    <w:abstractNumId w:val="37"/>
  </w:num>
  <w:num w:numId="16" w16cid:durableId="1350907839">
    <w:abstractNumId w:val="46"/>
  </w:num>
  <w:num w:numId="17" w16cid:durableId="1791048478">
    <w:abstractNumId w:val="45"/>
  </w:num>
  <w:num w:numId="18" w16cid:durableId="560213050">
    <w:abstractNumId w:val="36"/>
  </w:num>
  <w:num w:numId="19" w16cid:durableId="782696840">
    <w:abstractNumId w:val="52"/>
  </w:num>
  <w:num w:numId="20" w16cid:durableId="1824930720">
    <w:abstractNumId w:val="8"/>
  </w:num>
  <w:num w:numId="21" w16cid:durableId="888493531">
    <w:abstractNumId w:val="0"/>
  </w:num>
  <w:num w:numId="22" w16cid:durableId="545796847">
    <w:abstractNumId w:val="51"/>
  </w:num>
  <w:num w:numId="23" w16cid:durableId="1229225196">
    <w:abstractNumId w:val="40"/>
  </w:num>
  <w:num w:numId="24" w16cid:durableId="258372360">
    <w:abstractNumId w:val="24"/>
  </w:num>
  <w:num w:numId="25" w16cid:durableId="337076490">
    <w:abstractNumId w:val="3"/>
  </w:num>
  <w:num w:numId="26" w16cid:durableId="272909125">
    <w:abstractNumId w:val="35"/>
  </w:num>
  <w:num w:numId="27" w16cid:durableId="2126382729">
    <w:abstractNumId w:val="18"/>
  </w:num>
  <w:num w:numId="28" w16cid:durableId="496726001">
    <w:abstractNumId w:val="7"/>
  </w:num>
  <w:num w:numId="29" w16cid:durableId="2123381973">
    <w:abstractNumId w:val="13"/>
  </w:num>
  <w:num w:numId="30" w16cid:durableId="432213600">
    <w:abstractNumId w:val="41"/>
  </w:num>
  <w:num w:numId="31" w16cid:durableId="1977757819">
    <w:abstractNumId w:val="6"/>
  </w:num>
  <w:num w:numId="32" w16cid:durableId="1122920865">
    <w:abstractNumId w:val="53"/>
  </w:num>
  <w:num w:numId="33" w16cid:durableId="1029717449">
    <w:abstractNumId w:val="17"/>
  </w:num>
  <w:num w:numId="34" w16cid:durableId="131142110">
    <w:abstractNumId w:val="29"/>
  </w:num>
  <w:num w:numId="35" w16cid:durableId="539171023">
    <w:abstractNumId w:val="1"/>
  </w:num>
  <w:num w:numId="36" w16cid:durableId="1738480039">
    <w:abstractNumId w:val="15"/>
  </w:num>
  <w:num w:numId="37" w16cid:durableId="219294764">
    <w:abstractNumId w:val="2"/>
  </w:num>
  <w:num w:numId="38" w16cid:durableId="1578396857">
    <w:abstractNumId w:val="27"/>
  </w:num>
  <w:num w:numId="39" w16cid:durableId="1711223230">
    <w:abstractNumId w:val="49"/>
  </w:num>
  <w:num w:numId="40" w16cid:durableId="1984583580">
    <w:abstractNumId w:val="28"/>
  </w:num>
  <w:num w:numId="41" w16cid:durableId="458769158">
    <w:abstractNumId w:val="16"/>
  </w:num>
  <w:num w:numId="42" w16cid:durableId="189607349">
    <w:abstractNumId w:val="38"/>
  </w:num>
  <w:num w:numId="43" w16cid:durableId="1371684072">
    <w:abstractNumId w:val="12"/>
  </w:num>
  <w:num w:numId="44" w16cid:durableId="1806237779">
    <w:abstractNumId w:val="44"/>
  </w:num>
  <w:num w:numId="45" w16cid:durableId="54477249">
    <w:abstractNumId w:val="39"/>
  </w:num>
  <w:num w:numId="46" w16cid:durableId="1468161118">
    <w:abstractNumId w:val="54"/>
  </w:num>
  <w:num w:numId="47" w16cid:durableId="377511838">
    <w:abstractNumId w:val="56"/>
  </w:num>
  <w:num w:numId="48" w16cid:durableId="1583562240">
    <w:abstractNumId w:val="43"/>
  </w:num>
  <w:num w:numId="49" w16cid:durableId="1919168305">
    <w:abstractNumId w:val="4"/>
  </w:num>
  <w:num w:numId="50" w16cid:durableId="1637220533">
    <w:abstractNumId w:val="9"/>
  </w:num>
  <w:num w:numId="51" w16cid:durableId="1209411889">
    <w:abstractNumId w:val="31"/>
  </w:num>
  <w:num w:numId="52" w16cid:durableId="1756659398">
    <w:abstractNumId w:val="20"/>
  </w:num>
  <w:num w:numId="53" w16cid:durableId="1981613124">
    <w:abstractNumId w:val="32"/>
  </w:num>
  <w:num w:numId="54" w16cid:durableId="1919317888">
    <w:abstractNumId w:val="23"/>
  </w:num>
  <w:num w:numId="55" w16cid:durableId="523520098">
    <w:abstractNumId w:val="63"/>
  </w:num>
  <w:num w:numId="56" w16cid:durableId="1548689189">
    <w:abstractNumId w:val="19"/>
  </w:num>
  <w:num w:numId="57" w16cid:durableId="486439151">
    <w:abstractNumId w:val="26"/>
  </w:num>
  <w:num w:numId="58" w16cid:durableId="1097213120">
    <w:abstractNumId w:val="21"/>
  </w:num>
  <w:num w:numId="59" w16cid:durableId="1168135574">
    <w:abstractNumId w:val="58"/>
  </w:num>
  <w:num w:numId="60" w16cid:durableId="271127802">
    <w:abstractNumId w:val="66"/>
  </w:num>
  <w:num w:numId="61" w16cid:durableId="803962504">
    <w:abstractNumId w:val="64"/>
  </w:num>
  <w:num w:numId="62" w16cid:durableId="560867450">
    <w:abstractNumId w:val="57"/>
  </w:num>
  <w:num w:numId="63" w16cid:durableId="1209873390">
    <w:abstractNumId w:val="65"/>
  </w:num>
  <w:num w:numId="64" w16cid:durableId="632176495">
    <w:abstractNumId w:val="61"/>
  </w:num>
  <w:num w:numId="65" w16cid:durableId="1628732318">
    <w:abstractNumId w:val="60"/>
  </w:num>
  <w:num w:numId="66" w16cid:durableId="801263819">
    <w:abstractNumId w:val="59"/>
  </w:num>
  <w:num w:numId="67" w16cid:durableId="2111731114">
    <w:abstractNumId w:val="6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C01"/>
    <w:rsid w:val="00020F31"/>
    <w:rsid w:val="0002771E"/>
    <w:rsid w:val="00227FFA"/>
    <w:rsid w:val="00276D6F"/>
    <w:rsid w:val="003351F8"/>
    <w:rsid w:val="0038724D"/>
    <w:rsid w:val="005D78BD"/>
    <w:rsid w:val="0076193E"/>
    <w:rsid w:val="00910C01"/>
    <w:rsid w:val="00AE1B17"/>
    <w:rsid w:val="00D52128"/>
    <w:rsid w:val="00D74635"/>
    <w:rsid w:val="00ED6EFA"/>
    <w:rsid w:val="00FB58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38E207"/>
  <w15:docId w15:val="{24D73735-EDEF-4188-BEF3-74665AD0E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s="Times New Roman"/>
      <w:color w:val="2E74B5"/>
      <w:sz w:val="32"/>
      <w:szCs w:val="32"/>
    </w:rPr>
  </w:style>
  <w:style w:type="paragraph" w:styleId="Heading3">
    <w:name w:val="heading 3"/>
    <w:basedOn w:val="Normal"/>
    <w:link w:val="Heading3Char"/>
    <w:uiPriority w:val="9"/>
    <w:semiHidden/>
    <w:unhideWhenUsed/>
    <w:qFormat/>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Calibri Light" w:eastAsia="SimSun" w:hAnsi="Calibri Light" w:cs="Times New Roman"/>
      <w:i/>
      <w:iCs/>
      <w:color w:val="2E74B5"/>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Calibri Light" w:eastAsia="SimSun" w:hAnsi="Calibri Light" w:cs="Times New Roman"/>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character" w:customStyle="1" w:styleId="Heading4Char">
    <w:name w:val="Heading 4 Char"/>
    <w:basedOn w:val="DefaultParagraphFont"/>
    <w:link w:val="Heading4"/>
    <w:uiPriority w:val="9"/>
    <w:rPr>
      <w:rFonts w:ascii="Calibri Light" w:eastAsia="SimSun" w:hAnsi="Calibri Light" w:cs="Times New Roman"/>
      <w:i/>
      <w:iCs/>
      <w:color w:val="2E74B5"/>
    </w:rPr>
  </w:style>
  <w:style w:type="character" w:customStyle="1" w:styleId="katex-mathml">
    <w:name w:val="katex-mathml"/>
    <w:basedOn w:val="DefaultParagraphFont"/>
  </w:style>
  <w:style w:type="character" w:customStyle="1" w:styleId="mord">
    <w:name w:val="mord"/>
    <w:basedOn w:val="DefaultParagraphFont"/>
  </w:style>
  <w:style w:type="character" w:customStyle="1" w:styleId="mrel">
    <w:name w:val="mrel"/>
    <w:basedOn w:val="DefaultParagraphFont"/>
  </w:style>
  <w:style w:type="character" w:customStyle="1" w:styleId="vlist-s">
    <w:name w:val="vlist-s"/>
    <w:basedOn w:val="DefaultParagraphFont"/>
  </w:style>
  <w:style w:type="character" w:customStyle="1" w:styleId="mbin">
    <w:name w:val="mbin"/>
    <w:basedOn w:val="DefaultParagraphFont"/>
  </w:style>
  <w:style w:type="character" w:customStyle="1" w:styleId="overflow-hidden">
    <w:name w:val="overflow-hidden"/>
    <w:basedOn w:val="DefaultParagraphFont"/>
  </w:style>
  <w:style w:type="character" w:styleId="Hyperlink">
    <w:name w:val="Hyperlink"/>
    <w:basedOn w:val="DefaultParagraphFont"/>
    <w:uiPriority w:val="99"/>
    <w:rPr>
      <w:color w:val="0000FF"/>
      <w:u w:val="single"/>
    </w:rPr>
  </w:style>
  <w:style w:type="character" w:customStyle="1" w:styleId="Heading5Char">
    <w:name w:val="Heading 5 Char"/>
    <w:basedOn w:val="DefaultParagraphFont"/>
    <w:link w:val="Heading5"/>
    <w:uiPriority w:val="9"/>
    <w:rPr>
      <w:rFonts w:ascii="Calibri Light" w:eastAsia="SimSun" w:hAnsi="Calibri Light" w:cs="Times New Roman"/>
      <w:color w:val="2E74B5"/>
    </w:rPr>
  </w:style>
  <w:style w:type="character" w:customStyle="1" w:styleId="mopen">
    <w:name w:val="mopen"/>
    <w:basedOn w:val="DefaultParagraphFont"/>
  </w:style>
  <w:style w:type="character" w:customStyle="1" w:styleId="mclose">
    <w:name w:val="mclose"/>
    <w:basedOn w:val="DefaultParagraphFont"/>
  </w:style>
  <w:style w:type="character" w:customStyle="1" w:styleId="mop">
    <w:name w:val="mop"/>
    <w:basedOn w:val="DefaultParagraphFont"/>
  </w:style>
  <w:style w:type="character" w:customStyle="1" w:styleId="Heading1Char">
    <w:name w:val="Heading 1 Char"/>
    <w:basedOn w:val="DefaultParagraphFont"/>
    <w:link w:val="Heading1"/>
    <w:uiPriority w:val="9"/>
    <w:rPr>
      <w:rFonts w:ascii="Calibri Light" w:eastAsia="SimSun" w:hAnsi="Calibri Light" w:cs="Times New Roman"/>
      <w:color w:val="2E74B5"/>
      <w:sz w:val="32"/>
      <w:szCs w:val="32"/>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character" w:styleId="Emphasis">
    <w:name w:val="Emphasis"/>
    <w:basedOn w:val="DefaultParagraphFont"/>
    <w:uiPriority w:val="20"/>
    <w:qFormat/>
    <w:rPr>
      <w:i/>
      <w:iCs/>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7609618">
      <w:bodyDiv w:val="1"/>
      <w:marLeft w:val="0"/>
      <w:marRight w:val="0"/>
      <w:marTop w:val="0"/>
      <w:marBottom w:val="0"/>
      <w:divBdr>
        <w:top w:val="none" w:sz="0" w:space="0" w:color="auto"/>
        <w:left w:val="none" w:sz="0" w:space="0" w:color="auto"/>
        <w:bottom w:val="none" w:sz="0" w:space="0" w:color="auto"/>
        <w:right w:val="none" w:sz="0" w:space="0" w:color="auto"/>
      </w:divBdr>
    </w:div>
    <w:div w:id="9628828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8.png"/><Relationship Id="rId26" Type="http://schemas.openxmlformats.org/officeDocument/2006/relationships/image" Target="media/image13.jpeg"/><Relationship Id="rId39" Type="http://schemas.openxmlformats.org/officeDocument/2006/relationships/hyperlink" Target="https://www.walmart.com/ir/annual_reports" TargetMode="External"/><Relationship Id="rId21" Type="http://schemas.openxmlformats.org/officeDocument/2006/relationships/image" Target="media/image10.jpeg"/><Relationship Id="rId34" Type="http://schemas.openxmlformats.org/officeDocument/2006/relationships/hyperlink" Target="https://www.fortunebusinessinsights.com/industry-reports/e-commerce-market-100326" TargetMode="External"/><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chart" Target="charts/chart4.xml"/><Relationship Id="rId29" Type="http://schemas.openxmlformats.org/officeDocument/2006/relationships/hyperlink" Target="https://www.amazon.com/ir/annual_reports" TargetMode="External"/><Relationship Id="rId11" Type="http://schemas.openxmlformats.org/officeDocument/2006/relationships/image" Target="media/image6.png"/><Relationship Id="rId24" Type="http://schemas.openxmlformats.org/officeDocument/2006/relationships/chart" Target="charts/chart8.xml"/><Relationship Id="rId32" Type="http://schemas.openxmlformats.org/officeDocument/2006/relationships/hyperlink" Target="https://www.amazon.com/ir/annual_reports" TargetMode="External"/><Relationship Id="rId37" Type="http://schemas.openxmlformats.org/officeDocument/2006/relationships/hyperlink" Target="https://www.walmart.com/ir/annual_reports" TargetMode="External"/><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5.jpeg"/><Relationship Id="rId19" Type="http://schemas.openxmlformats.org/officeDocument/2006/relationships/chart" Target="charts/chart6.xml"/><Relationship Id="rId31" Type="http://schemas.openxmlformats.org/officeDocument/2006/relationships/hyperlink" Target="https://www.amazon.com/ir/annual_reports" TargetMode="External"/><Relationship Id="rId44" Type="http://schemas.openxmlformats.org/officeDocument/2006/relationships/image" Target="media/image18.jp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jpeg"/><Relationship Id="rId22" Type="http://schemas.openxmlformats.org/officeDocument/2006/relationships/image" Target="media/image11.jpeg"/><Relationship Id="rId27" Type="http://schemas.openxmlformats.org/officeDocument/2006/relationships/hyperlink" Target="https://www.alibabagroup.com/en/ir/annual_reports" TargetMode="External"/><Relationship Id="rId30" Type="http://schemas.openxmlformats.org/officeDocument/2006/relationships/hyperlink" Target="https://www.amazon.com/ir/annual_reports" TargetMode="External"/><Relationship Id="rId35" Type="http://schemas.openxmlformats.org/officeDocument/2006/relationships/hyperlink" Target="https://www.walmart.com/ir/annual_reports" TargetMode="External"/><Relationship Id="rId43" Type="http://schemas.openxmlformats.org/officeDocument/2006/relationships/image" Target="media/image17.png"/><Relationship Id="rId48" Type="http://schemas.openxmlformats.org/officeDocument/2006/relationships/image" Target="media/image22.png"/><Relationship Id="rId8" Type="http://schemas.openxmlformats.org/officeDocument/2006/relationships/image" Target="media/image3.jpeg"/><Relationship Id="rId51" Type="http://schemas.openxmlformats.org/officeDocument/2006/relationships/image" Target="media/image25.jp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5.xml"/><Relationship Id="rId25" Type="http://schemas.openxmlformats.org/officeDocument/2006/relationships/image" Target="media/image12.jpeg"/><Relationship Id="rId33" Type="http://schemas.openxmlformats.org/officeDocument/2006/relationships/hyperlink" Target="https://www.dnb.com/business-directory/company-profiles.amazon.com_inc.6d5c8bb3a4a0f7e0c6cce2e0c1f83d0b.html" TargetMode="External"/><Relationship Id="rId38" Type="http://schemas.openxmlformats.org/officeDocument/2006/relationships/hyperlink" Target="https://www.walmart.com/ir/annual_reports" TargetMode="External"/><Relationship Id="rId46" Type="http://schemas.openxmlformats.org/officeDocument/2006/relationships/image" Target="media/image20.png"/><Relationship Id="rId20" Type="http://schemas.openxmlformats.org/officeDocument/2006/relationships/image" Target="media/image9.png"/><Relationship Id="rId41"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chart" Target="charts/chart3.xml"/><Relationship Id="rId23" Type="http://schemas.openxmlformats.org/officeDocument/2006/relationships/chart" Target="charts/chart7.xml"/><Relationship Id="rId28" Type="http://schemas.openxmlformats.org/officeDocument/2006/relationships/hyperlink" Target="https://www.amazon.com/ir/annual_reports" TargetMode="External"/><Relationship Id="rId36" Type="http://schemas.openxmlformats.org/officeDocument/2006/relationships/hyperlink" Target="https://www.walmart.com/ir/annual_reports" TargetMode="External"/><Relationship Id="rId49" Type="http://schemas.openxmlformats.org/officeDocument/2006/relationships/image" Target="media/image2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eris\Downloads\financial_ratios_comparison.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a:t>
            </a:r>
            <a:r>
              <a:rPr lang="en-US" baseline="0"/>
              <a:t> Ratios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Current Ratio</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[financial_ratios_comparison.xlsx]Sheet1!$C$2:$G$2</c:f>
              <c:numCache>
                <c:formatCode>General</c:formatCode>
                <c:ptCount val="5"/>
                <c:pt idx="0">
                  <c:v>1.1000000000000001</c:v>
                </c:pt>
                <c:pt idx="1">
                  <c:v>1.25</c:v>
                </c:pt>
                <c:pt idx="2">
                  <c:v>1.1399999999999999</c:v>
                </c:pt>
                <c:pt idx="3">
                  <c:v>1.1000000000000001</c:v>
                </c:pt>
                <c:pt idx="4">
                  <c:v>1.03</c:v>
                </c:pt>
              </c:numCache>
            </c:numRef>
          </c:val>
          <c:extLst>
            <c:ext xmlns:c16="http://schemas.microsoft.com/office/drawing/2014/chart" uri="{C3380CC4-5D6E-409C-BE32-E72D297353CC}">
              <c16:uniqueId val="{00000000-70C0-40F3-B01D-182CD4EA41EB}"/>
            </c:ext>
          </c:extLst>
        </c:ser>
        <c:ser>
          <c:idx val="1"/>
          <c:order val="1"/>
          <c:tx>
            <c:strRef>
              <c:f>[financial_ratios_comparison.xlsx]Sheet1!$A$3:$B$3</c:f>
              <c:strCache>
                <c:ptCount val="2"/>
                <c:pt idx="0">
                  <c:v>Current Ratio</c:v>
                </c:pt>
                <c:pt idx="1">
                  <c:v>Alibaba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[financial_ratios_comparison.xlsx]Sheet1!$C$3:$G$3</c:f>
              <c:numCache>
                <c:formatCode>General</c:formatCode>
                <c:ptCount val="5"/>
                <c:pt idx="0">
                  <c:v>1.39</c:v>
                </c:pt>
                <c:pt idx="1">
                  <c:v>1.45</c:v>
                </c:pt>
                <c:pt idx="2">
                  <c:v>1.48</c:v>
                </c:pt>
                <c:pt idx="3">
                  <c:v>1.56</c:v>
                </c:pt>
                <c:pt idx="4">
                  <c:v>1.61</c:v>
                </c:pt>
              </c:numCache>
            </c:numRef>
          </c:val>
          <c:extLst>
            <c:ext xmlns:c16="http://schemas.microsoft.com/office/drawing/2014/chart" uri="{C3380CC4-5D6E-409C-BE32-E72D297353CC}">
              <c16:uniqueId val="{00000001-70C0-40F3-B01D-182CD4EA41EB}"/>
            </c:ext>
          </c:extLst>
        </c:ser>
        <c:ser>
          <c:idx val="2"/>
          <c:order val="2"/>
          <c:tx>
            <c:strRef>
              <c:f>[financial_ratios_comparison.xlsx]Sheet1!$A$4:$B$4</c:f>
              <c:strCache>
                <c:ptCount val="2"/>
                <c:pt idx="0">
                  <c:v>Current Ratio</c:v>
                </c:pt>
                <c:pt idx="1">
                  <c:v>Walmart</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[financial_ratios_comparison.xlsx]Sheet1!$C$4:$G$4</c:f>
              <c:numCache>
                <c:formatCode>General</c:formatCode>
                <c:ptCount val="5"/>
                <c:pt idx="0">
                  <c:v>0.81</c:v>
                </c:pt>
                <c:pt idx="1">
                  <c:v>0.79</c:v>
                </c:pt>
                <c:pt idx="2">
                  <c:v>0.86</c:v>
                </c:pt>
                <c:pt idx="3">
                  <c:v>0.93</c:v>
                </c:pt>
                <c:pt idx="4">
                  <c:v>0.95</c:v>
                </c:pt>
              </c:numCache>
            </c:numRef>
          </c:val>
          <c:extLst>
            <c:ext xmlns:c16="http://schemas.microsoft.com/office/drawing/2014/chart" uri="{C3380CC4-5D6E-409C-BE32-E72D297353CC}">
              <c16:uniqueId val="{00000002-70C0-40F3-B01D-182CD4EA41EB}"/>
            </c:ext>
          </c:extLst>
        </c:ser>
        <c:dLbls>
          <c:dLblPos val="outEnd"/>
          <c:showLegendKey val="0"/>
          <c:showVal val="1"/>
          <c:showCatName val="0"/>
          <c:showSerName val="0"/>
          <c:showPercent val="0"/>
          <c:showBubbleSize val="0"/>
        </c:dLbls>
        <c:gapWidth val="219"/>
        <c:overlap val="-27"/>
        <c:axId val="1198217791"/>
        <c:axId val="1198221951"/>
      </c:barChart>
      <c:catAx>
        <c:axId val="11982177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221951"/>
        <c:crosses val="autoZero"/>
        <c:auto val="1"/>
        <c:lblAlgn val="ctr"/>
        <c:lblOffset val="100"/>
        <c:noMultiLvlLbl val="0"/>
      </c:catAx>
      <c:valAx>
        <c:axId val="11982219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2177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a:t>
            </a:r>
            <a:r>
              <a:rPr lang="en-US" baseline="0"/>
              <a:t> Ratios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Quick Ratio</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[financial_ratios_comparison.xlsx]Sheet1!$C$2:$G$2</c:f>
              <c:numCache>
                <c:formatCode>General</c:formatCode>
                <c:ptCount val="5"/>
                <c:pt idx="0">
                  <c:v>0.86</c:v>
                </c:pt>
                <c:pt idx="1">
                  <c:v>0.98</c:v>
                </c:pt>
                <c:pt idx="2">
                  <c:v>0.9</c:v>
                </c:pt>
                <c:pt idx="3">
                  <c:v>0.87</c:v>
                </c:pt>
                <c:pt idx="4">
                  <c:v>0.82</c:v>
                </c:pt>
              </c:numCache>
            </c:numRef>
          </c:val>
          <c:extLst>
            <c:ext xmlns:c16="http://schemas.microsoft.com/office/drawing/2014/chart" uri="{C3380CC4-5D6E-409C-BE32-E72D297353CC}">
              <c16:uniqueId val="{00000000-176B-42B4-A9CF-8A78EE1188A9}"/>
            </c:ext>
          </c:extLst>
        </c:ser>
        <c:ser>
          <c:idx val="1"/>
          <c:order val="1"/>
          <c:tx>
            <c:strRef>
              <c:f>[financial_ratios_comparison.xlsx]Sheet1!$A$3:$B$3</c:f>
              <c:strCache>
                <c:ptCount val="2"/>
                <c:pt idx="0">
                  <c:v>Quick Ratio</c:v>
                </c:pt>
                <c:pt idx="1">
                  <c:v>Walmart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[financial_ratios_comparison.xlsx]Sheet1!$C$3:$G$3</c:f>
              <c:numCache>
                <c:formatCode>General</c:formatCode>
                <c:ptCount val="5"/>
                <c:pt idx="0">
                  <c:v>0.19</c:v>
                </c:pt>
                <c:pt idx="1">
                  <c:v>0.21</c:v>
                </c:pt>
                <c:pt idx="2">
                  <c:v>0.23</c:v>
                </c:pt>
                <c:pt idx="3">
                  <c:v>0.25</c:v>
                </c:pt>
                <c:pt idx="4">
                  <c:v>0.26</c:v>
                </c:pt>
              </c:numCache>
            </c:numRef>
          </c:val>
          <c:extLst>
            <c:ext xmlns:c16="http://schemas.microsoft.com/office/drawing/2014/chart" uri="{C3380CC4-5D6E-409C-BE32-E72D297353CC}">
              <c16:uniqueId val="{00000001-176B-42B4-A9CF-8A78EE1188A9}"/>
            </c:ext>
          </c:extLst>
        </c:ser>
        <c:ser>
          <c:idx val="2"/>
          <c:order val="2"/>
          <c:tx>
            <c:strRef>
              <c:f>[financial_ratios_comparison.xlsx]Sheet1!$A$4:$B$4</c:f>
              <c:strCache>
                <c:ptCount val="2"/>
                <c:pt idx="0">
                  <c:v>Quick Ratio</c:v>
                </c:pt>
                <c:pt idx="1">
                  <c:v>Alibaba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[financial_ratios_comparison.xlsx]Sheet1!$C$4:$G$4</c:f>
              <c:numCache>
                <c:formatCode>General</c:formatCode>
                <c:ptCount val="5"/>
                <c:pt idx="0">
                  <c:v>1.18</c:v>
                </c:pt>
                <c:pt idx="1">
                  <c:v>1.22</c:v>
                </c:pt>
                <c:pt idx="2">
                  <c:v>1.26</c:v>
                </c:pt>
                <c:pt idx="3">
                  <c:v>1.3</c:v>
                </c:pt>
                <c:pt idx="4">
                  <c:v>1.35</c:v>
                </c:pt>
              </c:numCache>
            </c:numRef>
          </c:val>
          <c:extLst>
            <c:ext xmlns:c16="http://schemas.microsoft.com/office/drawing/2014/chart" uri="{C3380CC4-5D6E-409C-BE32-E72D297353CC}">
              <c16:uniqueId val="{00000002-176B-42B4-A9CF-8A78EE1188A9}"/>
            </c:ext>
          </c:extLst>
        </c:ser>
        <c:dLbls>
          <c:dLblPos val="outEnd"/>
          <c:showLegendKey val="0"/>
          <c:showVal val="1"/>
          <c:showCatName val="0"/>
          <c:showSerName val="0"/>
          <c:showPercent val="0"/>
          <c:showBubbleSize val="0"/>
        </c:dLbls>
        <c:gapWidth val="219"/>
        <c:overlap val="-27"/>
        <c:axId val="1150147167"/>
        <c:axId val="1150147999"/>
      </c:barChart>
      <c:catAx>
        <c:axId val="1150147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0147999"/>
        <c:crosses val="autoZero"/>
        <c:auto val="1"/>
        <c:lblAlgn val="ctr"/>
        <c:lblOffset val="100"/>
        <c:noMultiLvlLbl val="0"/>
      </c:catAx>
      <c:valAx>
        <c:axId val="11501479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0147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Gross</a:t>
            </a:r>
            <a:r>
              <a:rPr lang="en-US" baseline="0"/>
              <a:t> Profit Margin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Gross Profit Margin</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[financial_ratios_comparison.xlsx]Sheet1!$C$2:$G$2</c:f>
              <c:numCache>
                <c:formatCode>General</c:formatCode>
                <c:ptCount val="5"/>
                <c:pt idx="0">
                  <c:v>40.200000000000003</c:v>
                </c:pt>
                <c:pt idx="1">
                  <c:v>40.5</c:v>
                </c:pt>
                <c:pt idx="2">
                  <c:v>42.3</c:v>
                </c:pt>
                <c:pt idx="3">
                  <c:v>43.8</c:v>
                </c:pt>
                <c:pt idx="4">
                  <c:v>42</c:v>
                </c:pt>
              </c:numCache>
            </c:numRef>
          </c:val>
          <c:extLst>
            <c:ext xmlns:c16="http://schemas.microsoft.com/office/drawing/2014/chart" uri="{C3380CC4-5D6E-409C-BE32-E72D297353CC}">
              <c16:uniqueId val="{00000000-5069-43F4-B9A8-7921A612817F}"/>
            </c:ext>
          </c:extLst>
        </c:ser>
        <c:ser>
          <c:idx val="1"/>
          <c:order val="1"/>
          <c:tx>
            <c:strRef>
              <c:f>[financial_ratios_comparison.xlsx]Sheet1!$A$3:$B$3</c:f>
              <c:strCache>
                <c:ptCount val="2"/>
                <c:pt idx="0">
                  <c:v>Gross Profit Margin</c:v>
                </c:pt>
                <c:pt idx="1">
                  <c:v>Walmart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[financial_ratios_comparison.xlsx]Sheet1!$C$3:$G$3</c:f>
              <c:numCache>
                <c:formatCode>General</c:formatCode>
                <c:ptCount val="5"/>
                <c:pt idx="0">
                  <c:v>24.1</c:v>
                </c:pt>
                <c:pt idx="1">
                  <c:v>24.3</c:v>
                </c:pt>
                <c:pt idx="2">
                  <c:v>24.8</c:v>
                </c:pt>
                <c:pt idx="3">
                  <c:v>25.1</c:v>
                </c:pt>
                <c:pt idx="4">
                  <c:v>25.3</c:v>
                </c:pt>
              </c:numCache>
            </c:numRef>
          </c:val>
          <c:extLst>
            <c:ext xmlns:c16="http://schemas.microsoft.com/office/drawing/2014/chart" uri="{C3380CC4-5D6E-409C-BE32-E72D297353CC}">
              <c16:uniqueId val="{00000001-5069-43F4-B9A8-7921A612817F}"/>
            </c:ext>
          </c:extLst>
        </c:ser>
        <c:ser>
          <c:idx val="2"/>
          <c:order val="2"/>
          <c:tx>
            <c:strRef>
              <c:f>[financial_ratios_comparison.xlsx]Sheet1!$A$4:$B$4</c:f>
              <c:strCache>
                <c:ptCount val="2"/>
                <c:pt idx="0">
                  <c:v>Gross Profit Margin</c:v>
                </c:pt>
                <c:pt idx="1">
                  <c:v>Alibaba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[financial_ratios_comparison.xlsx]Sheet1!$C$4:$G$4</c:f>
              <c:numCache>
                <c:formatCode>General</c:formatCode>
                <c:ptCount val="5"/>
                <c:pt idx="0">
                  <c:v>45</c:v>
                </c:pt>
                <c:pt idx="1">
                  <c:v>45.7</c:v>
                </c:pt>
                <c:pt idx="2">
                  <c:v>47.6</c:v>
                </c:pt>
                <c:pt idx="3">
                  <c:v>47.3</c:v>
                </c:pt>
                <c:pt idx="4">
                  <c:v>46.5</c:v>
                </c:pt>
              </c:numCache>
            </c:numRef>
          </c:val>
          <c:extLst>
            <c:ext xmlns:c16="http://schemas.microsoft.com/office/drawing/2014/chart" uri="{C3380CC4-5D6E-409C-BE32-E72D297353CC}">
              <c16:uniqueId val="{00000002-5069-43F4-B9A8-7921A612817F}"/>
            </c:ext>
          </c:extLst>
        </c:ser>
        <c:dLbls>
          <c:dLblPos val="outEnd"/>
          <c:showLegendKey val="0"/>
          <c:showVal val="1"/>
          <c:showCatName val="0"/>
          <c:showSerName val="0"/>
          <c:showPercent val="0"/>
          <c:showBubbleSize val="0"/>
        </c:dLbls>
        <c:gapWidth val="219"/>
        <c:overlap val="-27"/>
        <c:axId val="1156024015"/>
        <c:axId val="1156019439"/>
      </c:barChart>
      <c:catAx>
        <c:axId val="1156024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019439"/>
        <c:crosses val="autoZero"/>
        <c:auto val="1"/>
        <c:lblAlgn val="ctr"/>
        <c:lblOffset val="100"/>
        <c:noMultiLvlLbl val="0"/>
      </c:catAx>
      <c:valAx>
        <c:axId val="11560194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0240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Net Profit</a:t>
            </a:r>
            <a:r>
              <a:rPr lang="en-US" baseline="0"/>
              <a:t> Margin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Net Profit Margin</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[financial_ratios_comparison.xlsx]Sheet1!$C$2:$G$2</c:f>
              <c:numCache>
                <c:formatCode>General</c:formatCode>
                <c:ptCount val="5"/>
                <c:pt idx="0">
                  <c:v>4.0999999999999996</c:v>
                </c:pt>
                <c:pt idx="1">
                  <c:v>5.5</c:v>
                </c:pt>
                <c:pt idx="2">
                  <c:v>7.1</c:v>
                </c:pt>
                <c:pt idx="3">
                  <c:v>2.4</c:v>
                </c:pt>
                <c:pt idx="4">
                  <c:v>1.8</c:v>
                </c:pt>
              </c:numCache>
            </c:numRef>
          </c:val>
          <c:extLst>
            <c:ext xmlns:c16="http://schemas.microsoft.com/office/drawing/2014/chart" uri="{C3380CC4-5D6E-409C-BE32-E72D297353CC}">
              <c16:uniqueId val="{00000000-3646-4908-A26B-767A4904CE56}"/>
            </c:ext>
          </c:extLst>
        </c:ser>
        <c:ser>
          <c:idx val="1"/>
          <c:order val="1"/>
          <c:tx>
            <c:strRef>
              <c:f>[financial_ratios_comparison.xlsx]Sheet1!$A$3:$B$3</c:f>
              <c:strCache>
                <c:ptCount val="2"/>
                <c:pt idx="0">
                  <c:v>Net Profit Margin</c:v>
                </c:pt>
                <c:pt idx="1">
                  <c:v>Walmart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[financial_ratios_comparison.xlsx]Sheet1!$C$3:$G$3</c:f>
              <c:numCache>
                <c:formatCode>General</c:formatCode>
                <c:ptCount val="5"/>
                <c:pt idx="0">
                  <c:v>2.8</c:v>
                </c:pt>
                <c:pt idx="1">
                  <c:v>2.9</c:v>
                </c:pt>
                <c:pt idx="2">
                  <c:v>3.1</c:v>
                </c:pt>
                <c:pt idx="3">
                  <c:v>3.2</c:v>
                </c:pt>
                <c:pt idx="4">
                  <c:v>3.3</c:v>
                </c:pt>
              </c:numCache>
            </c:numRef>
          </c:val>
          <c:extLst>
            <c:ext xmlns:c16="http://schemas.microsoft.com/office/drawing/2014/chart" uri="{C3380CC4-5D6E-409C-BE32-E72D297353CC}">
              <c16:uniqueId val="{00000001-3646-4908-A26B-767A4904CE56}"/>
            </c:ext>
          </c:extLst>
        </c:ser>
        <c:ser>
          <c:idx val="2"/>
          <c:order val="2"/>
          <c:tx>
            <c:strRef>
              <c:f>[financial_ratios_comparison.xlsx]Sheet1!$A$4:$B$4</c:f>
              <c:strCache>
                <c:ptCount val="2"/>
                <c:pt idx="0">
                  <c:v>Net Profit Margin</c:v>
                </c:pt>
                <c:pt idx="1">
                  <c:v>Alibaba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[financial_ratios_comparison.xlsx]Sheet1!$C$4:$G$4</c:f>
              <c:numCache>
                <c:formatCode>General</c:formatCode>
                <c:ptCount val="5"/>
                <c:pt idx="0">
                  <c:v>25.8</c:v>
                </c:pt>
                <c:pt idx="1">
                  <c:v>26.3</c:v>
                </c:pt>
                <c:pt idx="2">
                  <c:v>23</c:v>
                </c:pt>
                <c:pt idx="3">
                  <c:v>20.399999999999999</c:v>
                </c:pt>
                <c:pt idx="4">
                  <c:v>18.899999999999999</c:v>
                </c:pt>
              </c:numCache>
            </c:numRef>
          </c:val>
          <c:extLst>
            <c:ext xmlns:c16="http://schemas.microsoft.com/office/drawing/2014/chart" uri="{C3380CC4-5D6E-409C-BE32-E72D297353CC}">
              <c16:uniqueId val="{00000002-3646-4908-A26B-767A4904CE56}"/>
            </c:ext>
          </c:extLst>
        </c:ser>
        <c:dLbls>
          <c:dLblPos val="outEnd"/>
          <c:showLegendKey val="0"/>
          <c:showVal val="1"/>
          <c:showCatName val="0"/>
          <c:showSerName val="0"/>
          <c:showPercent val="0"/>
          <c:showBubbleSize val="0"/>
        </c:dLbls>
        <c:gapWidth val="219"/>
        <c:overlap val="-27"/>
        <c:axId val="1095344575"/>
        <c:axId val="1095341247"/>
      </c:barChart>
      <c:catAx>
        <c:axId val="1095344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341247"/>
        <c:crosses val="autoZero"/>
        <c:auto val="1"/>
        <c:lblAlgn val="ctr"/>
        <c:lblOffset val="100"/>
        <c:noMultiLvlLbl val="0"/>
      </c:catAx>
      <c:valAx>
        <c:axId val="10953412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3445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Return on Equity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Return on Equity (ROE)</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[financial_ratios_comparison.xlsx]Sheet1!$C$2:$G$2</c:f>
              <c:numCache>
                <c:formatCode>General</c:formatCode>
                <c:ptCount val="5"/>
                <c:pt idx="0">
                  <c:v>18.8</c:v>
                </c:pt>
                <c:pt idx="1">
                  <c:v>24.9</c:v>
                </c:pt>
                <c:pt idx="2">
                  <c:v>27.4</c:v>
                </c:pt>
                <c:pt idx="3">
                  <c:v>10.5</c:v>
                </c:pt>
                <c:pt idx="4">
                  <c:v>8.3000000000000007</c:v>
                </c:pt>
              </c:numCache>
            </c:numRef>
          </c:val>
          <c:extLst>
            <c:ext xmlns:c16="http://schemas.microsoft.com/office/drawing/2014/chart" uri="{C3380CC4-5D6E-409C-BE32-E72D297353CC}">
              <c16:uniqueId val="{00000000-5EC4-41ED-B003-70144322E996}"/>
            </c:ext>
          </c:extLst>
        </c:ser>
        <c:ser>
          <c:idx val="1"/>
          <c:order val="1"/>
          <c:tx>
            <c:strRef>
              <c:f>[financial_ratios_comparison.xlsx]Sheet1!$A$3:$B$3</c:f>
              <c:strCache>
                <c:ptCount val="2"/>
                <c:pt idx="0">
                  <c:v>Return on Equity (ROE)</c:v>
                </c:pt>
                <c:pt idx="1">
                  <c:v>Walmart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[financial_ratios_comparison.xlsx]Sheet1!$C$3:$G$3</c:f>
              <c:numCache>
                <c:formatCode>General</c:formatCode>
                <c:ptCount val="5"/>
                <c:pt idx="0">
                  <c:v>19.399999999999999</c:v>
                </c:pt>
                <c:pt idx="1">
                  <c:v>19.8</c:v>
                </c:pt>
                <c:pt idx="2">
                  <c:v>20.399999999999999</c:v>
                </c:pt>
                <c:pt idx="3">
                  <c:v>20.8</c:v>
                </c:pt>
                <c:pt idx="4">
                  <c:v>21</c:v>
                </c:pt>
              </c:numCache>
            </c:numRef>
          </c:val>
          <c:extLst>
            <c:ext xmlns:c16="http://schemas.microsoft.com/office/drawing/2014/chart" uri="{C3380CC4-5D6E-409C-BE32-E72D297353CC}">
              <c16:uniqueId val="{00000001-5EC4-41ED-B003-70144322E996}"/>
            </c:ext>
          </c:extLst>
        </c:ser>
        <c:ser>
          <c:idx val="2"/>
          <c:order val="2"/>
          <c:tx>
            <c:strRef>
              <c:f>[financial_ratios_comparison.xlsx]Sheet1!$A$4:$B$4</c:f>
              <c:strCache>
                <c:ptCount val="2"/>
                <c:pt idx="0">
                  <c:v>Return on Equity (ROE)</c:v>
                </c:pt>
                <c:pt idx="1">
                  <c:v>Alibaba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[financial_ratios_comparison.xlsx]Sheet1!$C$4:$G$4</c:f>
              <c:numCache>
                <c:formatCode>General</c:formatCode>
                <c:ptCount val="5"/>
                <c:pt idx="0">
                  <c:v>23.7</c:v>
                </c:pt>
                <c:pt idx="1">
                  <c:v>24.2</c:v>
                </c:pt>
                <c:pt idx="2">
                  <c:v>20.9</c:v>
                </c:pt>
                <c:pt idx="3">
                  <c:v>18.100000000000001</c:v>
                </c:pt>
                <c:pt idx="4">
                  <c:v>16.3</c:v>
                </c:pt>
              </c:numCache>
            </c:numRef>
          </c:val>
          <c:extLst>
            <c:ext xmlns:c16="http://schemas.microsoft.com/office/drawing/2014/chart" uri="{C3380CC4-5D6E-409C-BE32-E72D297353CC}">
              <c16:uniqueId val="{00000002-5EC4-41ED-B003-70144322E996}"/>
            </c:ext>
          </c:extLst>
        </c:ser>
        <c:dLbls>
          <c:dLblPos val="outEnd"/>
          <c:showLegendKey val="0"/>
          <c:showVal val="1"/>
          <c:showCatName val="0"/>
          <c:showSerName val="0"/>
          <c:showPercent val="0"/>
          <c:showBubbleSize val="0"/>
        </c:dLbls>
        <c:gapWidth val="219"/>
        <c:overlap val="-27"/>
        <c:axId val="1198223199"/>
        <c:axId val="1198226943"/>
      </c:barChart>
      <c:catAx>
        <c:axId val="11982231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226943"/>
        <c:crosses val="autoZero"/>
        <c:auto val="1"/>
        <c:lblAlgn val="ctr"/>
        <c:lblOffset val="100"/>
        <c:noMultiLvlLbl val="0"/>
      </c:catAx>
      <c:valAx>
        <c:axId val="11982269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2231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Inventory Turnover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Inventory Turnover</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[financial_ratios_comparison.xlsx]Sheet1!$C$2:$G$2</c:f>
              <c:numCache>
                <c:formatCode>General</c:formatCode>
                <c:ptCount val="5"/>
                <c:pt idx="0">
                  <c:v>7.8</c:v>
                </c:pt>
                <c:pt idx="1">
                  <c:v>8.1</c:v>
                </c:pt>
                <c:pt idx="2">
                  <c:v>8.6</c:v>
                </c:pt>
                <c:pt idx="3">
                  <c:v>8.3000000000000007</c:v>
                </c:pt>
                <c:pt idx="4">
                  <c:v>7.9</c:v>
                </c:pt>
              </c:numCache>
            </c:numRef>
          </c:val>
          <c:extLst>
            <c:ext xmlns:c16="http://schemas.microsoft.com/office/drawing/2014/chart" uri="{C3380CC4-5D6E-409C-BE32-E72D297353CC}">
              <c16:uniqueId val="{00000000-1011-4916-B67A-039FB4D320E1}"/>
            </c:ext>
          </c:extLst>
        </c:ser>
        <c:ser>
          <c:idx val="1"/>
          <c:order val="1"/>
          <c:tx>
            <c:strRef>
              <c:f>[financial_ratios_comparison.xlsx]Sheet1!$A$3:$B$3</c:f>
              <c:strCache>
                <c:ptCount val="2"/>
                <c:pt idx="0">
                  <c:v>Inventory Turnover</c:v>
                </c:pt>
                <c:pt idx="1">
                  <c:v>Walmart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[financial_ratios_comparison.xlsx]Sheet1!$C$3:$G$3</c:f>
              <c:numCache>
                <c:formatCode>General</c:formatCode>
                <c:ptCount val="5"/>
                <c:pt idx="0">
                  <c:v>8.6999999999999993</c:v>
                </c:pt>
                <c:pt idx="1">
                  <c:v>8.8000000000000007</c:v>
                </c:pt>
                <c:pt idx="2">
                  <c:v>8.9</c:v>
                </c:pt>
                <c:pt idx="3">
                  <c:v>8.6</c:v>
                </c:pt>
                <c:pt idx="4">
                  <c:v>8.5</c:v>
                </c:pt>
              </c:numCache>
            </c:numRef>
          </c:val>
          <c:extLst>
            <c:ext xmlns:c16="http://schemas.microsoft.com/office/drawing/2014/chart" uri="{C3380CC4-5D6E-409C-BE32-E72D297353CC}">
              <c16:uniqueId val="{00000001-1011-4916-B67A-039FB4D320E1}"/>
            </c:ext>
          </c:extLst>
        </c:ser>
        <c:ser>
          <c:idx val="2"/>
          <c:order val="2"/>
          <c:tx>
            <c:strRef>
              <c:f>[financial_ratios_comparison.xlsx]Sheet1!$A$4:$B$4</c:f>
              <c:strCache>
                <c:ptCount val="2"/>
                <c:pt idx="0">
                  <c:v>Inventory Turnover</c:v>
                </c:pt>
                <c:pt idx="1">
                  <c:v>Alibaba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[financial_ratios_comparison.xlsx]Sheet1!$C$4:$G$4</c:f>
              <c:numCache>
                <c:formatCode>General</c:formatCode>
                <c:ptCount val="5"/>
                <c:pt idx="0">
                  <c:v>5.3</c:v>
                </c:pt>
                <c:pt idx="1">
                  <c:v>5.6</c:v>
                </c:pt>
                <c:pt idx="2">
                  <c:v>5.8</c:v>
                </c:pt>
                <c:pt idx="3">
                  <c:v>6</c:v>
                </c:pt>
                <c:pt idx="4">
                  <c:v>5.9</c:v>
                </c:pt>
              </c:numCache>
            </c:numRef>
          </c:val>
          <c:extLst>
            <c:ext xmlns:c16="http://schemas.microsoft.com/office/drawing/2014/chart" uri="{C3380CC4-5D6E-409C-BE32-E72D297353CC}">
              <c16:uniqueId val="{00000002-1011-4916-B67A-039FB4D320E1}"/>
            </c:ext>
          </c:extLst>
        </c:ser>
        <c:dLbls>
          <c:dLblPos val="outEnd"/>
          <c:showLegendKey val="0"/>
          <c:showVal val="1"/>
          <c:showCatName val="0"/>
          <c:showSerName val="0"/>
          <c:showPercent val="0"/>
          <c:showBubbleSize val="0"/>
        </c:dLbls>
        <c:gapWidth val="219"/>
        <c:overlap val="-27"/>
        <c:axId val="1197648975"/>
        <c:axId val="1197649391"/>
      </c:barChart>
      <c:catAx>
        <c:axId val="1197648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649391"/>
        <c:crosses val="autoZero"/>
        <c:auto val="1"/>
        <c:lblAlgn val="ctr"/>
        <c:lblOffset val="100"/>
        <c:noMultiLvlLbl val="0"/>
      </c:catAx>
      <c:valAx>
        <c:axId val="11976493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648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Asset Turnover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Asset Turnover</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[financial_ratios_comparison.xlsx]Sheet1!$C$2:$G$2</c:f>
              <c:numCache>
                <c:formatCode>General</c:formatCode>
                <c:ptCount val="5"/>
                <c:pt idx="0">
                  <c:v>1.43</c:v>
                </c:pt>
                <c:pt idx="1">
                  <c:v>1.49</c:v>
                </c:pt>
                <c:pt idx="2">
                  <c:v>1.55</c:v>
                </c:pt>
                <c:pt idx="3">
                  <c:v>1.47</c:v>
                </c:pt>
                <c:pt idx="4">
                  <c:v>1.38</c:v>
                </c:pt>
              </c:numCache>
            </c:numRef>
          </c:val>
          <c:extLst>
            <c:ext xmlns:c16="http://schemas.microsoft.com/office/drawing/2014/chart" uri="{C3380CC4-5D6E-409C-BE32-E72D297353CC}">
              <c16:uniqueId val="{00000000-6872-4A68-ACED-4F53F7446697}"/>
            </c:ext>
          </c:extLst>
        </c:ser>
        <c:ser>
          <c:idx val="1"/>
          <c:order val="1"/>
          <c:tx>
            <c:strRef>
              <c:f>[financial_ratios_comparison.xlsx]Sheet1!$A$3:$B$3</c:f>
              <c:strCache>
                <c:ptCount val="2"/>
                <c:pt idx="0">
                  <c:v>Asset Turnover</c:v>
                </c:pt>
                <c:pt idx="1">
                  <c:v>Walmart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[financial_ratios_comparison.xlsx]Sheet1!$C$3:$G$3</c:f>
              <c:numCache>
                <c:formatCode>General</c:formatCode>
                <c:ptCount val="5"/>
                <c:pt idx="0">
                  <c:v>2.2999999999999998</c:v>
                </c:pt>
                <c:pt idx="1">
                  <c:v>2.27</c:v>
                </c:pt>
                <c:pt idx="2">
                  <c:v>2.21</c:v>
                </c:pt>
                <c:pt idx="3">
                  <c:v>2.1800000000000002</c:v>
                </c:pt>
                <c:pt idx="4">
                  <c:v>2.15</c:v>
                </c:pt>
              </c:numCache>
            </c:numRef>
          </c:val>
          <c:extLst>
            <c:ext xmlns:c16="http://schemas.microsoft.com/office/drawing/2014/chart" uri="{C3380CC4-5D6E-409C-BE32-E72D297353CC}">
              <c16:uniqueId val="{00000001-6872-4A68-ACED-4F53F7446697}"/>
            </c:ext>
          </c:extLst>
        </c:ser>
        <c:ser>
          <c:idx val="2"/>
          <c:order val="2"/>
          <c:tx>
            <c:strRef>
              <c:f>[financial_ratios_comparison.xlsx]Sheet1!$A$4:$B$4</c:f>
              <c:strCache>
                <c:ptCount val="2"/>
                <c:pt idx="0">
                  <c:v>Asset Turnover</c:v>
                </c:pt>
                <c:pt idx="1">
                  <c:v>Alibaba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[financial_ratios_comparison.xlsx]Sheet1!$C$1:$G$1</c:f>
              <c:strCache>
                <c:ptCount val="5"/>
                <c:pt idx="0">
                  <c:v>2019</c:v>
                </c:pt>
                <c:pt idx="1">
                  <c:v>2020</c:v>
                </c:pt>
                <c:pt idx="2">
                  <c:v>2021</c:v>
                </c:pt>
                <c:pt idx="3">
                  <c:v>2022</c:v>
                </c:pt>
                <c:pt idx="4">
                  <c:v>2023</c:v>
                </c:pt>
              </c:strCache>
            </c:strRef>
          </c:cat>
          <c:val>
            <c:numRef>
              <c:f>[financial_ratios_comparison.xlsx]Sheet1!$C$4:$G$4</c:f>
              <c:numCache>
                <c:formatCode>General</c:formatCode>
                <c:ptCount val="5"/>
                <c:pt idx="0">
                  <c:v>0.67</c:v>
                </c:pt>
                <c:pt idx="1">
                  <c:v>0.69</c:v>
                </c:pt>
                <c:pt idx="2">
                  <c:v>0.72</c:v>
                </c:pt>
                <c:pt idx="3">
                  <c:v>0.74</c:v>
                </c:pt>
                <c:pt idx="4">
                  <c:v>0.75</c:v>
                </c:pt>
              </c:numCache>
            </c:numRef>
          </c:val>
          <c:extLst>
            <c:ext xmlns:c16="http://schemas.microsoft.com/office/drawing/2014/chart" uri="{C3380CC4-5D6E-409C-BE32-E72D297353CC}">
              <c16:uniqueId val="{00000002-6872-4A68-ACED-4F53F7446697}"/>
            </c:ext>
          </c:extLst>
        </c:ser>
        <c:dLbls>
          <c:dLblPos val="outEnd"/>
          <c:showLegendKey val="0"/>
          <c:showVal val="1"/>
          <c:showCatName val="0"/>
          <c:showSerName val="0"/>
          <c:showPercent val="0"/>
          <c:showBubbleSize val="0"/>
        </c:dLbls>
        <c:gapWidth val="219"/>
        <c:overlap val="-27"/>
        <c:axId val="1198145679"/>
        <c:axId val="1198143183"/>
      </c:barChart>
      <c:catAx>
        <c:axId val="1198145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143183"/>
        <c:crosses val="autoZero"/>
        <c:auto val="1"/>
        <c:lblAlgn val="ctr"/>
        <c:lblOffset val="100"/>
        <c:noMultiLvlLbl val="0"/>
      </c:catAx>
      <c:valAx>
        <c:axId val="1198143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145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Debt</a:t>
            </a:r>
            <a:r>
              <a:rPr lang="en-US" baseline="0"/>
              <a:t> to Equity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[financial_ratios_comparison.xlsx]Sheet1!$A$2:$B$2</c:f>
              <c:strCache>
                <c:ptCount val="2"/>
                <c:pt idx="0">
                  <c:v>Debt to Equity Ratio</c:v>
                </c:pt>
                <c:pt idx="1">
                  <c:v>Amazon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[financial_ratios_comparison.xlsx]Sheet1!$C$2:$G$2</c:f>
              <c:numCache>
                <c:formatCode>General</c:formatCode>
                <c:ptCount val="5"/>
                <c:pt idx="0">
                  <c:v>1.07</c:v>
                </c:pt>
                <c:pt idx="1">
                  <c:v>0.98</c:v>
                </c:pt>
                <c:pt idx="2">
                  <c:v>0.91</c:v>
                </c:pt>
                <c:pt idx="3">
                  <c:v>1.02</c:v>
                </c:pt>
                <c:pt idx="4">
                  <c:v>1.1499999999999999</c:v>
                </c:pt>
              </c:numCache>
            </c:numRef>
          </c:val>
          <c:extLst>
            <c:ext xmlns:c16="http://schemas.microsoft.com/office/drawing/2014/chart" uri="{C3380CC4-5D6E-409C-BE32-E72D297353CC}">
              <c16:uniqueId val="{00000000-BD2D-40BB-B315-D70676E5E8E3}"/>
            </c:ext>
          </c:extLst>
        </c:ser>
        <c:ser>
          <c:idx val="1"/>
          <c:order val="1"/>
          <c:tx>
            <c:strRef>
              <c:f>[financial_ratios_comparison.xlsx]Sheet1!$A$3:$B$3</c:f>
              <c:strCache>
                <c:ptCount val="2"/>
                <c:pt idx="0">
                  <c:v>Debt to Equity Ratio</c:v>
                </c:pt>
                <c:pt idx="1">
                  <c:v>Walmart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[financial_ratios_comparison.xlsx]Sheet1!$C$3:$G$3</c:f>
              <c:numCache>
                <c:formatCode>General</c:formatCode>
                <c:ptCount val="5"/>
                <c:pt idx="0">
                  <c:v>0.79</c:v>
                </c:pt>
                <c:pt idx="1">
                  <c:v>0.78</c:v>
                </c:pt>
                <c:pt idx="2">
                  <c:v>0.77</c:v>
                </c:pt>
                <c:pt idx="3">
                  <c:v>0.76</c:v>
                </c:pt>
                <c:pt idx="4">
                  <c:v>0.75</c:v>
                </c:pt>
              </c:numCache>
            </c:numRef>
          </c:val>
          <c:extLst>
            <c:ext xmlns:c16="http://schemas.microsoft.com/office/drawing/2014/chart" uri="{C3380CC4-5D6E-409C-BE32-E72D297353CC}">
              <c16:uniqueId val="{00000001-BD2D-40BB-B315-D70676E5E8E3}"/>
            </c:ext>
          </c:extLst>
        </c:ser>
        <c:ser>
          <c:idx val="2"/>
          <c:order val="2"/>
          <c:tx>
            <c:strRef>
              <c:f>[financial_ratios_comparison.xlsx]Sheet1!$A$4:$B$4</c:f>
              <c:strCache>
                <c:ptCount val="2"/>
                <c:pt idx="0">
                  <c:v>Debt to Equity Ratio</c:v>
                </c:pt>
                <c:pt idx="1">
                  <c:v>Alibaba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[financial_ratios_comparison.xlsx]Sheet1!$C$4:$G$4</c:f>
              <c:numCache>
                <c:formatCode>General</c:formatCode>
                <c:ptCount val="5"/>
                <c:pt idx="0">
                  <c:v>0.12</c:v>
                </c:pt>
                <c:pt idx="1">
                  <c:v>0.1</c:v>
                </c:pt>
                <c:pt idx="2">
                  <c:v>0.11</c:v>
                </c:pt>
                <c:pt idx="3">
                  <c:v>0.13</c:v>
                </c:pt>
                <c:pt idx="4">
                  <c:v>0.14000000000000001</c:v>
                </c:pt>
              </c:numCache>
            </c:numRef>
          </c:val>
          <c:extLst>
            <c:ext xmlns:c16="http://schemas.microsoft.com/office/drawing/2014/chart" uri="{C3380CC4-5D6E-409C-BE32-E72D297353CC}">
              <c16:uniqueId val="{00000002-BD2D-40BB-B315-D70676E5E8E3}"/>
            </c:ext>
          </c:extLst>
        </c:ser>
        <c:dLbls>
          <c:dLblPos val="outEnd"/>
          <c:showLegendKey val="0"/>
          <c:showVal val="1"/>
          <c:showCatName val="0"/>
          <c:showSerName val="0"/>
          <c:showPercent val="0"/>
          <c:showBubbleSize val="0"/>
        </c:dLbls>
        <c:gapWidth val="219"/>
        <c:overlap val="-27"/>
        <c:axId val="1198139439"/>
        <c:axId val="1198144431"/>
      </c:barChart>
      <c:catAx>
        <c:axId val="1198139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144431"/>
        <c:crosses val="autoZero"/>
        <c:auto val="1"/>
        <c:lblAlgn val="ctr"/>
        <c:lblOffset val="100"/>
        <c:noMultiLvlLbl val="0"/>
      </c:catAx>
      <c:valAx>
        <c:axId val="1198144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139439"/>
        <c:crossesAt val="1"/>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617BFB-FB3A-4CA6-BBD3-BE0EB46CD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5990</Words>
  <Characters>34144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umair khalid</cp:lastModifiedBy>
  <cp:revision>2</cp:revision>
  <dcterms:created xsi:type="dcterms:W3CDTF">2024-08-19T18:24:00Z</dcterms:created>
  <dcterms:modified xsi:type="dcterms:W3CDTF">2024-08-19T18:24:00Z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72cda84559542c94c02db7d321478a6d88d41ea14e36e30fd24aaad543f92282</vt:lpwstr>
  </property>
  <property fmtid="{D5CDD505-2E9C-101B-9397-08002B2CF9AE}" pid="3" name="ICV">
    <vt:lpwstr>f8679342178541c29f49b796b660c782</vt:lpwstr>
  </property>
</Properties>
</file>