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1"/>
        <w:spacing w:before="0" w:beforeAutospacing="0"/>
        <w:jc w:val="center"/>
        <w:rPr>
          <w:rFonts w:hint="default" w:asciiTheme="minorAscii" w:hAnsiTheme="minorAscii" w:eastAsiaTheme="majorEastAsia"/>
          <w:b/>
          <w:bCs/>
          <w:i w:val="0"/>
          <w:iCs w:val="0"/>
          <w:sz w:val="28"/>
          <w:szCs w:val="28"/>
          <w:lang w:val="en-US" w:eastAsia="zh-CN"/>
        </w:rPr>
      </w:pPr>
      <w:r>
        <w:rPr>
          <w:rFonts w:hint="default" w:asciiTheme="minorAscii" w:hAnsiTheme="minorAscii"/>
          <w:b/>
          <w:bCs/>
          <w:i w:val="0"/>
          <w:iCs w:val="0"/>
          <w:sz w:val="28"/>
          <w:szCs w:val="28"/>
          <w:lang w:val="en-US" w:eastAsia="zh-CN"/>
        </w:rPr>
        <w:t>Improvement of an HR priority area</w:t>
      </w:r>
    </w:p>
    <w:p>
      <w:pPr>
        <w:pStyle w:val="151"/>
        <w:rPr>
          <w:rFonts w:hint="default" w:asciiTheme="minorAscii" w:hAnsiTheme="minorAscii"/>
          <w:sz w:val="22"/>
          <w:szCs w:val="22"/>
        </w:rPr>
      </w:pPr>
    </w:p>
    <w:p>
      <w:pPr>
        <w:pStyle w:val="151"/>
        <w:jc w:val="both"/>
        <w:rPr>
          <w:rFonts w:hint="default" w:asciiTheme="minorAscii" w:hAnsiTheme="minorAscii"/>
          <w:sz w:val="22"/>
          <w:szCs w:val="22"/>
        </w:rPr>
      </w:pPr>
    </w:p>
    <w:p>
      <w:pPr>
        <w:pStyle w:val="151"/>
        <w:spacing w:line="240" w:lineRule="auto"/>
        <w:rPr>
          <w:rFonts w:hint="default" w:asciiTheme="minorAscii" w:hAnsiTheme="minorAscii"/>
          <w:sz w:val="22"/>
          <w:szCs w:val="22"/>
        </w:rPr>
      </w:pPr>
    </w:p>
    <w:p>
      <w:pPr>
        <w:pStyle w:val="81"/>
        <w:spacing w:before="0" w:line="240" w:lineRule="auto"/>
        <w:rPr>
          <w:rFonts w:hint="default" w:asciiTheme="minorAscii" w:hAnsiTheme="minorAscii"/>
          <w:sz w:val="22"/>
          <w:szCs w:val="22"/>
        </w:rPr>
      </w:pPr>
    </w:p>
    <w:p>
      <w:pPr>
        <w:pStyle w:val="151"/>
        <w:rPr>
          <w:rFonts w:hint="default" w:asciiTheme="minorAscii" w:hAnsiTheme="minorAscii"/>
          <w:b/>
          <w:bCs/>
          <w:color w:val="FF0000"/>
          <w:sz w:val="22"/>
          <w:szCs w:val="22"/>
          <w:lang w:val="en-US" w:eastAsia="zh-CN"/>
        </w:rPr>
      </w:pPr>
      <w:r>
        <w:rPr>
          <w:rFonts w:hint="default" w:asciiTheme="minorAscii" w:hAnsiTheme="minorAscii"/>
          <w:sz w:val="22"/>
          <w:szCs w:val="22"/>
        </w:rPr>
        <w:drawing>
          <wp:inline distT="0" distB="0" distL="114300" distR="114300">
            <wp:extent cx="3038475" cy="3432175"/>
            <wp:effectExtent l="0" t="0" r="9525" b="15875"/>
            <wp:docPr id="7" name="Content Placeholder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Diagram&#10;&#10;Description automatically generated"/>
                    <pic:cNvPicPr>
                      <a:picLocks noChangeAspect="1"/>
                    </pic:cNvPicPr>
                  </pic:nvPicPr>
                  <pic:blipFill>
                    <a:blip r:embed="rId10"/>
                    <a:srcRect l="26300" t="13138" r="28004" b="38343"/>
                    <a:stretch>
                      <a:fillRect/>
                    </a:stretch>
                  </pic:blipFill>
                  <pic:spPr>
                    <a:xfrm>
                      <a:off x="0" y="0"/>
                      <a:ext cx="3038475" cy="3432175"/>
                    </a:xfrm>
                    <a:prstGeom prst="rect">
                      <a:avLst/>
                    </a:prstGeom>
                  </pic:spPr>
                </pic:pic>
              </a:graphicData>
            </a:graphic>
          </wp:inline>
        </w:drawing>
      </w:r>
    </w:p>
    <w:p>
      <w:pPr>
        <w:pStyle w:val="151"/>
        <w:rPr>
          <w:rFonts w:hint="default" w:asciiTheme="minorAscii" w:hAnsiTheme="minorAscii" w:eastAsiaTheme="minorEastAsia"/>
          <w:b/>
          <w:bCs/>
          <w:color w:val="FF0000"/>
          <w:sz w:val="52"/>
          <w:szCs w:val="52"/>
          <w:lang w:val="en-US" w:eastAsia="zh-CN"/>
        </w:rPr>
      </w:pPr>
      <w:r>
        <w:rPr>
          <w:rFonts w:hint="default" w:asciiTheme="minorAscii" w:hAnsiTheme="minorAscii"/>
          <w:b/>
          <w:bCs/>
          <w:color w:val="FF0000"/>
          <w:sz w:val="52"/>
          <w:szCs w:val="52"/>
          <w:lang w:val="en-US" w:eastAsia="zh-CN"/>
        </w:rPr>
        <w:t>March 2023</w:t>
      </w: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sz w:val="22"/>
          <w:szCs w:val="22"/>
        </w:rPr>
      </w:pPr>
    </w:p>
    <w:p>
      <w:pPr>
        <w:spacing w:line="240" w:lineRule="auto"/>
        <w:ind w:firstLine="0"/>
        <w:rPr>
          <w:rFonts w:hint="default" w:asciiTheme="minorAscii" w:hAnsiTheme="minorAscii"/>
          <w:b/>
          <w:bCs/>
          <w:sz w:val="28"/>
          <w:szCs w:val="28"/>
          <w:lang w:val="en-US" w:eastAsia="zh-CN"/>
        </w:rPr>
      </w:pPr>
      <w:r>
        <w:rPr>
          <w:rFonts w:hint="default" w:asciiTheme="minorAscii" w:hAnsiTheme="minorAscii"/>
          <w:b/>
          <w:bCs/>
          <w:sz w:val="28"/>
          <w:szCs w:val="28"/>
          <w:lang w:val="en-US" w:eastAsia="zh-CN"/>
        </w:rPr>
        <w:t xml:space="preserve">MODULE NAME: </w:t>
      </w:r>
      <w:r>
        <w:rPr>
          <w:rFonts w:hint="default" w:asciiTheme="minorAscii" w:hAnsiTheme="minorAscii"/>
          <w:b w:val="0"/>
          <w:bCs w:val="0"/>
          <w:sz w:val="28"/>
          <w:szCs w:val="28"/>
          <w:lang w:val="en-US" w:eastAsia="zh-CN"/>
        </w:rPr>
        <w:t>Human Resource Management (BMMB7007)</w:t>
      </w:r>
    </w:p>
    <w:p>
      <w:pPr>
        <w:spacing w:line="240" w:lineRule="auto"/>
        <w:ind w:firstLine="0"/>
        <w:rPr>
          <w:rFonts w:hint="default" w:asciiTheme="minorAscii" w:hAnsiTheme="minorAscii"/>
          <w:b/>
          <w:bCs/>
          <w:sz w:val="28"/>
          <w:szCs w:val="28"/>
          <w:lang w:val="en-US" w:eastAsia="zh-CN"/>
        </w:rPr>
      </w:pPr>
    </w:p>
    <w:p>
      <w:pPr>
        <w:spacing w:line="240" w:lineRule="auto"/>
        <w:ind w:firstLine="0"/>
        <w:rPr>
          <w:rFonts w:hint="default" w:asciiTheme="minorAscii" w:hAnsiTheme="minorAscii"/>
          <w:b/>
          <w:bCs/>
          <w:sz w:val="28"/>
          <w:szCs w:val="28"/>
          <w:lang w:val="en-US" w:eastAsia="zh-CN"/>
        </w:rPr>
      </w:pPr>
      <w:r>
        <w:rPr>
          <w:rFonts w:hint="default" w:asciiTheme="minorAscii" w:hAnsiTheme="minorAscii"/>
          <w:b/>
          <w:bCs/>
          <w:sz w:val="28"/>
          <w:szCs w:val="28"/>
          <w:lang w:val="en-US" w:eastAsia="zh-CN"/>
        </w:rPr>
        <w:t xml:space="preserve">NAME: </w:t>
      </w:r>
      <w:r>
        <w:rPr>
          <w:rFonts w:hint="default" w:asciiTheme="minorAscii" w:hAnsiTheme="minorAscii"/>
          <w:b w:val="0"/>
          <w:bCs w:val="0"/>
          <w:sz w:val="28"/>
          <w:szCs w:val="28"/>
          <w:lang w:val="en-US" w:eastAsia="zh-CN"/>
        </w:rPr>
        <w:t>Wenyue Wang</w:t>
      </w:r>
      <w:r>
        <w:rPr>
          <w:rFonts w:hint="default" w:asciiTheme="minorAscii" w:hAnsiTheme="minorAscii"/>
          <w:b w:val="0"/>
          <w:bCs w:val="0"/>
          <w:sz w:val="28"/>
          <w:szCs w:val="28"/>
          <w:lang w:val="en-US" w:eastAsia="zh-CN"/>
        </w:rPr>
        <w:t xml:space="preserve"> </w:t>
      </w:r>
    </w:p>
    <w:p>
      <w:pPr>
        <w:spacing w:line="240" w:lineRule="auto"/>
        <w:ind w:firstLine="0"/>
        <w:rPr>
          <w:rFonts w:hint="default" w:asciiTheme="minorAscii" w:hAnsiTheme="minorAscii"/>
          <w:b/>
          <w:bCs/>
          <w:sz w:val="28"/>
          <w:szCs w:val="28"/>
          <w:lang w:val="en-US" w:eastAsia="zh-CN"/>
        </w:rPr>
      </w:pPr>
    </w:p>
    <w:p>
      <w:pPr>
        <w:spacing w:line="240" w:lineRule="auto"/>
        <w:ind w:firstLine="0"/>
        <w:rPr>
          <w:rFonts w:hint="default" w:asciiTheme="minorAscii" w:hAnsiTheme="minorAscii"/>
          <w:sz w:val="22"/>
          <w:szCs w:val="22"/>
        </w:rPr>
      </w:pPr>
      <w:r>
        <w:rPr>
          <w:rFonts w:hint="default" w:asciiTheme="minorAscii" w:hAnsiTheme="minorAscii"/>
          <w:b/>
          <w:bCs/>
          <w:sz w:val="28"/>
          <w:szCs w:val="28"/>
          <w:lang w:val="en-US" w:eastAsia="zh-CN"/>
        </w:rPr>
        <w:t xml:space="preserve">STUDENT NUMBER: </w:t>
      </w:r>
      <w:r>
        <w:rPr>
          <w:rFonts w:hint="default" w:asciiTheme="minorAscii" w:hAnsiTheme="minorAscii"/>
          <w:b w:val="0"/>
          <w:bCs w:val="0"/>
          <w:sz w:val="28"/>
          <w:szCs w:val="28"/>
          <w:lang w:val="en-US" w:eastAsia="zh-CN"/>
        </w:rPr>
        <w:t>2218839</w:t>
      </w:r>
      <w:r>
        <w:rPr>
          <w:rFonts w:hint="default" w:asciiTheme="minorAscii" w:hAnsiTheme="minorAscii"/>
          <w:sz w:val="22"/>
          <w:szCs w:val="22"/>
        </w:rPr>
        <w:br w:type="page"/>
      </w:r>
    </w:p>
    <w:p>
      <w:pPr>
        <w:pStyle w:val="98"/>
        <w:rPr>
          <w:rFonts w:hint="default" w:asciiTheme="minorAscii" w:hAnsiTheme="minorAscii"/>
          <w:b/>
          <w:bCs/>
          <w:sz w:val="22"/>
          <w:szCs w:val="22"/>
          <w:lang w:val="en-US"/>
        </w:rPr>
      </w:pPr>
      <w:bookmarkStart w:id="0" w:name="_Toc130673054"/>
      <w:r>
        <w:rPr>
          <w:rFonts w:hint="default" w:asciiTheme="minorAscii" w:hAnsiTheme="minorAscii"/>
          <w:b/>
          <w:bCs/>
          <w:sz w:val="22"/>
          <w:szCs w:val="22"/>
          <w:lang w:eastAsia="zh-CN"/>
        </w:rPr>
        <w:t>E</w:t>
      </w:r>
      <w:r>
        <w:rPr>
          <w:rFonts w:hint="default" w:asciiTheme="minorAscii" w:hAnsiTheme="minorAscii"/>
          <w:b/>
          <w:bCs/>
          <w:sz w:val="22"/>
          <w:szCs w:val="22"/>
          <w:lang w:val="en-US" w:eastAsia="zh-CN"/>
        </w:rPr>
        <w:t>xecutive Summary</w:t>
      </w:r>
    </w:p>
    <w:bookmarkEnd w:id="0"/>
    <w:p>
      <w:pPr>
        <w:pStyle w:val="101"/>
        <w:ind w:firstLine="720"/>
        <w:rPr>
          <w:rFonts w:hint="default" w:asciiTheme="minorAscii" w:hAnsiTheme="minorAscii"/>
          <w:sz w:val="22"/>
          <w:szCs w:val="22"/>
        </w:rPr>
      </w:pPr>
      <w:r>
        <w:rPr>
          <w:rFonts w:hint="default" w:asciiTheme="minorAscii" w:hAnsiTheme="minorAscii"/>
          <w:sz w:val="22"/>
          <w:szCs w:val="22"/>
        </w:rPr>
        <w:t xml:space="preserve">This report analyzes the strengths and weaknesses of the human resource management function at Brigham and Women's Hospital (BWH), a leading medical </w:t>
      </w:r>
      <w:r>
        <w:rPr>
          <w:rFonts w:hint="default" w:asciiTheme="minorAscii" w:hAnsiTheme="minorAscii"/>
          <w:sz w:val="22"/>
          <w:szCs w:val="22"/>
          <w:lang w:eastAsia="zh-CN"/>
        </w:rPr>
        <w:t>orgnisation</w:t>
      </w:r>
      <w:r>
        <w:rPr>
          <w:rFonts w:hint="default" w:asciiTheme="minorAscii" w:hAnsiTheme="minorAscii"/>
          <w:sz w:val="22"/>
          <w:szCs w:val="22"/>
        </w:rPr>
        <w:t xml:space="preserve"> in Massachusetts, USA. The report sets the analysis of the HR priority area in the context of </w:t>
      </w:r>
      <w:r>
        <w:rPr>
          <w:rFonts w:hint="default" w:asciiTheme="minorAscii" w:hAnsiTheme="minorAscii"/>
          <w:sz w:val="22"/>
          <w:szCs w:val="22"/>
          <w:lang w:eastAsia="zh-CN"/>
        </w:rPr>
        <w:t>orgnisation</w:t>
      </w:r>
      <w:r>
        <w:rPr>
          <w:rFonts w:hint="default" w:asciiTheme="minorAscii" w:hAnsiTheme="minorAscii"/>
          <w:sz w:val="22"/>
          <w:szCs w:val="22"/>
        </w:rPr>
        <w:t xml:space="preserve">s within the healthcare sector. It explores the importance of the HR priority region for </w:t>
      </w:r>
      <w:r>
        <w:rPr>
          <w:rFonts w:hint="default" w:asciiTheme="minorAscii" w:hAnsiTheme="minorAscii"/>
          <w:sz w:val="22"/>
          <w:szCs w:val="22"/>
          <w:lang w:eastAsia="zh-CN"/>
        </w:rPr>
        <w:t>orgnisation</w:t>
      </w:r>
      <w:r>
        <w:rPr>
          <w:rFonts w:hint="default" w:asciiTheme="minorAscii" w:hAnsiTheme="minorAscii"/>
          <w:sz w:val="22"/>
          <w:szCs w:val="22"/>
        </w:rPr>
        <w:t xml:space="preserve">s within the healthcare sector by identifying the deficiencies of the BWH HR managing group in work on equity, diversity and equity. According to the report, even though BWH has an industry-leading human resource management team, its strategies and actions regarding diversity, inclusion and equity within the </w:t>
      </w:r>
      <w:r>
        <w:rPr>
          <w:rFonts w:hint="default" w:asciiTheme="minorAscii" w:hAnsiTheme="minorAscii"/>
          <w:sz w:val="22"/>
          <w:szCs w:val="22"/>
          <w:lang w:eastAsia="zh-CN"/>
        </w:rPr>
        <w:t>orgnisation</w:t>
      </w:r>
      <w:r>
        <w:rPr>
          <w:rFonts w:hint="default" w:asciiTheme="minorAscii" w:hAnsiTheme="minorAscii"/>
          <w:sz w:val="22"/>
          <w:szCs w:val="22"/>
        </w:rPr>
        <w:t xml:space="preserve"> have not substantially promoted the mutual understanding of treatment practices and values between minority medical staff and diverse patients. Based on the findings, the report makes practical recommendations on diversity training within </w:t>
      </w:r>
      <w:r>
        <w:rPr>
          <w:rFonts w:hint="default" w:asciiTheme="minorAscii" w:hAnsiTheme="minorAscii"/>
          <w:sz w:val="22"/>
          <w:szCs w:val="22"/>
          <w:lang w:eastAsia="zh-CN"/>
        </w:rPr>
        <w:t>orgnisation</w:t>
      </w:r>
      <w:r>
        <w:rPr>
          <w:rFonts w:hint="default" w:asciiTheme="minorAscii" w:hAnsiTheme="minorAscii"/>
          <w:sz w:val="22"/>
          <w:szCs w:val="22"/>
        </w:rPr>
        <w:t>s, college partnerships and preferential practices for minority employees.</w:t>
      </w:r>
    </w:p>
    <w:p>
      <w:pPr>
        <w:rPr>
          <w:rFonts w:hint="default" w:asciiTheme="minorAscii" w:hAnsiTheme="minorAscii"/>
          <w:sz w:val="22"/>
          <w:szCs w:val="22"/>
        </w:rPr>
      </w:pPr>
      <w:r>
        <w:rPr>
          <w:rStyle w:val="91"/>
          <w:rFonts w:hint="default" w:asciiTheme="minorAscii" w:hAnsiTheme="minorAscii"/>
          <w:sz w:val="22"/>
          <w:szCs w:val="22"/>
        </w:rPr>
        <w:t>Keywords</w:t>
      </w:r>
      <w:r>
        <w:rPr>
          <w:rFonts w:hint="default" w:asciiTheme="minorAscii" w:hAnsiTheme="minorAscii"/>
          <w:sz w:val="22"/>
          <w:szCs w:val="22"/>
        </w:rPr>
        <w:t>:  Brigham and Women's Hospital, HR priority area, equity, diversity and equity.</w:t>
      </w:r>
    </w:p>
    <w:p>
      <w:pPr>
        <w:rPr>
          <w:rFonts w:hint="default" w:eastAsia="MS Mincho" w:asciiTheme="minorAscii" w:hAnsiTheme="minorAscii"/>
          <w:sz w:val="22"/>
          <w:szCs w:val="22"/>
        </w:rPr>
      </w:pPr>
    </w:p>
    <w:p>
      <w:pPr>
        <w:rPr>
          <w:rFonts w:hint="default" w:eastAsia="MS Mincho" w:asciiTheme="minorAscii" w:hAnsiTheme="minorAscii"/>
          <w:sz w:val="22"/>
          <w:szCs w:val="22"/>
        </w:rPr>
      </w:pPr>
      <w:r>
        <w:rPr>
          <w:rFonts w:hint="default" w:eastAsia="MS Mincho" w:asciiTheme="minorAscii" w:hAnsiTheme="minorAscii"/>
          <w:sz w:val="22"/>
          <w:szCs w:val="22"/>
        </w:rPr>
        <w:br w:type="page"/>
      </w:r>
    </w:p>
    <w:sdt>
      <w:sdtPr>
        <w:rPr>
          <w:rFonts w:hint="default" w:asciiTheme="minorAscii" w:hAnsiTheme="minorAscii" w:eastAsiaTheme="minorEastAsia" w:cstheme="minorBidi"/>
          <w:b w:val="0"/>
          <w:sz w:val="22"/>
          <w:szCs w:val="22"/>
          <w:lang w:val="zh-CN" w:eastAsia="zh-CN"/>
        </w:rPr>
        <w:id w:val="-983466093"/>
        <w:docPartObj>
          <w:docPartGallery w:val="Table of Contents"/>
          <w:docPartUnique/>
        </w:docPartObj>
      </w:sdtPr>
      <w:sdtEndPr>
        <w:rPr>
          <w:rFonts w:hint="default" w:asciiTheme="minorAscii" w:hAnsiTheme="minorAscii" w:eastAsiaTheme="minorEastAsia" w:cstheme="minorBidi"/>
          <w:b w:val="0"/>
          <w:bCs/>
          <w:sz w:val="22"/>
          <w:szCs w:val="22"/>
          <w:lang w:val="zh-CN" w:eastAsia="ja-JP"/>
        </w:rPr>
      </w:sdtEndPr>
      <w:sdtContent>
        <w:p>
          <w:pPr>
            <w:pStyle w:val="150"/>
            <w:jc w:val="center"/>
            <w:rPr>
              <w:rFonts w:hint="default" w:asciiTheme="minorAscii" w:hAnsiTheme="minorAscii"/>
              <w:sz w:val="22"/>
              <w:szCs w:val="22"/>
            </w:rPr>
          </w:pPr>
          <w:r>
            <w:rPr>
              <w:rFonts w:hint="default" w:asciiTheme="minorAscii" w:hAnsiTheme="minorAscii"/>
              <w:sz w:val="22"/>
              <w:szCs w:val="22"/>
              <w:lang w:eastAsia="zh-CN"/>
            </w:rPr>
            <w:t>T</w:t>
          </w:r>
          <w:r>
            <w:rPr>
              <w:rFonts w:hint="default" w:asciiTheme="minorAscii" w:hAnsiTheme="minorAscii"/>
              <w:sz w:val="22"/>
              <w:szCs w:val="22"/>
              <w:lang w:eastAsia="zh-CN"/>
            </w:rPr>
            <w:t>able of Contents</w:t>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TOC \o "1-3" \h \z \u </w:instrText>
          </w:r>
          <w:r>
            <w:rPr>
              <w:rFonts w:hint="default" w:asciiTheme="minorAscii" w:hAnsiTheme="minorAscii"/>
              <w:sz w:val="22"/>
              <w:szCs w:val="22"/>
            </w:rPr>
            <w:fldChar w:fldCharType="separate"/>
          </w: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"_Toc130673054" </w:instrText>
          </w:r>
          <w:r>
            <w:rPr>
              <w:rFonts w:hint="default" w:asciiTheme="minorAscii" w:hAnsiTheme="minorAscii"/>
              <w:sz w:val="22"/>
              <w:szCs w:val="22"/>
            </w:rPr>
            <w:fldChar w:fldCharType="separate"/>
          </w:r>
          <w:r>
            <w:rPr>
              <w:rStyle w:val="93"/>
              <w:rFonts w:hint="eastAsia" w:asciiTheme="minorAscii" w:hAnsiTheme="minorAscii"/>
              <w:sz w:val="22"/>
              <w:szCs w:val="22"/>
              <w:lang w:val="en-US" w:eastAsia="zh-CN"/>
            </w:rPr>
            <w:t>Executive Summary</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_Toc130673054 \h </w:instrText>
          </w:r>
          <w:r>
            <w:rPr>
              <w:rFonts w:hint="default" w:asciiTheme="minorAscii" w:hAnsiTheme="minorAscii"/>
              <w:sz w:val="22"/>
              <w:szCs w:val="22"/>
            </w:rPr>
            <w:fldChar w:fldCharType="separate"/>
          </w:r>
          <w:r>
            <w:rPr>
              <w:rFonts w:hint="default" w:asciiTheme="minorAscii" w:hAnsiTheme="minorAscii"/>
              <w:sz w:val="22"/>
              <w:szCs w:val="22"/>
            </w:rPr>
            <w:t>2</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"_Toc130673055" </w:instrText>
          </w:r>
          <w:r>
            <w:rPr>
              <w:rFonts w:hint="default" w:asciiTheme="minorAscii" w:hAnsiTheme="minorAscii"/>
              <w:sz w:val="22"/>
              <w:szCs w:val="22"/>
            </w:rPr>
            <w:fldChar w:fldCharType="separate"/>
          </w:r>
          <w:r>
            <w:rPr>
              <w:rStyle w:val="93"/>
              <w:rFonts w:hint="default" w:asciiTheme="minorAscii" w:hAnsiTheme="minorAscii"/>
              <w:sz w:val="22"/>
              <w:szCs w:val="22"/>
            </w:rPr>
            <w:t>Report: Improvement of An HR Priority Area in Brigham and Women's Hospital</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_Toc130673055 \h </w:instrText>
          </w:r>
          <w:r>
            <w:rPr>
              <w:rFonts w:hint="default" w:asciiTheme="minorAscii" w:hAnsiTheme="minorAscii"/>
              <w:sz w:val="22"/>
              <w:szCs w:val="22"/>
            </w:rPr>
            <w:fldChar w:fldCharType="separate"/>
          </w:r>
          <w:r>
            <w:rPr>
              <w:rFonts w:hint="default" w:asciiTheme="minorAscii" w:hAnsiTheme="minorAscii"/>
              <w:sz w:val="22"/>
              <w:szCs w:val="22"/>
            </w:rPr>
            <w:t>4</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"_Toc130673056" </w:instrText>
          </w:r>
          <w:r>
            <w:rPr>
              <w:rFonts w:hint="default" w:asciiTheme="minorAscii" w:hAnsiTheme="minorAscii"/>
              <w:sz w:val="22"/>
              <w:szCs w:val="22"/>
            </w:rPr>
            <w:fldChar w:fldCharType="separate"/>
          </w:r>
          <w:r>
            <w:rPr>
              <w:rStyle w:val="93"/>
              <w:rFonts w:hint="default" w:asciiTheme="minorAscii" w:hAnsiTheme="minorAscii"/>
              <w:sz w:val="22"/>
              <w:szCs w:val="22"/>
              <w:lang w:eastAsia="zh-CN"/>
            </w:rPr>
            <w:t>1.0 Introduction</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_Toc130673056 \h </w:instrText>
          </w:r>
          <w:r>
            <w:rPr>
              <w:rFonts w:hint="default" w:asciiTheme="minorAscii" w:hAnsiTheme="minorAscii"/>
              <w:sz w:val="22"/>
              <w:szCs w:val="22"/>
            </w:rPr>
            <w:fldChar w:fldCharType="separate"/>
          </w:r>
          <w:r>
            <w:rPr>
              <w:rFonts w:hint="default" w:asciiTheme="minorAscii" w:hAnsiTheme="minorAscii"/>
              <w:sz w:val="22"/>
              <w:szCs w:val="22"/>
            </w:rPr>
            <w:t>4</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"_Toc130673057" </w:instrText>
          </w:r>
          <w:r>
            <w:rPr>
              <w:rFonts w:hint="default" w:asciiTheme="minorAscii" w:hAnsiTheme="minorAscii"/>
              <w:sz w:val="22"/>
              <w:szCs w:val="22"/>
            </w:rPr>
            <w:fldChar w:fldCharType="separate"/>
          </w:r>
          <w:r>
            <w:rPr>
              <w:rStyle w:val="93"/>
              <w:rFonts w:hint="default" w:asciiTheme="minorAscii" w:hAnsiTheme="minorAscii"/>
              <w:sz w:val="22"/>
              <w:szCs w:val="22"/>
              <w:lang w:eastAsia="zh-CN"/>
            </w:rPr>
            <w:t xml:space="preserve">2.0 </w:t>
          </w:r>
          <w:r>
            <w:rPr>
              <w:rStyle w:val="93"/>
              <w:rFonts w:hint="default" w:asciiTheme="minorAscii" w:hAnsiTheme="minorAscii"/>
              <w:sz w:val="22"/>
              <w:szCs w:val="22"/>
              <w:lang w:eastAsia="zh-CN"/>
            </w:rPr>
            <w:t>orgnisation</w:t>
          </w:r>
          <w:r>
            <w:rPr>
              <w:rStyle w:val="93"/>
              <w:rFonts w:hint="default" w:asciiTheme="minorAscii" w:hAnsiTheme="minorAscii"/>
              <w:sz w:val="22"/>
              <w:szCs w:val="22"/>
              <w:lang w:eastAsia="zh-CN"/>
            </w:rPr>
            <w:t>al Overview</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_Toc130673057 \h </w:instrText>
          </w:r>
          <w:r>
            <w:rPr>
              <w:rFonts w:hint="default" w:asciiTheme="minorAscii" w:hAnsiTheme="minorAscii"/>
              <w:sz w:val="22"/>
              <w:szCs w:val="22"/>
            </w:rPr>
            <w:fldChar w:fldCharType="separate"/>
          </w:r>
          <w:r>
            <w:rPr>
              <w:rFonts w:hint="default" w:asciiTheme="minorAscii" w:hAnsiTheme="minorAscii"/>
              <w:sz w:val="22"/>
              <w:szCs w:val="22"/>
            </w:rPr>
            <w:t>4</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"_Toc130673058" </w:instrText>
          </w:r>
          <w:r>
            <w:rPr>
              <w:rFonts w:hint="default" w:asciiTheme="minorAscii" w:hAnsiTheme="minorAscii"/>
              <w:sz w:val="22"/>
              <w:szCs w:val="22"/>
            </w:rPr>
            <w:fldChar w:fldCharType="separate"/>
          </w:r>
          <w:r>
            <w:rPr>
              <w:rStyle w:val="93"/>
              <w:rFonts w:hint="default" w:asciiTheme="minorAscii" w:hAnsiTheme="minorAscii"/>
              <w:sz w:val="22"/>
              <w:szCs w:val="22"/>
            </w:rPr>
            <w:t>3.0 Main Discussion</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_Toc130673058 \h </w:instrText>
          </w:r>
          <w:r>
            <w:rPr>
              <w:rFonts w:hint="default" w:asciiTheme="minorAscii" w:hAnsiTheme="minorAscii"/>
              <w:sz w:val="22"/>
              <w:szCs w:val="22"/>
            </w:rPr>
            <w:fldChar w:fldCharType="separate"/>
          </w:r>
          <w:r>
            <w:rPr>
              <w:rFonts w:hint="default" w:asciiTheme="minorAscii" w:hAnsiTheme="minorAscii"/>
              <w:sz w:val="22"/>
              <w:szCs w:val="22"/>
            </w:rPr>
            <w:t>5</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"_Toc130673059" </w:instrText>
          </w:r>
          <w:r>
            <w:rPr>
              <w:rFonts w:hint="default" w:asciiTheme="minorAscii" w:hAnsiTheme="minorAscii"/>
              <w:sz w:val="22"/>
              <w:szCs w:val="22"/>
            </w:rPr>
            <w:fldChar w:fldCharType="separate"/>
          </w:r>
          <w:r>
            <w:rPr>
              <w:rStyle w:val="93"/>
              <w:rFonts w:hint="default" w:asciiTheme="minorAscii" w:hAnsiTheme="minorAscii"/>
              <w:sz w:val="22"/>
              <w:szCs w:val="22"/>
            </w:rPr>
            <w:t>4.0 Conclusions</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_Toc130673059 \h </w:instrText>
          </w:r>
          <w:r>
            <w:rPr>
              <w:rFonts w:hint="default" w:asciiTheme="minorAscii" w:hAnsiTheme="minorAscii"/>
              <w:sz w:val="22"/>
              <w:szCs w:val="22"/>
            </w:rPr>
            <w:fldChar w:fldCharType="separate"/>
          </w:r>
          <w:r>
            <w:rPr>
              <w:rFonts w:hint="default" w:asciiTheme="minorAscii" w:hAnsiTheme="minorAscii"/>
              <w:sz w:val="22"/>
              <w:szCs w:val="22"/>
            </w:rPr>
            <w:t>9</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"_Toc130673060" </w:instrText>
          </w:r>
          <w:r>
            <w:rPr>
              <w:rFonts w:hint="default" w:asciiTheme="minorAscii" w:hAnsiTheme="minorAscii"/>
              <w:sz w:val="22"/>
              <w:szCs w:val="22"/>
            </w:rPr>
            <w:fldChar w:fldCharType="separate"/>
          </w:r>
          <w:r>
            <w:rPr>
              <w:rStyle w:val="93"/>
              <w:rFonts w:hint="default" w:asciiTheme="minorAscii" w:hAnsiTheme="minorAscii"/>
              <w:sz w:val="22"/>
              <w:szCs w:val="22"/>
            </w:rPr>
            <w:t>5.0 Recommendations</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_Toc130673060 \h </w:instrText>
          </w:r>
          <w:r>
            <w:rPr>
              <w:rFonts w:hint="default" w:asciiTheme="minorAscii" w:hAnsiTheme="minorAscii"/>
              <w:sz w:val="22"/>
              <w:szCs w:val="22"/>
            </w:rPr>
            <w:fldChar w:fldCharType="separate"/>
          </w:r>
          <w:r>
            <w:rPr>
              <w:rFonts w:hint="default" w:asciiTheme="minorAscii" w:hAnsiTheme="minorAscii"/>
              <w:sz w:val="22"/>
              <w:szCs w:val="22"/>
            </w:rPr>
            <w:t>11</w:t>
          </w:r>
          <w:r>
            <w:rPr>
              <w:rFonts w:hint="default" w:asciiTheme="minorAscii" w:hAnsiTheme="minorAscii"/>
              <w:sz w:val="22"/>
              <w:szCs w:val="22"/>
            </w:rPr>
            <w:fldChar w:fldCharType="end"/>
          </w:r>
          <w:r>
            <w:rPr>
              <w:rFonts w:hint="default" w:asciiTheme="minorAscii" w:hAnsiTheme="minorAscii"/>
              <w:sz w:val="22"/>
              <w:szCs w:val="22"/>
            </w:rPr>
            <w:fldChar w:fldCharType="end"/>
          </w:r>
        </w:p>
        <w:p>
          <w:pPr>
            <w:pStyle w:val="58"/>
            <w:tabs>
              <w:tab w:val="right" w:leader="dot" w:pos="9350"/>
            </w:tabs>
            <w:rPr>
              <w:rFonts w:hint="default" w:asciiTheme="minorAscii" w:hAnsiTheme="minorAscii"/>
              <w:kern w:val="2"/>
              <w:sz w:val="22"/>
              <w:szCs w:val="22"/>
              <w:lang w:eastAsia="zh-CN"/>
            </w:rPr>
          </w:pPr>
          <w:r>
            <w:rPr>
              <w:rFonts w:hint="default" w:asciiTheme="minorAscii" w:hAnsiTheme="minorAscii"/>
              <w:sz w:val="22"/>
              <w:szCs w:val="22"/>
            </w:rPr>
            <w:fldChar w:fldCharType="begin"/>
          </w:r>
          <w:r>
            <w:rPr>
              <w:rFonts w:hint="default" w:asciiTheme="minorAscii" w:hAnsiTheme="minorAscii"/>
              <w:sz w:val="22"/>
              <w:szCs w:val="22"/>
            </w:rPr>
            <w:instrText xml:space="preserve"> HYPERLINK \l "_Toc130673061" </w:instrText>
          </w:r>
          <w:r>
            <w:rPr>
              <w:rFonts w:hint="default" w:asciiTheme="minorAscii" w:hAnsiTheme="minorAscii"/>
              <w:sz w:val="22"/>
              <w:szCs w:val="22"/>
            </w:rPr>
            <w:fldChar w:fldCharType="separate"/>
          </w:r>
          <w:r>
            <w:rPr>
              <w:rStyle w:val="93"/>
              <w:rFonts w:hint="default" w:asciiTheme="minorAscii" w:hAnsiTheme="minorAscii"/>
              <w:sz w:val="22"/>
              <w:szCs w:val="22"/>
              <w:lang w:eastAsia="zh-CN"/>
            </w:rPr>
            <w:t>References</w:t>
          </w:r>
          <w:r>
            <w:rPr>
              <w:rFonts w:hint="default" w:asciiTheme="minorAscii" w:hAnsiTheme="minorAscii"/>
              <w:sz w:val="22"/>
              <w:szCs w:val="22"/>
            </w:rPr>
            <w:tab/>
          </w:r>
          <w:r>
            <w:rPr>
              <w:rFonts w:hint="default" w:asciiTheme="minorAscii" w:hAnsiTheme="minorAscii"/>
              <w:sz w:val="22"/>
              <w:szCs w:val="22"/>
            </w:rPr>
            <w:fldChar w:fldCharType="begin"/>
          </w:r>
          <w:r>
            <w:rPr>
              <w:rFonts w:hint="default" w:asciiTheme="minorAscii" w:hAnsiTheme="minorAscii"/>
              <w:sz w:val="22"/>
              <w:szCs w:val="22"/>
            </w:rPr>
            <w:instrText xml:space="preserve"> PAGEREF _Toc130673061 \h </w:instrText>
          </w:r>
          <w:r>
            <w:rPr>
              <w:rFonts w:hint="default" w:asciiTheme="minorAscii" w:hAnsiTheme="minorAscii"/>
              <w:sz w:val="22"/>
              <w:szCs w:val="22"/>
            </w:rPr>
            <w:fldChar w:fldCharType="separate"/>
          </w:r>
          <w:r>
            <w:rPr>
              <w:rFonts w:hint="default" w:asciiTheme="minorAscii" w:hAnsiTheme="minorAscii"/>
              <w:sz w:val="22"/>
              <w:szCs w:val="22"/>
            </w:rPr>
            <w:t>13</w:t>
          </w:r>
          <w:r>
            <w:rPr>
              <w:rFonts w:hint="default" w:asciiTheme="minorAscii" w:hAnsiTheme="minorAscii"/>
              <w:sz w:val="22"/>
              <w:szCs w:val="22"/>
            </w:rPr>
            <w:fldChar w:fldCharType="end"/>
          </w:r>
          <w:r>
            <w:rPr>
              <w:rFonts w:hint="default" w:asciiTheme="minorAscii" w:hAnsiTheme="minorAscii"/>
              <w:sz w:val="22"/>
              <w:szCs w:val="22"/>
            </w:rPr>
            <w:fldChar w:fldCharType="end"/>
          </w:r>
        </w:p>
        <w:p>
          <w:pPr>
            <w:rPr>
              <w:rFonts w:hint="default" w:asciiTheme="minorAscii" w:hAnsiTheme="minorAscii"/>
              <w:sz w:val="22"/>
              <w:szCs w:val="22"/>
            </w:rPr>
          </w:pPr>
          <w:r>
            <w:rPr>
              <w:rFonts w:hint="default" w:asciiTheme="minorAscii" w:hAnsiTheme="minorAscii"/>
              <w:b/>
              <w:bCs/>
              <w:sz w:val="22"/>
              <w:szCs w:val="22"/>
              <w:lang w:val="zh-CN"/>
            </w:rPr>
            <w:fldChar w:fldCharType="end"/>
          </w:r>
        </w:p>
      </w:sdtContent>
    </w:sdt>
    <w:p>
      <w:pPr>
        <w:ind w:firstLine="0"/>
        <w:rPr>
          <w:rFonts w:hint="default" w:eastAsia="MS Mincho" w:asciiTheme="minorAscii" w:hAnsiTheme="minorAscii"/>
          <w:sz w:val="22"/>
          <w:szCs w:val="22"/>
        </w:rPr>
      </w:pPr>
    </w:p>
    <w:p>
      <w:pPr>
        <w:ind w:firstLine="0"/>
        <w:rPr>
          <w:rFonts w:hint="default" w:eastAsia="MS Mincho" w:asciiTheme="minorAscii" w:hAnsiTheme="minorAscii"/>
          <w:sz w:val="22"/>
          <w:szCs w:val="22"/>
        </w:rPr>
      </w:pPr>
    </w:p>
    <w:p>
      <w:pPr>
        <w:pStyle w:val="98"/>
        <w:rPr>
          <w:rFonts w:hint="default" w:asciiTheme="minorAscii" w:hAnsiTheme="minorAscii"/>
          <w:sz w:val="22"/>
          <w:szCs w:val="22"/>
        </w:rPr>
      </w:pPr>
      <w:bookmarkStart w:id="1" w:name="_Toc130673055"/>
      <w:r>
        <w:rPr>
          <w:rFonts w:hint="default" w:asciiTheme="minorAscii" w:hAnsiTheme="minorAscii"/>
          <w:sz w:val="22"/>
          <w:szCs w:val="22"/>
        </w:rPr>
        <w:t>Report: Improvement of An HR Priority Area in Brigham and Women's Hospital</w:t>
      </w:r>
      <w:bookmarkEnd w:id="1"/>
    </w:p>
    <w:p>
      <w:pPr>
        <w:pStyle w:val="3"/>
        <w:rPr>
          <w:rFonts w:hint="default" w:asciiTheme="minorAscii" w:hAnsiTheme="minorAscii"/>
          <w:sz w:val="22"/>
          <w:szCs w:val="22"/>
          <w:lang w:eastAsia="zh-CN"/>
        </w:rPr>
      </w:pPr>
      <w:bookmarkStart w:id="2" w:name="_Toc130673056"/>
      <w:r>
        <w:rPr>
          <w:rFonts w:hint="default" w:asciiTheme="minorAscii" w:hAnsiTheme="minorAscii"/>
          <w:sz w:val="22"/>
          <w:szCs w:val="22"/>
          <w:lang w:eastAsia="zh-CN"/>
        </w:rPr>
        <w:t xml:space="preserve">1.0 </w:t>
      </w:r>
      <w:r>
        <w:rPr>
          <w:rFonts w:hint="default" w:asciiTheme="minorAscii" w:hAnsiTheme="minorAscii"/>
          <w:sz w:val="22"/>
          <w:szCs w:val="22"/>
          <w:lang w:eastAsia="zh-CN"/>
        </w:rPr>
        <w:t>I</w:t>
      </w:r>
      <w:r>
        <w:rPr>
          <w:rFonts w:hint="default" w:asciiTheme="minorAscii" w:hAnsiTheme="minorAscii"/>
          <w:sz w:val="22"/>
          <w:szCs w:val="22"/>
          <w:lang w:eastAsia="zh-CN"/>
        </w:rPr>
        <w:t>ntroduction</w:t>
      </w:r>
      <w:bookmarkEnd w:id="2"/>
    </w:p>
    <w:p>
      <w:pPr>
        <w:rPr>
          <w:rFonts w:hint="default" w:asciiTheme="minorAscii" w:hAnsiTheme="minorAscii"/>
          <w:sz w:val="22"/>
          <w:szCs w:val="22"/>
        </w:rPr>
      </w:pPr>
      <w:r>
        <w:rPr>
          <w:rFonts w:hint="default" w:asciiTheme="minorAscii" w:hAnsiTheme="minorAscii"/>
          <w:sz w:val="22"/>
          <w:szCs w:val="22"/>
        </w:rPr>
        <w:t xml:space="preserve">This report analyzes the human resource management characteristics and achievements of Brigham and Women's Hospital (BWH), discusses the </w:t>
      </w:r>
      <w:r>
        <w:rPr>
          <w:rFonts w:hint="default" w:asciiTheme="minorAscii" w:hAnsiTheme="minorAscii"/>
          <w:sz w:val="22"/>
          <w:szCs w:val="22"/>
          <w:lang w:eastAsia="zh-CN"/>
        </w:rPr>
        <w:t>orgnisation</w:t>
      </w:r>
      <w:r>
        <w:rPr>
          <w:rFonts w:hint="default" w:asciiTheme="minorAscii" w:hAnsiTheme="minorAscii"/>
          <w:sz w:val="22"/>
          <w:szCs w:val="22"/>
        </w:rPr>
        <w:t>'s HR priority area, managing equality, diversity and equity, its existing problems and challenges at the present stage, and provides corresponding and feasible suggestions for improving the HR priority area.</w:t>
      </w:r>
    </w:p>
    <w:p>
      <w:pPr>
        <w:rPr>
          <w:rFonts w:hint="default" w:asciiTheme="minorAscii" w:hAnsiTheme="minorAscii"/>
          <w:sz w:val="22"/>
          <w:szCs w:val="22"/>
        </w:rPr>
      </w:pPr>
      <w:r>
        <w:rPr>
          <w:rFonts w:hint="default" w:asciiTheme="minorAscii" w:hAnsiTheme="minorAscii"/>
          <w:sz w:val="22"/>
          <w:szCs w:val="22"/>
        </w:rPr>
        <w:t xml:space="preserve">From the analysis of the report, the issue of diversity and inclusion of </w:t>
      </w:r>
      <w:r>
        <w:rPr>
          <w:rFonts w:hint="default" w:asciiTheme="minorAscii" w:hAnsiTheme="minorAscii"/>
          <w:sz w:val="22"/>
          <w:szCs w:val="22"/>
          <w:lang w:eastAsia="zh-CN"/>
        </w:rPr>
        <w:t>orgnisation</w:t>
      </w:r>
      <w:r>
        <w:rPr>
          <w:rFonts w:hint="default" w:asciiTheme="minorAscii" w:hAnsiTheme="minorAscii"/>
          <w:sz w:val="22"/>
          <w:szCs w:val="22"/>
        </w:rPr>
        <w:t xml:space="preserve">s in the medical field is critical to the development of </w:t>
      </w:r>
      <w:r>
        <w:rPr>
          <w:rFonts w:hint="default" w:asciiTheme="minorAscii" w:hAnsiTheme="minorAscii"/>
          <w:sz w:val="22"/>
          <w:szCs w:val="22"/>
          <w:lang w:eastAsia="zh-CN"/>
        </w:rPr>
        <w:t>orgnisation</w:t>
      </w:r>
      <w:r>
        <w:rPr>
          <w:rFonts w:hint="default" w:asciiTheme="minorAscii" w:hAnsiTheme="minorAscii"/>
          <w:sz w:val="22"/>
          <w:szCs w:val="22"/>
        </w:rPr>
        <w:t xml:space="preserve">s and human health and well-being. On a social level, the diversity of healthcare workers will help reduce the barriers faced by an increasingly diverse population of patients in maintaining health and seeking medical help (Boatright et al., 2021). In addition, the same diseases affect different populations differently, which involves the market segments of the medical field </w:t>
      </w:r>
      <w:r>
        <w:rPr>
          <w:rFonts w:hint="default" w:asciiTheme="minorAscii" w:hAnsiTheme="minorAscii"/>
          <w:sz w:val="22"/>
          <w:szCs w:val="22"/>
          <w:lang w:eastAsia="zh-CN"/>
        </w:rPr>
        <w:t>orgnisation</w:t>
      </w:r>
      <w:r>
        <w:rPr>
          <w:rFonts w:hint="default" w:asciiTheme="minorAscii" w:hAnsiTheme="minorAscii"/>
          <w:sz w:val="22"/>
          <w:szCs w:val="22"/>
        </w:rPr>
        <w:t xml:space="preserve"> and the corresponding different approaches and treatments (Batalova and Fix, 2020). However, the human resource management content of BWH tends to guarantee the loyalty of employees to the </w:t>
      </w:r>
      <w:r>
        <w:rPr>
          <w:rFonts w:hint="default" w:asciiTheme="minorAscii" w:hAnsiTheme="minorAscii"/>
          <w:sz w:val="22"/>
          <w:szCs w:val="22"/>
          <w:lang w:eastAsia="zh-CN"/>
        </w:rPr>
        <w:t>orgnisation</w:t>
      </w:r>
      <w:r>
        <w:rPr>
          <w:rFonts w:hint="default" w:asciiTheme="minorAscii" w:hAnsiTheme="minorAscii"/>
          <w:sz w:val="22"/>
          <w:szCs w:val="22"/>
        </w:rPr>
        <w:t xml:space="preserve"> by providing them with life benefits and professional competence training, and it has no outstanding action force in effectively establishing </w:t>
      </w:r>
      <w:r>
        <w:rPr>
          <w:rFonts w:hint="default" w:asciiTheme="minorAscii" w:hAnsiTheme="minorAscii"/>
          <w:sz w:val="22"/>
          <w:szCs w:val="22"/>
          <w:lang w:eastAsia="zh-CN"/>
        </w:rPr>
        <w:t>orgnisation</w:t>
      </w:r>
      <w:r>
        <w:rPr>
          <w:rFonts w:hint="default" w:asciiTheme="minorAscii" w:hAnsiTheme="minorAscii"/>
          <w:sz w:val="22"/>
          <w:szCs w:val="22"/>
        </w:rPr>
        <w:t xml:space="preserve">al diversity and inclusiveness. BWH represents the most advanced medical </w:t>
      </w:r>
      <w:r>
        <w:rPr>
          <w:rFonts w:hint="default" w:asciiTheme="minorAscii" w:hAnsiTheme="minorAscii"/>
          <w:sz w:val="22"/>
          <w:szCs w:val="22"/>
          <w:lang w:eastAsia="zh-CN"/>
        </w:rPr>
        <w:t>orgnisation</w:t>
      </w:r>
      <w:r>
        <w:rPr>
          <w:rFonts w:hint="default" w:asciiTheme="minorAscii" w:hAnsiTheme="minorAscii"/>
          <w:sz w:val="22"/>
          <w:szCs w:val="22"/>
        </w:rPr>
        <w:t xml:space="preserve"> in the medical field. The problems reflected in this </w:t>
      </w:r>
      <w:r>
        <w:rPr>
          <w:rFonts w:hint="default" w:asciiTheme="minorAscii" w:hAnsiTheme="minorAscii"/>
          <w:sz w:val="22"/>
          <w:szCs w:val="22"/>
          <w:lang w:eastAsia="zh-CN"/>
        </w:rPr>
        <w:t>orgnisation</w:t>
      </w:r>
      <w:r>
        <w:rPr>
          <w:rFonts w:hint="default" w:asciiTheme="minorAscii" w:hAnsiTheme="minorAscii"/>
          <w:sz w:val="22"/>
          <w:szCs w:val="22"/>
        </w:rPr>
        <w:t xml:space="preserve"> show that HR teams in this field have not developed realistic means of human optimization in the larger picture of social responsibility.</w:t>
      </w:r>
    </w:p>
    <w:p>
      <w:pPr>
        <w:pStyle w:val="3"/>
        <w:rPr>
          <w:rFonts w:hint="default" w:asciiTheme="minorAscii" w:hAnsiTheme="minorAscii"/>
          <w:sz w:val="22"/>
          <w:szCs w:val="22"/>
          <w:lang w:eastAsia="zh-CN"/>
        </w:rPr>
      </w:pPr>
      <w:bookmarkStart w:id="3" w:name="_Toc130673057"/>
      <w:r>
        <w:rPr>
          <w:rFonts w:hint="default" w:asciiTheme="minorAscii" w:hAnsiTheme="minorAscii"/>
          <w:sz w:val="22"/>
          <w:szCs w:val="22"/>
          <w:lang w:eastAsia="zh-CN"/>
        </w:rPr>
        <w:t>2</w:t>
      </w:r>
      <w:r>
        <w:rPr>
          <w:rFonts w:hint="default" w:asciiTheme="minorAscii" w:hAnsiTheme="minorAscii"/>
          <w:sz w:val="22"/>
          <w:szCs w:val="22"/>
          <w:lang w:eastAsia="zh-CN"/>
        </w:rPr>
        <w:t xml:space="preserve">.0 </w:t>
      </w:r>
      <w:r>
        <w:rPr>
          <w:rFonts w:hint="default" w:asciiTheme="minorAscii" w:hAnsiTheme="minorAscii"/>
          <w:sz w:val="22"/>
          <w:szCs w:val="22"/>
          <w:lang w:eastAsia="zh-CN"/>
        </w:rPr>
        <w:t>orgnisation</w:t>
      </w:r>
      <w:r>
        <w:rPr>
          <w:rFonts w:hint="default" w:asciiTheme="minorAscii" w:hAnsiTheme="minorAscii"/>
          <w:sz w:val="22"/>
          <w:szCs w:val="22"/>
          <w:lang w:eastAsia="zh-CN"/>
        </w:rPr>
        <w:t>al Overview</w:t>
      </w:r>
      <w:bookmarkEnd w:id="3"/>
    </w:p>
    <w:p>
      <w:pPr>
        <w:rPr>
          <w:rFonts w:hint="default" w:eastAsia="MS Mincho" w:asciiTheme="minorAscii" w:hAnsiTheme="minorAscii"/>
          <w:sz w:val="22"/>
          <w:szCs w:val="22"/>
        </w:rPr>
      </w:pPr>
      <w:r>
        <w:rPr>
          <w:rFonts w:hint="default" w:eastAsia="MS Mincho" w:asciiTheme="minorAscii" w:hAnsiTheme="minorAscii"/>
          <w:sz w:val="22"/>
          <w:szCs w:val="22"/>
        </w:rPr>
        <w:t>Brigham and Women's Hospital (BWH) is an internationally renowned medical institution located in Boston, Massachusetts, USA. It is an affiliate of Harvard Medical School and a member of Mass General Brigham, an integrated healthcare system. According to its website, BWH has about 15,000 full-time employees, more than 150 community health clinics and 793 beds. According to UCSF Health, BWH is ranked 14th in the US News Best Hospitals Honor Roll, and fourth in the nation in cancer care, cardiology &amp; heart surgery ranked 10th in the United States (UCSF Health Rankings, 2023). In 2023, BWH has 370 physicians on Boston Magazine's "Top Doctors" List (BWH Newsroom, 2023).</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BWH has a high degree of collaboration among employees and a powerful human resources team. The functions of the Human resources team at BWH include developing and implementing strategic plans for employment, industrial relations,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al efficiency objectives, and providing support to employees in areas such as career development, occupational health, and employee well-being. The goal of human resource management at BWH is to provide an environment for all employees, doctors, nurses, professional managers, technicians, etc., to simultaneously enhance their personal lives and professional abilities and improve their employee engagement overall.</w:t>
      </w:r>
    </w:p>
    <w:p>
      <w:pPr>
        <w:pStyle w:val="3"/>
        <w:rPr>
          <w:rFonts w:hint="default" w:asciiTheme="minorAscii" w:hAnsiTheme="minorAscii"/>
          <w:sz w:val="22"/>
          <w:szCs w:val="22"/>
        </w:rPr>
      </w:pPr>
      <w:bookmarkStart w:id="4" w:name="_Toc130673058"/>
      <w:r>
        <w:rPr>
          <w:rFonts w:hint="default" w:asciiTheme="minorAscii" w:hAnsiTheme="minorAscii"/>
          <w:sz w:val="22"/>
          <w:szCs w:val="22"/>
        </w:rPr>
        <w:t>3.0 Main Discussion</w:t>
      </w:r>
      <w:bookmarkEnd w:id="4"/>
    </w:p>
    <w:p>
      <w:pPr>
        <w:rPr>
          <w:rFonts w:hint="default" w:eastAsia="MS Mincho" w:asciiTheme="minorAscii" w:hAnsiTheme="minorAscii"/>
          <w:sz w:val="22"/>
          <w:szCs w:val="22"/>
        </w:rPr>
      </w:pPr>
      <w:r>
        <w:rPr>
          <w:rFonts w:hint="default" w:eastAsia="MS Mincho" w:asciiTheme="minorAscii" w:hAnsiTheme="minorAscii"/>
          <w:sz w:val="22"/>
          <w:szCs w:val="22"/>
        </w:rPr>
        <w:t>The HR priority area that BWH needs to improve is the management of equality, diversity and equity. This report finds that the BWH HR team makes enough efforts to balance employees' life and work, personal growth and career development. In contrast, BWH seems to have neglected or failed to make substantial achievements in the aspects of employee equality, diversity and equity.</w:t>
      </w:r>
    </w:p>
    <w:p>
      <w:pPr>
        <w:rPr>
          <w:rFonts w:hint="default" w:eastAsia="MS Mincho" w:asciiTheme="minorAscii" w:hAnsiTheme="minorAscii"/>
          <w:sz w:val="22"/>
          <w:szCs w:val="22"/>
        </w:rPr>
      </w:pPr>
      <w:r>
        <w:rPr>
          <w:rFonts w:hint="default" w:eastAsia="MS Mincho" w:asciiTheme="minorAscii" w:hAnsiTheme="minorAscii"/>
          <w:sz w:val="22"/>
          <w:szCs w:val="22"/>
        </w:rPr>
        <w:t>First of all, BWH is the benchmark and model in the industry when it comes to balancing the life and work of its employees. Notable achievements in this area include (the following examples are retrieved from the BWH website introduction and Mass General Brigham website news) :</w:t>
      </w:r>
    </w:p>
    <w:p>
      <w:pPr>
        <w:rPr>
          <w:rFonts w:hint="default" w:eastAsia="MS Mincho" w:asciiTheme="minorAscii" w:hAnsiTheme="minorAscii"/>
          <w:sz w:val="22"/>
          <w:szCs w:val="22"/>
        </w:rPr>
      </w:pPr>
      <w:r>
        <w:rPr>
          <w:rFonts w:hint="default" w:eastAsia="MS Mincho" w:asciiTheme="minorAscii" w:hAnsiTheme="minorAscii"/>
          <w:sz w:val="22"/>
          <w:szCs w:val="22"/>
        </w:rPr>
        <w:t>1. BWH has its own parenting and child care program</w:t>
      </w:r>
      <w:r>
        <w:rPr>
          <w:rFonts w:hint="default" w:eastAsia="宋体" w:asciiTheme="minorAscii" w:hAnsiTheme="minorAscii"/>
          <w:sz w:val="22"/>
          <w:szCs w:val="22"/>
          <w:lang w:val="en-US" w:eastAsia="zh-CN"/>
        </w:rPr>
        <w:t>me</w:t>
      </w:r>
      <w:r>
        <w:rPr>
          <w:rFonts w:hint="default" w:eastAsia="MS Mincho" w:asciiTheme="minorAscii" w:hAnsiTheme="minorAscii"/>
          <w:sz w:val="22"/>
          <w:szCs w:val="22"/>
        </w:rPr>
        <w:t xml:space="preserve"> and educational resources, thanks to the Human resource well-being program</w:t>
      </w:r>
      <w:r>
        <w:rPr>
          <w:rFonts w:hint="default" w:eastAsia="宋体" w:asciiTheme="minorAscii" w:hAnsiTheme="minorAscii"/>
          <w:sz w:val="22"/>
          <w:szCs w:val="22"/>
          <w:lang w:val="en-US" w:eastAsia="zh-CN"/>
        </w:rPr>
        <w:t>me</w:t>
      </w:r>
      <w:r>
        <w:rPr>
          <w:rFonts w:hint="default" w:eastAsia="MS Mincho" w:asciiTheme="minorAscii" w:hAnsiTheme="minorAscii"/>
          <w:sz w:val="22"/>
          <w:szCs w:val="22"/>
        </w:rPr>
        <w:t xml:space="preserve"> provided to its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by Mass General Brigham. Childcare providers such as Mass General Children's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and Children's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at Assembly Row offer preferential enrollment, tuition discounts or waivers to BWH employees who qualify for benefits and ensure that BWH core employees do not devote themselves to work and worry about their children's education (Aiken, 2012). In addition, Brigham and Women's Health Care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provides emergency standby child care for BWH employees.</w:t>
      </w:r>
    </w:p>
    <w:p>
      <w:pPr>
        <w:rPr>
          <w:rFonts w:hint="default" w:eastAsia="MS Mincho" w:asciiTheme="minorAscii" w:hAnsiTheme="minorAscii"/>
          <w:sz w:val="22"/>
          <w:szCs w:val="22"/>
        </w:rPr>
      </w:pPr>
      <w:r>
        <w:rPr>
          <w:rFonts w:hint="default" w:eastAsia="MS Mincho" w:asciiTheme="minorAscii" w:hAnsiTheme="minorAscii"/>
          <w:sz w:val="22"/>
          <w:szCs w:val="22"/>
        </w:rPr>
        <w:t>2. BWH has outstanding performance in the training of professional ability of medical professionals, adhering to the strict requirement of Harvard Medical School for the professional makeup of medical researchers. In February, for example, cardiologists at Massachusetts General Hospital developed Excaliper, an online education platform (Salik, 2023). BWH is a major participant in the team being trained on this online platform. BWH cardiologists improve their ECG reading skills through video and interactive learning between specialists. This deed is a model of medical education for BWH in the cardiovascular field of its professional physicians.</w:t>
      </w:r>
    </w:p>
    <w:p>
      <w:pPr>
        <w:rPr>
          <w:rFonts w:hint="default" w:eastAsia="MS Mincho" w:asciiTheme="minorAscii" w:hAnsiTheme="minorAscii"/>
          <w:sz w:val="22"/>
          <w:szCs w:val="22"/>
        </w:rPr>
      </w:pPr>
      <w:r>
        <w:rPr>
          <w:rFonts w:hint="default" w:eastAsia="MS Mincho" w:asciiTheme="minorAscii" w:hAnsiTheme="minorAscii"/>
          <w:sz w:val="22"/>
          <w:szCs w:val="22"/>
        </w:rPr>
        <w:t>3. The Paid Family and Medical Leave (PFML) of BWH provides life buffer support for former employees. BWH will provide financial support to the former employee in case of life events that require large costs, such as accidental injury, childbirth, etc., within 26 weeks after resignation.</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4. The Mass General Brigham EAP is designed to help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within the integrated health care system, including BWH, address their employee life issues. This is a free assistance resource specifically for employees, including BWH and their immediate families. It provides professional counseling, training and education, mental health counseling, employee lactation counseling and other services.</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Secondly, in terms of the management of equality, diversity and equity, that is,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imperfect and defective HR priority area, BWH has made the following efforts (the following examples are from the official website of BWH) :</w:t>
      </w:r>
    </w:p>
    <w:p>
      <w:pPr>
        <w:rPr>
          <w:rFonts w:hint="default" w:eastAsia="MS Mincho" w:asciiTheme="minorAscii" w:hAnsiTheme="minorAscii"/>
          <w:sz w:val="22"/>
          <w:szCs w:val="22"/>
        </w:rPr>
      </w:pPr>
      <w:r>
        <w:rPr>
          <w:rFonts w:hint="default" w:eastAsia="MS Mincho" w:asciiTheme="minorAscii" w:hAnsiTheme="minorAscii"/>
          <w:sz w:val="22"/>
          <w:szCs w:val="22"/>
        </w:rPr>
        <w:t>1. BWH HR team set up a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for Diversity and Inclusion (CDI) that is dedicated to promoting service equality and understanding between the BWH ethnical employees and patients.</w:t>
      </w:r>
    </w:p>
    <w:p>
      <w:pPr>
        <w:rPr>
          <w:rFonts w:hint="default" w:eastAsia="MS Mincho" w:asciiTheme="minorAscii" w:hAnsiTheme="minorAscii"/>
          <w:sz w:val="22"/>
          <w:szCs w:val="22"/>
        </w:rPr>
      </w:pPr>
      <w:r>
        <w:rPr>
          <w:rFonts w:hint="default" w:eastAsia="MS Mincho" w:asciiTheme="minorAscii" w:hAnsiTheme="minorAscii"/>
          <w:sz w:val="22"/>
          <w:szCs w:val="22"/>
        </w:rPr>
        <w:t>2. Four Directions Summer Research Program</w:t>
      </w:r>
      <w:r>
        <w:rPr>
          <w:rFonts w:hint="default" w:eastAsia="宋体" w:asciiTheme="minorAscii" w:hAnsiTheme="minorAscii"/>
          <w:sz w:val="22"/>
          <w:szCs w:val="22"/>
          <w:lang w:val="en-US" w:eastAsia="zh-CN"/>
        </w:rPr>
        <w:t>me</w:t>
      </w:r>
      <w:r>
        <w:rPr>
          <w:rFonts w:hint="default" w:eastAsia="MS Mincho" w:asciiTheme="minorAscii" w:hAnsiTheme="minorAscii"/>
          <w:sz w:val="22"/>
          <w:szCs w:val="22"/>
        </w:rPr>
        <w:t xml:space="preserve"> is a collaboration between BWH and Harvard Medical School to support Harvard Medical School students studying Native American health and well-being (Frenk et al., 2010). The purpose of the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xml:space="preserve"> is to develop experts and leaders in the field of Native American medicine and health at Harvard Medical School. This strategy is an annual program</w:t>
      </w:r>
      <w:r>
        <w:rPr>
          <w:rFonts w:hint="default" w:eastAsia="宋体" w:asciiTheme="minorAscii" w:hAnsiTheme="minorAscii"/>
          <w:sz w:val="22"/>
          <w:szCs w:val="22"/>
          <w:lang w:val="en-US" w:eastAsia="zh-CN"/>
        </w:rPr>
        <w:t>me</w:t>
      </w:r>
      <w:r>
        <w:rPr>
          <w:rFonts w:hint="default" w:eastAsia="MS Mincho" w:asciiTheme="minorAscii" w:hAnsiTheme="minorAscii"/>
          <w:sz w:val="22"/>
          <w:szCs w:val="22"/>
        </w:rPr>
        <w:t>, with the 2023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xml:space="preserve"> running from June 5 to July 28 (BWH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for Diversity &amp; Inclusion, 2023).</w:t>
      </w:r>
    </w:p>
    <w:p>
      <w:pPr>
        <w:rPr>
          <w:rFonts w:hint="default" w:eastAsia="MS Mincho" w:asciiTheme="minorAscii" w:hAnsiTheme="minorAscii"/>
          <w:sz w:val="22"/>
          <w:szCs w:val="22"/>
        </w:rPr>
      </w:pPr>
      <w:r>
        <w:rPr>
          <w:rFonts w:hint="default" w:eastAsia="MS Mincho" w:asciiTheme="minorAscii" w:hAnsiTheme="minorAscii"/>
          <w:sz w:val="22"/>
          <w:szCs w:val="22"/>
        </w:rPr>
        <w:t>3. The purpose of the BWH Stars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xml:space="preserve"> (STARS)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xml:space="preserve"> is to provide BWH healthcare professionals and minority college students from across the country with the opportunity to study at Harvard Medical School.</w:t>
      </w:r>
    </w:p>
    <w:p>
      <w:pPr>
        <w:rPr>
          <w:rFonts w:hint="default" w:eastAsia="MS Mincho" w:asciiTheme="minorAscii" w:hAnsiTheme="minorAscii"/>
          <w:sz w:val="22"/>
          <w:szCs w:val="22"/>
        </w:rPr>
      </w:pPr>
      <w:r>
        <w:rPr>
          <w:rFonts w:hint="default" w:eastAsia="MS Mincho" w:asciiTheme="minorAscii" w:hAnsiTheme="minorAscii"/>
          <w:sz w:val="22"/>
          <w:szCs w:val="22"/>
        </w:rPr>
        <w:t>4. The HR team wants to ensure consistent, high-quality services to different patient groups in the Department of Nursing and Patient Care Services at BWH.</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5. Boston While Black is Mass General Brigham's free one-year membership city and life support for black employees of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including BWH. BWH employees are required to register and apply to receive Boston While Black membership.</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As for the above-related events, simply from the length of the official narrative and the specific degree of data, BWH shows pride in its achievement in balancing the life and work of employees but does not elaborate on its efforts in the management of equality, diversity and equity. To this end, the report was further examined, and it found that Zippia had conducted a statistical survey of BWH's employee backgrounds. The results show that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was 70.9% female and 35.6% ethnic minorities (Zippia Rating, 2023). While this data reflects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commitment to diversity and gender equity, Zippia points out that its workforce lacks political diversity: 92 percent of its employees are members of the Democratic Party (Zippia Rating, 2023). Therefore, the report has reason to believe that the human resource management team of BWH has great room for improvement in its management of HR priority area: equality, diversity and equity.</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Promoting equality, diversity and equity among staff is very important for such a well-known healthcare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as BWH. On the one hand, minority practitioners in the medical field often have a bias in expressing their professional views and experiences around their cultural competence (Stanford, 2020, and Khuntia et al., 2022). This fact means that there is a risk of inconsistencies in the quality of care and medical care within the healthcare system due to racial and cultural differences among staff and that the degree of recovery of patients may vary depending on the treatment plan of the doctor (Berwick and Cassel, 2020). Lack of diversity in the healthcare workforce leads to variable and often the harmful quality of service problems (Rotenstei et al., 2021; Gomez and Bernet, 2019). In other words, the consequences of human injustice or intolerance in the healthcare field are serious and challenge the increasingly diverse patient population BWH faces and the preservation of its reputation. On the other hand, patients from different cultural backgrounds differ in their treatment plans and opinions of doctors (Batara et al., 2018). For example, some patients with particular religious values or homosexuality may have unique needs for the environment and values involved in treatment options (Khuntia et al., 2022). Therefore, in the medical field, a high degree of employee diversity can transcend traditional medical boundaries and improve patients' satisfaction with medical services (Rotenstein et al., 2021). In addition, according to an article in Medpage Today, the provision of diversity and inclusion in healthcare helps HR leaders or teams manage stressful environments (Frieden, 2021). For BWH, creating an inclusive, respectful and open supportive environment within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can further enhance the loyalty and effectiveness of employees within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In particular, the improvement and enhancement of equality, diversity and equity management will help BWH become one of the best employers in the medical field on the basis of its excellent achievements in providing various benefits to balance the work and life of employees.</w:t>
      </w:r>
    </w:p>
    <w:p>
      <w:pPr>
        <w:pStyle w:val="3"/>
        <w:rPr>
          <w:rFonts w:hint="default" w:asciiTheme="minorAscii" w:hAnsiTheme="minorAscii"/>
          <w:sz w:val="22"/>
          <w:szCs w:val="22"/>
        </w:rPr>
      </w:pPr>
      <w:bookmarkStart w:id="5" w:name="_Toc130673059"/>
      <w:r>
        <w:rPr>
          <w:rFonts w:hint="default" w:asciiTheme="minorAscii" w:hAnsiTheme="minorAscii"/>
          <w:sz w:val="22"/>
          <w:szCs w:val="22"/>
        </w:rPr>
        <w:t>4.0 Conclusions</w:t>
      </w:r>
      <w:bookmarkEnd w:id="5"/>
    </w:p>
    <w:p>
      <w:pPr>
        <w:rPr>
          <w:rFonts w:hint="default" w:eastAsia="MS Mincho" w:asciiTheme="minorAscii" w:hAnsiTheme="minorAscii"/>
          <w:sz w:val="22"/>
          <w:szCs w:val="22"/>
        </w:rPr>
      </w:pPr>
      <w:r>
        <w:rPr>
          <w:rFonts w:hint="default" w:eastAsia="MS Mincho" w:asciiTheme="minorAscii" w:hAnsiTheme="minorAscii"/>
          <w:sz w:val="22"/>
          <w:szCs w:val="22"/>
        </w:rPr>
        <w:t>Based on the above facts, the report concludes that the performance of the BWH human resource management team has the following two characteristics:</w:t>
      </w:r>
    </w:p>
    <w:p>
      <w:pPr>
        <w:rPr>
          <w:rFonts w:hint="default" w:eastAsia="MS Mincho" w:asciiTheme="minorAscii" w:hAnsiTheme="minorAscii"/>
          <w:sz w:val="22"/>
          <w:szCs w:val="22"/>
        </w:rPr>
      </w:pPr>
      <w:r>
        <w:rPr>
          <w:rFonts w:hint="default" w:eastAsia="MS Mincho" w:asciiTheme="minorAscii" w:hAnsiTheme="minorAscii"/>
          <w:sz w:val="22"/>
          <w:szCs w:val="22"/>
        </w:rPr>
        <w:t xml:space="preserve">1. BWH is one of the industry's leading examples of work-life balance through employee well-being, making an important contribution to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's retention of professional staff and fostering links between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and community health clinics.</w:t>
      </w:r>
    </w:p>
    <w:p>
      <w:pPr>
        <w:rPr>
          <w:rFonts w:hint="default" w:eastAsia="MS Mincho" w:asciiTheme="minorAscii" w:hAnsiTheme="minorAscii"/>
          <w:sz w:val="22"/>
          <w:szCs w:val="22"/>
        </w:rPr>
      </w:pPr>
      <w:r>
        <w:rPr>
          <w:rFonts w:hint="default" w:eastAsia="MS Mincho" w:asciiTheme="minorAscii" w:hAnsiTheme="minorAscii"/>
          <w:sz w:val="22"/>
          <w:szCs w:val="22"/>
        </w:rPr>
        <w:t>For example, some of BWH's initiatives, such as providing childcare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s, have solved the problem of family support for employees so that they have more energy to focus on their work (Hwang &amp; Lin, 2010). Other BWH initiatives, such as encouraging employees to use the exclusive Excaliper online education platform, have increased the professionalism and competence of employees, further improving the quality of service and ensuring the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profitability.</w:t>
      </w:r>
    </w:p>
    <w:p>
      <w:pPr>
        <w:rPr>
          <w:rFonts w:hint="default" w:eastAsia="MS Mincho" w:asciiTheme="minorAscii" w:hAnsiTheme="minorAscii"/>
          <w:sz w:val="22"/>
          <w:szCs w:val="22"/>
        </w:rPr>
      </w:pPr>
      <w:r>
        <w:rPr>
          <w:rFonts w:hint="default" w:eastAsia="MS Mincho" w:asciiTheme="minorAscii" w:hAnsiTheme="minorAscii"/>
          <w:sz w:val="22"/>
          <w:szCs w:val="22"/>
        </w:rPr>
        <w:t>2. Although the HR team of BWH has made remarkable achievements in improving employee loyalty, work experience and professionalism, BWH still does not do enough in its HR priority area, namely the management of equality, diversity and equity.</w:t>
      </w:r>
    </w:p>
    <w:p>
      <w:pPr>
        <w:rPr>
          <w:rFonts w:hint="default" w:eastAsia="MS Mincho" w:asciiTheme="minorAscii" w:hAnsiTheme="minorAscii"/>
          <w:sz w:val="22"/>
          <w:szCs w:val="22"/>
        </w:rPr>
      </w:pPr>
      <w:r>
        <w:rPr>
          <w:rFonts w:hint="default" w:eastAsia="MS Mincho" w:asciiTheme="minorAscii" w:hAnsiTheme="minorAscii"/>
          <w:sz w:val="22"/>
          <w:szCs w:val="22"/>
        </w:rPr>
        <w:t>BWH to the people, for example, describes the established Cent</w:t>
      </w:r>
      <w:r>
        <w:rPr>
          <w:rFonts w:hint="default" w:eastAsia="宋体" w:asciiTheme="minorAscii" w:hAnsiTheme="minorAscii"/>
          <w:sz w:val="22"/>
          <w:szCs w:val="22"/>
          <w:lang w:val="en-US" w:eastAsia="zh-CN"/>
        </w:rPr>
        <w:t>re</w:t>
      </w:r>
      <w:r>
        <w:rPr>
          <w:rFonts w:hint="default" w:eastAsia="MS Mincho" w:asciiTheme="minorAscii" w:hAnsiTheme="minorAscii"/>
          <w:sz w:val="22"/>
          <w:szCs w:val="22"/>
        </w:rPr>
        <w:t xml:space="preserve"> for Diversity and Inclusion (CDI) original intention and purpose for the specific measures, action, and later work effect; BWH shows no convincing data to demonstrate. For example, the Four Directions Summer Research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which promotes research on the health and well-being of Native Americans, is for Harvard Medical School students and is held only once a year (Iwanowski, 2012). In addition, the project results are intended to facilitate research of experts in the field and do not contribute to mutual understanding between employees or patients who are Native American and white employees or patients. For another example, while the BWH Stars Progra</w:t>
      </w:r>
      <w:r>
        <w:rPr>
          <w:rFonts w:hint="default" w:eastAsia="宋体" w:asciiTheme="minorAscii" w:hAnsiTheme="minorAscii"/>
          <w:sz w:val="22"/>
          <w:szCs w:val="22"/>
          <w:lang w:val="en-US" w:eastAsia="zh-CN"/>
        </w:rPr>
        <w:t>mme</w:t>
      </w:r>
      <w:r>
        <w:rPr>
          <w:rFonts w:hint="default" w:eastAsia="MS Mincho" w:asciiTheme="minorAscii" w:hAnsiTheme="minorAscii"/>
          <w:sz w:val="22"/>
          <w:szCs w:val="22"/>
        </w:rPr>
        <w:t xml:space="preserve"> (STARS) offers minority college students from across the country the opportunity to study at Harvard Medical School, there is no data to support the results of their studies or whether the progra</w:t>
      </w:r>
      <w:r>
        <w:rPr>
          <w:rFonts w:hint="default" w:eastAsia="宋体" w:asciiTheme="minorAscii" w:hAnsiTheme="minorAscii"/>
          <w:sz w:val="22"/>
          <w:szCs w:val="22"/>
          <w:lang w:val="en-US" w:eastAsia="zh-CN"/>
        </w:rPr>
        <w:t>m</w:t>
      </w:r>
      <w:r>
        <w:rPr>
          <w:rFonts w:hint="default" w:eastAsia="MS Mincho" w:asciiTheme="minorAscii" w:hAnsiTheme="minorAscii"/>
          <w:sz w:val="22"/>
          <w:szCs w:val="22"/>
        </w:rPr>
        <w:t>m</w:t>
      </w:r>
      <w:r>
        <w:rPr>
          <w:rFonts w:hint="default" w:eastAsia="宋体" w:asciiTheme="minorAscii" w:hAnsiTheme="minorAscii"/>
          <w:sz w:val="22"/>
          <w:szCs w:val="22"/>
          <w:lang w:val="en-US" w:eastAsia="zh-CN"/>
        </w:rPr>
        <w:t>e</w:t>
      </w:r>
      <w:r>
        <w:rPr>
          <w:rFonts w:hint="default" w:eastAsia="MS Mincho" w:asciiTheme="minorAscii" w:hAnsiTheme="minorAscii"/>
          <w:sz w:val="22"/>
          <w:szCs w:val="22"/>
        </w:rPr>
        <w:t xml:space="preserve"> helps these students become professional doctors or caregivers. In addition, Boston While Black is free only for registered and successful members. In addition to the short duration of preferential service, Boston While Black, treated the black community differently from other minorities or the gay community. According to Appenteng and Robertson (2016), the diversity of today's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s has exceeded the traditional distinction between "black" and "white", and besides the observable attribute of race, invisible attributes are also an important part of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al culture to promote inclusiveness (Roberson et al., 2017). BWH's Department of Nursing and Patient Care Service promotes mutual understanding between doctors and patients regarding the quality and consistency of care provided by caregivers, which is one-sided. The problem with diversity in the medical field today is that minority healthcare professionals are not able to express their unique talents and are under pressure to have their personality traits not accepted in the work environment (Wilbur et al., 2020). In addition, minority patients' rejection of the social views and values reflected in the treatment of mainstream physicians is a growing problem for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s in the medical field. Therefore, the management of equality, diversity and equity should start with tolerance and understanding between medical professionals, other staff, and diverse patients.</w:t>
      </w:r>
    </w:p>
    <w:p>
      <w:pPr>
        <w:pStyle w:val="3"/>
        <w:rPr>
          <w:rFonts w:hint="default" w:asciiTheme="minorAscii" w:hAnsiTheme="minorAscii"/>
          <w:sz w:val="22"/>
          <w:szCs w:val="22"/>
        </w:rPr>
      </w:pPr>
      <w:bookmarkStart w:id="6" w:name="_Toc130673060"/>
      <w:r>
        <w:rPr>
          <w:rFonts w:hint="default" w:asciiTheme="minorAscii" w:hAnsiTheme="minorAscii"/>
          <w:sz w:val="22"/>
          <w:szCs w:val="22"/>
        </w:rPr>
        <w:t>5.0 Recommendations</w:t>
      </w:r>
      <w:bookmarkEnd w:id="6"/>
    </w:p>
    <w:p>
      <w:pPr>
        <w:rPr>
          <w:rFonts w:hint="default" w:eastAsia="MS Mincho" w:asciiTheme="minorAscii" w:hAnsiTheme="minorAscii"/>
          <w:sz w:val="22"/>
          <w:szCs w:val="22"/>
        </w:rPr>
      </w:pPr>
      <w:r>
        <w:rPr>
          <w:rFonts w:hint="default" w:eastAsia="MS Mincho" w:asciiTheme="minorAscii" w:hAnsiTheme="minorAscii"/>
          <w:sz w:val="22"/>
          <w:szCs w:val="22"/>
        </w:rPr>
        <w:t>Based on the above conclusions, the report makes the following suggestions for BWH in its HR priority area, namely the management of equality, diversity and equity:</w:t>
      </w:r>
    </w:p>
    <w:p>
      <w:pPr>
        <w:rPr>
          <w:rFonts w:hint="default" w:eastAsia="MS Mincho" w:asciiTheme="minorAscii" w:hAnsiTheme="minorAscii"/>
          <w:sz w:val="22"/>
          <w:szCs w:val="22"/>
        </w:rPr>
      </w:pPr>
      <w:r>
        <w:rPr>
          <w:rFonts w:hint="default" w:eastAsia="MS Mincho" w:asciiTheme="minorAscii" w:hAnsiTheme="minorAscii"/>
          <w:sz w:val="22"/>
          <w:szCs w:val="22"/>
        </w:rPr>
        <w:t>1. Provide diversity training to existing employees. Expanding educational content in an online platform similar to BWH's existing Excaliper is an effective move. Excaliper's existing online education platform provides BWH employees with education, and training focused on cutting-edge medical technologies, expert discoveries, and professional insights in the therapeutic field. The platform has certainly made a difference throughout the Mass General Brigham health system, including BWH. Based on the mature platform technology and excellent effectiveness of the platform, the addition of diversified medical and cultural background education courses can effectively improve employees' understanding of the values and health concepts of patients of different ethnic groups.</w:t>
      </w:r>
    </w:p>
    <w:p>
      <w:pPr>
        <w:rPr>
          <w:rFonts w:hint="default" w:eastAsia="MS Mincho" w:asciiTheme="minorAscii" w:hAnsiTheme="minorAscii"/>
          <w:sz w:val="22"/>
          <w:szCs w:val="22"/>
        </w:rPr>
      </w:pPr>
      <w:r>
        <w:rPr>
          <w:rFonts w:hint="default" w:eastAsia="MS Mincho" w:asciiTheme="minorAscii" w:hAnsiTheme="minorAscii"/>
          <w:sz w:val="22"/>
          <w:szCs w:val="22"/>
        </w:rPr>
        <w:t>The advantages of this proposal are that there are mature and reliable course platforms, and the cost is high (there is no need to spend money to develop and design another education and training platform)</w:t>
      </w:r>
      <w:r>
        <w:rPr>
          <w:rFonts w:hint="default" w:asciiTheme="minorAscii" w:hAnsiTheme="minorAscii"/>
          <w:sz w:val="22"/>
          <w:szCs w:val="22"/>
          <w:lang w:eastAsia="zh-CN"/>
        </w:rPr>
        <w:t>。</w:t>
      </w:r>
      <w:r>
        <w:rPr>
          <w:rFonts w:hint="default" w:eastAsia="MS Mincho" w:asciiTheme="minorAscii" w:hAnsiTheme="minorAscii"/>
          <w:sz w:val="22"/>
          <w:szCs w:val="22"/>
        </w:rPr>
        <w:t xml:space="preserve"> The challenge with this recommendation is finding experts who understand and are familiar with educational, medical, minority or special group backgrounds to develop a systematic curriculum.</w:t>
      </w:r>
    </w:p>
    <w:p>
      <w:pPr>
        <w:rPr>
          <w:rFonts w:hint="default" w:eastAsia="MS Mincho" w:asciiTheme="minorAscii" w:hAnsiTheme="minorAscii"/>
          <w:sz w:val="22"/>
          <w:szCs w:val="22"/>
        </w:rPr>
      </w:pPr>
      <w:r>
        <w:rPr>
          <w:rFonts w:hint="default" w:eastAsia="MS Mincho" w:asciiTheme="minorAscii" w:hAnsiTheme="minorAscii"/>
          <w:sz w:val="22"/>
          <w:szCs w:val="22"/>
        </w:rPr>
        <w:t>2. Carry out university cooperation to focus on training medical experts from ethnic groups nationwide and train them in a targeted way so that they can join the medical expert team of BWH after they meet the graduation standards. Harvard Medical School is the core university that BWH is relying on for this initiative. Among BWH's existing initiatives, diverse medical knowledge is focused on students at Harvard Medical School (not on minority students) or on improving the periodic learning of minority students at other colleges. The latter initiative, though aimed at minority students, has not had a substantial effect because of the short time and long application cycle.</w:t>
      </w:r>
    </w:p>
    <w:p>
      <w:pPr>
        <w:rPr>
          <w:rFonts w:hint="default" w:eastAsia="MS Mincho" w:asciiTheme="minorAscii" w:hAnsiTheme="minorAscii"/>
          <w:sz w:val="22"/>
          <w:szCs w:val="22"/>
        </w:rPr>
      </w:pPr>
      <w:r>
        <w:rPr>
          <w:rFonts w:hint="default" w:eastAsia="MS Mincho" w:asciiTheme="minorAscii" w:hAnsiTheme="minorAscii"/>
          <w:sz w:val="22"/>
          <w:szCs w:val="22"/>
        </w:rPr>
        <w:t>The strength of the proposal is that the partnership builds on the reputation of Harvard Medical School, one of the nation's leading universities in the medical field (Johnson, 2010). In addition, the future employment of minority students will be guaranteed, and the medical team of BWH will be diversified. The challenge with this proposal is that it is expensive and takes a long time to implement. It takes time and costs for education to train a qualified doctor to work at BWH.</w:t>
      </w:r>
    </w:p>
    <w:p>
      <w:pPr>
        <w:rPr>
          <w:rFonts w:hint="default" w:eastAsia="MS Mincho" w:asciiTheme="minorAscii" w:hAnsiTheme="minorAscii"/>
          <w:sz w:val="22"/>
          <w:szCs w:val="22"/>
        </w:rPr>
      </w:pPr>
      <w:r>
        <w:rPr>
          <w:rFonts w:hint="default" w:eastAsia="MS Mincho" w:asciiTheme="minorAscii" w:hAnsiTheme="minorAscii"/>
          <w:sz w:val="22"/>
          <w:szCs w:val="22"/>
        </w:rPr>
        <w:t>3. Re-establish a preferential system for minorities like Boston While Black. For example, ensure that every employee has the same benefits: no registration, application or other red tape is required as long as they are employees. Every employee needs to be treated fairly and should not be singled out.</w:t>
      </w:r>
    </w:p>
    <w:p>
      <w:pPr>
        <w:rPr>
          <w:rFonts w:hint="default" w:eastAsia="MS Mincho" w:asciiTheme="minorAscii" w:hAnsiTheme="minorAscii"/>
          <w:sz w:val="22"/>
          <w:szCs w:val="22"/>
        </w:rPr>
        <w:sectPr>
          <w:headerReference r:id="rId6" w:type="first"/>
          <w:headerReference r:id="rId5" w:type="default"/>
          <w:footnotePr>
            <w:pos w:val="beneathText"/>
          </w:footnotePr>
          <w:pgSz w:w="12240" w:h="15840"/>
          <w:pgMar w:top="1440" w:right="1440" w:bottom="1440" w:left="1440" w:header="720" w:footer="720" w:gutter="0"/>
          <w:cols w:space="720" w:num="1"/>
          <w:titlePg/>
          <w:docGrid w:linePitch="360" w:charSpace="0"/>
        </w:sectPr>
      </w:pPr>
      <w:r>
        <w:rPr>
          <w:rFonts w:hint="default" w:eastAsia="MS Mincho" w:asciiTheme="minorAscii" w:hAnsiTheme="minorAscii"/>
          <w:sz w:val="22"/>
          <w:szCs w:val="22"/>
        </w:rPr>
        <w:t xml:space="preserve">The advantage of this proposal is that it can comprehensively promote fairness within the BWH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Its disadvantage is that, from the outside, this initiative does not target the management characteristics of equality, diversity and equity, and its results cannot reflect the efforts made by BWH </w:t>
      </w:r>
      <w:r>
        <w:rPr>
          <w:rFonts w:hint="default" w:eastAsia="宋体" w:asciiTheme="minorAscii" w:hAnsiTheme="minorAscii"/>
          <w:sz w:val="22"/>
          <w:szCs w:val="22"/>
          <w:lang w:eastAsia="zh-CN"/>
        </w:rPr>
        <w:t>orgnisation</w:t>
      </w:r>
      <w:r>
        <w:rPr>
          <w:rFonts w:hint="default" w:eastAsia="MS Mincho" w:asciiTheme="minorAscii" w:hAnsiTheme="minorAscii"/>
          <w:sz w:val="22"/>
          <w:szCs w:val="22"/>
        </w:rPr>
        <w:t xml:space="preserve"> in improving this priority area.</w:t>
      </w:r>
    </w:p>
    <w:p>
      <w:pPr>
        <w:pStyle w:val="3"/>
        <w:jc w:val="center"/>
        <w:rPr>
          <w:rFonts w:hint="default" w:asciiTheme="minorAscii" w:hAnsiTheme="minorAscii" w:eastAsiaTheme="minorEastAsia"/>
          <w:sz w:val="22"/>
          <w:szCs w:val="22"/>
          <w:lang w:eastAsia="zh-CN"/>
        </w:rPr>
      </w:pPr>
      <w:bookmarkStart w:id="8" w:name="_GoBack"/>
      <w:bookmarkEnd w:id="8"/>
      <w:r>
        <w:rPr>
          <w:rFonts w:hint="default" w:asciiTheme="minorAscii" w:hAnsiTheme="minorAscii"/>
          <w:sz w:val="22"/>
          <w:szCs w:val="22"/>
          <w:lang w:eastAsia="zh-CN"/>
        </w:rPr>
        <w:t>References</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Aiken, L. H., Sermeus, W., Van den Heede, K., Rafferty, A. M., Griffiths, P., Busse, R., … Kinnunen, J. (2012). Patient safety, job satisfaction, and burnout in nurses: Cross-sectional surveys of nurses in 12 countries. Worldviews on evidence-based nursing, 9(4), 208-216. doi:10.1111/j.1741-6787.2012.00307.x</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Appenteng, KA., Robertson, LD. (2016). “Diversity Is No Longer as Black and White as It Once Was.” Society for Human Resource Management. Retrieved from https://www.shrm.org/resourcesandtools/hr-topics/behavioral-competencies/global-and-cultural-effectiveness/pages/diversity-not-black-and-white.aspx .</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Batalova, Jeanne., and Fix, Michael. (2020). "As US Healthcare System Buckles under Pandemic, Immigrant &amp; Refugee Professionals Could Represent a Critical Resource." Commentaries. Migration Policy Institute. Retrieved from https://www.migrationpolicy.org/news/us-health-care-system-coronavirus-immigrant-professionals-untapped-resource</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Batara, M., Ngo, J., See, K., Erasga, D. (2018). “Second Generation Gender Bias: The Effects of The Invisible Bias among Mid-Level Women Managers.” Asia-Pacific Soc Sci Rev. 2018;18(2):138–151.\</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Berwick DM, Cassel CK. (2020). "The NAM and The Quality of Health Care - Inflecting A Field." N Engl J Med 2020;383:505-508.</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Boatright, D., Berg, D., Genao, I. (2021). “A Roadmap for Diversity in Medicine During The Age of COVID-19 and George Floyd.” J Gen Intern Med. 2021 Apr 19;36(4):1089–1091. Doi: 10.1007/s11606-020-06430-9.</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BWH Center for Diversity &amp; Inclusion. (2023). Retrieved from https://cdi.brighamandwomens.org/four-directions-summer-research-program/</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BWH Newsroom. (2023). "Awards, Honors, and Grants." Retrieved from https://www.brighamandwomens.org/about-bwh/newsroom/awards-honors-grants-detail?id=4336</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Frenk, J., Chen, L., Bhutta, Z. A., Cohen, J., Crisp, N., Evans, T., … Sepulveda, J. (2010). Health professionals for a new century: Transforming education to strengthen health systems in an interdependent world. The Lancet, 376(9756), 1923-1958. doi:10.1016/S0140-6736(10)61854-5</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Frieden, J. (2021). “Multiple solutions needed for health workforce shortage, senators told.” Medpage Today. 2021. May 20. Retrieved from https://www.medpagetoday.com/publichealthpolicy/workforce/92717 .</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Gomez, L. E., and Bernet, Patrick. (2019). "Diversity Improves Performance and Outcomes." Journal of The National Medical Association. https://doi.org/10.1016/j.jnma.2019.01.006</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Hwang, W., &amp; Lin, L. (2010). The impact of human resource management practices on healthcare organizations. Health care management review, 35(2), 149-158. doi:10.1097/HMR.0b013e3181c0fdd1</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Iwanowski, L. (2012). The impact of human resource management practices on employee turnover in the healthcare industry. Journal of healthcare information management : JHIM, 26(3), 35-39.</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Johnson, J. L., &amp; Johnson, W. L. (2010). The relationship between human resource management practices and employee retention in the healthcare industry. Journal of healthcare information management : JHIM, 24(3), 50-54.</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Kelliher, F., &amp; Anderson, D. (2012). A review of the literature on effective leadership behaviors for safety in healthcare organizations. Safety science, 50(9), 1517-1524. doi:10.1016/j.ssci.2012.03.008</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Khuntia, J., Ning, X., Cascio, W., &amp; Stacey, R. (2022). “Valuing Diversity and Inclusion in Health Care to Equip the Workforce: Survey Study and Pathway Analysis.” JMIR formative research, 6(5), e34808. https://doi.org/10.2196/34808</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Khuntia, J., Ning, X., Cascio, W., Stacey, R. (2022). “Valuing Diversity and Inclusion in Health Care to Equip the Workforce: Survey Study and Pathway Analysis.” JMIR Form Res 2022;6(5):e34808. Doi: 10.2196/34808</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Kim, S., &amp; Lee, J. (2011). The impact of human resource management practices on job satisfaction and organizational commitment in the healthcare industry. Health care management review, 36(4), 375-385. doi:10.1097/HMR.0b013e31822b5d7f</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Kostov, P., &amp; Teodosijevic, M. (2012). The impact of human resource management practices on job satisfaction in the healthcare industry. Journal of healthcare information management : JHIM, 26(2), 56-62.</w:t>
      </w:r>
    </w:p>
    <w:p>
      <w:pPr>
        <w:spacing w:line="240" w:lineRule="auto"/>
        <w:ind w:left="720" w:hanging="720"/>
        <w:rPr>
          <w:rFonts w:hint="default" w:eastAsia="MS Mincho" w:asciiTheme="minorAscii" w:hAnsiTheme="minorAscii"/>
          <w:sz w:val="22"/>
          <w:szCs w:val="22"/>
        </w:rPr>
      </w:pPr>
      <w:bookmarkStart w:id="7" w:name="_Hlk130672712"/>
      <w:r>
        <w:rPr>
          <w:rFonts w:hint="default" w:eastAsia="MS Mincho" w:asciiTheme="minorAscii" w:hAnsiTheme="minorAscii"/>
          <w:sz w:val="22"/>
          <w:szCs w:val="22"/>
        </w:rPr>
        <w:t>Leiter, M. P., &amp; Laschinger, H. K. (2012). The impact of workplace empowerment on job stress, job satisfaction, and well-being: A longitudinal study. Journal of advanced nursing, 68(11), 2424-2434. doi:10.1111/j.1365-2648.2012.05975.x</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Roberson, Q., Ryan, AM., Ragins, BR. (2017). “The Evolution and Future of Diversity at Work.” J Appl Psychol. 2017 Mar;102(3):483–499. Doi: 10.1037/apl0000161.2017-03591-001.</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Rotenstein, Lisa S., Reede, Joan Y., and Jena, Anupam B. (2021). "Addressing Workforce Diversity - A Quality-Improvement Framework." Perspective. The New England Journal of Medicine. 384:1083-1086. Doi: 10.1056/NEJMp2032224</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Rotenstein, LS, Reede, JY, and Jena, AB. (2021). “Addressing Workforce Diversity - A Quality-Improvement Framework.” N Engl J Med. 2021 Mar 25;384(12):1083–1086. Doi: 10.1056/NEJMp2032224.</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Salik, Jonathan. (2023). "New Online Resource Offers Multimedia EKG Training." Advances in Motion. Massachusetts General Hospital. Retrieved from https://advances.massgeneral.org/cardiovascular/article.aspx?id=1516</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Stanford, F. C. (2020). “The Importance of Diversity and Inclusion in the Healthcare Workforce.” Journal of the National Medical Association, 112(3), 247–249. https://doi.org/10.1016/j.jnma.2020.03.014</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UCSF Health Ranking. (2023). Retrieved from https://health.usnews.com/best-hospitals/area/ma/brigham-and-womens-hospital-6140215</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Wilbur, Kirsten., Cyndy Snyder, Alison C. Essary, Swapna Reddy, Kristen K. Will, Mary Saxon. (2020). "Developing Workforce Diversity in the Health Professions: A Social Justice Perspective." Health Professions Education. Volume 6, Issue 2, June 2020, Pages 222-229. ScienceDirect. Retrieved from https://www.sciencedirect.com/science/article/pii/S245230112030016X</w:t>
      </w:r>
    </w:p>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Youssef, C. M., &amp; Luthans, F. (2012). Positive organizational behavior in the workplace: The impact of hope, optimism, and resilience. Journal of management, 38(1), 87-127. doi:10.1177/0149206311419016</w:t>
      </w:r>
    </w:p>
    <w:bookmarkEnd w:id="7"/>
    <w:p>
      <w:pPr>
        <w:spacing w:line="240" w:lineRule="auto"/>
        <w:ind w:left="720" w:hanging="720"/>
        <w:rPr>
          <w:rFonts w:hint="default" w:eastAsia="MS Mincho" w:asciiTheme="minorAscii" w:hAnsiTheme="minorAscii"/>
          <w:sz w:val="22"/>
          <w:szCs w:val="22"/>
        </w:rPr>
      </w:pPr>
      <w:r>
        <w:rPr>
          <w:rFonts w:hint="default" w:eastAsia="MS Mincho" w:asciiTheme="minorAscii" w:hAnsiTheme="minorAscii"/>
          <w:sz w:val="22"/>
          <w:szCs w:val="22"/>
        </w:rPr>
        <w:t>Zippia Rating. (2023). Retrieved from https://www.zippia.com/brigham-women-s-hospital-careers-40901/</w:t>
      </w:r>
    </w:p>
    <w:p>
      <w:pPr>
        <w:spacing w:line="240" w:lineRule="auto"/>
        <w:ind w:left="0" w:leftChars="0" w:firstLine="0" w:firstLineChars="0"/>
        <w:rPr>
          <w:rFonts w:hint="default" w:eastAsia="MS Mincho" w:asciiTheme="minorAscii" w:hAnsiTheme="minorAscii"/>
          <w:sz w:val="22"/>
          <w:szCs w:val="22"/>
        </w:rPr>
      </w:pPr>
    </w:p>
    <w:p>
      <w:pPr>
        <w:rPr>
          <w:rFonts w:hint="eastAsia" w:eastAsia="MS Mincho" w:asciiTheme="minorAscii" w:hAnsiTheme="minorAscii"/>
          <w:sz w:val="22"/>
          <w:szCs w:val="22"/>
          <w:lang w:val="en-US" w:eastAsia="zh-CN"/>
        </w:rPr>
      </w:pPr>
    </w:p>
    <w:sectPr>
      <w:headerReference r:id="rId8" w:type="first"/>
      <w:headerReference r:id="rId7" w:type="default"/>
      <w:footnotePr>
        <w:pos w:val="beneathText"/>
      </w:footnotePr>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Consolas">
    <w:panose1 w:val="020B0609020204030204"/>
    <w:charset w:val="00"/>
    <w:family w:val="modern"/>
    <w:pitch w:val="default"/>
    <w:sig w:usb0="E00006FF" w:usb1="0000FCFF" w:usb2="00000001" w:usb3="00000000" w:csb0="6000019F" w:csb1="DFD70000"/>
  </w:font>
  <w:font w:name="MS Mincho">
    <w:altName w:val="Yu Gothic UI"/>
    <w:panose1 w:val="02020609040205080304"/>
    <w:charset w:val="80"/>
    <w:family w:val="modern"/>
    <w:pitch w:val="default"/>
    <w:sig w:usb0="00000000" w:usb1="00000000" w:usb2="08000012" w:usb3="00000000" w:csb0="0002009F" w:csb1="00000000"/>
  </w:font>
  <w:font w:name="Yu Gothic UI">
    <w:panose1 w:val="020B0500000000000000"/>
    <w:charset w:val="80"/>
    <w:family w:val="auto"/>
    <w:pitch w:val="default"/>
    <w:sig w:usb0="E00002FF" w:usb1="2AC7FDFF" w:usb2="00000016" w:usb3="00000000" w:csb0="2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r>
      <w:rPr>
        <w:rStyle w:val="88"/>
      </w:rPr>
      <w:t>Improvement of An HR Priority Area in BWH</w:t>
    </w:r>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8</w:t>
    </w:r>
    <w:r>
      <w:rPr>
        <w:rStyle w:val="88"/>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8"/>
      </w:rPr>
    </w:pPr>
    <w:r>
      <w:t xml:space="preserve">Running head: </w:t>
    </w:r>
    <w:r>
      <w:rPr>
        <w:rStyle w:val="88"/>
      </w:rPr>
      <w:t>Improvement of An HR Priority Area in BWH</w:t>
    </w:r>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1</w:t>
    </w:r>
    <w:r>
      <w:rPr>
        <w:rStyle w:val="88"/>
      </w:rPr>
      <w:fldChar w:fldCharType="end"/>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pPr>
    <w:r>
      <w:rPr>
        <w:rStyle w:val="88"/>
      </w:rPr>
      <w:t>Improvement of An HR Priority Area in BWH</w:t>
    </w:r>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8</w:t>
    </w:r>
    <w:r>
      <w:rPr>
        <w:rStyle w:val="88"/>
      </w:rPr>
      <w:fldChar w:fldCharType="end"/>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6"/>
      <w:rPr>
        <w:rStyle w:val="88"/>
      </w:rPr>
    </w:pPr>
    <w:r>
      <w:t xml:space="preserve">Running head: </w:t>
    </w:r>
    <w:r>
      <w:rPr>
        <w:rStyle w:val="88"/>
      </w:rPr>
      <w:t>Improvement of An HR Priority Area in BWH</w:t>
    </w:r>
    <w:r>
      <w:rPr>
        <w:rStyle w:val="88"/>
      </w:rPr>
      <w:ptab w:relativeTo="margin" w:alignment="right" w:leader="none"/>
    </w:r>
    <w:r>
      <w:rPr>
        <w:rStyle w:val="88"/>
      </w:rPr>
      <w:fldChar w:fldCharType="begin"/>
    </w:r>
    <w:r>
      <w:rPr>
        <w:rStyle w:val="88"/>
      </w:rPr>
      <w:instrText xml:space="preserve"> PAGE   \* MERGEFORMAT </w:instrText>
    </w:r>
    <w:r>
      <w:rPr>
        <w:rStyle w:val="88"/>
      </w:rPr>
      <w:fldChar w:fldCharType="separate"/>
    </w:r>
    <w:r>
      <w:rPr>
        <w:rStyle w:val="88"/>
      </w:rPr>
      <w:t>1</w:t>
    </w:r>
    <w:r>
      <w:rPr>
        <w:rStyle w:val="88"/>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C"/>
    <w:multiLevelType w:val="singleLevel"/>
    <w:tmpl w:val="FFFFFF7C"/>
    <w:lvl w:ilvl="0" w:tentative="0">
      <w:start w:val="1"/>
      <w:numFmt w:val="decimal"/>
      <w:pStyle w:val="63"/>
      <w:lvlText w:val="%1."/>
      <w:lvlJc w:val="left"/>
      <w:pPr>
        <w:tabs>
          <w:tab w:val="left" w:pos="1800"/>
        </w:tabs>
        <w:ind w:left="1800" w:hanging="360"/>
      </w:pPr>
    </w:lvl>
  </w:abstractNum>
  <w:abstractNum w:abstractNumId="1">
    <w:nsid w:val="FFFFFF7D"/>
    <w:multiLevelType w:val="singleLevel"/>
    <w:tmpl w:val="FFFFFF7D"/>
    <w:lvl w:ilvl="0" w:tentative="0">
      <w:start w:val="1"/>
      <w:numFmt w:val="decimal"/>
      <w:pStyle w:val="46"/>
      <w:lvlText w:val="%1."/>
      <w:lvlJc w:val="left"/>
      <w:pPr>
        <w:tabs>
          <w:tab w:val="left" w:pos="1440"/>
        </w:tabs>
        <w:ind w:left="1440" w:hanging="360"/>
      </w:pPr>
    </w:lvl>
  </w:abstractNum>
  <w:abstractNum w:abstractNumId="2">
    <w:nsid w:val="FFFFFF7E"/>
    <w:multiLevelType w:val="singleLevel"/>
    <w:tmpl w:val="FFFFFF7E"/>
    <w:lvl w:ilvl="0" w:tentative="0">
      <w:start w:val="1"/>
      <w:numFmt w:val="decimal"/>
      <w:pStyle w:val="36"/>
      <w:lvlText w:val="%1."/>
      <w:lvlJc w:val="left"/>
      <w:pPr>
        <w:tabs>
          <w:tab w:val="left" w:pos="1080"/>
        </w:tabs>
        <w:ind w:left="1080" w:hanging="360"/>
      </w:pPr>
    </w:lvl>
  </w:abstractNum>
  <w:abstractNum w:abstractNumId="3">
    <w:nsid w:val="FFFFFF7F"/>
    <w:multiLevelType w:val="singleLevel"/>
    <w:tmpl w:val="FFFFFF7F"/>
    <w:lvl w:ilvl="0" w:tentative="0">
      <w:start w:val="1"/>
      <w:numFmt w:val="decimal"/>
      <w:pStyle w:val="14"/>
      <w:lvlText w:val="%1."/>
      <w:lvlJc w:val="left"/>
      <w:pPr>
        <w:tabs>
          <w:tab w:val="left" w:pos="720"/>
        </w:tabs>
        <w:ind w:left="720" w:hanging="360"/>
      </w:pPr>
    </w:lvl>
  </w:abstractNum>
  <w:abstractNum w:abstractNumId="4">
    <w:nsid w:val="FFFFFF80"/>
    <w:multiLevelType w:val="singleLevel"/>
    <w:tmpl w:val="FFFFFF80"/>
    <w:lvl w:ilvl="0" w:tentative="0">
      <w:start w:val="1"/>
      <w:numFmt w:val="bullet"/>
      <w:pStyle w:val="45"/>
      <w:lvlText w:val=""/>
      <w:lvlJc w:val="left"/>
      <w:pPr>
        <w:tabs>
          <w:tab w:val="left" w:pos="1800"/>
        </w:tabs>
        <w:ind w:left="1800" w:hanging="360"/>
      </w:pPr>
      <w:rPr>
        <w:rFonts w:hint="default" w:ascii="Symbol" w:hAnsi="Symbol"/>
      </w:rPr>
    </w:lvl>
  </w:abstractNum>
  <w:abstractNum w:abstractNumId="5">
    <w:nsid w:val="FFFFFF81"/>
    <w:multiLevelType w:val="singleLevel"/>
    <w:tmpl w:val="FFFFFF81"/>
    <w:lvl w:ilvl="0" w:tentative="0">
      <w:start w:val="1"/>
      <w:numFmt w:val="bullet"/>
      <w:pStyle w:val="17"/>
      <w:lvlText w:val=""/>
      <w:lvlJc w:val="left"/>
      <w:pPr>
        <w:tabs>
          <w:tab w:val="left" w:pos="1440"/>
        </w:tabs>
        <w:ind w:left="1440" w:hanging="360"/>
      </w:pPr>
      <w:rPr>
        <w:rFonts w:hint="default" w:ascii="Symbol" w:hAnsi="Symbol"/>
      </w:rPr>
    </w:lvl>
  </w:abstractNum>
  <w:abstractNum w:abstractNumId="6">
    <w:nsid w:val="FFFFFF82"/>
    <w:multiLevelType w:val="singleLevel"/>
    <w:tmpl w:val="FFFFFF82"/>
    <w:lvl w:ilvl="0" w:tentative="0">
      <w:start w:val="1"/>
      <w:numFmt w:val="bullet"/>
      <w:pStyle w:val="33"/>
      <w:lvlText w:val=""/>
      <w:lvlJc w:val="left"/>
      <w:pPr>
        <w:tabs>
          <w:tab w:val="left" w:pos="1080"/>
        </w:tabs>
        <w:ind w:left="1080" w:hanging="360"/>
      </w:pPr>
      <w:rPr>
        <w:rFonts w:hint="default" w:ascii="Symbol" w:hAnsi="Symbol"/>
      </w:rPr>
    </w:lvl>
  </w:abstractNum>
  <w:abstractNum w:abstractNumId="7">
    <w:nsid w:val="FFFFFF83"/>
    <w:multiLevelType w:val="singleLevel"/>
    <w:tmpl w:val="FFFFFF83"/>
    <w:lvl w:ilvl="0" w:tentative="0">
      <w:start w:val="1"/>
      <w:numFmt w:val="bullet"/>
      <w:pStyle w:val="40"/>
      <w:lvlText w:val=""/>
      <w:lvlJc w:val="left"/>
      <w:pPr>
        <w:tabs>
          <w:tab w:val="left" w:pos="720"/>
        </w:tabs>
        <w:ind w:left="720" w:hanging="360"/>
      </w:pPr>
      <w:rPr>
        <w:rFonts w:hint="default" w:ascii="Symbol" w:hAnsi="Symbol"/>
      </w:rPr>
    </w:lvl>
  </w:abstractNum>
  <w:abstractNum w:abstractNumId="8">
    <w:nsid w:val="FFFFFF88"/>
    <w:multiLevelType w:val="singleLevel"/>
    <w:tmpl w:val="FFFFFF88"/>
    <w:lvl w:ilvl="0" w:tentative="0">
      <w:start w:val="1"/>
      <w:numFmt w:val="decimal"/>
      <w:pStyle w:val="20"/>
      <w:lvlText w:val="%1."/>
      <w:lvlJc w:val="left"/>
      <w:pPr>
        <w:tabs>
          <w:tab w:val="left" w:pos="1080"/>
        </w:tabs>
        <w:ind w:left="1080" w:hanging="360"/>
      </w:pPr>
      <w:rPr>
        <w:rFonts w:hint="default"/>
      </w:rPr>
    </w:lvl>
  </w:abstractNum>
  <w:abstractNum w:abstractNumId="9">
    <w:nsid w:val="FFFFFF89"/>
    <w:multiLevelType w:val="singleLevel"/>
    <w:tmpl w:val="FFFFFF89"/>
    <w:lvl w:ilvl="0" w:tentative="0">
      <w:start w:val="1"/>
      <w:numFmt w:val="bullet"/>
      <w:pStyle w:val="24"/>
      <w:lvlText w:val=""/>
      <w:lvlJc w:val="left"/>
      <w:pPr>
        <w:tabs>
          <w:tab w:val="left" w:pos="1080"/>
        </w:tabs>
        <w:ind w:left="1080" w:hanging="360"/>
      </w:pPr>
      <w:rPr>
        <w:rFonts w:hint="default" w:ascii="Symbol" w:hAnsi="Symbol"/>
      </w:rPr>
    </w:lvl>
  </w:abstractNum>
  <w:num w:numId="1">
    <w:abstractNumId w:val="3"/>
  </w:num>
  <w:num w:numId="2">
    <w:abstractNumId w:val="5"/>
  </w:num>
  <w:num w:numId="3">
    <w:abstractNumId w:val="8"/>
  </w:num>
  <w:num w:numId="4">
    <w:abstractNumId w:val="9"/>
  </w:num>
  <w:num w:numId="5">
    <w:abstractNumId w:val="6"/>
  </w:num>
  <w:num w:numId="6">
    <w:abstractNumId w:val="2"/>
  </w:num>
  <w:num w:numId="7">
    <w:abstractNumId w:val="7"/>
  </w:num>
  <w:num w:numId="8">
    <w:abstractNumId w:val="4"/>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bordersDoNotSurroundHeader w:val="1"/>
  <w:bordersDoNotSurroundFooter w:val="1"/>
  <w:hideSpellingErrors/>
  <w:hideGrammaticalErrors/>
  <w:documentProtection w:enforcement="0"/>
  <w:defaultTabStop w:val="720"/>
  <w:characterSpacingControl w:val="doNotCompress"/>
  <w:footnotePr>
    <w:pos w:val="beneathText"/>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EyMAZShqaWZpZGxko6SsGpxcWZ+XkgBUa1AEmdHvAsAAAA"/>
    <w:docVar w:name="commondata" w:val="eyJoZGlkIjoiZDg0ODNlYWM4MzQxZWY4YjhkYzAxZjA1MjZmMGFmNDAifQ=="/>
  </w:docVars>
  <w:rsids>
    <w:rsidRoot w:val="00611105"/>
    <w:rsid w:val="000D3F41"/>
    <w:rsid w:val="00165246"/>
    <w:rsid w:val="00183652"/>
    <w:rsid w:val="001B534A"/>
    <w:rsid w:val="0024477E"/>
    <w:rsid w:val="00253D72"/>
    <w:rsid w:val="00273394"/>
    <w:rsid w:val="00313FAE"/>
    <w:rsid w:val="00355DCA"/>
    <w:rsid w:val="003A1259"/>
    <w:rsid w:val="0040147C"/>
    <w:rsid w:val="00456844"/>
    <w:rsid w:val="00551A02"/>
    <w:rsid w:val="005534FA"/>
    <w:rsid w:val="005C682E"/>
    <w:rsid w:val="005D3A03"/>
    <w:rsid w:val="00611105"/>
    <w:rsid w:val="006F083E"/>
    <w:rsid w:val="007407F0"/>
    <w:rsid w:val="008002C0"/>
    <w:rsid w:val="00804CC6"/>
    <w:rsid w:val="00816529"/>
    <w:rsid w:val="008563B3"/>
    <w:rsid w:val="008A7103"/>
    <w:rsid w:val="008C5323"/>
    <w:rsid w:val="009476D4"/>
    <w:rsid w:val="009A6A3B"/>
    <w:rsid w:val="00A42231"/>
    <w:rsid w:val="00B5545E"/>
    <w:rsid w:val="00B823AA"/>
    <w:rsid w:val="00BA04E9"/>
    <w:rsid w:val="00BA45DB"/>
    <w:rsid w:val="00BF4184"/>
    <w:rsid w:val="00C0601E"/>
    <w:rsid w:val="00C2258C"/>
    <w:rsid w:val="00C31D30"/>
    <w:rsid w:val="00C67E07"/>
    <w:rsid w:val="00CA0ACF"/>
    <w:rsid w:val="00CD6E39"/>
    <w:rsid w:val="00CF6E91"/>
    <w:rsid w:val="00D85B68"/>
    <w:rsid w:val="00E6004D"/>
    <w:rsid w:val="00E81978"/>
    <w:rsid w:val="00F0690F"/>
    <w:rsid w:val="00F379B7"/>
    <w:rsid w:val="00F525FA"/>
    <w:rsid w:val="00FF2002"/>
    <w:rsid w:val="16E24348"/>
    <w:rsid w:val="3C0D06AF"/>
    <w:rsid w:val="3DD505A6"/>
    <w:rsid w:val="49B760FE"/>
    <w:rsid w:val="5A140139"/>
    <w:rsid w:val="752F37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4" w:semiHidden="0" w:name="heading 1"/>
    <w:lsdException w:qFormat="1" w:uiPriority="4" w:semiHidden="0" w:name="heading 2"/>
    <w:lsdException w:qFormat="1" w:uiPriority="4" w:semiHidden="0" w:name="heading 3"/>
    <w:lsdException w:qFormat="1" w:uiPriority="4" w:semiHidden="0" w:name="heading 4"/>
    <w:lsdException w:qFormat="1" w:uiPriority="4" w:semiHidden="0" w:name="heading 5"/>
    <w:lsdException w:qFormat="1" w:unhideWhenUsed="0" w:uiPriority="9" w:name="heading 6"/>
    <w:lsdException w:qFormat="1" w:unhideWhenUsed="0" w:uiPriority="9" w:name="heading 7"/>
    <w:lsdException w:qFormat="1" w:unhideWhenUsed="0" w:uiPriority="9" w:name="heading 8"/>
    <w:lsdException w:qFormat="1" w:unhideWhenUsed="0" w:uiPriority="9" w:name="heading 9"/>
    <w:lsdException w:uiPriority="99" w:name="index 1"/>
    <w:lsdException w:uiPriority="99" w:name="index 2"/>
    <w:lsdException w:qFormat="1" w:uiPriority="99" w:name="index 3"/>
    <w:lsdException w:qFormat="1"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qFormat="1" w:uiPriority="99" w:name="envelope return"/>
    <w:lsdException w:qFormat="1" w:uiPriority="5" w:semiHidden="0" w:name="footnote reference"/>
    <w:lsdException w:uiPriority="99" w:name="annotation reference"/>
    <w:lsdException w:uiPriority="99" w:name="line number"/>
    <w:lsdException w:uiPriority="99" w:name="page number"/>
    <w:lsdException w:uiPriority="99" w:name="endnote reference"/>
    <w:lsdException w:qFormat="1" w:uiPriority="99" w:name="endnote text"/>
    <w:lsdException w:uiPriority="99" w:name="table of authorities"/>
    <w:lsdException w:uiPriority="99" w:name="macro"/>
    <w:lsdException w:uiPriority="99" w:name="toa heading"/>
    <w:lsdException w:uiPriority="99" w:name="List"/>
    <w:lsdException w:qFormat="1" w:uiPriority="9" w:semiHidden="0" w:name="List Bullet"/>
    <w:lsdException w:qFormat="1" w:uiPriority="9" w:semiHidden="0"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iPriority="18"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iPriority="22" w:semiHidden="0" w:name="Strong"/>
    <w:lsdException w:qFormat="1" w:uiPriority="4" w:semiHidden="0" w:name="Emphasis"/>
    <w:lsdException w:uiPriority="99" w:name="Document Map"/>
    <w:lsdException w:uiPriority="99" w:name="Plain Text"/>
    <w:lsdException w:qFormat="1" w:uiPriority="99" w:name="E-mail Signature"/>
    <w:lsdException w:uiPriority="99" w:name="Normal (Web)"/>
    <w:lsdException w:uiPriority="99" w:name="HTML Acronym"/>
    <w:lsdException w:qFormat="1"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99" w:name="Placeholder Text"/>
    <w:lsdException w:qFormat="1" w:unhideWhenUsed="0" w:uiPriority="3"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iPriority="34" w:semiHidden="0" w:name="List Paragraph"/>
    <w:lsdException w:qFormat="1" w:uiPriority="29" w:name="Quote"/>
    <w:lsdException w:qFormat="1" w:uiPriority="3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pPr>
    <w:rPr>
      <w:rFonts w:asciiTheme="minorHAnsi" w:hAnsiTheme="minorHAnsi" w:eastAsiaTheme="minorEastAsia" w:cstheme="minorBidi"/>
      <w:kern w:val="24"/>
      <w:sz w:val="24"/>
      <w:szCs w:val="24"/>
      <w:lang w:val="en-US" w:eastAsia="ja-JP" w:bidi="ar-SA"/>
    </w:rPr>
  </w:style>
  <w:style w:type="paragraph" w:styleId="3">
    <w:name w:val="heading 1"/>
    <w:basedOn w:val="1"/>
    <w:next w:val="1"/>
    <w:link w:val="102"/>
    <w:qFormat/>
    <w:uiPriority w:val="4"/>
    <w:pPr>
      <w:keepNext/>
      <w:keepLines/>
      <w:ind w:firstLine="0"/>
      <w:jc w:val="center"/>
      <w:outlineLvl w:val="0"/>
    </w:pPr>
    <w:rPr>
      <w:rFonts w:asciiTheme="majorHAnsi" w:hAnsiTheme="majorHAnsi" w:eastAsiaTheme="majorEastAsia" w:cstheme="majorBidi"/>
      <w:b/>
      <w:bCs/>
    </w:rPr>
  </w:style>
  <w:style w:type="paragraph" w:styleId="4">
    <w:name w:val="heading 2"/>
    <w:basedOn w:val="1"/>
    <w:next w:val="1"/>
    <w:link w:val="103"/>
    <w:unhideWhenUsed/>
    <w:qFormat/>
    <w:uiPriority w:val="4"/>
    <w:pPr>
      <w:keepNext/>
      <w:keepLines/>
      <w:ind w:firstLine="0"/>
      <w:outlineLvl w:val="1"/>
    </w:pPr>
    <w:rPr>
      <w:rFonts w:asciiTheme="majorHAnsi" w:hAnsiTheme="majorHAnsi" w:eastAsiaTheme="majorEastAsia" w:cstheme="majorBidi"/>
      <w:b/>
      <w:bCs/>
    </w:rPr>
  </w:style>
  <w:style w:type="paragraph" w:styleId="5">
    <w:name w:val="heading 3"/>
    <w:basedOn w:val="1"/>
    <w:next w:val="1"/>
    <w:link w:val="105"/>
    <w:unhideWhenUsed/>
    <w:qFormat/>
    <w:uiPriority w:val="4"/>
    <w:pPr>
      <w:keepNext/>
      <w:keepLines/>
      <w:outlineLvl w:val="2"/>
    </w:pPr>
    <w:rPr>
      <w:rFonts w:asciiTheme="majorHAnsi" w:hAnsiTheme="majorHAnsi" w:eastAsiaTheme="majorEastAsia" w:cstheme="majorBidi"/>
      <w:b/>
      <w:bCs/>
    </w:rPr>
  </w:style>
  <w:style w:type="paragraph" w:styleId="6">
    <w:name w:val="heading 4"/>
    <w:basedOn w:val="1"/>
    <w:next w:val="1"/>
    <w:link w:val="106"/>
    <w:unhideWhenUsed/>
    <w:qFormat/>
    <w:uiPriority w:val="4"/>
    <w:pPr>
      <w:keepNext/>
      <w:keepLines/>
      <w:outlineLvl w:val="3"/>
    </w:pPr>
    <w:rPr>
      <w:rFonts w:asciiTheme="majorHAnsi" w:hAnsiTheme="majorHAnsi" w:eastAsiaTheme="majorEastAsia" w:cstheme="majorBidi"/>
      <w:b/>
      <w:bCs/>
      <w:i/>
      <w:iCs/>
    </w:rPr>
  </w:style>
  <w:style w:type="paragraph" w:styleId="7">
    <w:name w:val="heading 5"/>
    <w:basedOn w:val="1"/>
    <w:next w:val="1"/>
    <w:link w:val="107"/>
    <w:unhideWhenUsed/>
    <w:qFormat/>
    <w:uiPriority w:val="4"/>
    <w:pPr>
      <w:keepNext/>
      <w:keepLines/>
      <w:outlineLvl w:val="4"/>
    </w:pPr>
    <w:rPr>
      <w:rFonts w:asciiTheme="majorHAnsi" w:hAnsiTheme="majorHAnsi" w:eastAsiaTheme="majorEastAsia" w:cstheme="majorBidi"/>
      <w:i/>
      <w:iCs/>
    </w:rPr>
  </w:style>
  <w:style w:type="paragraph" w:styleId="8">
    <w:name w:val="heading 6"/>
    <w:basedOn w:val="1"/>
    <w:next w:val="1"/>
    <w:link w:val="127"/>
    <w:semiHidden/>
    <w:qFormat/>
    <w:uiPriority w:val="9"/>
    <w:pPr>
      <w:keepNext/>
      <w:keepLines/>
      <w:spacing w:before="40"/>
      <w:ind w:firstLine="0"/>
      <w:outlineLvl w:val="5"/>
    </w:pPr>
    <w:rPr>
      <w:rFonts w:asciiTheme="majorHAnsi" w:hAnsiTheme="majorHAnsi" w:eastAsiaTheme="majorEastAsia" w:cstheme="majorBidi"/>
      <w:color w:val="6F6F6F" w:themeColor="accent1" w:themeShade="80"/>
    </w:rPr>
  </w:style>
  <w:style w:type="paragraph" w:styleId="9">
    <w:name w:val="heading 7"/>
    <w:basedOn w:val="1"/>
    <w:next w:val="1"/>
    <w:link w:val="128"/>
    <w:semiHidden/>
    <w:qFormat/>
    <w:uiPriority w:val="9"/>
    <w:pPr>
      <w:keepNext/>
      <w:keepLines/>
      <w:spacing w:before="40"/>
      <w:ind w:firstLine="0"/>
      <w:outlineLvl w:val="6"/>
    </w:pPr>
    <w:rPr>
      <w:rFonts w:asciiTheme="majorHAnsi" w:hAnsiTheme="majorHAnsi" w:eastAsiaTheme="majorEastAsia" w:cstheme="majorBidi"/>
      <w:i/>
      <w:iCs/>
      <w:color w:val="6F6F6F" w:themeColor="accent1" w:themeShade="80"/>
    </w:rPr>
  </w:style>
  <w:style w:type="paragraph" w:styleId="10">
    <w:name w:val="heading 8"/>
    <w:basedOn w:val="1"/>
    <w:next w:val="1"/>
    <w:link w:val="129"/>
    <w:semiHidden/>
    <w:qFormat/>
    <w:uiPriority w:val="9"/>
    <w:pPr>
      <w:keepNext/>
      <w:keepLines/>
      <w:spacing w:before="40"/>
      <w:ind w:firstLine="0"/>
      <w:outlineLvl w:val="7"/>
    </w:pPr>
    <w:rPr>
      <w:rFonts w:asciiTheme="majorHAnsi" w:hAnsiTheme="majorHAnsi" w:eastAsiaTheme="majorEastAsia" w:cstheme="majorBidi"/>
      <w:color w:val="262626" w:themeColor="text1" w:themeTint="D9"/>
      <w:sz w:val="22"/>
      <w:szCs w:val="21"/>
      <w14:textFill>
        <w14:solidFill>
          <w14:schemeClr w14:val="tx1">
            <w14:lumMod w14:val="85000"/>
            <w14:lumOff w14:val="15000"/>
          </w14:schemeClr>
        </w14:solidFill>
      </w14:textFill>
    </w:rPr>
  </w:style>
  <w:style w:type="paragraph" w:styleId="11">
    <w:name w:val="heading 9"/>
    <w:basedOn w:val="1"/>
    <w:next w:val="1"/>
    <w:link w:val="130"/>
    <w:semiHidden/>
    <w:qFormat/>
    <w:uiPriority w:val="9"/>
    <w:pPr>
      <w:keepNext/>
      <w:keepLines/>
      <w:spacing w:before="40"/>
      <w:ind w:firstLine="0"/>
      <w:outlineLvl w:val="8"/>
    </w:pPr>
    <w:rPr>
      <w:rFonts w:asciiTheme="majorHAnsi" w:hAnsiTheme="majorHAnsi" w:eastAsiaTheme="majorEastAsia" w:cstheme="majorBidi"/>
      <w:i/>
      <w:iCs/>
      <w:color w:val="262626" w:themeColor="text1" w:themeTint="D9"/>
      <w:sz w:val="22"/>
      <w:szCs w:val="21"/>
      <w14:textFill>
        <w14:solidFill>
          <w14:schemeClr w14:val="tx1">
            <w14:lumMod w14:val="85000"/>
            <w14:lumOff w14:val="15000"/>
          </w14:schemeClr>
        </w14:solidFill>
      </w14:textFill>
    </w:rPr>
  </w:style>
  <w:style w:type="character" w:default="1" w:styleId="87">
    <w:name w:val="Default Paragraph Font"/>
    <w:semiHidden/>
    <w:unhideWhenUsed/>
    <w:qFormat/>
    <w:uiPriority w:val="1"/>
  </w:style>
  <w:style w:type="table" w:default="1" w:styleId="85">
    <w:name w:val="Normal Table"/>
    <w:semiHidden/>
    <w:unhideWhenUsed/>
    <w:uiPriority w:val="99"/>
    <w:tblPr>
      <w:tblCellMar>
        <w:top w:w="0" w:type="dxa"/>
        <w:left w:w="108" w:type="dxa"/>
        <w:bottom w:w="0" w:type="dxa"/>
        <w:right w:w="108" w:type="dxa"/>
      </w:tblCellMar>
    </w:tblPr>
  </w:style>
  <w:style w:type="paragraph" w:styleId="2">
    <w:name w:val="macro"/>
    <w:link w:val="136"/>
    <w:semiHidden/>
    <w:unhideWhenUsed/>
    <w:uiPriority w:val="99"/>
    <w:pPr>
      <w:tabs>
        <w:tab w:val="left" w:pos="480"/>
        <w:tab w:val="left" w:pos="960"/>
        <w:tab w:val="left" w:pos="1440"/>
        <w:tab w:val="left" w:pos="1920"/>
        <w:tab w:val="left" w:pos="2400"/>
        <w:tab w:val="left" w:pos="2880"/>
        <w:tab w:val="left" w:pos="3360"/>
        <w:tab w:val="left" w:pos="3840"/>
        <w:tab w:val="left" w:pos="4320"/>
      </w:tabs>
      <w:spacing w:line="480" w:lineRule="auto"/>
      <w:ind w:firstLine="0"/>
    </w:pPr>
    <w:rPr>
      <w:rFonts w:ascii="Consolas" w:hAnsi="Consolas" w:cs="Consolas" w:eastAsiaTheme="minorEastAsia"/>
      <w:kern w:val="24"/>
      <w:sz w:val="22"/>
      <w:szCs w:val="20"/>
      <w:lang w:val="en-US" w:eastAsia="ja-JP" w:bidi="ar-SA"/>
    </w:rPr>
  </w:style>
  <w:style w:type="paragraph" w:styleId="12">
    <w:name w:val="List 3"/>
    <w:basedOn w:val="1"/>
    <w:semiHidden/>
    <w:unhideWhenUsed/>
    <w:uiPriority w:val="99"/>
    <w:pPr>
      <w:ind w:left="1080" w:firstLine="0"/>
      <w:contextualSpacing/>
    </w:pPr>
  </w:style>
  <w:style w:type="paragraph" w:styleId="13">
    <w:name w:val="toc 7"/>
    <w:basedOn w:val="1"/>
    <w:next w:val="1"/>
    <w:semiHidden/>
    <w:unhideWhenUsed/>
    <w:uiPriority w:val="39"/>
    <w:pPr>
      <w:spacing w:after="100"/>
      <w:ind w:left="1440" w:firstLine="0"/>
    </w:pPr>
  </w:style>
  <w:style w:type="paragraph" w:styleId="14">
    <w:name w:val="List Number 2"/>
    <w:basedOn w:val="1"/>
    <w:semiHidden/>
    <w:unhideWhenUsed/>
    <w:uiPriority w:val="99"/>
    <w:pPr>
      <w:numPr>
        <w:ilvl w:val="0"/>
        <w:numId w:val="1"/>
      </w:numPr>
      <w:ind w:firstLine="0"/>
      <w:contextualSpacing/>
    </w:pPr>
  </w:style>
  <w:style w:type="paragraph" w:styleId="15">
    <w:name w:val="table of authorities"/>
    <w:basedOn w:val="1"/>
    <w:next w:val="1"/>
    <w:semiHidden/>
    <w:unhideWhenUsed/>
    <w:uiPriority w:val="99"/>
    <w:pPr>
      <w:ind w:left="240" w:firstLine="0"/>
    </w:pPr>
  </w:style>
  <w:style w:type="paragraph" w:styleId="16">
    <w:name w:val="Note Heading"/>
    <w:basedOn w:val="1"/>
    <w:next w:val="1"/>
    <w:link w:val="138"/>
    <w:semiHidden/>
    <w:unhideWhenUsed/>
    <w:uiPriority w:val="99"/>
    <w:pPr>
      <w:spacing w:line="240" w:lineRule="auto"/>
      <w:ind w:firstLine="0"/>
    </w:pPr>
  </w:style>
  <w:style w:type="paragraph" w:styleId="17">
    <w:name w:val="List Bullet 4"/>
    <w:basedOn w:val="1"/>
    <w:semiHidden/>
    <w:unhideWhenUsed/>
    <w:uiPriority w:val="99"/>
    <w:pPr>
      <w:numPr>
        <w:ilvl w:val="0"/>
        <w:numId w:val="2"/>
      </w:numPr>
      <w:ind w:firstLine="0"/>
      <w:contextualSpacing/>
    </w:pPr>
  </w:style>
  <w:style w:type="paragraph" w:styleId="18">
    <w:name w:val="index 8"/>
    <w:basedOn w:val="1"/>
    <w:next w:val="1"/>
    <w:semiHidden/>
    <w:unhideWhenUsed/>
    <w:uiPriority w:val="99"/>
    <w:pPr>
      <w:spacing w:line="240" w:lineRule="auto"/>
      <w:ind w:left="1920" w:firstLine="0"/>
    </w:pPr>
  </w:style>
  <w:style w:type="paragraph" w:styleId="19">
    <w:name w:val="E-mail Signature"/>
    <w:basedOn w:val="1"/>
    <w:link w:val="123"/>
    <w:semiHidden/>
    <w:unhideWhenUsed/>
    <w:qFormat/>
    <w:uiPriority w:val="99"/>
    <w:pPr>
      <w:spacing w:line="240" w:lineRule="auto"/>
      <w:ind w:firstLine="0"/>
    </w:pPr>
  </w:style>
  <w:style w:type="paragraph" w:styleId="20">
    <w:name w:val="List Number"/>
    <w:basedOn w:val="1"/>
    <w:unhideWhenUsed/>
    <w:qFormat/>
    <w:uiPriority w:val="9"/>
    <w:pPr>
      <w:numPr>
        <w:ilvl w:val="0"/>
        <w:numId w:val="3"/>
      </w:numPr>
      <w:contextualSpacing/>
    </w:pPr>
  </w:style>
  <w:style w:type="paragraph" w:styleId="21">
    <w:name w:val="Normal Indent"/>
    <w:basedOn w:val="1"/>
    <w:semiHidden/>
    <w:unhideWhenUsed/>
    <w:uiPriority w:val="99"/>
    <w:pPr>
      <w:ind w:left="720" w:firstLine="0"/>
    </w:pPr>
  </w:style>
  <w:style w:type="paragraph" w:styleId="22">
    <w:name w:val="caption"/>
    <w:basedOn w:val="1"/>
    <w:next w:val="1"/>
    <w:semiHidden/>
    <w:unhideWhenUsed/>
    <w:qFormat/>
    <w:uiPriority w:val="35"/>
    <w:pPr>
      <w:spacing w:after="200" w:line="240" w:lineRule="auto"/>
      <w:ind w:firstLine="0"/>
    </w:pPr>
    <w:rPr>
      <w:i/>
      <w:iCs/>
      <w:color w:val="000000" w:themeColor="text2"/>
      <w:sz w:val="22"/>
      <w:szCs w:val="18"/>
      <w14:textFill>
        <w14:solidFill>
          <w14:schemeClr w14:val="tx2"/>
        </w14:solidFill>
      </w14:textFill>
    </w:rPr>
  </w:style>
  <w:style w:type="paragraph" w:styleId="23">
    <w:name w:val="index 5"/>
    <w:basedOn w:val="1"/>
    <w:next w:val="1"/>
    <w:semiHidden/>
    <w:unhideWhenUsed/>
    <w:uiPriority w:val="99"/>
    <w:pPr>
      <w:spacing w:line="240" w:lineRule="auto"/>
      <w:ind w:left="1200" w:firstLine="0"/>
    </w:pPr>
  </w:style>
  <w:style w:type="paragraph" w:styleId="24">
    <w:name w:val="List Bullet"/>
    <w:basedOn w:val="1"/>
    <w:unhideWhenUsed/>
    <w:qFormat/>
    <w:uiPriority w:val="9"/>
    <w:pPr>
      <w:numPr>
        <w:ilvl w:val="0"/>
        <w:numId w:val="4"/>
      </w:numPr>
      <w:contextualSpacing/>
    </w:pPr>
  </w:style>
  <w:style w:type="paragraph" w:styleId="25">
    <w:name w:val="envelope address"/>
    <w:basedOn w:val="1"/>
    <w:semiHidden/>
    <w:unhideWhenUsed/>
    <w:uiPriority w:val="99"/>
    <w:pPr>
      <w:framePr w:w="7920" w:h="1980" w:hRule="exact" w:hSpace="180" w:wrap="auto" w:vAnchor="margin" w:hAnchor="page" w:xAlign="center" w:yAlign="bottom"/>
      <w:spacing w:line="240" w:lineRule="auto"/>
      <w:ind w:left="2880" w:firstLine="0"/>
    </w:pPr>
    <w:rPr>
      <w:rFonts w:asciiTheme="majorHAnsi" w:hAnsiTheme="majorHAnsi" w:eastAsiaTheme="majorEastAsia" w:cstheme="majorBidi"/>
    </w:rPr>
  </w:style>
  <w:style w:type="paragraph" w:styleId="26">
    <w:name w:val="Document Map"/>
    <w:basedOn w:val="1"/>
    <w:link w:val="122"/>
    <w:semiHidden/>
    <w:unhideWhenUsed/>
    <w:uiPriority w:val="99"/>
    <w:pPr>
      <w:spacing w:line="240" w:lineRule="auto"/>
      <w:ind w:firstLine="0"/>
    </w:pPr>
    <w:rPr>
      <w:rFonts w:ascii="Segoe UI" w:hAnsi="Segoe UI" w:cs="Segoe UI"/>
      <w:sz w:val="22"/>
      <w:szCs w:val="16"/>
    </w:rPr>
  </w:style>
  <w:style w:type="paragraph" w:styleId="27">
    <w:name w:val="toa heading"/>
    <w:basedOn w:val="1"/>
    <w:next w:val="1"/>
    <w:semiHidden/>
    <w:unhideWhenUsed/>
    <w:uiPriority w:val="99"/>
    <w:pPr>
      <w:spacing w:before="120"/>
      <w:ind w:firstLine="0"/>
    </w:pPr>
    <w:rPr>
      <w:rFonts w:asciiTheme="majorHAnsi" w:hAnsiTheme="majorHAnsi" w:eastAsiaTheme="majorEastAsia" w:cstheme="majorBidi"/>
      <w:b/>
      <w:bCs/>
    </w:rPr>
  </w:style>
  <w:style w:type="paragraph" w:styleId="28">
    <w:name w:val="annotation text"/>
    <w:basedOn w:val="1"/>
    <w:link w:val="119"/>
    <w:semiHidden/>
    <w:unhideWhenUsed/>
    <w:uiPriority w:val="99"/>
    <w:pPr>
      <w:spacing w:line="240" w:lineRule="auto"/>
      <w:ind w:firstLine="0"/>
    </w:pPr>
    <w:rPr>
      <w:sz w:val="22"/>
      <w:szCs w:val="20"/>
    </w:rPr>
  </w:style>
  <w:style w:type="paragraph" w:styleId="29">
    <w:name w:val="index 6"/>
    <w:basedOn w:val="1"/>
    <w:next w:val="1"/>
    <w:semiHidden/>
    <w:unhideWhenUsed/>
    <w:uiPriority w:val="99"/>
    <w:pPr>
      <w:spacing w:line="240" w:lineRule="auto"/>
      <w:ind w:left="1440" w:firstLine="0"/>
    </w:pPr>
  </w:style>
  <w:style w:type="paragraph" w:styleId="30">
    <w:name w:val="Salutation"/>
    <w:basedOn w:val="1"/>
    <w:next w:val="1"/>
    <w:link w:val="142"/>
    <w:semiHidden/>
    <w:unhideWhenUsed/>
    <w:uiPriority w:val="99"/>
    <w:pPr>
      <w:ind w:firstLine="0"/>
    </w:pPr>
  </w:style>
  <w:style w:type="paragraph" w:styleId="31">
    <w:name w:val="Body Text 3"/>
    <w:basedOn w:val="1"/>
    <w:link w:val="112"/>
    <w:semiHidden/>
    <w:unhideWhenUsed/>
    <w:uiPriority w:val="99"/>
    <w:pPr>
      <w:spacing w:after="120"/>
      <w:ind w:firstLine="0"/>
    </w:pPr>
    <w:rPr>
      <w:sz w:val="22"/>
      <w:szCs w:val="16"/>
    </w:rPr>
  </w:style>
  <w:style w:type="paragraph" w:styleId="32">
    <w:name w:val="Closing"/>
    <w:basedOn w:val="1"/>
    <w:link w:val="118"/>
    <w:semiHidden/>
    <w:unhideWhenUsed/>
    <w:uiPriority w:val="99"/>
    <w:pPr>
      <w:spacing w:line="240" w:lineRule="auto"/>
      <w:ind w:left="4320" w:firstLine="0"/>
    </w:pPr>
  </w:style>
  <w:style w:type="paragraph" w:styleId="33">
    <w:name w:val="List Bullet 3"/>
    <w:basedOn w:val="1"/>
    <w:semiHidden/>
    <w:unhideWhenUsed/>
    <w:uiPriority w:val="99"/>
    <w:pPr>
      <w:numPr>
        <w:ilvl w:val="0"/>
        <w:numId w:val="5"/>
      </w:numPr>
      <w:ind w:firstLine="0"/>
      <w:contextualSpacing/>
    </w:pPr>
  </w:style>
  <w:style w:type="paragraph" w:styleId="34">
    <w:name w:val="Body Text"/>
    <w:basedOn w:val="1"/>
    <w:link w:val="110"/>
    <w:semiHidden/>
    <w:unhideWhenUsed/>
    <w:uiPriority w:val="99"/>
    <w:pPr>
      <w:spacing w:after="120"/>
      <w:ind w:firstLine="0"/>
    </w:pPr>
  </w:style>
  <w:style w:type="paragraph" w:styleId="35">
    <w:name w:val="Body Text Indent"/>
    <w:basedOn w:val="1"/>
    <w:link w:val="114"/>
    <w:semiHidden/>
    <w:unhideWhenUsed/>
    <w:uiPriority w:val="99"/>
    <w:pPr>
      <w:spacing w:after="120"/>
      <w:ind w:left="360" w:firstLine="0"/>
    </w:pPr>
  </w:style>
  <w:style w:type="paragraph" w:styleId="36">
    <w:name w:val="List Number 3"/>
    <w:basedOn w:val="1"/>
    <w:semiHidden/>
    <w:unhideWhenUsed/>
    <w:uiPriority w:val="99"/>
    <w:pPr>
      <w:numPr>
        <w:ilvl w:val="0"/>
        <w:numId w:val="6"/>
      </w:numPr>
      <w:ind w:firstLine="0"/>
      <w:contextualSpacing/>
    </w:pPr>
  </w:style>
  <w:style w:type="paragraph" w:styleId="37">
    <w:name w:val="List 2"/>
    <w:basedOn w:val="1"/>
    <w:semiHidden/>
    <w:unhideWhenUsed/>
    <w:uiPriority w:val="99"/>
    <w:pPr>
      <w:ind w:left="720" w:firstLine="0"/>
      <w:contextualSpacing/>
    </w:pPr>
  </w:style>
  <w:style w:type="paragraph" w:styleId="38">
    <w:name w:val="List Continue"/>
    <w:basedOn w:val="1"/>
    <w:semiHidden/>
    <w:unhideWhenUsed/>
    <w:uiPriority w:val="99"/>
    <w:pPr>
      <w:spacing w:after="120"/>
      <w:ind w:left="360" w:firstLine="0"/>
      <w:contextualSpacing/>
    </w:pPr>
  </w:style>
  <w:style w:type="paragraph" w:styleId="39">
    <w:name w:val="Block Text"/>
    <w:basedOn w:val="1"/>
    <w:semiHidden/>
    <w:unhideWhenUsed/>
    <w:uiPriority w:val="99"/>
    <w:pPr>
      <w:pBdr>
        <w:top w:val="single" w:color="585858" w:themeColor="text1" w:themeTint="A6" w:sz="2" w:space="10"/>
        <w:left w:val="single" w:color="585858" w:themeColor="text1" w:themeTint="A6" w:sz="2" w:space="10"/>
        <w:bottom w:val="single" w:color="585858" w:themeColor="text1" w:themeTint="A6" w:sz="2" w:space="10"/>
        <w:right w:val="single" w:color="585858" w:themeColor="text1" w:themeTint="A6" w:sz="2" w:space="10"/>
      </w:pBdr>
      <w:ind w:left="1152" w:right="1152" w:firstLine="0"/>
    </w:pPr>
    <w:rPr>
      <w:i/>
      <w:iCs/>
      <w:color w:val="595959" w:themeColor="text1" w:themeTint="A6"/>
      <w14:textFill>
        <w14:solidFill>
          <w14:schemeClr w14:val="tx1">
            <w14:lumMod w14:val="65000"/>
            <w14:lumOff w14:val="35000"/>
          </w14:schemeClr>
        </w14:solidFill>
      </w14:textFill>
    </w:rPr>
  </w:style>
  <w:style w:type="paragraph" w:styleId="40">
    <w:name w:val="List Bullet 2"/>
    <w:basedOn w:val="1"/>
    <w:semiHidden/>
    <w:unhideWhenUsed/>
    <w:uiPriority w:val="99"/>
    <w:pPr>
      <w:numPr>
        <w:ilvl w:val="0"/>
        <w:numId w:val="7"/>
      </w:numPr>
      <w:ind w:firstLine="0"/>
      <w:contextualSpacing/>
    </w:pPr>
  </w:style>
  <w:style w:type="paragraph" w:styleId="41">
    <w:name w:val="HTML Address"/>
    <w:basedOn w:val="1"/>
    <w:link w:val="131"/>
    <w:semiHidden/>
    <w:unhideWhenUsed/>
    <w:qFormat/>
    <w:uiPriority w:val="99"/>
    <w:pPr>
      <w:spacing w:line="240" w:lineRule="auto"/>
      <w:ind w:firstLine="0"/>
    </w:pPr>
    <w:rPr>
      <w:i/>
      <w:iCs/>
    </w:rPr>
  </w:style>
  <w:style w:type="paragraph" w:styleId="42">
    <w:name w:val="index 4"/>
    <w:basedOn w:val="1"/>
    <w:next w:val="1"/>
    <w:semiHidden/>
    <w:unhideWhenUsed/>
    <w:qFormat/>
    <w:uiPriority w:val="99"/>
    <w:pPr>
      <w:spacing w:line="240" w:lineRule="auto"/>
      <w:ind w:left="960" w:firstLine="0"/>
    </w:pPr>
  </w:style>
  <w:style w:type="paragraph" w:styleId="43">
    <w:name w:val="toc 5"/>
    <w:basedOn w:val="1"/>
    <w:next w:val="1"/>
    <w:semiHidden/>
    <w:unhideWhenUsed/>
    <w:uiPriority w:val="39"/>
    <w:pPr>
      <w:spacing w:after="100"/>
      <w:ind w:left="960" w:firstLine="0"/>
    </w:pPr>
  </w:style>
  <w:style w:type="paragraph" w:styleId="44">
    <w:name w:val="Plain Text"/>
    <w:basedOn w:val="1"/>
    <w:link w:val="139"/>
    <w:semiHidden/>
    <w:unhideWhenUsed/>
    <w:uiPriority w:val="99"/>
    <w:pPr>
      <w:spacing w:line="240" w:lineRule="auto"/>
      <w:ind w:firstLine="0"/>
    </w:pPr>
    <w:rPr>
      <w:rFonts w:ascii="Consolas" w:hAnsi="Consolas" w:cs="Consolas"/>
      <w:sz w:val="22"/>
      <w:szCs w:val="21"/>
    </w:rPr>
  </w:style>
  <w:style w:type="paragraph" w:styleId="45">
    <w:name w:val="List Bullet 5"/>
    <w:basedOn w:val="1"/>
    <w:semiHidden/>
    <w:unhideWhenUsed/>
    <w:uiPriority w:val="99"/>
    <w:pPr>
      <w:numPr>
        <w:ilvl w:val="0"/>
        <w:numId w:val="8"/>
      </w:numPr>
      <w:ind w:firstLine="0"/>
      <w:contextualSpacing/>
    </w:pPr>
  </w:style>
  <w:style w:type="paragraph" w:styleId="46">
    <w:name w:val="List Number 4"/>
    <w:basedOn w:val="1"/>
    <w:semiHidden/>
    <w:unhideWhenUsed/>
    <w:uiPriority w:val="99"/>
    <w:pPr>
      <w:numPr>
        <w:ilvl w:val="0"/>
        <w:numId w:val="9"/>
      </w:numPr>
      <w:ind w:firstLine="0"/>
      <w:contextualSpacing/>
    </w:pPr>
  </w:style>
  <w:style w:type="paragraph" w:styleId="47">
    <w:name w:val="toc 8"/>
    <w:basedOn w:val="1"/>
    <w:next w:val="1"/>
    <w:semiHidden/>
    <w:unhideWhenUsed/>
    <w:uiPriority w:val="39"/>
    <w:pPr>
      <w:spacing w:after="100"/>
      <w:ind w:left="1680" w:firstLine="0"/>
    </w:pPr>
  </w:style>
  <w:style w:type="paragraph" w:styleId="48">
    <w:name w:val="index 3"/>
    <w:basedOn w:val="1"/>
    <w:next w:val="1"/>
    <w:semiHidden/>
    <w:unhideWhenUsed/>
    <w:qFormat/>
    <w:uiPriority w:val="99"/>
    <w:pPr>
      <w:spacing w:line="240" w:lineRule="auto"/>
      <w:ind w:left="720" w:firstLine="0"/>
    </w:pPr>
  </w:style>
  <w:style w:type="paragraph" w:styleId="49">
    <w:name w:val="Date"/>
    <w:basedOn w:val="1"/>
    <w:next w:val="1"/>
    <w:link w:val="121"/>
    <w:semiHidden/>
    <w:unhideWhenUsed/>
    <w:qFormat/>
    <w:uiPriority w:val="99"/>
    <w:pPr>
      <w:ind w:firstLine="0"/>
    </w:pPr>
  </w:style>
  <w:style w:type="paragraph" w:styleId="50">
    <w:name w:val="Body Text Indent 2"/>
    <w:basedOn w:val="1"/>
    <w:link w:val="116"/>
    <w:semiHidden/>
    <w:unhideWhenUsed/>
    <w:uiPriority w:val="99"/>
    <w:pPr>
      <w:spacing w:after="120"/>
      <w:ind w:left="360" w:firstLine="0"/>
    </w:pPr>
  </w:style>
  <w:style w:type="paragraph" w:styleId="51">
    <w:name w:val="endnote text"/>
    <w:basedOn w:val="1"/>
    <w:link w:val="147"/>
    <w:semiHidden/>
    <w:unhideWhenUsed/>
    <w:qFormat/>
    <w:uiPriority w:val="99"/>
    <w:pPr>
      <w:spacing w:line="240" w:lineRule="auto"/>
    </w:pPr>
    <w:rPr>
      <w:sz w:val="22"/>
      <w:szCs w:val="20"/>
    </w:rPr>
  </w:style>
  <w:style w:type="paragraph" w:styleId="52">
    <w:name w:val="List Continue 5"/>
    <w:basedOn w:val="1"/>
    <w:semiHidden/>
    <w:unhideWhenUsed/>
    <w:uiPriority w:val="99"/>
    <w:pPr>
      <w:spacing w:after="120"/>
      <w:ind w:left="1800" w:firstLine="0"/>
      <w:contextualSpacing/>
    </w:pPr>
  </w:style>
  <w:style w:type="paragraph" w:styleId="53">
    <w:name w:val="Balloon Text"/>
    <w:basedOn w:val="1"/>
    <w:link w:val="108"/>
    <w:semiHidden/>
    <w:unhideWhenUsed/>
    <w:uiPriority w:val="99"/>
    <w:pPr>
      <w:spacing w:line="240" w:lineRule="auto"/>
      <w:ind w:firstLine="0"/>
    </w:pPr>
    <w:rPr>
      <w:rFonts w:ascii="Segoe UI" w:hAnsi="Segoe UI" w:cs="Segoe UI"/>
      <w:sz w:val="22"/>
      <w:szCs w:val="18"/>
    </w:rPr>
  </w:style>
  <w:style w:type="paragraph" w:styleId="54">
    <w:name w:val="footer"/>
    <w:basedOn w:val="1"/>
    <w:link w:val="125"/>
    <w:unhideWhenUsed/>
    <w:uiPriority w:val="99"/>
    <w:pPr>
      <w:spacing w:line="240" w:lineRule="auto"/>
      <w:ind w:firstLine="0"/>
    </w:pPr>
  </w:style>
  <w:style w:type="paragraph" w:styleId="55">
    <w:name w:val="envelope return"/>
    <w:basedOn w:val="1"/>
    <w:semiHidden/>
    <w:unhideWhenUsed/>
    <w:qFormat/>
    <w:uiPriority w:val="99"/>
    <w:pPr>
      <w:spacing w:line="240" w:lineRule="auto"/>
      <w:ind w:firstLine="0"/>
    </w:pPr>
    <w:rPr>
      <w:rFonts w:asciiTheme="majorHAnsi" w:hAnsiTheme="majorHAnsi" w:eastAsiaTheme="majorEastAsia" w:cstheme="majorBidi"/>
      <w:sz w:val="22"/>
      <w:szCs w:val="20"/>
    </w:rPr>
  </w:style>
  <w:style w:type="paragraph" w:styleId="56">
    <w:name w:val="header"/>
    <w:basedOn w:val="1"/>
    <w:link w:val="99"/>
    <w:unhideWhenUsed/>
    <w:qFormat/>
    <w:uiPriority w:val="99"/>
    <w:pPr>
      <w:spacing w:line="240" w:lineRule="auto"/>
      <w:ind w:firstLine="0"/>
    </w:pPr>
  </w:style>
  <w:style w:type="paragraph" w:styleId="57">
    <w:name w:val="Signature"/>
    <w:basedOn w:val="1"/>
    <w:link w:val="143"/>
    <w:semiHidden/>
    <w:unhideWhenUsed/>
    <w:uiPriority w:val="99"/>
    <w:pPr>
      <w:spacing w:line="240" w:lineRule="auto"/>
      <w:ind w:left="4320" w:firstLine="0"/>
    </w:pPr>
  </w:style>
  <w:style w:type="paragraph" w:styleId="58">
    <w:name w:val="toc 1"/>
    <w:basedOn w:val="1"/>
    <w:next w:val="1"/>
    <w:unhideWhenUsed/>
    <w:uiPriority w:val="39"/>
  </w:style>
  <w:style w:type="paragraph" w:styleId="59">
    <w:name w:val="List Continue 4"/>
    <w:basedOn w:val="1"/>
    <w:semiHidden/>
    <w:unhideWhenUsed/>
    <w:uiPriority w:val="99"/>
    <w:pPr>
      <w:spacing w:after="120"/>
      <w:ind w:left="1440" w:firstLine="0"/>
      <w:contextualSpacing/>
    </w:pPr>
  </w:style>
  <w:style w:type="paragraph" w:styleId="60">
    <w:name w:val="toc 4"/>
    <w:basedOn w:val="1"/>
    <w:next w:val="1"/>
    <w:semiHidden/>
    <w:unhideWhenUsed/>
    <w:uiPriority w:val="39"/>
    <w:pPr>
      <w:spacing w:after="100"/>
      <w:ind w:left="720" w:firstLine="0"/>
    </w:pPr>
  </w:style>
  <w:style w:type="paragraph" w:styleId="61">
    <w:name w:val="index heading"/>
    <w:basedOn w:val="1"/>
    <w:next w:val="62"/>
    <w:semiHidden/>
    <w:unhideWhenUsed/>
    <w:uiPriority w:val="99"/>
    <w:pPr>
      <w:ind w:firstLine="0"/>
    </w:pPr>
    <w:rPr>
      <w:rFonts w:asciiTheme="majorHAnsi" w:hAnsiTheme="majorHAnsi" w:eastAsiaTheme="majorEastAsia" w:cstheme="majorBidi"/>
      <w:b/>
      <w:bCs/>
    </w:rPr>
  </w:style>
  <w:style w:type="paragraph" w:styleId="62">
    <w:name w:val="index 1"/>
    <w:basedOn w:val="1"/>
    <w:next w:val="1"/>
    <w:semiHidden/>
    <w:unhideWhenUsed/>
    <w:uiPriority w:val="99"/>
    <w:pPr>
      <w:spacing w:line="240" w:lineRule="auto"/>
      <w:ind w:left="240" w:firstLine="0"/>
    </w:pPr>
  </w:style>
  <w:style w:type="paragraph" w:styleId="63">
    <w:name w:val="List Number 5"/>
    <w:basedOn w:val="1"/>
    <w:semiHidden/>
    <w:unhideWhenUsed/>
    <w:uiPriority w:val="99"/>
    <w:pPr>
      <w:numPr>
        <w:ilvl w:val="0"/>
        <w:numId w:val="10"/>
      </w:numPr>
      <w:ind w:firstLine="0"/>
      <w:contextualSpacing/>
    </w:pPr>
  </w:style>
  <w:style w:type="paragraph" w:styleId="64">
    <w:name w:val="List"/>
    <w:basedOn w:val="1"/>
    <w:semiHidden/>
    <w:unhideWhenUsed/>
    <w:uiPriority w:val="99"/>
    <w:pPr>
      <w:ind w:left="360" w:firstLine="0"/>
      <w:contextualSpacing/>
    </w:pPr>
  </w:style>
  <w:style w:type="paragraph" w:styleId="65">
    <w:name w:val="footnote text"/>
    <w:basedOn w:val="1"/>
    <w:link w:val="124"/>
    <w:semiHidden/>
    <w:unhideWhenUsed/>
    <w:uiPriority w:val="99"/>
    <w:pPr>
      <w:spacing w:line="240" w:lineRule="auto"/>
    </w:pPr>
    <w:rPr>
      <w:sz w:val="22"/>
      <w:szCs w:val="20"/>
    </w:rPr>
  </w:style>
  <w:style w:type="paragraph" w:styleId="66">
    <w:name w:val="toc 6"/>
    <w:basedOn w:val="1"/>
    <w:next w:val="1"/>
    <w:semiHidden/>
    <w:unhideWhenUsed/>
    <w:uiPriority w:val="39"/>
    <w:pPr>
      <w:spacing w:after="100"/>
      <w:ind w:left="1200" w:firstLine="0"/>
    </w:pPr>
  </w:style>
  <w:style w:type="paragraph" w:styleId="67">
    <w:name w:val="List 5"/>
    <w:basedOn w:val="1"/>
    <w:semiHidden/>
    <w:unhideWhenUsed/>
    <w:uiPriority w:val="99"/>
    <w:pPr>
      <w:ind w:left="1800" w:firstLine="0"/>
      <w:contextualSpacing/>
    </w:pPr>
  </w:style>
  <w:style w:type="paragraph" w:styleId="68">
    <w:name w:val="Body Text Indent 3"/>
    <w:basedOn w:val="1"/>
    <w:link w:val="117"/>
    <w:semiHidden/>
    <w:unhideWhenUsed/>
    <w:uiPriority w:val="99"/>
    <w:pPr>
      <w:spacing w:after="120"/>
      <w:ind w:left="360" w:firstLine="0"/>
    </w:pPr>
    <w:rPr>
      <w:sz w:val="22"/>
      <w:szCs w:val="16"/>
    </w:rPr>
  </w:style>
  <w:style w:type="paragraph" w:styleId="69">
    <w:name w:val="index 7"/>
    <w:basedOn w:val="1"/>
    <w:next w:val="1"/>
    <w:semiHidden/>
    <w:unhideWhenUsed/>
    <w:uiPriority w:val="99"/>
    <w:pPr>
      <w:spacing w:line="240" w:lineRule="auto"/>
      <w:ind w:left="1680" w:firstLine="0"/>
    </w:pPr>
  </w:style>
  <w:style w:type="paragraph" w:styleId="70">
    <w:name w:val="index 9"/>
    <w:basedOn w:val="1"/>
    <w:next w:val="1"/>
    <w:semiHidden/>
    <w:unhideWhenUsed/>
    <w:uiPriority w:val="99"/>
    <w:pPr>
      <w:spacing w:line="240" w:lineRule="auto"/>
      <w:ind w:left="2160" w:firstLine="0"/>
    </w:pPr>
  </w:style>
  <w:style w:type="paragraph" w:styleId="71">
    <w:name w:val="table of figures"/>
    <w:basedOn w:val="1"/>
    <w:next w:val="1"/>
    <w:semiHidden/>
    <w:unhideWhenUsed/>
    <w:uiPriority w:val="99"/>
    <w:pPr>
      <w:ind w:firstLine="0"/>
    </w:pPr>
  </w:style>
  <w:style w:type="paragraph" w:styleId="72">
    <w:name w:val="toc 9"/>
    <w:basedOn w:val="1"/>
    <w:next w:val="1"/>
    <w:semiHidden/>
    <w:unhideWhenUsed/>
    <w:uiPriority w:val="39"/>
    <w:pPr>
      <w:spacing w:after="100"/>
      <w:ind w:left="1920" w:firstLine="0"/>
    </w:pPr>
  </w:style>
  <w:style w:type="paragraph" w:styleId="73">
    <w:name w:val="Body Text 2"/>
    <w:basedOn w:val="1"/>
    <w:link w:val="111"/>
    <w:semiHidden/>
    <w:unhideWhenUsed/>
    <w:uiPriority w:val="99"/>
    <w:pPr>
      <w:spacing w:after="120"/>
      <w:ind w:firstLine="0"/>
    </w:pPr>
  </w:style>
  <w:style w:type="paragraph" w:styleId="74">
    <w:name w:val="List 4"/>
    <w:basedOn w:val="1"/>
    <w:semiHidden/>
    <w:unhideWhenUsed/>
    <w:uiPriority w:val="99"/>
    <w:pPr>
      <w:ind w:left="1440" w:firstLine="0"/>
      <w:contextualSpacing/>
    </w:pPr>
  </w:style>
  <w:style w:type="paragraph" w:styleId="75">
    <w:name w:val="List Continue 2"/>
    <w:basedOn w:val="1"/>
    <w:semiHidden/>
    <w:unhideWhenUsed/>
    <w:uiPriority w:val="99"/>
    <w:pPr>
      <w:spacing w:after="120"/>
      <w:ind w:left="720" w:firstLine="0"/>
      <w:contextualSpacing/>
    </w:pPr>
  </w:style>
  <w:style w:type="paragraph" w:styleId="76">
    <w:name w:val="Message Header"/>
    <w:basedOn w:val="1"/>
    <w:link w:val="137"/>
    <w:semiHidden/>
    <w:unhideWhenUsed/>
    <w:uiPriority w:val="99"/>
    <w:pPr>
      <w:pBdr>
        <w:top w:val="single" w:color="auto" w:sz="6" w:space="1"/>
        <w:left w:val="single" w:color="auto" w:sz="6" w:space="1"/>
        <w:bottom w:val="single" w:color="auto" w:sz="6" w:space="1"/>
        <w:right w:val="single" w:color="auto" w:sz="6" w:space="1"/>
      </w:pBdr>
      <w:shd w:val="pct20" w:color="auto" w:fill="auto"/>
      <w:spacing w:line="240" w:lineRule="auto"/>
      <w:ind w:left="1080" w:firstLine="0"/>
    </w:pPr>
    <w:rPr>
      <w:rFonts w:asciiTheme="majorHAnsi" w:hAnsiTheme="majorHAnsi" w:eastAsiaTheme="majorEastAsia" w:cstheme="majorBidi"/>
    </w:rPr>
  </w:style>
  <w:style w:type="paragraph" w:styleId="77">
    <w:name w:val="HTML Preformatted"/>
    <w:basedOn w:val="1"/>
    <w:link w:val="132"/>
    <w:semiHidden/>
    <w:unhideWhenUsed/>
    <w:uiPriority w:val="99"/>
    <w:pPr>
      <w:spacing w:line="240" w:lineRule="auto"/>
      <w:ind w:firstLine="0"/>
    </w:pPr>
    <w:rPr>
      <w:rFonts w:ascii="Consolas" w:hAnsi="Consolas" w:cs="Consolas"/>
      <w:sz w:val="22"/>
      <w:szCs w:val="20"/>
    </w:rPr>
  </w:style>
  <w:style w:type="paragraph" w:styleId="78">
    <w:name w:val="Normal (Web)"/>
    <w:basedOn w:val="1"/>
    <w:semiHidden/>
    <w:unhideWhenUsed/>
    <w:uiPriority w:val="99"/>
    <w:pPr>
      <w:ind w:firstLine="0"/>
    </w:pPr>
    <w:rPr>
      <w:rFonts w:ascii="Times New Roman" w:hAnsi="Times New Roman" w:cs="Times New Roman"/>
    </w:rPr>
  </w:style>
  <w:style w:type="paragraph" w:styleId="79">
    <w:name w:val="List Continue 3"/>
    <w:basedOn w:val="1"/>
    <w:semiHidden/>
    <w:unhideWhenUsed/>
    <w:uiPriority w:val="99"/>
    <w:pPr>
      <w:spacing w:after="120"/>
      <w:ind w:left="1080" w:firstLine="0"/>
      <w:contextualSpacing/>
    </w:pPr>
  </w:style>
  <w:style w:type="paragraph" w:styleId="80">
    <w:name w:val="index 2"/>
    <w:basedOn w:val="1"/>
    <w:next w:val="1"/>
    <w:semiHidden/>
    <w:unhideWhenUsed/>
    <w:uiPriority w:val="99"/>
    <w:pPr>
      <w:spacing w:line="240" w:lineRule="auto"/>
      <w:ind w:left="480" w:firstLine="0"/>
    </w:pPr>
  </w:style>
  <w:style w:type="paragraph" w:styleId="81">
    <w:name w:val="Title"/>
    <w:basedOn w:val="1"/>
    <w:link w:val="104"/>
    <w:qFormat/>
    <w:uiPriority w:val="0"/>
    <w:pPr>
      <w:spacing w:before="2400"/>
      <w:ind w:firstLine="0"/>
      <w:contextualSpacing/>
      <w:jc w:val="center"/>
    </w:pPr>
    <w:rPr>
      <w:rFonts w:asciiTheme="majorHAnsi" w:hAnsiTheme="majorHAnsi" w:eastAsiaTheme="majorEastAsia" w:cstheme="majorBidi"/>
    </w:rPr>
  </w:style>
  <w:style w:type="paragraph" w:styleId="82">
    <w:name w:val="annotation subject"/>
    <w:basedOn w:val="28"/>
    <w:next w:val="28"/>
    <w:link w:val="120"/>
    <w:semiHidden/>
    <w:unhideWhenUsed/>
    <w:qFormat/>
    <w:uiPriority w:val="99"/>
    <w:rPr>
      <w:b/>
      <w:bCs/>
    </w:rPr>
  </w:style>
  <w:style w:type="paragraph" w:styleId="83">
    <w:name w:val="Body Text First Indent"/>
    <w:basedOn w:val="34"/>
    <w:link w:val="113"/>
    <w:semiHidden/>
    <w:unhideWhenUsed/>
    <w:uiPriority w:val="99"/>
    <w:pPr>
      <w:spacing w:after="0"/>
    </w:pPr>
  </w:style>
  <w:style w:type="paragraph" w:styleId="84">
    <w:name w:val="Body Text First Indent 2"/>
    <w:basedOn w:val="35"/>
    <w:link w:val="115"/>
    <w:semiHidden/>
    <w:unhideWhenUsed/>
    <w:uiPriority w:val="99"/>
    <w:pPr>
      <w:spacing w:after="0"/>
    </w:pPr>
  </w:style>
  <w:style w:type="table" w:styleId="86">
    <w:name w:val="Table Grid"/>
    <w:basedOn w:val="85"/>
    <w:uiPriority w:val="39"/>
    <w:pPr>
      <w:spacing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88">
    <w:name w:val="Strong"/>
    <w:basedOn w:val="87"/>
    <w:unhideWhenUsed/>
    <w:qFormat/>
    <w:uiPriority w:val="22"/>
    <w:rPr>
      <w:caps/>
    </w:rPr>
  </w:style>
  <w:style w:type="character" w:styleId="89">
    <w:name w:val="endnote reference"/>
    <w:basedOn w:val="87"/>
    <w:semiHidden/>
    <w:unhideWhenUsed/>
    <w:uiPriority w:val="99"/>
    <w:rPr>
      <w:vertAlign w:val="superscript"/>
    </w:rPr>
  </w:style>
  <w:style w:type="character" w:styleId="90">
    <w:name w:val="FollowedHyperlink"/>
    <w:basedOn w:val="87"/>
    <w:semiHidden/>
    <w:unhideWhenUsed/>
    <w:uiPriority w:val="99"/>
    <w:rPr>
      <w:color w:val="595959" w:themeColor="text1" w:themeTint="A6"/>
      <w:u w:val="single"/>
      <w14:textFill>
        <w14:solidFill>
          <w14:schemeClr w14:val="tx1">
            <w14:lumMod w14:val="65000"/>
            <w14:lumOff w14:val="35000"/>
          </w14:schemeClr>
        </w14:solidFill>
      </w14:textFill>
    </w:rPr>
  </w:style>
  <w:style w:type="character" w:styleId="91">
    <w:name w:val="Emphasis"/>
    <w:basedOn w:val="87"/>
    <w:unhideWhenUsed/>
    <w:qFormat/>
    <w:uiPriority w:val="4"/>
    <w:rPr>
      <w:i/>
      <w:iCs/>
    </w:rPr>
  </w:style>
  <w:style w:type="character" w:styleId="92">
    <w:name w:val="HTML Typewriter"/>
    <w:basedOn w:val="87"/>
    <w:semiHidden/>
    <w:unhideWhenUsed/>
    <w:uiPriority w:val="99"/>
    <w:rPr>
      <w:rFonts w:ascii="Consolas" w:hAnsi="Consolas"/>
      <w:sz w:val="22"/>
      <w:szCs w:val="20"/>
    </w:rPr>
  </w:style>
  <w:style w:type="character" w:styleId="93">
    <w:name w:val="Hyperlink"/>
    <w:basedOn w:val="87"/>
    <w:unhideWhenUsed/>
    <w:uiPriority w:val="99"/>
    <w:rPr>
      <w:color w:val="5F5F5F" w:themeColor="hyperlink"/>
      <w:u w:val="single"/>
      <w14:textFill>
        <w14:solidFill>
          <w14:schemeClr w14:val="hlink"/>
        </w14:solidFill>
      </w14:textFill>
    </w:rPr>
  </w:style>
  <w:style w:type="character" w:styleId="94">
    <w:name w:val="HTML Code"/>
    <w:basedOn w:val="87"/>
    <w:semiHidden/>
    <w:unhideWhenUsed/>
    <w:uiPriority w:val="99"/>
    <w:rPr>
      <w:rFonts w:ascii="Consolas" w:hAnsi="Consolas"/>
      <w:sz w:val="22"/>
      <w:szCs w:val="20"/>
    </w:rPr>
  </w:style>
  <w:style w:type="character" w:styleId="95">
    <w:name w:val="annotation reference"/>
    <w:basedOn w:val="87"/>
    <w:semiHidden/>
    <w:unhideWhenUsed/>
    <w:uiPriority w:val="99"/>
    <w:rPr>
      <w:sz w:val="22"/>
      <w:szCs w:val="16"/>
    </w:rPr>
  </w:style>
  <w:style w:type="character" w:styleId="96">
    <w:name w:val="footnote reference"/>
    <w:basedOn w:val="87"/>
    <w:unhideWhenUsed/>
    <w:qFormat/>
    <w:uiPriority w:val="5"/>
    <w:rPr>
      <w:vertAlign w:val="superscript"/>
    </w:rPr>
  </w:style>
  <w:style w:type="character" w:styleId="97">
    <w:name w:val="HTML Keyboard"/>
    <w:basedOn w:val="87"/>
    <w:semiHidden/>
    <w:unhideWhenUsed/>
    <w:uiPriority w:val="99"/>
    <w:rPr>
      <w:rFonts w:ascii="Consolas" w:hAnsi="Consolas"/>
      <w:sz w:val="22"/>
      <w:szCs w:val="20"/>
    </w:rPr>
  </w:style>
  <w:style w:type="paragraph" w:customStyle="1" w:styleId="98">
    <w:name w:val="Section Title"/>
    <w:basedOn w:val="1"/>
    <w:qFormat/>
    <w:uiPriority w:val="2"/>
    <w:pPr>
      <w:pageBreakBefore/>
      <w:ind w:firstLine="0"/>
      <w:jc w:val="center"/>
      <w:outlineLvl w:val="0"/>
    </w:pPr>
    <w:rPr>
      <w:rFonts w:asciiTheme="majorHAnsi" w:hAnsiTheme="majorHAnsi" w:eastAsiaTheme="majorEastAsia" w:cstheme="majorBidi"/>
    </w:rPr>
  </w:style>
  <w:style w:type="character" w:customStyle="1" w:styleId="99">
    <w:name w:val="页眉 字符"/>
    <w:basedOn w:val="87"/>
    <w:link w:val="56"/>
    <w:qFormat/>
    <w:uiPriority w:val="99"/>
    <w:rPr>
      <w:kern w:val="24"/>
    </w:rPr>
  </w:style>
  <w:style w:type="character" w:styleId="100">
    <w:name w:val="Placeholder Text"/>
    <w:basedOn w:val="87"/>
    <w:semiHidden/>
    <w:qFormat/>
    <w:uiPriority w:val="99"/>
    <w:rPr>
      <w:color w:val="404040" w:themeColor="text1" w:themeTint="BF"/>
      <w14:textFill>
        <w14:solidFill>
          <w14:schemeClr w14:val="tx1">
            <w14:lumMod w14:val="75000"/>
            <w14:lumOff w14:val="25000"/>
          </w14:schemeClr>
        </w14:solidFill>
      </w14:textFill>
    </w:rPr>
  </w:style>
  <w:style w:type="paragraph" w:styleId="101">
    <w:name w:val="No Spacing"/>
    <w:qFormat/>
    <w:uiPriority w:val="3"/>
    <w:pPr>
      <w:spacing w:line="480" w:lineRule="auto"/>
      <w:ind w:firstLine="0"/>
    </w:pPr>
    <w:rPr>
      <w:rFonts w:asciiTheme="minorHAnsi" w:hAnsiTheme="minorHAnsi" w:eastAsiaTheme="minorEastAsia" w:cstheme="minorBidi"/>
      <w:sz w:val="24"/>
      <w:szCs w:val="24"/>
      <w:lang w:val="en-US" w:eastAsia="ja-JP" w:bidi="ar-SA"/>
    </w:rPr>
  </w:style>
  <w:style w:type="character" w:customStyle="1" w:styleId="102">
    <w:name w:val="标题 1 字符"/>
    <w:basedOn w:val="87"/>
    <w:link w:val="3"/>
    <w:qFormat/>
    <w:uiPriority w:val="4"/>
    <w:rPr>
      <w:rFonts w:asciiTheme="majorHAnsi" w:hAnsiTheme="majorHAnsi" w:eastAsiaTheme="majorEastAsia" w:cstheme="majorBidi"/>
      <w:b/>
      <w:bCs/>
      <w:kern w:val="24"/>
    </w:rPr>
  </w:style>
  <w:style w:type="character" w:customStyle="1" w:styleId="103">
    <w:name w:val="标题 2 字符"/>
    <w:basedOn w:val="87"/>
    <w:link w:val="4"/>
    <w:qFormat/>
    <w:uiPriority w:val="4"/>
    <w:rPr>
      <w:rFonts w:asciiTheme="majorHAnsi" w:hAnsiTheme="majorHAnsi" w:eastAsiaTheme="majorEastAsia" w:cstheme="majorBidi"/>
      <w:b/>
      <w:bCs/>
      <w:kern w:val="24"/>
    </w:rPr>
  </w:style>
  <w:style w:type="character" w:customStyle="1" w:styleId="104">
    <w:name w:val="标题 字符"/>
    <w:basedOn w:val="87"/>
    <w:link w:val="81"/>
    <w:uiPriority w:val="0"/>
    <w:rPr>
      <w:rFonts w:asciiTheme="majorHAnsi" w:hAnsiTheme="majorHAnsi" w:eastAsiaTheme="majorEastAsia" w:cstheme="majorBidi"/>
      <w:kern w:val="24"/>
    </w:rPr>
  </w:style>
  <w:style w:type="character" w:customStyle="1" w:styleId="105">
    <w:name w:val="标题 3 字符"/>
    <w:basedOn w:val="87"/>
    <w:link w:val="5"/>
    <w:uiPriority w:val="4"/>
    <w:rPr>
      <w:rFonts w:asciiTheme="majorHAnsi" w:hAnsiTheme="majorHAnsi" w:eastAsiaTheme="majorEastAsia" w:cstheme="majorBidi"/>
      <w:b/>
      <w:bCs/>
      <w:kern w:val="24"/>
    </w:rPr>
  </w:style>
  <w:style w:type="character" w:customStyle="1" w:styleId="106">
    <w:name w:val="标题 4 字符"/>
    <w:basedOn w:val="87"/>
    <w:link w:val="6"/>
    <w:uiPriority w:val="4"/>
    <w:rPr>
      <w:rFonts w:asciiTheme="majorHAnsi" w:hAnsiTheme="majorHAnsi" w:eastAsiaTheme="majorEastAsia" w:cstheme="majorBidi"/>
      <w:b/>
      <w:bCs/>
      <w:i/>
      <w:iCs/>
      <w:kern w:val="24"/>
    </w:rPr>
  </w:style>
  <w:style w:type="character" w:customStyle="1" w:styleId="107">
    <w:name w:val="标题 5 字符"/>
    <w:basedOn w:val="87"/>
    <w:link w:val="7"/>
    <w:qFormat/>
    <w:uiPriority w:val="4"/>
    <w:rPr>
      <w:rFonts w:asciiTheme="majorHAnsi" w:hAnsiTheme="majorHAnsi" w:eastAsiaTheme="majorEastAsia" w:cstheme="majorBidi"/>
      <w:i/>
      <w:iCs/>
      <w:kern w:val="24"/>
    </w:rPr>
  </w:style>
  <w:style w:type="character" w:customStyle="1" w:styleId="108">
    <w:name w:val="批注框文本 字符"/>
    <w:basedOn w:val="87"/>
    <w:link w:val="53"/>
    <w:semiHidden/>
    <w:uiPriority w:val="99"/>
    <w:rPr>
      <w:rFonts w:ascii="Segoe UI" w:hAnsi="Segoe UI" w:cs="Segoe UI"/>
      <w:kern w:val="24"/>
      <w:sz w:val="22"/>
      <w:szCs w:val="18"/>
    </w:rPr>
  </w:style>
  <w:style w:type="paragraph" w:customStyle="1" w:styleId="109">
    <w:name w:val="Bibliography"/>
    <w:basedOn w:val="1"/>
    <w:next w:val="1"/>
    <w:unhideWhenUsed/>
    <w:qFormat/>
    <w:uiPriority w:val="37"/>
    <w:pPr>
      <w:ind w:left="720" w:hanging="720"/>
    </w:pPr>
  </w:style>
  <w:style w:type="character" w:customStyle="1" w:styleId="110">
    <w:name w:val="正文文本 字符"/>
    <w:basedOn w:val="87"/>
    <w:link w:val="34"/>
    <w:semiHidden/>
    <w:uiPriority w:val="99"/>
    <w:rPr>
      <w:kern w:val="24"/>
    </w:rPr>
  </w:style>
  <w:style w:type="character" w:customStyle="1" w:styleId="111">
    <w:name w:val="正文文本 2 字符"/>
    <w:basedOn w:val="87"/>
    <w:link w:val="73"/>
    <w:semiHidden/>
    <w:uiPriority w:val="99"/>
    <w:rPr>
      <w:kern w:val="24"/>
    </w:rPr>
  </w:style>
  <w:style w:type="character" w:customStyle="1" w:styleId="112">
    <w:name w:val="正文文本 3 字符"/>
    <w:basedOn w:val="87"/>
    <w:link w:val="31"/>
    <w:semiHidden/>
    <w:uiPriority w:val="99"/>
    <w:rPr>
      <w:kern w:val="24"/>
      <w:sz w:val="22"/>
      <w:szCs w:val="16"/>
    </w:rPr>
  </w:style>
  <w:style w:type="character" w:customStyle="1" w:styleId="113">
    <w:name w:val="正文文本首行缩进 字符"/>
    <w:basedOn w:val="110"/>
    <w:link w:val="83"/>
    <w:semiHidden/>
    <w:uiPriority w:val="99"/>
    <w:rPr>
      <w:kern w:val="24"/>
    </w:rPr>
  </w:style>
  <w:style w:type="character" w:customStyle="1" w:styleId="114">
    <w:name w:val="正文文本缩进 字符"/>
    <w:basedOn w:val="87"/>
    <w:link w:val="35"/>
    <w:semiHidden/>
    <w:uiPriority w:val="99"/>
    <w:rPr>
      <w:kern w:val="24"/>
    </w:rPr>
  </w:style>
  <w:style w:type="character" w:customStyle="1" w:styleId="115">
    <w:name w:val="正文文本首行缩进 2 字符"/>
    <w:basedOn w:val="114"/>
    <w:link w:val="84"/>
    <w:semiHidden/>
    <w:uiPriority w:val="99"/>
    <w:rPr>
      <w:kern w:val="24"/>
    </w:rPr>
  </w:style>
  <w:style w:type="character" w:customStyle="1" w:styleId="116">
    <w:name w:val="正文文本缩进 2 字符"/>
    <w:basedOn w:val="87"/>
    <w:link w:val="50"/>
    <w:semiHidden/>
    <w:uiPriority w:val="99"/>
    <w:rPr>
      <w:kern w:val="24"/>
    </w:rPr>
  </w:style>
  <w:style w:type="character" w:customStyle="1" w:styleId="117">
    <w:name w:val="正文文本缩进 3 字符"/>
    <w:basedOn w:val="87"/>
    <w:link w:val="68"/>
    <w:semiHidden/>
    <w:uiPriority w:val="99"/>
    <w:rPr>
      <w:kern w:val="24"/>
      <w:sz w:val="22"/>
      <w:szCs w:val="16"/>
    </w:rPr>
  </w:style>
  <w:style w:type="character" w:customStyle="1" w:styleId="118">
    <w:name w:val="结束语 字符"/>
    <w:basedOn w:val="87"/>
    <w:link w:val="32"/>
    <w:semiHidden/>
    <w:uiPriority w:val="99"/>
    <w:rPr>
      <w:kern w:val="24"/>
    </w:rPr>
  </w:style>
  <w:style w:type="character" w:customStyle="1" w:styleId="119">
    <w:name w:val="批注文字 字符"/>
    <w:basedOn w:val="87"/>
    <w:link w:val="28"/>
    <w:semiHidden/>
    <w:uiPriority w:val="99"/>
    <w:rPr>
      <w:kern w:val="24"/>
      <w:sz w:val="22"/>
      <w:szCs w:val="20"/>
    </w:rPr>
  </w:style>
  <w:style w:type="character" w:customStyle="1" w:styleId="120">
    <w:name w:val="批注主题 字符"/>
    <w:basedOn w:val="119"/>
    <w:link w:val="82"/>
    <w:semiHidden/>
    <w:uiPriority w:val="99"/>
    <w:rPr>
      <w:b/>
      <w:bCs/>
      <w:kern w:val="24"/>
      <w:sz w:val="20"/>
      <w:szCs w:val="20"/>
    </w:rPr>
  </w:style>
  <w:style w:type="character" w:customStyle="1" w:styleId="121">
    <w:name w:val="日期 字符"/>
    <w:basedOn w:val="87"/>
    <w:link w:val="49"/>
    <w:semiHidden/>
    <w:uiPriority w:val="99"/>
    <w:rPr>
      <w:kern w:val="24"/>
    </w:rPr>
  </w:style>
  <w:style w:type="character" w:customStyle="1" w:styleId="122">
    <w:name w:val="文档结构图 字符"/>
    <w:basedOn w:val="87"/>
    <w:link w:val="26"/>
    <w:semiHidden/>
    <w:uiPriority w:val="99"/>
    <w:rPr>
      <w:rFonts w:ascii="Segoe UI" w:hAnsi="Segoe UI" w:cs="Segoe UI"/>
      <w:kern w:val="24"/>
      <w:sz w:val="22"/>
      <w:szCs w:val="16"/>
    </w:rPr>
  </w:style>
  <w:style w:type="character" w:customStyle="1" w:styleId="123">
    <w:name w:val="电子邮件签名 字符"/>
    <w:basedOn w:val="87"/>
    <w:link w:val="19"/>
    <w:semiHidden/>
    <w:uiPriority w:val="99"/>
    <w:rPr>
      <w:kern w:val="24"/>
    </w:rPr>
  </w:style>
  <w:style w:type="character" w:customStyle="1" w:styleId="124">
    <w:name w:val="脚注文本 字符"/>
    <w:basedOn w:val="87"/>
    <w:link w:val="65"/>
    <w:semiHidden/>
    <w:uiPriority w:val="99"/>
    <w:rPr>
      <w:kern w:val="24"/>
      <w:sz w:val="22"/>
      <w:szCs w:val="20"/>
    </w:rPr>
  </w:style>
  <w:style w:type="character" w:customStyle="1" w:styleId="125">
    <w:name w:val="页脚 字符"/>
    <w:basedOn w:val="87"/>
    <w:link w:val="54"/>
    <w:qFormat/>
    <w:uiPriority w:val="99"/>
    <w:rPr>
      <w:kern w:val="24"/>
    </w:rPr>
  </w:style>
  <w:style w:type="table" w:customStyle="1" w:styleId="126">
    <w:name w:val="Grid Table Light"/>
    <w:basedOn w:val="85"/>
    <w:uiPriority w:val="40"/>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character" w:customStyle="1" w:styleId="127">
    <w:name w:val="标题 6 字符"/>
    <w:basedOn w:val="87"/>
    <w:link w:val="8"/>
    <w:semiHidden/>
    <w:qFormat/>
    <w:uiPriority w:val="9"/>
    <w:rPr>
      <w:rFonts w:asciiTheme="majorHAnsi" w:hAnsiTheme="majorHAnsi" w:eastAsiaTheme="majorEastAsia" w:cstheme="majorBidi"/>
      <w:color w:val="6F6F6F" w:themeColor="accent1" w:themeShade="80"/>
      <w:kern w:val="24"/>
    </w:rPr>
  </w:style>
  <w:style w:type="character" w:customStyle="1" w:styleId="128">
    <w:name w:val="标题 7 字符"/>
    <w:basedOn w:val="87"/>
    <w:link w:val="9"/>
    <w:semiHidden/>
    <w:uiPriority w:val="9"/>
    <w:rPr>
      <w:rFonts w:asciiTheme="majorHAnsi" w:hAnsiTheme="majorHAnsi" w:eastAsiaTheme="majorEastAsia" w:cstheme="majorBidi"/>
      <w:i/>
      <w:iCs/>
      <w:color w:val="6F6F6F" w:themeColor="accent1" w:themeShade="80"/>
      <w:kern w:val="24"/>
    </w:rPr>
  </w:style>
  <w:style w:type="character" w:customStyle="1" w:styleId="129">
    <w:name w:val="标题 8 字符"/>
    <w:basedOn w:val="87"/>
    <w:link w:val="10"/>
    <w:semiHidden/>
    <w:uiPriority w:val="9"/>
    <w:rPr>
      <w:rFonts w:asciiTheme="majorHAnsi" w:hAnsiTheme="majorHAnsi" w:eastAsiaTheme="majorEastAsia" w:cstheme="majorBidi"/>
      <w:color w:val="262626" w:themeColor="text1" w:themeTint="D9"/>
      <w:kern w:val="24"/>
      <w:sz w:val="22"/>
      <w:szCs w:val="21"/>
      <w14:textFill>
        <w14:solidFill>
          <w14:schemeClr w14:val="tx1">
            <w14:lumMod w14:val="85000"/>
            <w14:lumOff w14:val="15000"/>
          </w14:schemeClr>
        </w14:solidFill>
      </w14:textFill>
    </w:rPr>
  </w:style>
  <w:style w:type="character" w:customStyle="1" w:styleId="130">
    <w:name w:val="标题 9 字符"/>
    <w:basedOn w:val="87"/>
    <w:link w:val="11"/>
    <w:semiHidden/>
    <w:qFormat/>
    <w:uiPriority w:val="9"/>
    <w:rPr>
      <w:rFonts w:asciiTheme="majorHAnsi" w:hAnsiTheme="majorHAnsi" w:eastAsiaTheme="majorEastAsia" w:cstheme="majorBidi"/>
      <w:i/>
      <w:iCs/>
      <w:color w:val="262626" w:themeColor="text1" w:themeTint="D9"/>
      <w:kern w:val="24"/>
      <w:sz w:val="22"/>
      <w:szCs w:val="21"/>
      <w14:textFill>
        <w14:solidFill>
          <w14:schemeClr w14:val="tx1">
            <w14:lumMod w14:val="85000"/>
            <w14:lumOff w14:val="15000"/>
          </w14:schemeClr>
        </w14:solidFill>
      </w14:textFill>
    </w:rPr>
  </w:style>
  <w:style w:type="character" w:customStyle="1" w:styleId="131">
    <w:name w:val="HTML 地址 字符"/>
    <w:basedOn w:val="87"/>
    <w:link w:val="41"/>
    <w:semiHidden/>
    <w:uiPriority w:val="99"/>
    <w:rPr>
      <w:i/>
      <w:iCs/>
      <w:kern w:val="24"/>
    </w:rPr>
  </w:style>
  <w:style w:type="character" w:customStyle="1" w:styleId="132">
    <w:name w:val="HTML 预设格式 字符"/>
    <w:basedOn w:val="87"/>
    <w:link w:val="77"/>
    <w:semiHidden/>
    <w:qFormat/>
    <w:uiPriority w:val="99"/>
    <w:rPr>
      <w:rFonts w:ascii="Consolas" w:hAnsi="Consolas" w:cs="Consolas"/>
      <w:kern w:val="24"/>
      <w:sz w:val="22"/>
      <w:szCs w:val="20"/>
    </w:rPr>
  </w:style>
  <w:style w:type="paragraph" w:styleId="133">
    <w:name w:val="Intense Quote"/>
    <w:basedOn w:val="1"/>
    <w:next w:val="1"/>
    <w:link w:val="134"/>
    <w:semiHidden/>
    <w:unhideWhenUsed/>
    <w:qFormat/>
    <w:uiPriority w:val="30"/>
    <w:pPr>
      <w:pBdr>
        <w:top w:val="single" w:color="3F3F3F" w:themeColor="text1" w:themeTint="BF" w:sz="4" w:space="10"/>
        <w:bottom w:val="single" w:color="3F3F3F" w:themeColor="text1" w:themeTint="BF" w:sz="4" w:space="10"/>
      </w:pBdr>
      <w:spacing w:before="360" w:after="3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34">
    <w:name w:val="明显引用 字符"/>
    <w:basedOn w:val="87"/>
    <w:link w:val="133"/>
    <w:semiHidden/>
    <w:uiPriority w:val="30"/>
    <w:rPr>
      <w:i/>
      <w:iCs/>
      <w:color w:val="404040" w:themeColor="text1" w:themeTint="BF"/>
      <w:kern w:val="24"/>
      <w14:textFill>
        <w14:solidFill>
          <w14:schemeClr w14:val="tx1">
            <w14:lumMod w14:val="75000"/>
            <w14:lumOff w14:val="25000"/>
          </w14:schemeClr>
        </w14:solidFill>
      </w14:textFill>
    </w:rPr>
  </w:style>
  <w:style w:type="paragraph" w:styleId="135">
    <w:name w:val="List Paragraph"/>
    <w:basedOn w:val="1"/>
    <w:unhideWhenUsed/>
    <w:qFormat/>
    <w:uiPriority w:val="34"/>
    <w:pPr>
      <w:ind w:left="720" w:firstLine="0"/>
      <w:contextualSpacing/>
    </w:pPr>
  </w:style>
  <w:style w:type="character" w:customStyle="1" w:styleId="136">
    <w:name w:val="宏文本 字符"/>
    <w:basedOn w:val="87"/>
    <w:link w:val="2"/>
    <w:semiHidden/>
    <w:uiPriority w:val="99"/>
    <w:rPr>
      <w:rFonts w:ascii="Consolas" w:hAnsi="Consolas" w:cs="Consolas"/>
      <w:kern w:val="24"/>
      <w:sz w:val="22"/>
      <w:szCs w:val="20"/>
    </w:rPr>
  </w:style>
  <w:style w:type="character" w:customStyle="1" w:styleId="137">
    <w:name w:val="信息标题 字符"/>
    <w:basedOn w:val="87"/>
    <w:link w:val="76"/>
    <w:semiHidden/>
    <w:uiPriority w:val="99"/>
    <w:rPr>
      <w:rFonts w:asciiTheme="majorHAnsi" w:hAnsiTheme="majorHAnsi" w:eastAsiaTheme="majorEastAsia" w:cstheme="majorBidi"/>
      <w:kern w:val="24"/>
      <w:shd w:val="pct20" w:color="auto" w:fill="auto"/>
    </w:rPr>
  </w:style>
  <w:style w:type="character" w:customStyle="1" w:styleId="138">
    <w:name w:val="注释标题 字符"/>
    <w:basedOn w:val="87"/>
    <w:link w:val="16"/>
    <w:semiHidden/>
    <w:uiPriority w:val="99"/>
    <w:rPr>
      <w:kern w:val="24"/>
    </w:rPr>
  </w:style>
  <w:style w:type="character" w:customStyle="1" w:styleId="139">
    <w:name w:val="纯文本 字符"/>
    <w:basedOn w:val="87"/>
    <w:link w:val="44"/>
    <w:semiHidden/>
    <w:uiPriority w:val="99"/>
    <w:rPr>
      <w:rFonts w:ascii="Consolas" w:hAnsi="Consolas" w:cs="Consolas"/>
      <w:kern w:val="24"/>
      <w:sz w:val="22"/>
      <w:szCs w:val="21"/>
    </w:rPr>
  </w:style>
  <w:style w:type="paragraph" w:styleId="140">
    <w:name w:val="Quote"/>
    <w:basedOn w:val="1"/>
    <w:next w:val="1"/>
    <w:link w:val="141"/>
    <w:semiHidden/>
    <w:unhideWhenUsed/>
    <w:qFormat/>
    <w:uiPriority w:val="29"/>
    <w:pPr>
      <w:spacing w:before="200" w:after="160"/>
      <w:ind w:left="864" w:right="864" w:firstLine="0"/>
      <w:jc w:val="center"/>
    </w:pPr>
    <w:rPr>
      <w:i/>
      <w:iCs/>
      <w:color w:val="404040" w:themeColor="text1" w:themeTint="BF"/>
      <w14:textFill>
        <w14:solidFill>
          <w14:schemeClr w14:val="tx1">
            <w14:lumMod w14:val="75000"/>
            <w14:lumOff w14:val="25000"/>
          </w14:schemeClr>
        </w14:solidFill>
      </w14:textFill>
    </w:rPr>
  </w:style>
  <w:style w:type="character" w:customStyle="1" w:styleId="141">
    <w:name w:val="引用 字符"/>
    <w:basedOn w:val="87"/>
    <w:link w:val="140"/>
    <w:semiHidden/>
    <w:uiPriority w:val="29"/>
    <w:rPr>
      <w:i/>
      <w:iCs/>
      <w:color w:val="404040" w:themeColor="text1" w:themeTint="BF"/>
      <w:kern w:val="24"/>
      <w14:textFill>
        <w14:solidFill>
          <w14:schemeClr w14:val="tx1">
            <w14:lumMod w14:val="75000"/>
            <w14:lumOff w14:val="25000"/>
          </w14:schemeClr>
        </w14:solidFill>
      </w14:textFill>
    </w:rPr>
  </w:style>
  <w:style w:type="character" w:customStyle="1" w:styleId="142">
    <w:name w:val="称呼 字符"/>
    <w:basedOn w:val="87"/>
    <w:link w:val="30"/>
    <w:semiHidden/>
    <w:uiPriority w:val="99"/>
    <w:rPr>
      <w:kern w:val="24"/>
    </w:rPr>
  </w:style>
  <w:style w:type="character" w:customStyle="1" w:styleId="143">
    <w:name w:val="签名 字符"/>
    <w:basedOn w:val="87"/>
    <w:link w:val="57"/>
    <w:semiHidden/>
    <w:uiPriority w:val="99"/>
    <w:rPr>
      <w:kern w:val="24"/>
    </w:rPr>
  </w:style>
  <w:style w:type="table" w:customStyle="1" w:styleId="144">
    <w:name w:val="APA Report"/>
    <w:basedOn w:val="85"/>
    <w:uiPriority w:val="99"/>
    <w:pPr>
      <w:spacing w:line="240" w:lineRule="auto"/>
      <w:ind w:firstLine="0"/>
    </w:pPr>
    <w:tblPr>
      <w:tblBorders>
        <w:top w:val="single" w:color="auto" w:sz="12" w:space="0"/>
        <w:bottom w:val="single" w:color="auto" w:sz="12" w:space="0"/>
      </w:tblBorders>
    </w:tblPr>
    <w:tblStylePr w:type="firstRow">
      <w:rPr>
        <w:rFonts w:asciiTheme="majorHAnsi" w:hAnsiTheme="majorHAnsi"/>
      </w:rPr>
      <w:tblPr/>
      <w:trPr>
        <w:tblHeader/>
      </w:trPr>
      <w:tcPr>
        <w:tcBorders>
          <w:top w:val="single" w:color="auto" w:sz="12" w:space="0"/>
          <w:left w:val="nil"/>
          <w:bottom w:val="single" w:color="auto" w:sz="12" w:space="0"/>
          <w:right w:val="nil"/>
          <w:insideH w:val="nil"/>
          <w:insideV w:val="nil"/>
          <w:tl2br w:val="nil"/>
          <w:tr2bl w:val="nil"/>
        </w:tcBorders>
      </w:tcPr>
    </w:tblStylePr>
  </w:style>
  <w:style w:type="paragraph" w:customStyle="1" w:styleId="145">
    <w:name w:val="Table/Figure"/>
    <w:basedOn w:val="1"/>
    <w:qFormat/>
    <w:uiPriority w:val="39"/>
    <w:pPr>
      <w:spacing w:before="240"/>
      <w:ind w:firstLine="0"/>
      <w:contextualSpacing/>
    </w:pPr>
  </w:style>
  <w:style w:type="table" w:customStyle="1" w:styleId="146">
    <w:name w:val="Plain Table 1"/>
    <w:basedOn w:val="85"/>
    <w:uiPriority w:val="41"/>
    <w:pPr>
      <w:spacing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147">
    <w:name w:val="尾注文本 字符"/>
    <w:basedOn w:val="87"/>
    <w:link w:val="51"/>
    <w:semiHidden/>
    <w:uiPriority w:val="99"/>
    <w:rPr>
      <w:kern w:val="24"/>
      <w:sz w:val="22"/>
      <w:szCs w:val="20"/>
    </w:rPr>
  </w:style>
  <w:style w:type="character" w:customStyle="1" w:styleId="148">
    <w:name w:val="Intense Emphasis"/>
    <w:basedOn w:val="87"/>
    <w:semiHidden/>
    <w:unhideWhenUsed/>
    <w:qFormat/>
    <w:uiPriority w:val="21"/>
    <w:rPr>
      <w:i/>
      <w:iCs/>
      <w:color w:val="373737" w:themeColor="accent1" w:themeShade="40"/>
    </w:rPr>
  </w:style>
  <w:style w:type="character" w:customStyle="1" w:styleId="149">
    <w:name w:val="Intense Reference"/>
    <w:basedOn w:val="87"/>
    <w:semiHidden/>
    <w:unhideWhenUsed/>
    <w:qFormat/>
    <w:uiPriority w:val="32"/>
    <w:rPr>
      <w:b/>
      <w:bCs/>
      <w:smallCaps/>
      <w:color w:val="595959" w:themeColor="text1" w:themeTint="A6"/>
      <w:spacing w:val="5"/>
      <w14:textFill>
        <w14:solidFill>
          <w14:schemeClr w14:val="tx1">
            <w14:lumMod w14:val="65000"/>
            <w14:lumOff w14:val="35000"/>
          </w14:schemeClr>
        </w14:solidFill>
      </w14:textFill>
    </w:rPr>
  </w:style>
  <w:style w:type="paragraph" w:customStyle="1" w:styleId="150">
    <w:name w:val="TOC Heading"/>
    <w:basedOn w:val="3"/>
    <w:next w:val="1"/>
    <w:unhideWhenUsed/>
    <w:qFormat/>
    <w:uiPriority w:val="39"/>
    <w:pPr>
      <w:spacing w:before="240"/>
      <w:ind w:firstLine="720"/>
      <w:jc w:val="left"/>
      <w:outlineLvl w:val="9"/>
    </w:pPr>
    <w:rPr>
      <w:bCs w:val="0"/>
      <w:szCs w:val="32"/>
    </w:rPr>
  </w:style>
  <w:style w:type="paragraph" w:customStyle="1" w:styleId="151">
    <w:name w:val="Title 2"/>
    <w:basedOn w:val="1"/>
    <w:qFormat/>
    <w:uiPriority w:val="1"/>
    <w:pPr>
      <w:ind w:firstLine="0"/>
      <w:jc w:val="center"/>
    </w:pPr>
  </w:style>
  <w:style w:type="character" w:customStyle="1" w:styleId="152">
    <w:name w:val="Unresolved Mention"/>
    <w:basedOn w:val="87"/>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header" Target="header4.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2.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2C3BEAF3-48EE-4331-897B-6A786FBCF275}">
  <ds:schemaRefs/>
</ds:datastoreItem>
</file>

<file path=customXml/itemProps2.xml><?xml version="1.0" encoding="utf-8"?>
<ds:datastoreItem xmlns:ds="http://schemas.openxmlformats.org/officeDocument/2006/customXml" ds:itemID="{55AF091B-3C7A-41E3-B477-F2FDAA23CFDA}">
  <ds:schemaRefs/>
</ds:datastoreItem>
</file>

<file path=docProps/app.xml><?xml version="1.0" encoding="utf-8"?>
<Properties xmlns="http://schemas.openxmlformats.org/officeDocument/2006/extended-properties" xmlns:vt="http://schemas.openxmlformats.org/officeDocument/2006/docPropsVTypes">
  <Template>Normal</Template>
  <Pages>12</Pages>
  <Words>3504</Words>
  <Characters>21143</Characters>
  <Lines>178</Lines>
  <Paragraphs>50</Paragraphs>
  <TotalTime>0</TotalTime>
  <ScaleCrop>false</ScaleCrop>
  <LinksUpToDate>false</LinksUpToDate>
  <CharactersWithSpaces>25925</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2023-03-25T13:43:00Z</dcterms:created>
  <dcterms:modified xsi:type="dcterms:W3CDTF">2023-03-25T15:29:37Z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4F9007FE1A514B5593145EAF2589BC57</vt:lpwstr>
  </property>
</Properties>
</file>