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jc w:val="center"/>
        <w:rPr>
          <w:rFonts w:ascii="Arial" w:hAnsi="Arial" w:cs="Arial"/>
          <w:sz w:val="22"/>
          <w:szCs w:val="22"/>
        </w:rPr>
      </w:pPr>
      <w:r>
        <w:rPr/>
      </w:r>
    </w:p>
    <w:p>
      <w:pPr>
        <w:pStyle w:val="Normal"/>
        <w:spacing w:lineRule="auto" w:line="360"/>
        <w:jc w:val="center"/>
        <w:rPr>
          <w:rFonts w:ascii="Arial" w:hAnsi="Arial" w:cs="Arial"/>
          <w:sz w:val="22"/>
          <w:szCs w:val="22"/>
        </w:rPr>
      </w:pPr>
      <w:r>
        <w:rPr/>
      </w:r>
    </w:p>
    <w:p>
      <w:pPr>
        <w:pStyle w:val="Normal"/>
        <w:spacing w:lineRule="auto" w:line="360"/>
        <w:jc w:val="center"/>
        <w:rPr>
          <w:rFonts w:ascii="Arial" w:hAnsi="Arial" w:cs="Arial"/>
          <w:sz w:val="22"/>
          <w:szCs w:val="22"/>
        </w:rPr>
      </w:pPr>
      <w:r>
        <w:rPr/>
      </w:r>
    </w:p>
    <w:p>
      <w:pPr>
        <w:pStyle w:val="Normal"/>
        <w:spacing w:lineRule="auto" w:line="360"/>
        <w:jc w:val="center"/>
        <w:rPr>
          <w:rFonts w:ascii="Arial" w:hAnsi="Arial" w:cs="Arial"/>
          <w:sz w:val="22"/>
          <w:szCs w:val="22"/>
        </w:rPr>
      </w:pPr>
      <w:r>
        <w:rPr/>
      </w:r>
    </w:p>
    <w:p>
      <w:pPr>
        <w:pStyle w:val="Normal"/>
        <w:spacing w:lineRule="auto" w:line="360"/>
        <w:jc w:val="center"/>
        <w:rPr>
          <w:rFonts w:ascii="Arial" w:hAnsi="Arial" w:cs="Arial"/>
          <w:sz w:val="22"/>
          <w:szCs w:val="22"/>
        </w:rPr>
      </w:pPr>
      <w:r>
        <w:rPr/>
      </w:r>
    </w:p>
    <w:p>
      <w:pPr>
        <w:pStyle w:val="Normal"/>
        <w:spacing w:lineRule="auto" w:line="360"/>
        <w:jc w:val="center"/>
        <w:rPr>
          <w:rFonts w:ascii="Arial" w:hAnsi="Arial" w:cs="Arial"/>
          <w:sz w:val="22"/>
          <w:szCs w:val="22"/>
        </w:rPr>
      </w:pPr>
      <w:r>
        <w:rPr/>
      </w:r>
    </w:p>
    <w:p>
      <w:pPr>
        <w:pStyle w:val="Normal"/>
        <w:spacing w:lineRule="auto" w:line="360"/>
        <w:jc w:val="center"/>
        <w:rPr>
          <w:rFonts w:ascii="Arial" w:hAnsi="Arial" w:cs="Arial"/>
          <w:sz w:val="22"/>
          <w:szCs w:val="22"/>
        </w:rPr>
      </w:pPr>
      <w:r>
        <w:rPr/>
      </w:r>
    </w:p>
    <w:p>
      <w:pPr>
        <w:pStyle w:val="Normal"/>
        <w:spacing w:lineRule="auto" w:line="360"/>
        <w:jc w:val="center"/>
        <w:rPr>
          <w:rFonts w:ascii="Arial" w:hAnsi="Arial"/>
          <w:sz w:val="22"/>
          <w:szCs w:val="22"/>
        </w:rPr>
      </w:pPr>
      <w:r>
        <w:rPr>
          <w:rFonts w:ascii="Arial" w:hAnsi="Arial"/>
          <w:sz w:val="22"/>
          <w:szCs w:val="22"/>
        </w:rPr>
      </w:r>
    </w:p>
    <w:p>
      <w:pPr>
        <w:pStyle w:val="Normal"/>
        <w:spacing w:lineRule="auto" w:line="360"/>
        <w:jc w:val="center"/>
        <w:rPr>
          <w:rFonts w:ascii="Arial" w:hAnsi="Arial"/>
          <w:sz w:val="22"/>
          <w:szCs w:val="22"/>
        </w:rPr>
      </w:pPr>
      <w:r>
        <w:rPr>
          <w:rFonts w:ascii="Arial" w:hAnsi="Arial"/>
          <w:sz w:val="22"/>
          <w:szCs w:val="22"/>
        </w:rPr>
        <w:t>Bsc Health and Social Care</w:t>
      </w:r>
    </w:p>
    <w:p>
      <w:pPr>
        <w:pStyle w:val="Normal"/>
        <w:spacing w:lineRule="auto" w:line="360"/>
        <w:jc w:val="center"/>
        <w:rPr>
          <w:rFonts w:ascii="Arial" w:hAnsi="Arial"/>
          <w:sz w:val="22"/>
          <w:szCs w:val="22"/>
        </w:rPr>
      </w:pPr>
      <w:r>
        <w:rPr>
          <w:rFonts w:ascii="Arial" w:hAnsi="Arial"/>
          <w:sz w:val="22"/>
          <w:szCs w:val="22"/>
        </w:rPr>
        <w:t xml:space="preserve">Changemakers: Building your Personal Brand for Sustainable Employment </w:t>
      </w:r>
    </w:p>
    <w:p>
      <w:pPr>
        <w:pStyle w:val="Normal"/>
        <w:spacing w:lineRule="auto" w:line="360"/>
        <w:jc w:val="center"/>
        <w:rPr>
          <w:rFonts w:ascii="Arial" w:hAnsi="Arial"/>
          <w:sz w:val="22"/>
          <w:szCs w:val="22"/>
        </w:rPr>
      </w:pPr>
      <w:r>
        <w:rPr>
          <w:rFonts w:ascii="Arial" w:hAnsi="Arial"/>
          <w:sz w:val="22"/>
          <w:szCs w:val="22"/>
        </w:rPr>
        <w:t>BMHP5015</w:t>
      </w:r>
    </w:p>
    <w:p>
      <w:pPr>
        <w:pStyle w:val="Normal"/>
        <w:spacing w:lineRule="auto" w:line="360"/>
        <w:jc w:val="center"/>
        <w:rPr>
          <w:rFonts w:ascii="Arial" w:hAnsi="Arial"/>
          <w:sz w:val="22"/>
          <w:szCs w:val="22"/>
        </w:rPr>
      </w:pPr>
      <w:r>
        <w:rPr>
          <w:rFonts w:ascii="Arial" w:hAnsi="Arial"/>
          <w:sz w:val="22"/>
          <w:szCs w:val="22"/>
        </w:rPr>
        <w:t xml:space="preserve">Humaria Alam </w:t>
      </w:r>
    </w:p>
    <w:p>
      <w:pPr>
        <w:pStyle w:val="Normal"/>
        <w:spacing w:lineRule="auto" w:line="360"/>
        <w:jc w:val="center"/>
        <w:rPr>
          <w:rFonts w:ascii="Arial" w:hAnsi="Arial"/>
          <w:sz w:val="22"/>
          <w:szCs w:val="22"/>
        </w:rPr>
      </w:pPr>
      <w:r>
        <w:rPr>
          <w:rFonts w:ascii="Arial" w:hAnsi="Arial"/>
          <w:sz w:val="22"/>
          <w:szCs w:val="22"/>
        </w:rPr>
        <w:t>2323463</w:t>
      </w:r>
    </w:p>
    <w:p>
      <w:pPr>
        <w:pStyle w:val="Normal"/>
        <w:spacing w:lineRule="auto" w:line="360"/>
        <w:jc w:val="center"/>
        <w:rPr>
          <w:rFonts w:ascii="Arial" w:hAnsi="Arial"/>
          <w:sz w:val="22"/>
          <w:szCs w:val="22"/>
        </w:rPr>
      </w:pPr>
      <w:r>
        <w:rPr>
          <w:rFonts w:ascii="Arial" w:hAnsi="Arial"/>
          <w:sz w:val="22"/>
          <w:szCs w:val="22"/>
        </w:rPr>
        <w:t>Lecturer: Olufemi Oluranti</w:t>
      </w:r>
    </w:p>
    <w:p>
      <w:pPr>
        <w:pStyle w:val="Normal"/>
        <w:spacing w:lineRule="auto" w:line="360"/>
        <w:jc w:val="center"/>
        <w:rPr>
          <w:rFonts w:ascii="Arial" w:hAnsi="Arial" w:eastAsia="Arial Nova" w:cs="Arial"/>
          <w:sz w:val="22"/>
          <w:szCs w:val="22"/>
        </w:rPr>
      </w:pPr>
      <w:r>
        <w:rPr>
          <w:rFonts w:eastAsia="Arial Nova" w:cs="Arial" w:ascii="Arial" w:hAnsi="Arial"/>
          <w:sz w:val="22"/>
          <w:szCs w:val="22"/>
        </w:rPr>
      </w:r>
    </w:p>
    <w:p>
      <w:pPr>
        <w:pStyle w:val="Normal"/>
        <w:spacing w:lineRule="auto" w:line="360"/>
        <w:jc w:val="center"/>
        <w:rPr>
          <w:rFonts w:ascii="Arial" w:hAnsi="Arial" w:eastAsia="Arial Nova" w:cs="Arial"/>
          <w:sz w:val="22"/>
          <w:szCs w:val="22"/>
        </w:rPr>
      </w:pPr>
      <w:r>
        <w:rPr>
          <w:rFonts w:eastAsia="Arial Nova" w:cs="Arial" w:ascii="Arial" w:hAnsi="Arial"/>
          <w:sz w:val="22"/>
          <w:szCs w:val="22"/>
        </w:rPr>
      </w:r>
    </w:p>
    <w:p>
      <w:pPr>
        <w:pStyle w:val="Normal"/>
        <w:spacing w:lineRule="auto" w:line="360"/>
        <w:rPr>
          <w:rFonts w:ascii="Arial" w:hAnsi="Arial" w:eastAsia="Arial Nova" w:cs="Arial"/>
          <w:sz w:val="22"/>
          <w:szCs w:val="22"/>
        </w:rPr>
      </w:pPr>
      <w:r>
        <w:rPr>
          <w:rFonts w:eastAsia="Arial Nova" w:cs="Arial" w:ascii="Arial" w:hAnsi="Arial"/>
          <w:sz w:val="22"/>
          <w:szCs w:val="22"/>
        </w:rPr>
      </w:r>
    </w:p>
    <w:p>
      <w:pPr>
        <w:pStyle w:val="Normal"/>
        <w:spacing w:lineRule="auto" w:line="360"/>
        <w:rPr>
          <w:rFonts w:ascii="Arial" w:hAnsi="Arial" w:eastAsia="Arial Nova" w:cs="Arial"/>
          <w:sz w:val="22"/>
          <w:szCs w:val="22"/>
        </w:rPr>
      </w:pPr>
      <w:r>
        <w:rPr>
          <w:rFonts w:eastAsia="Arial Nova" w:cs="Arial" w:ascii="Arial" w:hAnsi="Arial"/>
          <w:sz w:val="22"/>
          <w:szCs w:val="22"/>
        </w:rPr>
      </w:r>
      <w:r>
        <w:br w:type="page"/>
      </w:r>
    </w:p>
    <w:p>
      <w:pPr>
        <w:pStyle w:val="Normal"/>
        <w:spacing w:lineRule="auto" w:line="360"/>
        <w:rPr>
          <w:rFonts w:ascii="Arial" w:hAnsi="Arial" w:eastAsia="Arial Nova" w:cs="Arial"/>
          <w:b/>
          <w:bCs/>
          <w:sz w:val="22"/>
          <w:szCs w:val="22"/>
        </w:rPr>
      </w:pPr>
      <w:r>
        <w:rPr>
          <w:rFonts w:eastAsia="Arial Nova" w:cs="Arial" w:ascii="Arial" w:hAnsi="Arial"/>
          <w:b/>
          <w:bCs/>
          <w:sz w:val="22"/>
          <w:szCs w:val="22"/>
        </w:rPr>
        <w:t>Task 1 – Personal Brand</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t>Personal branding is an idea that connotes the way people portray their talents, principles and professionalism to other people, especially at their workplace. A good personal brand within the context of health and social care can be shown with the help of professionalism, caring, and trust. These attributes are supreme when it comes to the patient, relatives and healthcare providers. Developing a clear personal brand gives candidates a chance to present themselves to a prospective employer with their best qualities and values (Rampersad, 2008). Empathy, teamwork and commitment to customer provisioning of high-quality care are some of the aspects that make up my personal brand. Communication skills are extremely important in the healthcare environment since the experts will be required to work with patients who may have different backgrounds and make sure that the practice will be undertaken in a respectful and affirmative manner (Bailey, 2003).To build my personal brand even more, I would take part in self-improvement of my professional skills, studying and practising. The experience with patient-centred care and communication, as well as protection, will help me improve my skills in offering effective services in a healthcare environment. Additionally, the Internet and communication with the health care experts can be beneficial in the professional development and open new opportunities (</w:t>
      </w:r>
      <w:r>
        <w:rPr>
          <w:rFonts w:cs="Arial" w:ascii="Arial" w:hAnsi="Arial"/>
          <w:sz w:val="22"/>
          <w:szCs w:val="22"/>
        </w:rPr>
        <w:t>Gorbatov et al., 2018</w:t>
      </w:r>
      <w:r>
        <w:rPr>
          <w:rFonts w:eastAsia="Arial Nova" w:cs="Arial" w:ascii="Arial" w:hAnsi="Arial"/>
          <w:color w:val="000000" w:themeColor="text1"/>
          <w:sz w:val="22"/>
          <w:szCs w:val="22"/>
        </w:rPr>
        <w:t>). Altogether, the active development of a powerful personal brand will confirm my intentions in the professional path of a health and social care worker and assist my future life ambitions.</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r>
        <w:br w:type="page"/>
      </w:r>
    </w:p>
    <w:p>
      <w:pPr>
        <w:pStyle w:val="Normal"/>
        <w:spacing w:lineRule="auto" w:line="36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Task 2 - Network Map and Rationale</w:t>
      </w:r>
    </w:p>
    <w:p>
      <w:pPr>
        <w:pStyle w:val="Normal"/>
        <w:spacing w:lineRule="auto" w:line="360"/>
        <w:rPr>
          <w:rFonts w:ascii="Arial" w:hAnsi="Arial" w:eastAsia="Arial Nova" w:cs="Arial"/>
          <w:color w:val="000000" w:themeColor="text1"/>
          <w:sz w:val="22"/>
          <w:szCs w:val="22"/>
          <w:lang w:val="en-GB"/>
        </w:rPr>
      </w:pPr>
      <w:r>
        <w:rPr>
          <w:rFonts w:eastAsia="Arial Nova" w:cs="Arial" w:ascii="Arial" w:hAnsi="Arial"/>
          <w:color w:val="000000" w:themeColor="text1"/>
          <w:sz w:val="22"/>
          <w:szCs w:val="22"/>
          <w:lang w:val="en-GB"/>
        </w:rPr>
        <w:t>A professional network may be defined as a net of relations and ties helping an individual and a profession grow. Through networking, one can share information, tips and opportunities with others in a field of choice they would prefer to work (Forret and Dougherty, 2001). It is possible to identify four major spheres of my network, i.e., career connections, support networks, social relationships and community involvement. My career network consists of individuals who are present in the healthcare sector as lecturers, students, and practitioners. The first is the academic guidance and career counselling of lecturers, and the second is the opportunity to collaborate and have a collective learning experience with colleagues. The family and close friends will form my support system as they will offer emotional and motivation support to me both in my studies and in career building. Emotional support is a significant factor that may be used to make individuals stress-resistant and handle difficult periods. My social network comprises friends and peers who help in my personal development, such as confidence and communication skills. Lastly, my community network can be volunteering organisations or medical care services, where one can get practical experience and acquire professional competencies. Studies have shown that professional networks hold monumental prospects of determining career prospects in that most opportunities and jobs are obtained through social networks and not through job applications (Granovetter, 1973). Thus, the process of my career development in the health and social care sector will be associated with the strengthening of my working connections.</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r>
        <w:br w:type="page"/>
      </w:r>
    </w:p>
    <w:p>
      <w:pPr>
        <w:pStyle w:val="Normal"/>
        <w:spacing w:lineRule="auto" w:line="36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Task 3- Blog</w:t>
      </w:r>
    </w:p>
    <w:p>
      <w:pPr>
        <w:pStyle w:val="Heading3"/>
        <w:spacing w:lineRule="auto" w:line="360"/>
        <w:rPr>
          <w:rFonts w:ascii="Arial" w:hAnsi="Arial" w:cs="Arial"/>
          <w:b/>
          <w:bCs/>
          <w:color w:val="auto"/>
          <w:sz w:val="22"/>
          <w:szCs w:val="22"/>
        </w:rPr>
      </w:pPr>
      <w:r>
        <w:rPr>
          <w:rFonts w:cs="Arial" w:ascii="Arial" w:hAnsi="Arial"/>
          <w:b/>
          <w:bCs/>
          <w:color w:val="auto"/>
          <w:sz w:val="22"/>
          <w:szCs w:val="22"/>
        </w:rPr>
        <w:t>The Growing Importance of Mental Health Support in the UK Healthcare System</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t>Mental health has turned out to be one of the most serious issues affecting the health of communities in the United Kingdom. More and more people develop mental problems like stress, anxiety and depression. The psychological issues can also have an impact on the health of a person, their relationships and performance in life (</w:t>
      </w:r>
      <w:r>
        <w:rPr>
          <w:rFonts w:cs="Arial" w:ascii="Arial" w:hAnsi="Arial"/>
          <w:sz w:val="22"/>
          <w:szCs w:val="22"/>
        </w:rPr>
        <w:t>Magomedova and Fatima, 2025</w:t>
      </w:r>
      <w:r>
        <w:rPr>
          <w:rFonts w:eastAsia="Arial Nova" w:cs="Arial" w:ascii="Arial" w:hAnsi="Arial"/>
          <w:color w:val="000000" w:themeColor="text1"/>
          <w:sz w:val="22"/>
          <w:szCs w:val="22"/>
        </w:rPr>
        <w:t>). Academic pressure, financial problems and social change make the young adults and students extremely susceptible to mental issues. The factors might be increased without the support, leading to the rise of the extent of stress and mental health harm. The NHS has been undertaking certain efforts towards enhancing access to mental health services. They are local mental health and psychological treatment and online service units, where one can seek assistance more conveniently. Mental health care that takes the form of cognitive behavioural therapy for individuals with common mental conditions, which NHS Talking Therapies provides, is one such treatment. These gains notwithstanding, the obstacles still exist. Access to the treatment can be hindered by long waiting times since the resources are inadequate. According to them, the community and individuals affecting a mental illness can be minimised through increasing the mental health intervention at the first level and raising awareness of mental health services (</w:t>
      </w:r>
      <w:r>
        <w:rPr>
          <w:rFonts w:cs="Arial" w:ascii="Arial" w:hAnsi="Arial"/>
          <w:sz w:val="22"/>
          <w:szCs w:val="22"/>
        </w:rPr>
        <w:t>Castillo, 2021</w:t>
      </w:r>
      <w:r>
        <w:rPr>
          <w:rFonts w:eastAsia="Arial Nova" w:cs="Arial" w:ascii="Arial" w:hAnsi="Arial"/>
          <w:color w:val="000000" w:themeColor="text1"/>
          <w:sz w:val="22"/>
          <w:szCs w:val="22"/>
        </w:rPr>
        <w:t>). The healthcare professionals also provide mental well-being. Philosophically, people with mental health issues can be less stigmatised. In this regard, the professionals can lessen stigma and mental health stigma by making sure that distress is detected early enough and proper support is accorded to the affected individuals. Conclusively, the healthcare system in the UK ought to be more concerned with mental health support. Sensitisation must be initiated, there must be an early intervention, and provision of services that will enable people to get the care they require to sustain their wellbeing.</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r>
        <w:br w:type="page"/>
      </w:r>
    </w:p>
    <w:p>
      <w:pPr>
        <w:pStyle w:val="Normal"/>
        <w:spacing w:lineRule="auto" w:line="360"/>
        <w:rPr>
          <w:b/>
          <w:bCs/>
        </w:rPr>
      </w:pPr>
      <w:r>
        <w:rPr>
          <w:rFonts w:eastAsia="Arial Nova" w:cs="Arial" w:ascii="Arial" w:hAnsi="Arial"/>
          <w:b/>
          <w:bCs/>
          <w:color w:val="000000" w:themeColor="text1"/>
          <w:sz w:val="22"/>
          <w:szCs w:val="22"/>
        </w:rPr>
        <w:t>Task 4- NHS Equality, Diversity and Inclusion Quiz (250 words equivalent)</w:t>
      </w:r>
    </w:p>
    <w:p>
      <w:pPr>
        <w:pStyle w:val="ListParagraph"/>
        <w:numPr>
          <w:ilvl w:val="0"/>
          <w:numId w:val="1"/>
        </w:numPr>
        <w:spacing w:lineRule="auto" w:line="360" w:beforeAutospacing="1" w:after="0"/>
        <w:contextualSpacing/>
        <w:rPr>
          <w:rFonts w:ascii="Arial" w:hAnsi="Arial" w:eastAsia="Times New Roman" w:cs="Arial"/>
          <w:sz w:val="22"/>
          <w:szCs w:val="22"/>
        </w:rPr>
      </w:pPr>
      <w:r>
        <w:rPr>
          <w:rFonts w:eastAsia="Times New Roman" w:cs="Arial" w:ascii="Arial" w:hAnsi="Arial"/>
          <w:b/>
          <w:bCs/>
          <w:sz w:val="22"/>
          <w:szCs w:val="22"/>
        </w:rPr>
        <w:t>What is the primary goal of the NHS Equality, Diversity, and Inclusion Improvement Plan?</w:t>
      </w:r>
      <w:r>
        <w:rPr>
          <w:rFonts w:eastAsia="Times New Roman" w:cs="Arial" w:ascii="Arial" w:hAnsi="Arial"/>
          <w:sz w:val="22"/>
          <w:szCs w:val="22"/>
        </w:rPr>
        <w:br/>
        <w:t>The issue of interest is to make the working environment inclusive so that it becomes friendly and not discriminating in any sense to ensure that no staff member in the NHS is subjected to different treatment or even to different opportunities and chances based on their background.</w:t>
      </w:r>
    </w:p>
    <w:p>
      <w:pPr>
        <w:pStyle w:val="ListParagraph"/>
        <w:numPr>
          <w:ilvl w:val="0"/>
          <w:numId w:val="1"/>
        </w:numPr>
        <w:spacing w:lineRule="auto" w:line="360" w:before="0" w:after="0"/>
        <w:contextualSpacing/>
        <w:rPr>
          <w:rFonts w:ascii="Arial" w:hAnsi="Arial" w:eastAsia="Times New Roman" w:cs="Arial"/>
          <w:sz w:val="22"/>
          <w:szCs w:val="22"/>
        </w:rPr>
      </w:pPr>
      <w:r>
        <w:rPr>
          <w:rFonts w:eastAsia="Times New Roman" w:cs="Arial" w:ascii="Arial" w:hAnsi="Arial"/>
          <w:b/>
          <w:bCs/>
          <w:sz w:val="22"/>
          <w:szCs w:val="22"/>
        </w:rPr>
        <w:t>How does the NHS EDI Improvement Plan propose to tackle the gender pay gap?</w:t>
      </w:r>
      <w:r>
        <w:rPr>
          <w:rFonts w:eastAsia="Times New Roman" w:cs="Arial" w:ascii="Arial" w:hAnsi="Arial"/>
          <w:sz w:val="22"/>
          <w:szCs w:val="22"/>
        </w:rPr>
        <w:br/>
        <w:t>Under the plan, pay data will be monitored, transparency should be enhanced, and fair recruitment and promotion processes should be minimized in order to decrease the gender inequality in pay.</w:t>
      </w:r>
    </w:p>
    <w:p>
      <w:pPr>
        <w:pStyle w:val="ListParagraph"/>
        <w:numPr>
          <w:ilvl w:val="0"/>
          <w:numId w:val="1"/>
        </w:numPr>
        <w:spacing w:lineRule="auto" w:line="360" w:before="0" w:after="0"/>
        <w:contextualSpacing/>
        <w:rPr>
          <w:rFonts w:ascii="Arial" w:hAnsi="Arial" w:eastAsia="Times New Roman" w:cs="Arial"/>
          <w:sz w:val="22"/>
          <w:szCs w:val="22"/>
        </w:rPr>
      </w:pPr>
      <w:r>
        <w:rPr>
          <w:rFonts w:eastAsia="Times New Roman" w:cs="Arial" w:ascii="Arial" w:hAnsi="Arial"/>
          <w:b/>
          <w:bCs/>
          <w:sz w:val="22"/>
          <w:szCs w:val="22"/>
        </w:rPr>
        <w:t>What is meant by the term ‘intersectionality’ as used in the NHS EDI Improvement Plan?</w:t>
      </w:r>
      <w:r>
        <w:rPr>
          <w:rFonts w:eastAsia="Times New Roman" w:cs="Arial" w:ascii="Arial" w:hAnsi="Arial"/>
          <w:sz w:val="22"/>
          <w:szCs w:val="22"/>
        </w:rPr>
        <w:br/>
        <w:t>Intersectionality is an understanding of the interaction between assorted personalities of an individual, like race, gender, disability or age, to lead to cross-cutting discrimination or deprivation.</w:t>
      </w:r>
    </w:p>
    <w:p>
      <w:pPr>
        <w:pStyle w:val="ListParagraph"/>
        <w:numPr>
          <w:ilvl w:val="0"/>
          <w:numId w:val="1"/>
        </w:numPr>
        <w:spacing w:lineRule="auto" w:line="360" w:before="0" w:after="0"/>
        <w:contextualSpacing/>
        <w:rPr>
          <w:rFonts w:ascii="Arial" w:hAnsi="Arial" w:eastAsia="Times New Roman" w:cs="Arial"/>
          <w:sz w:val="22"/>
          <w:szCs w:val="22"/>
        </w:rPr>
      </w:pPr>
      <w:r>
        <w:rPr>
          <w:rFonts w:eastAsia="Times New Roman" w:cs="Arial" w:ascii="Arial" w:hAnsi="Arial"/>
          <w:b/>
          <w:bCs/>
          <w:sz w:val="22"/>
          <w:szCs w:val="22"/>
        </w:rPr>
        <w:t>Why is it important for the NHS to create a psychologically safe work environment?</w:t>
      </w:r>
      <w:r>
        <w:rPr>
          <w:rFonts w:eastAsia="Times New Roman" w:cs="Arial" w:ascii="Arial" w:hAnsi="Arial"/>
          <w:sz w:val="22"/>
          <w:szCs w:val="22"/>
        </w:rPr>
        <w:br/>
        <w:t>The employees will be given the freedom to speak, report and speak without the fear of punishment, and this boosts the teamwork and patient safety with psychological safety.</w:t>
      </w:r>
    </w:p>
    <w:p>
      <w:pPr>
        <w:pStyle w:val="ListParagraph"/>
        <w:numPr>
          <w:ilvl w:val="0"/>
          <w:numId w:val="1"/>
        </w:numPr>
        <w:spacing w:lineRule="auto" w:line="360" w:before="0" w:after="0"/>
        <w:contextualSpacing/>
        <w:rPr>
          <w:rFonts w:ascii="Arial" w:hAnsi="Arial" w:eastAsia="Times New Roman" w:cs="Arial"/>
          <w:sz w:val="22"/>
          <w:szCs w:val="22"/>
        </w:rPr>
      </w:pPr>
      <w:r>
        <w:rPr>
          <w:rFonts w:eastAsia="Times New Roman" w:cs="Arial" w:ascii="Arial" w:hAnsi="Arial"/>
          <w:b/>
          <w:bCs/>
          <w:sz w:val="22"/>
          <w:szCs w:val="22"/>
        </w:rPr>
        <w:t>How does the NHS EDI Improvement Plan suggest improving the experience of internationally recruited staff?</w:t>
      </w:r>
      <w:r>
        <w:rPr>
          <w:rFonts w:eastAsia="Times New Roman" w:cs="Arial" w:ascii="Arial" w:hAnsi="Arial"/>
          <w:sz w:val="22"/>
          <w:szCs w:val="22"/>
        </w:rPr>
        <w:br/>
        <w:t>The plan will also strive to extend more induction programmed as well as support and career development to the internationally recruited healthcare workers.</w:t>
      </w:r>
    </w:p>
    <w:p>
      <w:pPr>
        <w:pStyle w:val="ListParagraph"/>
        <w:numPr>
          <w:ilvl w:val="0"/>
          <w:numId w:val="1"/>
        </w:numPr>
        <w:spacing w:lineRule="auto" w:line="360" w:before="0" w:after="0"/>
        <w:contextualSpacing/>
        <w:rPr>
          <w:rFonts w:ascii="Arial" w:hAnsi="Arial" w:eastAsia="Times New Roman" w:cs="Arial"/>
          <w:sz w:val="22"/>
          <w:szCs w:val="22"/>
        </w:rPr>
      </w:pPr>
      <w:r>
        <w:rPr>
          <w:rFonts w:eastAsia="Times New Roman" w:cs="Arial" w:ascii="Arial" w:hAnsi="Arial"/>
          <w:b/>
          <w:bCs/>
          <w:sz w:val="22"/>
          <w:szCs w:val="22"/>
        </w:rPr>
        <w:t>What role does leadership play in advancing EDI objectives according to the NHS Improvement Plan?</w:t>
      </w:r>
      <w:r>
        <w:rPr>
          <w:rFonts w:eastAsia="Times New Roman" w:cs="Arial" w:ascii="Arial" w:hAnsi="Arial"/>
          <w:sz w:val="22"/>
          <w:szCs w:val="22"/>
        </w:rPr>
        <w:br/>
        <w:t>The leaders will empower the shared values and ensure the policies of discrimination and equality are put into practice.</w:t>
      </w:r>
    </w:p>
    <w:p>
      <w:pPr>
        <w:pStyle w:val="ListParagraph"/>
        <w:numPr>
          <w:ilvl w:val="0"/>
          <w:numId w:val="1"/>
        </w:numPr>
        <w:spacing w:lineRule="auto" w:line="360" w:before="0" w:after="0"/>
        <w:contextualSpacing/>
        <w:rPr>
          <w:rFonts w:ascii="Arial" w:hAnsi="Arial" w:eastAsia="Times New Roman" w:cs="Arial"/>
          <w:sz w:val="22"/>
          <w:szCs w:val="22"/>
        </w:rPr>
      </w:pPr>
      <w:r>
        <w:rPr>
          <w:rFonts w:eastAsia="Times New Roman" w:cs="Arial" w:ascii="Arial" w:hAnsi="Arial"/>
          <w:b/>
          <w:bCs/>
          <w:sz w:val="22"/>
          <w:szCs w:val="22"/>
        </w:rPr>
        <w:t>Identify one way the NHS EDI Improvement Plan aims to reduce health inequalities within the workforce.</w:t>
      </w:r>
      <w:r>
        <w:rPr>
          <w:rFonts w:eastAsia="Times New Roman" w:cs="Arial" w:ascii="Arial" w:hAnsi="Arial"/>
          <w:sz w:val="22"/>
          <w:szCs w:val="22"/>
        </w:rPr>
        <w:br/>
        <w:t>The strategies include, among others, the fact that career development, training and promotion opportunities are relatively open to all staff.</w:t>
      </w:r>
    </w:p>
    <w:p>
      <w:pPr>
        <w:pStyle w:val="ListParagraph"/>
        <w:numPr>
          <w:ilvl w:val="0"/>
          <w:numId w:val="1"/>
        </w:numPr>
        <w:spacing w:lineRule="auto" w:line="360" w:before="0" w:after="0"/>
        <w:contextualSpacing/>
        <w:rPr>
          <w:rFonts w:ascii="Arial" w:hAnsi="Arial" w:eastAsia="Times New Roman" w:cs="Arial"/>
          <w:sz w:val="22"/>
          <w:szCs w:val="22"/>
        </w:rPr>
      </w:pPr>
      <w:r>
        <w:rPr>
          <w:rFonts w:eastAsia="Times New Roman" w:cs="Arial" w:ascii="Arial" w:hAnsi="Arial"/>
          <w:b/>
          <w:bCs/>
          <w:sz w:val="22"/>
          <w:szCs w:val="22"/>
        </w:rPr>
        <w:t>Why does the NHS EDI Improvement Plan emphasize the importance of collecting and analyzing data on protected characteristics?</w:t>
      </w:r>
      <w:r>
        <w:rPr>
          <w:rFonts w:eastAsia="Times New Roman" w:cs="Arial" w:ascii="Arial" w:hAnsi="Arial"/>
          <w:sz w:val="22"/>
          <w:szCs w:val="22"/>
        </w:rPr>
        <w:br/>
        <w:t>Gathering of data will facilitate an imbalance and enable organizations to make policies that will deter discrimination and enhancement of equality in the labor force.</w:t>
      </w:r>
    </w:p>
    <w:p>
      <w:pPr>
        <w:pStyle w:val="ListParagraph"/>
        <w:numPr>
          <w:ilvl w:val="0"/>
          <w:numId w:val="1"/>
        </w:numPr>
        <w:spacing w:lineRule="auto" w:line="360" w:before="0" w:after="0"/>
        <w:contextualSpacing/>
        <w:rPr>
          <w:rFonts w:ascii="Arial" w:hAnsi="Arial" w:eastAsia="Times New Roman" w:cs="Arial"/>
          <w:sz w:val="22"/>
          <w:szCs w:val="22"/>
        </w:rPr>
      </w:pPr>
      <w:r>
        <w:rPr>
          <w:rFonts w:eastAsia="Times New Roman" w:cs="Arial" w:ascii="Arial" w:hAnsi="Arial"/>
          <w:b/>
          <w:bCs/>
          <w:sz w:val="22"/>
          <w:szCs w:val="22"/>
        </w:rPr>
        <w:t>Explain how flexible working policies can contribute to equality and inclusion in the NHS workforce.</w:t>
      </w:r>
      <w:r>
        <w:rPr>
          <w:rFonts w:eastAsia="Times New Roman" w:cs="Arial" w:ascii="Arial" w:hAnsi="Arial"/>
          <w:sz w:val="22"/>
          <w:szCs w:val="22"/>
        </w:rPr>
        <w:br/>
        <w:t>The flexible work policies assist the employees to strike the right balance between work and other life-related variables, and this ensures the exclusivity and well-being of the staff.</w:t>
      </w:r>
    </w:p>
    <w:p>
      <w:pPr>
        <w:pStyle w:val="ListParagraph"/>
        <w:numPr>
          <w:ilvl w:val="0"/>
          <w:numId w:val="1"/>
        </w:numPr>
        <w:spacing w:lineRule="auto" w:line="360" w:before="0" w:afterAutospacing="1"/>
        <w:contextualSpacing/>
        <w:rPr>
          <w:rFonts w:ascii="Arial" w:hAnsi="Arial" w:eastAsia="Arial Nova" w:cs="Arial"/>
          <w:color w:val="000000" w:themeColor="text1"/>
          <w:sz w:val="22"/>
          <w:szCs w:val="22"/>
        </w:rPr>
      </w:pPr>
      <w:r>
        <w:rPr>
          <w:rFonts w:eastAsia="Times New Roman" w:cs="Arial" w:ascii="Arial" w:hAnsi="Arial"/>
          <w:b/>
          <w:bCs/>
          <w:sz w:val="22"/>
          <w:szCs w:val="22"/>
        </w:rPr>
        <w:t>What is one strategy mentioned in the NHS EDI Improvement Plan to combat bullying and harassment in the workplace?</w:t>
      </w:r>
      <w:r>
        <w:rPr>
          <w:rFonts w:eastAsia="Times New Roman" w:cs="Arial" w:ascii="Arial" w:hAnsi="Arial"/>
          <w:sz w:val="22"/>
          <w:szCs w:val="22"/>
        </w:rPr>
        <w:br/>
        <w:t>Increased reporting systems and the development of strict policies that cover bullying and harassment of employees are some examples of such evidence.</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r>
        <w:br w:type="page"/>
      </w:r>
    </w:p>
    <w:p>
      <w:pPr>
        <w:pStyle w:val="Normal"/>
        <w:spacing w:lineRule="auto" w:line="36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Task 5- A Letter to Yourself</w:t>
      </w:r>
    </w:p>
    <w:p>
      <w:pPr>
        <w:pStyle w:val="Normal"/>
        <w:spacing w:lineRule="auto" w:line="360" w:before="0" w:after="0"/>
        <w:rPr>
          <w:rFonts w:ascii="Arial" w:hAnsi="Arial" w:eastAsia="Arial Nova" w:cs="Arial"/>
          <w:color w:val="000000" w:themeColor="text1"/>
          <w:sz w:val="22"/>
          <w:szCs w:val="22"/>
        </w:rPr>
      </w:pPr>
      <w:r>
        <w:rPr>
          <w:rFonts w:eastAsia="Arial Nova" w:cs="Arial" w:ascii="Arial" w:hAnsi="Arial"/>
          <w:color w:val="000000" w:themeColor="text1"/>
          <w:sz w:val="22"/>
          <w:szCs w:val="22"/>
        </w:rPr>
        <w:t>Dear Younger Me,</w:t>
      </w:r>
    </w:p>
    <w:p>
      <w:pPr>
        <w:pStyle w:val="Normal"/>
        <w:spacing w:lineRule="auto" w:line="360" w:before="0" w:after="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before="0" w:after="0"/>
        <w:rPr>
          <w:rFonts w:ascii="Arial" w:hAnsi="Arial" w:eastAsia="Arial Nova" w:cs="Arial"/>
          <w:color w:val="000000" w:themeColor="text1"/>
          <w:sz w:val="22"/>
          <w:szCs w:val="22"/>
        </w:rPr>
      </w:pPr>
      <w:r>
        <w:rPr>
          <w:rFonts w:eastAsia="Arial Nova" w:cs="Arial" w:ascii="Arial" w:hAnsi="Arial"/>
          <w:color w:val="000000" w:themeColor="text1"/>
          <w:sz w:val="22"/>
          <w:szCs w:val="22"/>
        </w:rPr>
        <w:t>It is high time to look back and think about the problems you have overcome, and I want to remind you that hard times are a part of personal development. It is possible you got so carried away that you were not sure or not so sure of your strengths. The issue is that emotional intelligence and resilience would have assisted you in solving such problems. EI is the ability to be aware of how to feel, as well as the ability to be aware of how other people feel. Had you been more conscious of the ways to deal with the stress and externalize your emotions, it would have helped to make the anxiety less and relationships with other people more favorable. Training on how to stop, think, and act calmly in such problematic situations may go a long way. Another skill related to life is resilience. Difficulties, frustrations and failure do not imply that one is a weak person, but it is a lesson to learn and become better. The fact that this has been left would have helped to see the challenges as a temporary issue and concentrate on solutions instead of the problems. It should also be capable of establishing positive relationships and requesting help where it is required. No man need combat single-handed. Asking friends, relatives, or advisors is not an absurd approach with the potential of putting a positive spin and asking them to do the same. I am now aware that it is a gradual process of development. All the experiences, including good and challenging experiences, are contributing to personal development. You will also meet your goals, assuming that you do not give up but keep learning and trying.</w:t>
      </w:r>
    </w:p>
    <w:p>
      <w:pPr>
        <w:pStyle w:val="Normal"/>
        <w:spacing w:lineRule="auto" w:line="360" w:before="0" w:after="0"/>
        <w:rPr>
          <w:rFonts w:ascii="Arial" w:hAnsi="Arial" w:eastAsia="Arial Nova" w:cs="Arial"/>
          <w:color w:val="000000" w:themeColor="text1"/>
          <w:sz w:val="22"/>
          <w:szCs w:val="22"/>
        </w:rPr>
      </w:pPr>
      <w:r>
        <w:rPr>
          <w:rFonts w:eastAsia="Arial Nova" w:cs="Arial" w:ascii="Arial" w:hAnsi="Arial"/>
          <w:color w:val="000000" w:themeColor="text1"/>
          <w:sz w:val="22"/>
          <w:szCs w:val="22"/>
        </w:rPr>
        <w:t>Being nice to yourself and having faith in the process is also important.</w:t>
      </w:r>
    </w:p>
    <w:p>
      <w:pPr>
        <w:pStyle w:val="Normal"/>
        <w:spacing w:lineRule="auto" w:line="360" w:before="0" w:after="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before="0" w:after="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With understanding,</w:t>
      </w:r>
    </w:p>
    <w:p>
      <w:pPr>
        <w:pStyle w:val="Normal"/>
        <w:spacing w:lineRule="auto" w:line="360" w:before="0" w:after="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Your Future Self</w:t>
      </w:r>
    </w:p>
    <w:p>
      <w:pPr>
        <w:pStyle w:val="Normal"/>
        <w:spacing w:lineRule="auto" w:line="360" w:before="0" w:after="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before="0" w:after="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before="0" w:after="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r>
        <w:br w:type="page"/>
      </w:r>
    </w:p>
    <w:p>
      <w:pPr>
        <w:pStyle w:val="Normal"/>
        <w:spacing w:lineRule="auto" w:line="360"/>
        <w:rPr>
          <w:rFonts w:ascii="Arial" w:hAnsi="Arial" w:eastAsia="Arial Nova" w:cs="Arial"/>
          <w:color w:val="FF0000"/>
          <w:sz w:val="22"/>
          <w:szCs w:val="22"/>
        </w:rPr>
      </w:pPr>
      <w:r>
        <w:rPr>
          <w:rFonts w:eastAsia="Arial Nova" w:cs="Arial" w:ascii="Arial" w:hAnsi="Arial"/>
          <w:color w:val="000000" w:themeColor="text1"/>
          <w:sz w:val="22"/>
          <w:szCs w:val="22"/>
        </w:rPr>
        <w:t>Task 6- GANTT Chart (200 words equivalent)</w:t>
      </w:r>
    </w:p>
    <w:p>
      <w:pPr>
        <w:pStyle w:val="Normal"/>
        <w:spacing w:lineRule="auto" w:line="360"/>
        <w:rPr>
          <w:rFonts w:ascii="Arial" w:hAnsi="Arial" w:eastAsia="Arial Nova" w:cs="Arial"/>
          <w:sz w:val="22"/>
          <w:szCs w:val="22"/>
        </w:rPr>
      </w:pPr>
      <w:r>
        <w:rPr/>
        <w:drawing>
          <wp:inline distT="0" distB="0" distL="0" distR="0">
            <wp:extent cx="5381625" cy="333375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5381625" cy="3333750"/>
                    </a:xfrm>
                    <a:prstGeom prst="rect">
                      <a:avLst/>
                    </a:prstGeom>
                  </pic:spPr>
                </pic:pic>
              </a:graphicData>
            </a:graphic>
          </wp:inline>
        </w:drawing>
      </w:r>
    </w:p>
    <w:p>
      <w:pPr>
        <w:pStyle w:val="Normal"/>
        <w:spacing w:lineRule="auto" w:line="360"/>
        <w:rPr>
          <w:rFonts w:ascii="Arial" w:hAnsi="Arial" w:eastAsia="Arial Nova" w:cs="Arial"/>
          <w:sz w:val="22"/>
          <w:szCs w:val="22"/>
        </w:rPr>
      </w:pPr>
      <w:r>
        <w:rPr>
          <w:rFonts w:eastAsia="Arial Nova" w:cs="Arial" w:ascii="Arial" w:hAnsi="Arial"/>
          <w:sz w:val="22"/>
          <w:szCs w:val="22"/>
        </w:rPr>
        <w:t>This Gantt chart represents the type of career development I would like to pursue over the upcoming five years working in the field of health and social care. The initial one would be to finish my current academic course and acquire the corresponding experience in the form of volunteering or work placements. The second post graduation plan is to seek employment in the field in a lower-level position by applying to healthcare jobs. After utilization, I will receive professional training and other certifications to enhance my skills and knowledge. This will, in the long run, place us at a higher level in the healthcare industry. It is a planned schedule that will enable me to organize my goals and provide me with constant progress in the profession.</w:t>
      </w:r>
    </w:p>
    <w:p>
      <w:pPr>
        <w:pStyle w:val="Normal"/>
        <w:spacing w:lineRule="auto" w:line="360"/>
        <w:rPr>
          <w:rFonts w:ascii="Arial" w:hAnsi="Arial" w:eastAsia="Arial Nova" w:cs="Arial"/>
          <w:sz w:val="22"/>
          <w:szCs w:val="22"/>
        </w:rPr>
      </w:pPr>
      <w:r>
        <w:rPr>
          <w:rFonts w:eastAsia="Arial Nova" w:cs="Arial" w:ascii="Arial" w:hAnsi="Arial"/>
          <w:sz w:val="22"/>
          <w:szCs w:val="22"/>
        </w:rPr>
      </w:r>
    </w:p>
    <w:p>
      <w:pPr>
        <w:pStyle w:val="Normal"/>
        <w:spacing w:lineRule="auto" w:line="360"/>
        <w:rPr>
          <w:rFonts w:ascii="Arial" w:hAnsi="Arial" w:eastAsia="Arial Nova" w:cs="Arial"/>
          <w:sz w:val="22"/>
          <w:szCs w:val="22"/>
        </w:rPr>
      </w:pPr>
      <w:r>
        <w:rPr>
          <w:rFonts w:eastAsia="Arial Nova" w:cs="Arial" w:ascii="Arial" w:hAnsi="Arial"/>
          <w:sz w:val="22"/>
          <w:szCs w:val="22"/>
        </w:rPr>
      </w:r>
    </w:p>
    <w:p>
      <w:pPr>
        <w:pStyle w:val="Normal"/>
        <w:spacing w:lineRule="auto" w:line="360"/>
        <w:rPr>
          <w:rFonts w:ascii="Arial" w:hAnsi="Arial" w:eastAsia="Arial Nova" w:cs="Arial"/>
          <w:sz w:val="22"/>
          <w:szCs w:val="22"/>
        </w:rPr>
      </w:pPr>
      <w:r>
        <w:rPr>
          <w:rFonts w:eastAsia="Arial Nova" w:cs="Arial" w:ascii="Arial" w:hAnsi="Arial"/>
          <w:sz w:val="22"/>
          <w:szCs w:val="22"/>
        </w:rPr>
      </w:r>
    </w:p>
    <w:p>
      <w:pPr>
        <w:pStyle w:val="Normal"/>
        <w:spacing w:lineRule="auto" w:line="360"/>
        <w:rPr>
          <w:rFonts w:ascii="Arial" w:hAnsi="Arial" w:eastAsia="Arial Nova" w:cs="Arial"/>
          <w:sz w:val="22"/>
          <w:szCs w:val="22"/>
        </w:rPr>
      </w:pPr>
      <w:r>
        <w:rPr>
          <w:rFonts w:eastAsia="Arial Nova" w:cs="Arial" w:ascii="Arial" w:hAnsi="Arial"/>
          <w:sz w:val="22"/>
          <w:szCs w:val="22"/>
        </w:rPr>
      </w:r>
    </w:p>
    <w:p>
      <w:pPr>
        <w:pStyle w:val="Normal"/>
        <w:spacing w:lineRule="auto" w:line="360"/>
        <w:rPr>
          <w:rFonts w:ascii="Arial" w:hAnsi="Arial" w:eastAsia="Arial Nova" w:cs="Arial"/>
          <w:sz w:val="22"/>
          <w:szCs w:val="22"/>
        </w:rPr>
      </w:pPr>
      <w:r>
        <w:rPr>
          <w:rFonts w:eastAsia="Arial Nova" w:cs="Arial" w:ascii="Arial" w:hAnsi="Arial"/>
          <w:sz w:val="22"/>
          <w:szCs w:val="22"/>
        </w:rPr>
      </w:r>
    </w:p>
    <w:p>
      <w:pPr>
        <w:pStyle w:val="Normal"/>
        <w:spacing w:lineRule="auto" w:line="360"/>
        <w:rPr>
          <w:rFonts w:ascii="Arial" w:hAnsi="Arial" w:eastAsia="Arial Nova" w:cs="Arial"/>
          <w:sz w:val="22"/>
          <w:szCs w:val="22"/>
        </w:rPr>
      </w:pPr>
      <w:r>
        <w:rPr>
          <w:rFonts w:eastAsia="Arial Nova" w:cs="Arial" w:ascii="Arial" w:hAnsi="Arial"/>
          <w:sz w:val="22"/>
          <w:szCs w:val="22"/>
        </w:rPr>
      </w:r>
      <w:r>
        <w:br w:type="page"/>
      </w:r>
    </w:p>
    <w:p>
      <w:pPr>
        <w:pStyle w:val="Normal"/>
        <w:spacing w:lineRule="auto" w:line="36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Task 7- Making Changes- Report</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t>Communication is a highly simple aspect in healthcare organizations because it assists in the provision of patient safety, teamwork and efficiency to provide care. Lack of sound communication between the employees would create mistakes, misinterpretation and low service quality (Kotter, 1996). The channels of communication that I recommend to be used include briefings to the staff every day and electronic care records as a care home manager. The daily briefings enable the staff to communicate about patient needs, significant changes, and threats. The electronic care records would also further enhance the accuracy and quality of the patient data being shared between the entire staff. The leadership and management skills must be applied to execute the organizational change. The executives should clarify to the employees why there is a necessity to change and convince the employees to embrace new practices. Training and support will also reduce change rejection as the staff will be in a position to adjust to the new communication system.</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t>The Lewin Change Management Model offers a viable model that can be used during the implementation of change in organizations. The first step is the unfreezing, wherein staff members will be prepared for the change and the necessity of change. The fifth level is change, where the new system of communication is being implemented, and the staff are under training. Lastly, the refreezing is a measuring process that aims at establishing that the new system becomes an everyday event within the organization (Lewin, 1951). The possible obstacles include resistance or incompetence of the digital systems employees. Such barriers could be overcome by means of training, necessary communication and active encouragement, among others. The collaboration will be more efficient, and the efficiency and quality of services offered to the residents of a care home will be promoted because the systems of communication will be enhanced.</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r>
    </w:p>
    <w:p>
      <w:pPr>
        <w:pStyle w:val="Normal"/>
        <w:spacing w:lineRule="auto" w:line="36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 xml:space="preserve">Task 8- Self-Reflection </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t>It is a reflection that draws on the Reflective Cycle (1988) by Gibbs in an attempt to formulate what I have learned throughout this module and how it will change my future professional practice within the health and social care occupation.</w:t>
      </w:r>
    </w:p>
    <w:p>
      <w:pPr>
        <w:pStyle w:val="Normal"/>
        <w:spacing w:lineRule="auto" w:line="36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Description:</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t>The activities I accomplished in this module comprised the development of my own brand, reviewing my personal network, and the development and study of equality, diversity and inclusion in the NHS. All these activities enabled me to realize that professional development and self-awareness are useful when I am prepared to work in the field of healthcare.</w:t>
      </w:r>
    </w:p>
    <w:p>
      <w:pPr>
        <w:pStyle w:val="Normal"/>
        <w:spacing w:lineRule="auto" w:line="36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Feelings:</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t>When I started the module, I was still in the state of being lost in the career orientation, and I did not have a clue whether I could demonstrate my strengths in the profession. Nonetheless, having completed the tasks and evaluated my competence, I was confident that I would be able to know my competences and areas in which I could work upon.</w:t>
      </w:r>
    </w:p>
    <w:p>
      <w:pPr>
        <w:pStyle w:val="Normal"/>
        <w:spacing w:lineRule="auto" w:line="36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Evaluation:</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t>The domains of the skills that had been influential evolved because of the occurrence of communication, critical thinking and career planning within the module. The networking and personal branding experiences helped me to realize that it is necessary to establish certain professional relationships and develop a positive image of myself in the workplace.</w:t>
      </w:r>
    </w:p>
    <w:p>
      <w:pPr>
        <w:pStyle w:val="Normal"/>
        <w:spacing w:lineRule="auto" w:line="36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Analysis:</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t>Reflective practice was also used to enable me to compare my strengths, such as empathy and teamwork, which are essential in healthcare. It has also assisted me in realizing the areas in which I need to do more, such as how I interact with my peers in the work environment, and the need to acquire more practical experience.</w:t>
      </w:r>
    </w:p>
    <w:p>
      <w:pPr>
        <w:pStyle w:val="Normal"/>
        <w:spacing w:lineRule="auto" w:line="36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Conclusion and Action Plan:</w:t>
      </w:r>
    </w:p>
    <w:p>
      <w:pPr>
        <w:pStyle w:val="Normal"/>
        <w:spacing w:lineRule="auto" w:line="360"/>
        <w:rPr>
          <w:rFonts w:ascii="Arial" w:hAnsi="Arial" w:eastAsia="Arial Nova" w:cs="Arial"/>
          <w:color w:val="000000" w:themeColor="text1"/>
          <w:sz w:val="22"/>
          <w:szCs w:val="22"/>
        </w:rPr>
      </w:pPr>
      <w:r>
        <w:rPr>
          <w:rFonts w:eastAsia="Arial Nova" w:cs="Arial" w:ascii="Arial" w:hAnsi="Arial"/>
          <w:color w:val="000000" w:themeColor="text1"/>
          <w:sz w:val="22"/>
          <w:szCs w:val="22"/>
        </w:rPr>
        <w:t>On the whole, this module has allowed me to become more self-aware, and I have been able to get to know the value of lifelong professional development. To help me in my future career in the health and social care sector, I will strive to do work placements in the future, take part in professional networking and development of my communication and leadership skills.</w:t>
      </w:r>
    </w:p>
    <w:p>
      <w:pPr>
        <w:pStyle w:val="Normal"/>
        <w:spacing w:lineRule="auto" w:line="360"/>
        <w:rPr>
          <w:rFonts w:ascii="Arial" w:hAnsi="Arial" w:eastAsia="Arial Nova" w:cs="Arial"/>
          <w:b/>
          <w:bCs/>
          <w:color w:val="000000" w:themeColor="text1"/>
          <w:sz w:val="22"/>
          <w:szCs w:val="22"/>
        </w:rPr>
      </w:pPr>
      <w:r>
        <w:rPr>
          <w:rFonts w:eastAsia="Arial Nova" w:cs="Arial" w:ascii="Arial" w:hAnsi="Arial"/>
          <w:b/>
          <w:bCs/>
          <w:color w:val="000000" w:themeColor="text1"/>
          <w:sz w:val="22"/>
          <w:szCs w:val="22"/>
        </w:rPr>
        <w:t>References</w:t>
      </w:r>
    </w:p>
    <w:p>
      <w:pPr>
        <w:pStyle w:val="Normal"/>
        <w:spacing w:lineRule="auto" w:line="360"/>
        <w:rPr>
          <w:rFonts w:ascii="Arial" w:hAnsi="Arial" w:cs="Arial"/>
          <w:sz w:val="22"/>
          <w:szCs w:val="22"/>
        </w:rPr>
      </w:pPr>
      <w:r>
        <w:rPr>
          <w:rFonts w:cs="Arial" w:ascii="Arial" w:hAnsi="Arial"/>
          <w:sz w:val="22"/>
          <w:szCs w:val="22"/>
        </w:rPr>
        <w:t xml:space="preserve">Bailey, S. (2003). </w:t>
      </w:r>
      <w:r>
        <w:rPr>
          <w:rStyle w:val="Emphasis"/>
          <w:rFonts w:cs="Arial" w:ascii="Arial" w:hAnsi="Arial"/>
          <w:sz w:val="22"/>
          <w:szCs w:val="22"/>
        </w:rPr>
        <w:t>Academic Writing: A Practical Guide for Students</w:t>
      </w:r>
      <w:r>
        <w:rPr>
          <w:rFonts w:cs="Arial" w:ascii="Arial" w:hAnsi="Arial"/>
          <w:sz w:val="22"/>
          <w:szCs w:val="22"/>
        </w:rPr>
        <w:t xml:space="preserve">. Routledge. </w:t>
      </w:r>
      <w:hyperlink r:id="rId3">
        <w:r>
          <w:rPr>
            <w:rStyle w:val="InternetLink"/>
            <w:rFonts w:cs="Arial" w:ascii="Arial" w:hAnsi="Arial"/>
            <w:sz w:val="22"/>
            <w:szCs w:val="22"/>
          </w:rPr>
          <w:t>https://books.google.com/books?id=6ZlA5rsoxjsC</w:t>
        </w:r>
      </w:hyperlink>
    </w:p>
    <w:p>
      <w:pPr>
        <w:pStyle w:val="Normal"/>
        <w:spacing w:lineRule="auto" w:line="360"/>
        <w:rPr>
          <w:rFonts w:ascii="Arial" w:hAnsi="Arial" w:cs="Arial"/>
          <w:sz w:val="22"/>
          <w:szCs w:val="22"/>
        </w:rPr>
      </w:pPr>
      <w:r>
        <w:rPr>
          <w:rFonts w:cs="Arial" w:ascii="Arial" w:hAnsi="Arial"/>
          <w:sz w:val="22"/>
          <w:szCs w:val="22"/>
        </w:rPr>
        <w:t xml:space="preserve">Forret, M.L. and Dougherty, T.W. (2001). Correlates of networking behaviour for managerial and professional employees. </w:t>
      </w:r>
      <w:r>
        <w:rPr>
          <w:rStyle w:val="Emphasis"/>
          <w:rFonts w:cs="Arial" w:ascii="Arial" w:hAnsi="Arial"/>
          <w:sz w:val="22"/>
          <w:szCs w:val="22"/>
        </w:rPr>
        <w:t>Group &amp; Organization Management</w:t>
      </w:r>
      <w:r>
        <w:rPr>
          <w:rFonts w:cs="Arial" w:ascii="Arial" w:hAnsi="Arial"/>
          <w:sz w:val="22"/>
          <w:szCs w:val="22"/>
        </w:rPr>
        <w:t xml:space="preserve">, 26(3), pp.283–311. </w:t>
      </w:r>
      <w:hyperlink r:id="rId4">
        <w:r>
          <w:rPr>
            <w:rStyle w:val="InternetLink"/>
            <w:rFonts w:cs="Arial" w:ascii="Arial" w:hAnsi="Arial"/>
            <w:sz w:val="22"/>
            <w:szCs w:val="22"/>
          </w:rPr>
          <w:t>https://doi.org/10.1177/1059601101263004</w:t>
        </w:r>
      </w:hyperlink>
    </w:p>
    <w:p>
      <w:pPr>
        <w:pStyle w:val="Normal"/>
        <w:spacing w:lineRule="auto" w:line="360"/>
        <w:rPr>
          <w:rFonts w:ascii="Arial" w:hAnsi="Arial" w:cs="Arial"/>
          <w:sz w:val="22"/>
          <w:szCs w:val="22"/>
        </w:rPr>
      </w:pPr>
      <w:r>
        <w:rPr>
          <w:rFonts w:cs="Arial" w:ascii="Arial" w:hAnsi="Arial"/>
          <w:sz w:val="22"/>
          <w:szCs w:val="22"/>
        </w:rPr>
        <w:t xml:space="preserve">Gibbs, G. (1988). </w:t>
      </w:r>
      <w:r>
        <w:rPr>
          <w:rStyle w:val="Emphasis"/>
          <w:rFonts w:cs="Arial" w:ascii="Arial" w:hAnsi="Arial"/>
          <w:sz w:val="22"/>
          <w:szCs w:val="22"/>
        </w:rPr>
        <w:t>Learning by Doing: A Guide to Teaching and Learning Methods</w:t>
      </w:r>
      <w:r>
        <w:rPr>
          <w:rFonts w:cs="Arial" w:ascii="Arial" w:hAnsi="Arial"/>
          <w:sz w:val="22"/>
          <w:szCs w:val="22"/>
        </w:rPr>
        <w:t>. Oxford Polytechnic.</w:t>
      </w:r>
    </w:p>
    <w:p>
      <w:pPr>
        <w:pStyle w:val="Normal"/>
        <w:spacing w:lineRule="auto" w:line="360"/>
        <w:rPr>
          <w:rFonts w:ascii="Arial" w:hAnsi="Arial" w:cs="Arial"/>
          <w:sz w:val="22"/>
          <w:szCs w:val="22"/>
        </w:rPr>
      </w:pPr>
      <w:r>
        <w:rPr>
          <w:rFonts w:cs="Arial" w:ascii="Arial" w:hAnsi="Arial"/>
          <w:sz w:val="22"/>
          <w:szCs w:val="22"/>
        </w:rPr>
        <w:t xml:space="preserve">Gorbatov, S., Khapova, S.N. and Lysova, E.I. (2018). Personal branding: Interdisciplinary systematic review and research agenda. </w:t>
      </w:r>
      <w:r>
        <w:rPr>
          <w:rStyle w:val="Emphasis"/>
          <w:rFonts w:cs="Arial" w:ascii="Arial" w:hAnsi="Arial"/>
          <w:sz w:val="22"/>
          <w:szCs w:val="22"/>
        </w:rPr>
        <w:t>Frontiers in Psychology</w:t>
      </w:r>
      <w:r>
        <w:rPr>
          <w:rFonts w:cs="Arial" w:ascii="Arial" w:hAnsi="Arial"/>
          <w:sz w:val="22"/>
          <w:szCs w:val="22"/>
        </w:rPr>
        <w:t>, 9, 2238.</w:t>
        <w:br/>
      </w:r>
      <w:hyperlink r:id="rId5" w:tgtFrame="_new">
        <w:r>
          <w:rPr>
            <w:rStyle w:val="InternetLink"/>
            <w:rFonts w:cs="Arial" w:ascii="Arial" w:hAnsi="Arial"/>
            <w:sz w:val="22"/>
            <w:szCs w:val="22"/>
          </w:rPr>
          <w:t>https://doi.org/10.3389/fpsyg.2018.02238</w:t>
        </w:r>
      </w:hyperlink>
    </w:p>
    <w:p>
      <w:pPr>
        <w:pStyle w:val="Normal"/>
        <w:spacing w:lineRule="auto" w:line="360"/>
        <w:rPr>
          <w:rFonts w:ascii="Arial" w:hAnsi="Arial" w:cs="Arial"/>
          <w:sz w:val="22"/>
          <w:szCs w:val="22"/>
        </w:rPr>
      </w:pPr>
      <w:r>
        <w:rPr>
          <w:rFonts w:cs="Arial" w:ascii="Arial" w:hAnsi="Arial"/>
          <w:sz w:val="22"/>
          <w:szCs w:val="22"/>
        </w:rPr>
        <w:t xml:space="preserve">Granovetter, M.S. (1973). The strength of weak ties. </w:t>
      </w:r>
      <w:r>
        <w:rPr>
          <w:rStyle w:val="Emphasis"/>
          <w:rFonts w:cs="Arial" w:ascii="Arial" w:hAnsi="Arial"/>
          <w:sz w:val="22"/>
          <w:szCs w:val="22"/>
        </w:rPr>
        <w:t>American Journal of Sociology</w:t>
      </w:r>
      <w:r>
        <w:rPr>
          <w:rFonts w:cs="Arial" w:ascii="Arial" w:hAnsi="Arial"/>
          <w:sz w:val="22"/>
          <w:szCs w:val="22"/>
        </w:rPr>
        <w:t>, 78(6), pp.1360–1380.</w:t>
        <w:br/>
      </w:r>
      <w:hyperlink r:id="rId6" w:tgtFrame="_new">
        <w:r>
          <w:rPr>
            <w:rStyle w:val="InternetLink"/>
            <w:rFonts w:cs="Arial" w:ascii="Arial" w:hAnsi="Arial"/>
            <w:sz w:val="22"/>
            <w:szCs w:val="22"/>
          </w:rPr>
          <w:t>https://doi.org/10.1086/225469</w:t>
        </w:r>
      </w:hyperlink>
    </w:p>
    <w:p>
      <w:pPr>
        <w:pStyle w:val="Normal"/>
        <w:spacing w:lineRule="auto" w:line="360"/>
        <w:rPr>
          <w:rFonts w:ascii="Arial" w:hAnsi="Arial" w:cs="Arial"/>
          <w:sz w:val="22"/>
          <w:szCs w:val="22"/>
        </w:rPr>
      </w:pPr>
      <w:r>
        <w:rPr>
          <w:rFonts w:cs="Arial" w:ascii="Arial" w:hAnsi="Arial"/>
          <w:sz w:val="22"/>
          <w:szCs w:val="22"/>
        </w:rPr>
        <w:t xml:space="preserve">Kotter, J.P. (1996). </w:t>
      </w:r>
      <w:r>
        <w:rPr>
          <w:rStyle w:val="Emphasis"/>
          <w:rFonts w:cs="Arial" w:ascii="Arial" w:hAnsi="Arial"/>
          <w:sz w:val="22"/>
          <w:szCs w:val="22"/>
        </w:rPr>
        <w:t>Leading Change</w:t>
      </w:r>
      <w:r>
        <w:rPr>
          <w:rFonts w:cs="Arial" w:ascii="Arial" w:hAnsi="Arial"/>
          <w:sz w:val="22"/>
          <w:szCs w:val="22"/>
        </w:rPr>
        <w:t xml:space="preserve">. Harvard Business School Press. </w:t>
      </w:r>
      <w:hyperlink r:id="rId7">
        <w:r>
          <w:rPr>
            <w:rStyle w:val="InternetLink"/>
            <w:rFonts w:cs="Arial" w:ascii="Arial" w:hAnsi="Arial"/>
            <w:sz w:val="22"/>
            <w:szCs w:val="22"/>
          </w:rPr>
          <w:t>https://www.scirp.org/reference/referencespapers?referenceid=1686937</w:t>
        </w:r>
      </w:hyperlink>
    </w:p>
    <w:p>
      <w:pPr>
        <w:pStyle w:val="Normal"/>
        <w:spacing w:lineRule="auto" w:line="360"/>
        <w:rPr>
          <w:rFonts w:ascii="Arial" w:hAnsi="Arial" w:cs="Arial"/>
          <w:sz w:val="22"/>
          <w:szCs w:val="22"/>
        </w:rPr>
      </w:pPr>
      <w:r>
        <w:rPr>
          <w:rFonts w:cs="Arial" w:ascii="Arial" w:hAnsi="Arial"/>
          <w:sz w:val="22"/>
          <w:szCs w:val="22"/>
        </w:rPr>
        <w:t xml:space="preserve">Lewin, K. (1951). </w:t>
      </w:r>
      <w:r>
        <w:rPr>
          <w:rStyle w:val="Emphasis"/>
          <w:rFonts w:cs="Arial" w:ascii="Arial" w:hAnsi="Arial"/>
          <w:sz w:val="22"/>
          <w:szCs w:val="22"/>
        </w:rPr>
        <w:t>Field Theory in Social Science: Selected Theoretical Papers</w:t>
      </w:r>
      <w:r>
        <w:rPr>
          <w:rFonts w:cs="Arial" w:ascii="Arial" w:hAnsi="Arial"/>
          <w:sz w:val="22"/>
          <w:szCs w:val="22"/>
        </w:rPr>
        <w:t xml:space="preserve">. Harper &amp; Row. </w:t>
      </w:r>
      <w:hyperlink r:id="rId8">
        <w:r>
          <w:rPr>
            <w:rStyle w:val="InternetLink"/>
            <w:rFonts w:cs="Arial" w:ascii="Arial" w:hAnsi="Arial"/>
            <w:sz w:val="22"/>
            <w:szCs w:val="22"/>
          </w:rPr>
          <w:t>https://doi.org/10.1177/000271625127600135</w:t>
        </w:r>
      </w:hyperlink>
    </w:p>
    <w:p>
      <w:pPr>
        <w:pStyle w:val="Normal"/>
        <w:spacing w:lineRule="auto" w:line="360"/>
        <w:rPr>
          <w:rFonts w:ascii="Arial" w:hAnsi="Arial" w:cs="Arial"/>
          <w:sz w:val="22"/>
          <w:szCs w:val="22"/>
        </w:rPr>
      </w:pPr>
      <w:r>
        <w:rPr>
          <w:rFonts w:cs="Arial" w:ascii="Arial" w:hAnsi="Arial"/>
          <w:sz w:val="22"/>
          <w:szCs w:val="22"/>
        </w:rPr>
        <w:t xml:space="preserve">Rampersad, H.K. (2008). Authentic personal branding: A new blueprint for building and aligning a powerful leadership brand. </w:t>
      </w:r>
      <w:r>
        <w:rPr>
          <w:rStyle w:val="Emphasis"/>
          <w:rFonts w:cs="Arial" w:ascii="Arial" w:hAnsi="Arial"/>
          <w:sz w:val="22"/>
          <w:szCs w:val="22"/>
        </w:rPr>
        <w:t>Journal of Brand Management</w:t>
      </w:r>
      <w:r>
        <w:rPr>
          <w:rFonts w:cs="Arial" w:ascii="Arial" w:hAnsi="Arial"/>
          <w:sz w:val="22"/>
          <w:szCs w:val="22"/>
        </w:rPr>
        <w:t xml:space="preserve">, 15(5), pp.366–370. </w:t>
      </w:r>
      <w:hyperlink r:id="rId9">
        <w:r>
          <w:rPr>
            <w:rStyle w:val="InternetLink"/>
            <w:rFonts w:cs="Arial" w:ascii="Arial" w:hAnsi="Arial"/>
            <w:sz w:val="22"/>
            <w:szCs w:val="22"/>
          </w:rPr>
          <w:t>https://archive.org/details/authenticpersona0000ramp</w:t>
        </w:r>
      </w:hyperlink>
    </w:p>
    <w:p>
      <w:pPr>
        <w:pStyle w:val="NormalWeb"/>
        <w:spacing w:lineRule="auto" w:line="360" w:beforeAutospacing="0" w:before="0" w:afterAutospacing="0" w:after="240"/>
        <w:rPr>
          <w:rFonts w:ascii="Arial" w:hAnsi="Arial" w:cs="Arial"/>
          <w:sz w:val="22"/>
          <w:szCs w:val="22"/>
        </w:rPr>
      </w:pPr>
      <w:r>
        <w:rPr>
          <w:rFonts w:cs="Arial" w:ascii="Arial" w:hAnsi="Arial"/>
          <w:sz w:val="22"/>
          <w:szCs w:val="22"/>
        </w:rPr>
        <w:t xml:space="preserve">Magomedova, A. and Fatima, G. (2025). Mental Health and Well-Being in the Modern Era: A Comprehensive Review of Challenges and Interventions. </w:t>
      </w:r>
      <w:r>
        <w:rPr>
          <w:rFonts w:cs="Arial" w:ascii="Arial" w:hAnsi="Arial"/>
          <w:i/>
          <w:iCs/>
          <w:sz w:val="22"/>
          <w:szCs w:val="22"/>
        </w:rPr>
        <w:t>Cureus</w:t>
      </w:r>
      <w:r>
        <w:rPr>
          <w:rFonts w:cs="Arial" w:ascii="Arial" w:hAnsi="Arial"/>
          <w:sz w:val="22"/>
          <w:szCs w:val="22"/>
        </w:rPr>
        <w:t xml:space="preserve">, [online] 17(1). </w:t>
      </w:r>
      <w:hyperlink r:id="rId10">
        <w:r>
          <w:rPr>
            <w:rStyle w:val="InternetLink"/>
            <w:rFonts w:cs="Arial" w:ascii="Arial" w:hAnsi="Arial"/>
            <w:sz w:val="22"/>
            <w:szCs w:val="22"/>
          </w:rPr>
          <w:t>https://doi.org/10.7759/cureus.77683</w:t>
        </w:r>
      </w:hyperlink>
      <w:r>
        <w:rPr>
          <w:rFonts w:cs="Arial" w:ascii="Arial" w:hAnsi="Arial"/>
          <w:sz w:val="22"/>
          <w:szCs w:val="22"/>
        </w:rPr>
        <w:t>.</w:t>
      </w:r>
    </w:p>
    <w:p>
      <w:pPr>
        <w:pStyle w:val="NormalWeb"/>
        <w:spacing w:lineRule="auto" w:line="360" w:beforeAutospacing="0" w:before="0" w:afterAutospacing="0" w:after="240"/>
        <w:rPr>
          <w:rFonts w:ascii="Arial" w:hAnsi="Arial" w:cs="Arial"/>
          <w:sz w:val="22"/>
          <w:szCs w:val="22"/>
        </w:rPr>
      </w:pPr>
      <w:r>
        <w:rPr>
          <w:rFonts w:cs="Arial" w:ascii="Arial" w:hAnsi="Arial"/>
          <w:sz w:val="22"/>
          <w:szCs w:val="22"/>
        </w:rPr>
        <w:t xml:space="preserve">Castillo, E.G. (2021). Community Interventions to Promote Mental Health and Social Equity. </w:t>
      </w:r>
      <w:r>
        <w:rPr>
          <w:rFonts w:cs="Arial" w:ascii="Arial" w:hAnsi="Arial"/>
          <w:i/>
          <w:iCs/>
          <w:sz w:val="22"/>
          <w:szCs w:val="22"/>
        </w:rPr>
        <w:t>Current Psychiatry Reports</w:t>
      </w:r>
      <w:r>
        <w:rPr>
          <w:rFonts w:cs="Arial" w:ascii="Arial" w:hAnsi="Arial"/>
          <w:sz w:val="22"/>
          <w:szCs w:val="22"/>
        </w:rPr>
        <w:t xml:space="preserve">, [online] 21(5), pp.1–14. </w:t>
      </w:r>
      <w:hyperlink r:id="rId11">
        <w:r>
          <w:rPr>
            <w:rStyle w:val="InternetLink"/>
            <w:rFonts w:cs="Arial" w:ascii="Arial" w:hAnsi="Arial"/>
            <w:sz w:val="22"/>
            <w:szCs w:val="22"/>
          </w:rPr>
          <w:t>https://doi.org/10.1007/s11920-019-1017-0</w:t>
        </w:r>
      </w:hyperlink>
      <w:r>
        <w:rPr>
          <w:rFonts w:cs="Arial" w:ascii="Arial" w:hAnsi="Arial"/>
          <w:sz w:val="22"/>
          <w:szCs w:val="22"/>
        </w:rPr>
        <w:t>.</w:t>
      </w:r>
    </w:p>
    <w:p>
      <w:pPr>
        <w:pStyle w:val="NormalWeb"/>
        <w:spacing w:lineRule="auto" w:line="360" w:beforeAutospacing="0" w:before="0" w:afterAutospacing="0" w:after="240"/>
        <w:rPr>
          <w:rFonts w:ascii="Arial" w:hAnsi="Arial" w:cs="Arial"/>
          <w:sz w:val="22"/>
          <w:szCs w:val="22"/>
        </w:rPr>
      </w:pPr>
      <w:r>
        <w:rPr>
          <w:rFonts w:cs="Arial" w:ascii="Arial" w:hAnsi="Arial"/>
          <w:sz w:val="22"/>
          <w:szCs w:val="22"/>
        </w:rPr>
      </w:r>
    </w:p>
    <w:p>
      <w:pPr>
        <w:pStyle w:val="Normal"/>
        <w:spacing w:lineRule="auto" w:line="360" w:before="0" w:after="160"/>
        <w:rPr>
          <w:rFonts w:ascii="Arial" w:hAnsi="Arial" w:cs="Arial"/>
          <w:sz w:val="22"/>
          <w:szCs w:val="22"/>
        </w:rPr>
      </w:pPr>
      <w:r>
        <w:rPr/>
      </w:r>
      <w:bookmarkStart w:id="0" w:name="_GoBack"/>
      <w:bookmarkStart w:id="1" w:name="_GoBack"/>
      <w:bookmarkEnd w:id="1"/>
    </w:p>
    <w:sectPr>
      <w:footerReference w:type="default" r:id="rId12"/>
      <w:type w:val="nextPage"/>
      <w:pgSz w:w="12240" w:h="15840"/>
      <w:pgMar w:left="1440" w:right="1440" w:gutter="0" w:header="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Liberation Sans">
    <w:altName w:val="Arial"/>
    <w:charset w:val="00"/>
    <w:family w:val="swiss"/>
    <w:pitch w:val="variable"/>
  </w:font>
  <w:font w:name="Arial">
    <w:charset w:val="00"/>
    <w:family w:val="roman"/>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130064207"/>
    </w:sdtPr>
    <w:sdtContent>
      <w:p>
        <w:pPr>
          <w:pStyle w:val="Footer"/>
          <w:jc w:val="center"/>
          <w:rPr/>
        </w:pPr>
        <w:r>
          <w:rPr/>
          <w:fldChar w:fldCharType="begin"/>
        </w:r>
        <w:r>
          <w:rPr/>
          <w:instrText xml:space="preserve"> PAGE </w:instrText>
        </w:r>
        <w:r>
          <w:rPr/>
          <w:fldChar w:fldCharType="separate"/>
        </w:r>
        <w:r>
          <w:rPr/>
          <w:t>11</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宋体" w:cs="Arial" w:asciiTheme="minorHAnsi" w:cstheme="minorBidi" w:eastAsiaTheme="minorEastAsia" w:hAnsiTheme="minorHAnsi"/>
        <w:sz w:val="24"/>
        <w:szCs w:val="24"/>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8" w:before="0" w:after="160"/>
      <w:jc w:val="left"/>
    </w:pPr>
    <w:rPr>
      <w:rFonts w:ascii="Aptos" w:hAnsi="Aptos" w:eastAsia="宋体" w:cs="Arial" w:asciiTheme="minorHAnsi" w:cstheme="minorBidi" w:eastAsiaTheme="minorEastAsia" w:hAnsiTheme="minorHAnsi"/>
      <w:color w:val="auto"/>
      <w:kern w:val="0"/>
      <w:sz w:val="24"/>
      <w:szCs w:val="24"/>
      <w:lang w:val="en-US" w:eastAsia="ja-JP" w:bidi="ar-SA"/>
    </w:rPr>
  </w:style>
  <w:style w:type="paragraph" w:styleId="Heading1">
    <w:name w:val="Heading 1"/>
    <w:basedOn w:val="Normal"/>
    <w:next w:val="Normal"/>
    <w:link w:val="Heading1Char"/>
    <w:uiPriority w:val="9"/>
    <w:qFormat/>
    <w:pPr>
      <w:keepNext w:val="true"/>
      <w:keepLines/>
      <w:spacing w:before="360" w:after="80"/>
      <w:outlineLvl w:val="0"/>
    </w:pPr>
    <w:rPr>
      <w:rFonts w:ascii="Aptos Display" w:hAnsi="Aptos Display" w:eastAsia="宋体" w:cs="Times New Roman" w:asciiTheme="majorHAnsi" w:cstheme="majorBidi" w:eastAsiaTheme="majorEastAsia" w:hAnsiTheme="majorHAnsi"/>
      <w:color w:val="0F4761" w:themeColor="accent1" w:themeShade="bf"/>
      <w:sz w:val="40"/>
      <w:szCs w:val="40"/>
    </w:rPr>
  </w:style>
  <w:style w:type="paragraph" w:styleId="Heading2">
    <w:name w:val="Heading 2"/>
    <w:basedOn w:val="Normal"/>
    <w:next w:val="Normal"/>
    <w:link w:val="Heading2Char"/>
    <w:uiPriority w:val="9"/>
    <w:unhideWhenUsed/>
    <w:qFormat/>
    <w:pPr>
      <w:keepNext w:val="true"/>
      <w:keepLines/>
      <w:spacing w:before="160" w:after="80"/>
      <w:outlineLvl w:val="1"/>
    </w:pPr>
    <w:rPr>
      <w:rFonts w:ascii="Aptos Display" w:hAnsi="Aptos Display" w:eastAsia="宋体" w:cs="Times New Roman" w:asciiTheme="majorHAnsi" w:cstheme="majorBidi" w:eastAsiaTheme="majorEastAsia" w:hAnsiTheme="majorHAnsi"/>
      <w:color w:val="0F4761" w:themeColor="accent1" w:themeShade="bf"/>
      <w:sz w:val="32"/>
      <w:szCs w:val="32"/>
    </w:rPr>
  </w:style>
  <w:style w:type="paragraph" w:styleId="Heading3">
    <w:name w:val="Heading 3"/>
    <w:basedOn w:val="Normal"/>
    <w:next w:val="Normal"/>
    <w:link w:val="Heading3Char"/>
    <w:uiPriority w:val="9"/>
    <w:unhideWhenUsed/>
    <w:qFormat/>
    <w:pPr>
      <w:keepNext w:val="true"/>
      <w:keepLines/>
      <w:spacing w:before="160" w:after="80"/>
      <w:outlineLvl w:val="2"/>
    </w:pPr>
    <w:rPr>
      <w:rFonts w:eastAsia="宋体" w:cs="Times New Roman" w:cstheme="majorBidi" w:eastAsiaTheme="majorEastAsia"/>
      <w:color w:val="0F4761" w:themeColor="accent1" w:themeShade="bf"/>
      <w:sz w:val="28"/>
      <w:szCs w:val="28"/>
    </w:rPr>
  </w:style>
  <w:style w:type="paragraph" w:styleId="Heading4">
    <w:name w:val="Heading 4"/>
    <w:basedOn w:val="Normal"/>
    <w:next w:val="Normal"/>
    <w:link w:val="Heading4Char"/>
    <w:uiPriority w:val="9"/>
    <w:unhideWhenUsed/>
    <w:qFormat/>
    <w:pPr>
      <w:keepNext w:val="true"/>
      <w:keepLines/>
      <w:spacing w:before="80" w:after="40"/>
      <w:outlineLvl w:val="3"/>
    </w:pPr>
    <w:rPr>
      <w:rFonts w:eastAsia="宋体" w:cs="Times New Roman" w:cstheme="majorBidi" w:eastAsiaTheme="majorEastAsia"/>
      <w:i/>
      <w:iCs/>
      <w:color w:val="0F4761" w:themeColor="accent1" w:themeShade="bf"/>
    </w:rPr>
  </w:style>
  <w:style w:type="paragraph" w:styleId="Heading5">
    <w:name w:val="Heading 5"/>
    <w:basedOn w:val="Normal"/>
    <w:next w:val="Normal"/>
    <w:link w:val="Heading5Char"/>
    <w:uiPriority w:val="9"/>
    <w:unhideWhenUsed/>
    <w:qFormat/>
    <w:pPr>
      <w:keepNext w:val="true"/>
      <w:keepLines/>
      <w:spacing w:before="80" w:after="40"/>
      <w:outlineLvl w:val="4"/>
    </w:pPr>
    <w:rPr>
      <w:rFonts w:eastAsia="宋体" w:cs="Times New Roman" w:cstheme="majorBidi" w:eastAsiaTheme="majorEastAsia"/>
      <w:color w:val="0F4761" w:themeColor="accent1" w:themeShade="bf"/>
    </w:rPr>
  </w:style>
  <w:style w:type="paragraph" w:styleId="Heading6">
    <w:name w:val="Heading 6"/>
    <w:basedOn w:val="Normal"/>
    <w:next w:val="Normal"/>
    <w:link w:val="Heading6Char"/>
    <w:uiPriority w:val="9"/>
    <w:unhideWhenUsed/>
    <w:qFormat/>
    <w:pPr>
      <w:keepNext w:val="true"/>
      <w:keepLines/>
      <w:spacing w:before="40" w:after="0"/>
      <w:outlineLvl w:val="5"/>
    </w:pPr>
    <w:rPr>
      <w:rFonts w:eastAsia="宋体" w:cs="Times New Roman" w:cstheme="majorBidi" w:eastAsiaTheme="majorEastAsia"/>
      <w:i/>
      <w:iCs/>
      <w:color w:val="595959" w:themeColor="text1" w:themeTint="a6"/>
    </w:rPr>
  </w:style>
  <w:style w:type="paragraph" w:styleId="Heading7">
    <w:name w:val="Heading 7"/>
    <w:basedOn w:val="Normal"/>
    <w:next w:val="Normal"/>
    <w:link w:val="Heading7Char"/>
    <w:uiPriority w:val="9"/>
    <w:unhideWhenUsed/>
    <w:qFormat/>
    <w:pPr>
      <w:keepNext w:val="true"/>
      <w:keepLines/>
      <w:spacing w:before="40" w:after="0"/>
      <w:outlineLvl w:val="6"/>
    </w:pPr>
    <w:rPr>
      <w:rFonts w:eastAsia="宋体" w:cs="Times New Roman" w:cstheme="majorBidi" w:eastAsiaTheme="majorEastAsia"/>
      <w:color w:val="595959" w:themeColor="text1" w:themeTint="a6"/>
    </w:rPr>
  </w:style>
  <w:style w:type="paragraph" w:styleId="Heading8">
    <w:name w:val="Heading 8"/>
    <w:basedOn w:val="Normal"/>
    <w:next w:val="Normal"/>
    <w:link w:val="Heading8Char"/>
    <w:uiPriority w:val="9"/>
    <w:unhideWhenUsed/>
    <w:qFormat/>
    <w:pPr>
      <w:keepNext w:val="true"/>
      <w:keepLines/>
      <w:spacing w:before="0" w:after="0"/>
      <w:outlineLvl w:val="7"/>
    </w:pPr>
    <w:rPr>
      <w:rFonts w:eastAsia="宋体" w:cs="Times New Roman" w:cstheme="majorBidi" w:eastAsiaTheme="majorEastAsia"/>
      <w:i/>
      <w:iCs/>
      <w:color w:val="272727" w:themeColor="text1" w:themeTint="d8"/>
    </w:rPr>
  </w:style>
  <w:style w:type="paragraph" w:styleId="Heading9">
    <w:name w:val="Heading 9"/>
    <w:basedOn w:val="Normal"/>
    <w:next w:val="Normal"/>
    <w:link w:val="Heading9Char"/>
    <w:uiPriority w:val="9"/>
    <w:unhideWhenUsed/>
    <w:qFormat/>
    <w:pPr>
      <w:keepNext w:val="true"/>
      <w:keepLines/>
      <w:spacing w:before="0" w:after="0"/>
      <w:outlineLvl w:val="8"/>
    </w:pPr>
    <w:rPr>
      <w:rFonts w:eastAsia="宋体" w:cs="Times New Roman"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Pr>
      <w:rFonts w:ascii="Aptos Display" w:hAnsi="Aptos Display" w:eastAsia="宋体" w:cs="Times New Roman" w:asciiTheme="majorHAnsi" w:cstheme="majorBidi" w:eastAsiaTheme="majorEastAsia" w:hAnsiTheme="majorHAnsi"/>
      <w:color w:val="0F4761" w:themeColor="accent1" w:themeShade="bf"/>
      <w:sz w:val="40"/>
      <w:szCs w:val="40"/>
    </w:rPr>
  </w:style>
  <w:style w:type="character" w:styleId="Heading2Char" w:customStyle="1">
    <w:name w:val="Heading 2 Char"/>
    <w:basedOn w:val="DefaultParagraphFont"/>
    <w:link w:val="Heading2"/>
    <w:uiPriority w:val="9"/>
    <w:qFormat/>
    <w:rPr>
      <w:rFonts w:ascii="Aptos Display" w:hAnsi="Aptos Display" w:eastAsia="宋体" w:cs="Times New Roman" w:asciiTheme="majorHAnsi" w:cstheme="majorBidi" w:eastAsiaTheme="majorEastAsia" w:hAnsiTheme="majorHAnsi"/>
      <w:color w:val="0F4761" w:themeColor="accent1" w:themeShade="bf"/>
      <w:sz w:val="32"/>
      <w:szCs w:val="32"/>
    </w:rPr>
  </w:style>
  <w:style w:type="character" w:styleId="Heading3Char" w:customStyle="1">
    <w:name w:val="Heading 3 Char"/>
    <w:basedOn w:val="DefaultParagraphFont"/>
    <w:link w:val="Heading3"/>
    <w:uiPriority w:val="9"/>
    <w:qFormat/>
    <w:rPr>
      <w:rFonts w:eastAsia="宋体" w:cs="Times New Roman" w:cstheme="majorBidi" w:eastAsiaTheme="majorEastAsia"/>
      <w:color w:val="0F4761" w:themeColor="accent1" w:themeShade="bf"/>
      <w:sz w:val="28"/>
      <w:szCs w:val="28"/>
    </w:rPr>
  </w:style>
  <w:style w:type="character" w:styleId="Heading4Char" w:customStyle="1">
    <w:name w:val="Heading 4 Char"/>
    <w:basedOn w:val="DefaultParagraphFont"/>
    <w:link w:val="Heading4"/>
    <w:uiPriority w:val="9"/>
    <w:qFormat/>
    <w:rPr>
      <w:rFonts w:eastAsia="宋体" w:cs="Times New Roman" w:cstheme="majorBidi" w:eastAsiaTheme="majorEastAsia"/>
      <w:i/>
      <w:iCs/>
      <w:color w:val="0F4761" w:themeColor="accent1" w:themeShade="bf"/>
    </w:rPr>
  </w:style>
  <w:style w:type="character" w:styleId="Heading5Char" w:customStyle="1">
    <w:name w:val="Heading 5 Char"/>
    <w:basedOn w:val="DefaultParagraphFont"/>
    <w:link w:val="Heading5"/>
    <w:uiPriority w:val="9"/>
    <w:qFormat/>
    <w:rPr>
      <w:rFonts w:eastAsia="宋体" w:cs="Times New Roman" w:cstheme="majorBidi" w:eastAsiaTheme="majorEastAsia"/>
      <w:color w:val="0F4761" w:themeColor="accent1" w:themeShade="bf"/>
    </w:rPr>
  </w:style>
  <w:style w:type="character" w:styleId="Heading6Char" w:customStyle="1">
    <w:name w:val="Heading 6 Char"/>
    <w:basedOn w:val="DefaultParagraphFont"/>
    <w:link w:val="Heading6"/>
    <w:uiPriority w:val="9"/>
    <w:qFormat/>
    <w:rPr>
      <w:rFonts w:eastAsia="宋体" w:cs="Times New Roman" w:cstheme="majorBidi" w:eastAsiaTheme="majorEastAsia"/>
      <w:i/>
      <w:iCs/>
      <w:color w:val="595959" w:themeColor="text1" w:themeTint="a6"/>
    </w:rPr>
  </w:style>
  <w:style w:type="character" w:styleId="Heading7Char" w:customStyle="1">
    <w:name w:val="Heading 7 Char"/>
    <w:basedOn w:val="DefaultParagraphFont"/>
    <w:link w:val="Heading7"/>
    <w:uiPriority w:val="9"/>
    <w:qFormat/>
    <w:rPr>
      <w:rFonts w:eastAsia="宋体" w:cs="Times New Roman" w:cstheme="majorBidi" w:eastAsiaTheme="majorEastAsia"/>
      <w:color w:val="595959" w:themeColor="text1" w:themeTint="a6"/>
    </w:rPr>
  </w:style>
  <w:style w:type="character" w:styleId="Heading8Char" w:customStyle="1">
    <w:name w:val="Heading 8 Char"/>
    <w:basedOn w:val="DefaultParagraphFont"/>
    <w:link w:val="Heading8"/>
    <w:uiPriority w:val="9"/>
    <w:qFormat/>
    <w:rPr>
      <w:rFonts w:eastAsia="宋体" w:cs="Times New Roman" w:cstheme="majorBidi" w:eastAsiaTheme="majorEastAsia"/>
      <w:i/>
      <w:iCs/>
      <w:color w:val="272727" w:themeColor="text1" w:themeTint="d8"/>
    </w:rPr>
  </w:style>
  <w:style w:type="character" w:styleId="Heading9Char" w:customStyle="1">
    <w:name w:val="Heading 9 Char"/>
    <w:basedOn w:val="DefaultParagraphFont"/>
    <w:link w:val="Heading9"/>
    <w:uiPriority w:val="9"/>
    <w:qFormat/>
    <w:rPr>
      <w:rFonts w:eastAsia="宋体" w:cs="Times New Roman" w:cstheme="majorBidi" w:eastAsiaTheme="majorEastAsia"/>
      <w:color w:val="272727" w:themeColor="text1" w:themeTint="d8"/>
    </w:rPr>
  </w:style>
  <w:style w:type="character" w:styleId="TitleChar" w:customStyle="1">
    <w:name w:val="Title Char"/>
    <w:basedOn w:val="DefaultParagraphFont"/>
    <w:link w:val="Title"/>
    <w:uiPriority w:val="10"/>
    <w:qFormat/>
    <w:rPr>
      <w:rFonts w:ascii="Aptos Display" w:hAnsi="Aptos Display" w:eastAsia="宋体" w:cs="Times New Roman"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Pr>
      <w:rFonts w:eastAsia="宋体" w:cs="Times New Roman" w:cstheme="majorBidi" w:eastAsiaTheme="majorEastAsia"/>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qFormat/>
    <w:rPr>
      <w:i/>
      <w:iCs/>
      <w:color w:val="404040" w:themeColor="text1" w:themeTint="bf"/>
    </w:rPr>
  </w:style>
  <w:style w:type="character" w:styleId="IntenseQuoteChar" w:customStyle="1">
    <w:name w:val="Intense Quote Char"/>
    <w:basedOn w:val="DefaultParagraphFont"/>
    <w:link w:val="IntenseQuote"/>
    <w:uiPriority w:val="30"/>
    <w:qFormat/>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InternetLink">
    <w:name w:val="Hyperlink"/>
    <w:basedOn w:val="DefaultParagraphFont"/>
    <w:uiPriority w:val="99"/>
    <w:unhideWhenUsed/>
    <w:rPr>
      <w:color w:val="467886" w:themeColor="hyperlink"/>
      <w:u w:val="single"/>
    </w:rPr>
  </w:style>
  <w:style w:type="character" w:styleId="HeaderChar" w:customStyle="1">
    <w:name w:val="Header Char"/>
    <w:basedOn w:val="DefaultParagraphFont"/>
    <w:link w:val="Header"/>
    <w:uiPriority w:val="99"/>
    <w:qFormat/>
    <w:rsid w:val="00d618ab"/>
    <w:rPr/>
  </w:style>
  <w:style w:type="character" w:styleId="FooterChar" w:customStyle="1">
    <w:name w:val="Footer Char"/>
    <w:basedOn w:val="DefaultParagraphFont"/>
    <w:link w:val="Footer"/>
    <w:uiPriority w:val="99"/>
    <w:qFormat/>
    <w:rsid w:val="00d618ab"/>
    <w:rPr/>
  </w:style>
  <w:style w:type="character" w:styleId="Emphasis">
    <w:name w:val="Emphasis"/>
    <w:basedOn w:val="DefaultParagraphFont"/>
    <w:uiPriority w:val="20"/>
    <w:qFormat/>
    <w:rsid w:val="0028616e"/>
    <w:rPr>
      <w:i/>
      <w:iCs/>
    </w:rPr>
  </w:style>
  <w:style w:type="character" w:styleId="UnresolvedMention">
    <w:name w:val="Unresolved Mention"/>
    <w:basedOn w:val="DefaultParagraphFont"/>
    <w:uiPriority w:val="99"/>
    <w:semiHidden/>
    <w:unhideWhenUsed/>
    <w:qFormat/>
    <w:rsid w:val="0028616e"/>
    <w:rPr>
      <w:color w:val="605E5C"/>
      <w:shd w:fill="E1DFDD" w:val="clear"/>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link w:val="TitleChar"/>
    <w:uiPriority w:val="10"/>
    <w:qFormat/>
    <w:pPr>
      <w:spacing w:lineRule="auto" w:line="240" w:before="0" w:after="80"/>
      <w:contextualSpacing/>
    </w:pPr>
    <w:rPr>
      <w:rFonts w:ascii="Aptos Display" w:hAnsi="Aptos Display" w:eastAsia="宋体" w:cs="Times New Roman"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pPr/>
    <w:rPr>
      <w:rFonts w:eastAsia="宋体" w:cs="Times New Roman"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ListParagraph">
    <w:name w:val="List Paragraph"/>
    <w:basedOn w:val="Normal"/>
    <w:uiPriority w:val="34"/>
    <w:qFormat/>
    <w:pPr>
      <w:spacing w:before="0" w:after="160"/>
      <w:ind w:left="720" w:hanging="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d618ab"/>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d618ab"/>
    <w:pPr>
      <w:tabs>
        <w:tab w:val="clear" w:pos="720"/>
        <w:tab w:val="center" w:pos="4513" w:leader="none"/>
        <w:tab w:val="right" w:pos="9026" w:leader="none"/>
      </w:tabs>
      <w:spacing w:lineRule="auto" w:line="240" w:before="0" w:after="0"/>
    </w:pPr>
    <w:rPr/>
  </w:style>
  <w:style w:type="paragraph" w:styleId="NormalWeb">
    <w:name w:val="Normal (Web)"/>
    <w:basedOn w:val="Normal"/>
    <w:uiPriority w:val="99"/>
    <w:semiHidden/>
    <w:unhideWhenUsed/>
    <w:qFormat/>
    <w:rsid w:val="009431fc"/>
    <w:pPr>
      <w:spacing w:lineRule="auto" w:line="240" w:beforeAutospacing="1" w:afterAutospacing="1"/>
    </w:pPr>
    <w:rPr>
      <w:rFonts w:ascii="Times New Roman" w:hAnsi="Times New Roman" w:eastAsia="Times New Roman" w:cs="Times New Roman"/>
      <w:lang w:eastAsia="en-U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books.google.com/books?id=6ZlA5rsoxjsC" TargetMode="External"/><Relationship Id="rId4" Type="http://schemas.openxmlformats.org/officeDocument/2006/relationships/hyperlink" Target="https://doi.org/10.1177/1059601101263004" TargetMode="External"/><Relationship Id="rId5" Type="http://schemas.openxmlformats.org/officeDocument/2006/relationships/hyperlink" Target="https://doi.org/10.3389/fpsyg.2018.02238" TargetMode="External"/><Relationship Id="rId6" Type="http://schemas.openxmlformats.org/officeDocument/2006/relationships/hyperlink" Target="https://doi.org/10.1086/225469" TargetMode="External"/><Relationship Id="rId7" Type="http://schemas.openxmlformats.org/officeDocument/2006/relationships/hyperlink" Target="https://www.scirp.org/reference/referencespapers?referenceid=1686937" TargetMode="External"/><Relationship Id="rId8" Type="http://schemas.openxmlformats.org/officeDocument/2006/relationships/hyperlink" Target="https://doi.org/10.1177/000271625127600135" TargetMode="External"/><Relationship Id="rId9" Type="http://schemas.openxmlformats.org/officeDocument/2006/relationships/hyperlink" Target="https://archive.org/details/authenticpersona0000ramp" TargetMode="External"/><Relationship Id="rId10" Type="http://schemas.openxmlformats.org/officeDocument/2006/relationships/hyperlink" Target="https://doi.org/10.7759/cureus.77683" TargetMode="External"/><Relationship Id="rId11" Type="http://schemas.openxmlformats.org/officeDocument/2006/relationships/hyperlink" Target="https://doi.org/10.1007/s11920-019-1017-0" TargetMode="External"/><Relationship Id="rId12" Type="http://schemas.openxmlformats.org/officeDocument/2006/relationships/footer" Target="footer1.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Application>LibreOffice/7.5.3.2$Windows_X86_64 LibreOffice_project/9f56dff12ba03b9acd7730a5a481eea045e468f3</Application>
  <AppVersion>15.0000</AppVersion>
  <Pages>11</Pages>
  <Words>2580</Words>
  <Characters>14267</Characters>
  <CharactersWithSpaces>16778</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2026-03-11T20:50:00Z</dcterms:created>
  <dc:creator>Parese Ahmed</dc:creator>
  <dc:description/>
  <dc:language>en-GB</dc:language>
  <cp:lastModifiedBy/>
  <dcterms:modified xsi:type="dcterms:W3CDTF">2026-03-24T11:40:27Z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