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02FF4" w14:textId="77777777" w:rsidR="00B86F7F" w:rsidRDefault="00B86F7F">
      <w:pPr>
        <w:rPr>
          <w:rFonts w:ascii="Arial" w:eastAsia="Times New Roman" w:hAnsi="Arial" w:cs="Arial"/>
          <w:sz w:val="72"/>
          <w:szCs w:val="72"/>
          <w:u w:val="single"/>
          <w:lang w:eastAsia="en-GB"/>
        </w:rPr>
      </w:pPr>
    </w:p>
    <w:p w14:paraId="01815C30" w14:textId="4D2C9109" w:rsidR="00B86F7F" w:rsidRDefault="00B86F7F">
      <w:pPr>
        <w:rPr>
          <w:rFonts w:ascii="Arial" w:eastAsia="Times New Roman" w:hAnsi="Arial" w:cs="Arial"/>
          <w:sz w:val="72"/>
          <w:szCs w:val="72"/>
          <w:u w:val="single"/>
          <w:lang w:eastAsia="en-GB"/>
        </w:rPr>
      </w:pPr>
      <w:r w:rsidRPr="00B86F7F">
        <w:rPr>
          <w:rFonts w:ascii="Arial" w:eastAsia="Times New Roman" w:hAnsi="Arial" w:cs="Arial"/>
          <w:sz w:val="72"/>
          <w:szCs w:val="72"/>
          <w:u w:val="single"/>
          <w:lang w:eastAsia="en-GB"/>
        </w:rPr>
        <w:t>Critically evaluate the processes and procedures adopted by the First Attending Officer (FAO) at a crime scene in order to reduce the possibilities of cross contamination (part A)</w:t>
      </w:r>
    </w:p>
    <w:p w14:paraId="41C4E79A" w14:textId="39F5D6E9" w:rsidR="00B86F7F" w:rsidRDefault="00B86F7F">
      <w:pPr>
        <w:rPr>
          <w:rFonts w:ascii="Arial" w:eastAsia="Times New Roman" w:hAnsi="Arial" w:cs="Arial"/>
          <w:sz w:val="72"/>
          <w:szCs w:val="72"/>
          <w:u w:val="single"/>
          <w:lang w:eastAsia="en-GB"/>
        </w:rPr>
      </w:pPr>
    </w:p>
    <w:p w14:paraId="27428BED" w14:textId="3EFED06D" w:rsidR="00B86F7F" w:rsidRDefault="00B86F7F">
      <w:pPr>
        <w:rPr>
          <w:rFonts w:ascii="Arial" w:eastAsia="Times New Roman" w:hAnsi="Arial" w:cs="Arial"/>
          <w:sz w:val="72"/>
          <w:szCs w:val="72"/>
          <w:u w:val="single"/>
          <w:lang w:eastAsia="en-GB"/>
        </w:rPr>
      </w:pPr>
    </w:p>
    <w:p w14:paraId="508EAA75" w14:textId="3E2BEB29" w:rsidR="00B86F7F" w:rsidRDefault="00B86F7F">
      <w:pPr>
        <w:rPr>
          <w:rFonts w:ascii="Arial" w:eastAsia="Times New Roman" w:hAnsi="Arial" w:cs="Arial"/>
          <w:sz w:val="52"/>
          <w:szCs w:val="52"/>
          <w:lang w:eastAsia="en-GB"/>
        </w:rPr>
      </w:pPr>
      <w:r w:rsidRPr="00B86F7F">
        <w:rPr>
          <w:rFonts w:ascii="Arial" w:eastAsia="Times New Roman" w:hAnsi="Arial" w:cs="Arial"/>
          <w:sz w:val="52"/>
          <w:szCs w:val="52"/>
          <w:lang w:eastAsia="en-GB"/>
        </w:rPr>
        <w:t xml:space="preserve">Forensic recovery </w:t>
      </w:r>
    </w:p>
    <w:p w14:paraId="35E960BB" w14:textId="22C3D76A" w:rsidR="00B86F7F" w:rsidRDefault="00B86F7F">
      <w:pPr>
        <w:rPr>
          <w:rFonts w:ascii="Arial" w:eastAsia="Times New Roman" w:hAnsi="Arial" w:cs="Arial"/>
          <w:sz w:val="52"/>
          <w:szCs w:val="52"/>
          <w:lang w:eastAsia="en-GB"/>
        </w:rPr>
      </w:pPr>
      <w:r>
        <w:rPr>
          <w:rFonts w:ascii="Arial" w:eastAsia="Times New Roman" w:hAnsi="Arial" w:cs="Arial"/>
          <w:sz w:val="52"/>
          <w:szCs w:val="52"/>
          <w:lang w:eastAsia="en-GB"/>
        </w:rPr>
        <w:t xml:space="preserve">Daniella Fewings </w:t>
      </w:r>
    </w:p>
    <w:p w14:paraId="4E2BD300" w14:textId="25A038D6" w:rsidR="00B86F7F" w:rsidRDefault="00B86F7F">
      <w:pPr>
        <w:rPr>
          <w:rFonts w:ascii="Arial" w:eastAsia="Times New Roman" w:hAnsi="Arial" w:cs="Arial"/>
          <w:sz w:val="52"/>
          <w:szCs w:val="52"/>
          <w:lang w:eastAsia="en-GB"/>
        </w:rPr>
      </w:pPr>
      <w:r>
        <w:rPr>
          <w:rFonts w:ascii="Arial" w:eastAsia="Times New Roman" w:hAnsi="Arial" w:cs="Arial"/>
          <w:sz w:val="52"/>
          <w:szCs w:val="52"/>
          <w:lang w:eastAsia="en-GB"/>
        </w:rPr>
        <w:t>1900678</w:t>
      </w:r>
    </w:p>
    <w:p w14:paraId="0EB13A4B" w14:textId="40160CD6" w:rsidR="00B86F7F" w:rsidRDefault="00B86F7F">
      <w:pPr>
        <w:rPr>
          <w:rFonts w:ascii="Arial" w:eastAsia="Times New Roman" w:hAnsi="Arial" w:cs="Arial"/>
          <w:sz w:val="52"/>
          <w:szCs w:val="52"/>
          <w:lang w:eastAsia="en-GB"/>
        </w:rPr>
      </w:pPr>
    </w:p>
    <w:p w14:paraId="296B41BA" w14:textId="77777777" w:rsidR="00AC6A95" w:rsidRDefault="00AC6A95" w:rsidP="00AC6A95">
      <w:pPr>
        <w:spacing w:line="360" w:lineRule="auto"/>
        <w:rPr>
          <w:rFonts w:ascii="Arial" w:eastAsia="Times New Roman" w:hAnsi="Arial" w:cs="Arial"/>
          <w:sz w:val="52"/>
          <w:szCs w:val="52"/>
          <w:lang w:eastAsia="en-GB"/>
        </w:rPr>
      </w:pPr>
    </w:p>
    <w:p w14:paraId="08FE9045" w14:textId="12B34D68" w:rsidR="007E32D2" w:rsidRDefault="00D014BE" w:rsidP="00AC6A95">
      <w:pPr>
        <w:spacing w:line="360" w:lineRule="auto"/>
        <w:rPr>
          <w:rFonts w:ascii="Arial" w:eastAsia="Times New Roman" w:hAnsi="Arial" w:cs="Arial"/>
          <w:sz w:val="24"/>
          <w:szCs w:val="24"/>
          <w:lang w:eastAsia="en-GB"/>
        </w:rPr>
      </w:pPr>
      <w:r w:rsidRPr="00AC6A95">
        <w:rPr>
          <w:rFonts w:ascii="Arial" w:hAnsi="Arial" w:cs="Arial"/>
          <w:sz w:val="24"/>
          <w:szCs w:val="24"/>
        </w:rPr>
        <w:lastRenderedPageBreak/>
        <w:t xml:space="preserve">Investigating a crime scene and performing forensic analysis using specialised procedures and techniques can generate evidence in a variety of ways, including proving that a crime was committed, excluding a suspect from a scene, and connecting a suspect to a scene. Establishing the identify of a victim, suspect, or witness </w:t>
      </w:r>
      <w:r w:rsidR="00BD1B61" w:rsidRPr="00AC6A95">
        <w:rPr>
          <w:rFonts w:ascii="Arial" w:hAnsi="Arial" w:cs="Arial"/>
          <w:sz w:val="24"/>
          <w:szCs w:val="24"/>
        </w:rPr>
        <w:t>to</w:t>
      </w:r>
      <w:r w:rsidRPr="00AC6A95">
        <w:rPr>
          <w:rFonts w:ascii="Arial" w:hAnsi="Arial" w:cs="Arial"/>
          <w:sz w:val="24"/>
          <w:szCs w:val="24"/>
        </w:rPr>
        <w:t xml:space="preserve"> confirm or deny witness accounts. </w:t>
      </w:r>
      <w:r w:rsidR="00BD1B61" w:rsidRPr="00AC6A95">
        <w:rPr>
          <w:rFonts w:ascii="Arial" w:hAnsi="Arial" w:cs="Arial"/>
          <w:sz w:val="24"/>
          <w:szCs w:val="24"/>
        </w:rPr>
        <w:t>Forensics</w:t>
      </w:r>
      <w:r w:rsidRPr="00AC6A95">
        <w:rPr>
          <w:rFonts w:ascii="Arial" w:hAnsi="Arial" w:cs="Arial"/>
          <w:sz w:val="24"/>
          <w:szCs w:val="24"/>
        </w:rPr>
        <w:t xml:space="preserve"> an also provide evidence by interpreting the scene in connection to movements inside the scene and sequences of events in order to link crime scenes and provide intelligence on criminal patterns</w:t>
      </w:r>
      <w:r w:rsidR="001813EC" w:rsidRPr="00AC6A95">
        <w:rPr>
          <w:rFonts w:ascii="Arial" w:hAnsi="Arial" w:cs="Arial"/>
          <w:sz w:val="24"/>
          <w:szCs w:val="24"/>
        </w:rPr>
        <w:t xml:space="preserve"> (College of policing, 2022)</w:t>
      </w:r>
      <w:r w:rsidR="00600414" w:rsidRPr="00AC6A95">
        <w:rPr>
          <w:rFonts w:ascii="Arial" w:hAnsi="Arial" w:cs="Arial"/>
          <w:sz w:val="24"/>
          <w:szCs w:val="24"/>
        </w:rPr>
        <w:t xml:space="preserve">. </w:t>
      </w:r>
      <w:r w:rsidR="00600414" w:rsidRPr="00AC6A95">
        <w:rPr>
          <w:rFonts w:ascii="Arial" w:hAnsi="Arial" w:cs="Arial"/>
          <w:sz w:val="24"/>
          <w:szCs w:val="24"/>
        </w:rPr>
        <w:t xml:space="preserve">The principle of exchange was developed by </w:t>
      </w:r>
      <w:proofErr w:type="spellStart"/>
      <w:r w:rsidR="00600414" w:rsidRPr="00AC6A95">
        <w:rPr>
          <w:rFonts w:ascii="Arial" w:hAnsi="Arial" w:cs="Arial"/>
          <w:sz w:val="24"/>
          <w:szCs w:val="24"/>
        </w:rPr>
        <w:t>Dr.</w:t>
      </w:r>
      <w:proofErr w:type="spellEnd"/>
      <w:r w:rsidR="00600414" w:rsidRPr="00AC6A95">
        <w:rPr>
          <w:rFonts w:ascii="Arial" w:hAnsi="Arial" w:cs="Arial"/>
          <w:sz w:val="24"/>
          <w:szCs w:val="24"/>
        </w:rPr>
        <w:t xml:space="preserve"> Edmond </w:t>
      </w:r>
      <w:proofErr w:type="spellStart"/>
      <w:r w:rsidR="00600414" w:rsidRPr="00AC6A95">
        <w:rPr>
          <w:rFonts w:ascii="Arial" w:hAnsi="Arial" w:cs="Arial"/>
          <w:sz w:val="24"/>
          <w:szCs w:val="24"/>
        </w:rPr>
        <w:t>Locard</w:t>
      </w:r>
      <w:proofErr w:type="spellEnd"/>
      <w:r w:rsidR="00600414" w:rsidRPr="00AC6A95">
        <w:rPr>
          <w:rFonts w:ascii="Arial" w:hAnsi="Arial" w:cs="Arial"/>
          <w:sz w:val="24"/>
          <w:szCs w:val="24"/>
        </w:rPr>
        <w:t>. This indicates that when someone enters a scene, they both take something from the scene and leave something behind. Every encounter, no matter how insignificant, leaves a trace. Fingerprints, DNA, fibres, and footwear marks are examples of this</w:t>
      </w:r>
      <w:r w:rsidR="0056479A" w:rsidRPr="00AC6A95">
        <w:rPr>
          <w:rFonts w:ascii="Arial" w:hAnsi="Arial" w:cs="Arial"/>
          <w:sz w:val="24"/>
          <w:szCs w:val="24"/>
        </w:rPr>
        <w:t xml:space="preserve"> (</w:t>
      </w:r>
      <w:r w:rsidR="007E32D2" w:rsidRPr="00AC6A95">
        <w:rPr>
          <w:rFonts w:ascii="Arial" w:eastAsia="Times New Roman" w:hAnsi="Arial" w:cs="Arial"/>
          <w:sz w:val="24"/>
          <w:szCs w:val="24"/>
          <w:lang w:eastAsia="en-GB"/>
        </w:rPr>
        <w:t>Andre, 2009)</w:t>
      </w:r>
      <w:r w:rsidR="00AC6A95" w:rsidRPr="00AC6A95">
        <w:rPr>
          <w:rFonts w:ascii="Arial" w:eastAsia="Times New Roman" w:hAnsi="Arial" w:cs="Arial"/>
          <w:sz w:val="24"/>
          <w:szCs w:val="24"/>
          <w:lang w:eastAsia="en-GB"/>
        </w:rPr>
        <w:t xml:space="preserve">. </w:t>
      </w:r>
      <w:r w:rsidR="00AC6A95" w:rsidRPr="00AC6A95">
        <w:rPr>
          <w:rFonts w:ascii="Arial" w:eastAsia="Times New Roman" w:hAnsi="Arial" w:cs="Arial"/>
          <w:sz w:val="24"/>
          <w:szCs w:val="24"/>
          <w:lang w:eastAsia="en-GB"/>
        </w:rPr>
        <w:t xml:space="preserve">Objects or substances that </w:t>
      </w:r>
      <w:r w:rsidR="005203EF">
        <w:rPr>
          <w:rFonts w:ascii="Arial" w:eastAsia="Times New Roman" w:hAnsi="Arial" w:cs="Arial"/>
          <w:sz w:val="24"/>
          <w:szCs w:val="24"/>
          <w:lang w:eastAsia="en-GB"/>
        </w:rPr>
        <w:t xml:space="preserve">encounter with </w:t>
      </w:r>
      <w:r w:rsidR="00AC6A95" w:rsidRPr="00AC6A95">
        <w:rPr>
          <w:rFonts w:ascii="Arial" w:eastAsia="Times New Roman" w:hAnsi="Arial" w:cs="Arial"/>
          <w:sz w:val="24"/>
          <w:szCs w:val="24"/>
          <w:lang w:eastAsia="en-GB"/>
        </w:rPr>
        <w:t xml:space="preserve">others and leave a small sample on the contact areas are the most common cause of this </w:t>
      </w:r>
      <w:r w:rsidR="005203EF" w:rsidRPr="00AC6A95">
        <w:rPr>
          <w:rFonts w:ascii="Arial" w:eastAsia="Times New Roman" w:hAnsi="Arial" w:cs="Arial"/>
          <w:sz w:val="24"/>
          <w:szCs w:val="24"/>
          <w:lang w:eastAsia="en-GB"/>
        </w:rPr>
        <w:t>trace. Tracing</w:t>
      </w:r>
      <w:r w:rsidR="00AC6A95" w:rsidRPr="00AC6A95">
        <w:rPr>
          <w:rFonts w:ascii="Arial" w:eastAsia="Times New Roman" w:hAnsi="Arial" w:cs="Arial"/>
          <w:sz w:val="24"/>
          <w:szCs w:val="24"/>
          <w:lang w:eastAsia="en-GB"/>
        </w:rPr>
        <w:t xml:space="preserve"> the provenance of a foreign object or piece of evidence brought to a crime scene can aid an investigation. Similarly, discovering trace evidence from the victim or the murder scene on a suspect might have a significant impact on the case.</w:t>
      </w:r>
      <w:r w:rsidR="00AC6A95" w:rsidRPr="00AC6A95">
        <w:rPr>
          <w:rFonts w:ascii="Arial" w:eastAsia="Times New Roman" w:hAnsi="Arial" w:cs="Arial"/>
          <w:sz w:val="24"/>
          <w:szCs w:val="24"/>
          <w:lang w:eastAsia="en-GB"/>
        </w:rPr>
        <w:t xml:space="preserve"> </w:t>
      </w:r>
      <w:r w:rsidR="00AC6A95" w:rsidRPr="00AC6A95">
        <w:rPr>
          <w:rFonts w:ascii="Arial" w:eastAsia="Times New Roman" w:hAnsi="Arial" w:cs="Arial"/>
          <w:sz w:val="24"/>
          <w:szCs w:val="24"/>
          <w:lang w:eastAsia="en-GB"/>
        </w:rPr>
        <w:t>If processes and practises to prevent cross contamination are not followed, this concept might result in material contamination</w:t>
      </w:r>
      <w:r w:rsidR="00AC6A95">
        <w:rPr>
          <w:rFonts w:ascii="Arial" w:eastAsia="Times New Roman" w:hAnsi="Arial" w:cs="Arial"/>
          <w:sz w:val="24"/>
          <w:szCs w:val="24"/>
          <w:lang w:eastAsia="en-GB"/>
        </w:rPr>
        <w:t xml:space="preserve"> (College of Policing, 2022). </w:t>
      </w:r>
      <w:r w:rsidR="00701C06" w:rsidRPr="00701C06">
        <w:rPr>
          <w:rFonts w:ascii="Arial" w:eastAsia="Times New Roman" w:hAnsi="Arial" w:cs="Arial"/>
          <w:sz w:val="24"/>
          <w:szCs w:val="24"/>
          <w:lang w:eastAsia="en-GB"/>
        </w:rPr>
        <w:t xml:space="preserve">Contamination can occur directly, often known as 'primary transfer,' such as when an examiner's saliva or dandruff lands on an exhibit. Multiple step transfers of a particular source, for instance, through one scene to another through contaminated equipment (including certain cameras, tripods, and step plates) not adequately cleaned from previous scenes are referred to </w:t>
      </w:r>
      <w:r w:rsidR="00701C06" w:rsidRPr="00701C06">
        <w:rPr>
          <w:rFonts w:ascii="Arial" w:eastAsia="Times New Roman" w:hAnsi="Arial" w:cs="Arial"/>
          <w:sz w:val="24"/>
          <w:szCs w:val="24"/>
          <w:lang w:eastAsia="en-GB"/>
        </w:rPr>
        <w:t>as ‘secondary</w:t>
      </w:r>
      <w:r w:rsidR="00701C06" w:rsidRPr="00701C06">
        <w:rPr>
          <w:rFonts w:ascii="Arial" w:eastAsia="Times New Roman" w:hAnsi="Arial" w:cs="Arial"/>
          <w:sz w:val="24"/>
          <w:szCs w:val="24"/>
          <w:lang w:eastAsia="en-GB"/>
        </w:rPr>
        <w:t xml:space="preserve"> transfer' or 'tertiary transfer'</w:t>
      </w:r>
      <w:r w:rsidR="007768AE">
        <w:rPr>
          <w:rFonts w:ascii="Arial" w:eastAsia="Times New Roman" w:hAnsi="Arial" w:cs="Arial"/>
          <w:sz w:val="24"/>
          <w:szCs w:val="24"/>
          <w:lang w:eastAsia="en-GB"/>
        </w:rPr>
        <w:t xml:space="preserve"> </w:t>
      </w:r>
      <w:r w:rsidR="007768AE" w:rsidRPr="00645F28">
        <w:rPr>
          <w:rFonts w:ascii="Arial" w:eastAsia="Times New Roman" w:hAnsi="Arial" w:cs="Arial"/>
          <w:sz w:val="24"/>
          <w:szCs w:val="24"/>
          <w:highlight w:val="yellow"/>
          <w:lang w:eastAsia="en-GB"/>
        </w:rPr>
        <w:t>(</w:t>
      </w:r>
      <w:proofErr w:type="spellStart"/>
      <w:r w:rsidR="004B00F8" w:rsidRPr="00645F28">
        <w:rPr>
          <w:rFonts w:ascii="Arial" w:eastAsia="Times New Roman" w:hAnsi="Arial" w:cs="Arial"/>
          <w:sz w:val="24"/>
          <w:szCs w:val="24"/>
          <w:highlight w:val="yellow"/>
          <w:lang w:eastAsia="en-GB"/>
        </w:rPr>
        <w:t>Blackstones</w:t>
      </w:r>
      <w:proofErr w:type="spellEnd"/>
      <w:r w:rsidR="001415E1" w:rsidRPr="00645F28">
        <w:rPr>
          <w:rFonts w:ascii="Arial" w:eastAsia="Times New Roman" w:hAnsi="Arial" w:cs="Arial"/>
          <w:sz w:val="24"/>
          <w:szCs w:val="24"/>
          <w:highlight w:val="yellow"/>
          <w:lang w:eastAsia="en-GB"/>
        </w:rPr>
        <w:t>, 2021</w:t>
      </w:r>
      <w:r w:rsidR="00645F28" w:rsidRPr="00645F28">
        <w:rPr>
          <w:rFonts w:ascii="Arial" w:eastAsia="Times New Roman" w:hAnsi="Arial" w:cs="Arial"/>
          <w:sz w:val="24"/>
          <w:szCs w:val="24"/>
          <w:highlight w:val="yellow"/>
          <w:lang w:eastAsia="en-GB"/>
        </w:rPr>
        <w:t>, p.</w:t>
      </w:r>
      <w:r w:rsidR="001415E1" w:rsidRPr="00645F28">
        <w:rPr>
          <w:rFonts w:ascii="Arial" w:eastAsia="Times New Roman" w:hAnsi="Arial" w:cs="Arial"/>
          <w:sz w:val="24"/>
          <w:szCs w:val="24"/>
          <w:highlight w:val="yellow"/>
          <w:lang w:eastAsia="en-GB"/>
        </w:rPr>
        <w:t>).</w:t>
      </w:r>
      <w:r w:rsidR="001415E1">
        <w:rPr>
          <w:rFonts w:ascii="Arial" w:eastAsia="Times New Roman" w:hAnsi="Arial" w:cs="Arial"/>
          <w:sz w:val="24"/>
          <w:szCs w:val="24"/>
          <w:lang w:eastAsia="en-GB"/>
        </w:rPr>
        <w:t xml:space="preserve"> </w:t>
      </w:r>
    </w:p>
    <w:p w14:paraId="03AD4CD3" w14:textId="2A68FD6A" w:rsidR="00964C94" w:rsidRDefault="00964C94" w:rsidP="00AC6A95">
      <w:pPr>
        <w:spacing w:line="360" w:lineRule="auto"/>
        <w:rPr>
          <w:rFonts w:ascii="Arial" w:eastAsia="Times New Roman" w:hAnsi="Arial" w:cs="Arial"/>
          <w:sz w:val="24"/>
          <w:szCs w:val="24"/>
          <w:lang w:eastAsia="en-GB"/>
        </w:rPr>
      </w:pPr>
    </w:p>
    <w:p w14:paraId="18CE9F48" w14:textId="0932F526" w:rsidR="00964C94" w:rsidRDefault="00F1491A" w:rsidP="00AC6A95">
      <w:pPr>
        <w:spacing w:line="360" w:lineRule="auto"/>
        <w:rPr>
          <w:rFonts w:ascii="Arial" w:eastAsia="Times New Roman" w:hAnsi="Arial" w:cs="Arial"/>
          <w:sz w:val="24"/>
          <w:szCs w:val="24"/>
          <w:lang w:eastAsia="en-GB"/>
        </w:rPr>
      </w:pPr>
      <w:r w:rsidRPr="00F1491A">
        <w:rPr>
          <w:rFonts w:ascii="Arial" w:eastAsia="Times New Roman" w:hAnsi="Arial" w:cs="Arial"/>
          <w:sz w:val="24"/>
          <w:szCs w:val="24"/>
          <w:lang w:eastAsia="en-GB"/>
        </w:rPr>
        <w:t>In an emergency or big incident, the police's primary responsibility is to secure the scene. Setting up an advance command post, cordoning off areas, controlling the scene entry control point, finding and managing rendezvous spots, handling early traffic concerns, and identifying and managing marshalling zones are just a few of the responsibilities</w:t>
      </w:r>
      <w:r>
        <w:rPr>
          <w:rFonts w:ascii="Arial" w:eastAsia="Times New Roman" w:hAnsi="Arial" w:cs="Arial"/>
          <w:sz w:val="24"/>
          <w:szCs w:val="24"/>
          <w:lang w:eastAsia="en-GB"/>
        </w:rPr>
        <w:t xml:space="preserve"> for the first attending officers (College of Po</w:t>
      </w:r>
      <w:r w:rsidR="006747C1">
        <w:rPr>
          <w:rFonts w:ascii="Arial" w:eastAsia="Times New Roman" w:hAnsi="Arial" w:cs="Arial"/>
          <w:sz w:val="24"/>
          <w:szCs w:val="24"/>
          <w:lang w:eastAsia="en-GB"/>
        </w:rPr>
        <w:t>licin</w:t>
      </w:r>
      <w:r w:rsidR="00040B80">
        <w:rPr>
          <w:rFonts w:ascii="Arial" w:eastAsia="Times New Roman" w:hAnsi="Arial" w:cs="Arial"/>
          <w:sz w:val="24"/>
          <w:szCs w:val="24"/>
          <w:lang w:eastAsia="en-GB"/>
        </w:rPr>
        <w:t>g, 2021</w:t>
      </w:r>
      <w:r w:rsidR="005A470F">
        <w:rPr>
          <w:rFonts w:ascii="Arial" w:eastAsia="Times New Roman" w:hAnsi="Arial" w:cs="Arial"/>
          <w:sz w:val="24"/>
          <w:szCs w:val="24"/>
          <w:lang w:eastAsia="en-GB"/>
        </w:rPr>
        <w:t xml:space="preserve">) </w:t>
      </w:r>
      <w:r w:rsidR="005A17C5" w:rsidRPr="005A17C5">
        <w:rPr>
          <w:rFonts w:ascii="Arial" w:eastAsia="Times New Roman" w:hAnsi="Arial" w:cs="Arial"/>
          <w:sz w:val="24"/>
          <w:szCs w:val="24"/>
          <w:lang w:eastAsia="en-GB"/>
        </w:rPr>
        <w:t xml:space="preserve">The incident </w:t>
      </w:r>
      <w:r w:rsidR="00242ADB" w:rsidRPr="005A17C5">
        <w:rPr>
          <w:rFonts w:ascii="Arial" w:eastAsia="Times New Roman" w:hAnsi="Arial" w:cs="Arial"/>
          <w:sz w:val="24"/>
          <w:szCs w:val="24"/>
          <w:lang w:eastAsia="en-GB"/>
        </w:rPr>
        <w:t>officer’s management</w:t>
      </w:r>
      <w:r w:rsidR="005A17C5" w:rsidRPr="005A17C5">
        <w:rPr>
          <w:rFonts w:ascii="Arial" w:eastAsia="Times New Roman" w:hAnsi="Arial" w:cs="Arial"/>
          <w:sz w:val="24"/>
          <w:szCs w:val="24"/>
          <w:lang w:eastAsia="en-GB"/>
        </w:rPr>
        <w:t xml:space="preserve"> post and the central point of contact for all emergency and support services involved at the scene is the forward command post (FCP).</w:t>
      </w:r>
      <w:r w:rsidR="00997541">
        <w:rPr>
          <w:rFonts w:ascii="Arial" w:eastAsia="Times New Roman" w:hAnsi="Arial" w:cs="Arial"/>
          <w:sz w:val="24"/>
          <w:szCs w:val="24"/>
          <w:lang w:eastAsia="en-GB"/>
        </w:rPr>
        <w:t xml:space="preserve"> </w:t>
      </w:r>
      <w:r w:rsidR="00997541" w:rsidRPr="00997541">
        <w:rPr>
          <w:rFonts w:ascii="Arial" w:eastAsia="Times New Roman" w:hAnsi="Arial" w:cs="Arial"/>
          <w:sz w:val="24"/>
          <w:szCs w:val="24"/>
          <w:lang w:eastAsia="en-GB"/>
        </w:rPr>
        <w:t xml:space="preserve">Following a meeting with the commanders of other emergency services, cordons </w:t>
      </w:r>
      <w:r w:rsidR="00997541" w:rsidRPr="00997541">
        <w:rPr>
          <w:rFonts w:ascii="Arial" w:eastAsia="Times New Roman" w:hAnsi="Arial" w:cs="Arial"/>
          <w:sz w:val="24"/>
          <w:szCs w:val="24"/>
          <w:lang w:eastAsia="en-GB"/>
        </w:rPr>
        <w:lastRenderedPageBreak/>
        <w:t>should be set up as quickly as practicable. The silver commander of the fire and rescue service can advise on the size of the cordons in terms of dangers and health and safety. A cordon's goal is to help safeguard the site, the public, and those working there, control unauthorised access, prohibit unauthorised tampering with the scene, aid emergency services operations, and guarantee the scene's integrity is maintained for any inquiry</w:t>
      </w:r>
      <w:r w:rsidR="006F50E6">
        <w:rPr>
          <w:rFonts w:ascii="Arial" w:eastAsia="Times New Roman" w:hAnsi="Arial" w:cs="Arial"/>
          <w:sz w:val="24"/>
          <w:szCs w:val="24"/>
          <w:lang w:eastAsia="en-GB"/>
        </w:rPr>
        <w:t xml:space="preserve"> (College of policing, </w:t>
      </w:r>
      <w:r w:rsidR="00040B80">
        <w:rPr>
          <w:rFonts w:ascii="Arial" w:eastAsia="Times New Roman" w:hAnsi="Arial" w:cs="Arial"/>
          <w:sz w:val="24"/>
          <w:szCs w:val="24"/>
          <w:lang w:eastAsia="en-GB"/>
        </w:rPr>
        <w:t xml:space="preserve">2021). </w:t>
      </w:r>
      <w:r w:rsidR="00F8315D" w:rsidRPr="00F8315D">
        <w:rPr>
          <w:rFonts w:ascii="Arial" w:eastAsia="Times New Roman" w:hAnsi="Arial" w:cs="Arial"/>
          <w:sz w:val="24"/>
          <w:szCs w:val="24"/>
          <w:lang w:eastAsia="en-GB"/>
        </w:rPr>
        <w:t>The inner cordon encloses the incident location and contains any hazardous or contaminated areas. The fire and rescue department, in collaboration with medical personnel, may be in charge of the inner cordon area during the rescue phase. The inner cordon is marked with red and white tape. The situation determines the size of the inner cordon.</w:t>
      </w:r>
      <w:r w:rsidR="002B45EA">
        <w:rPr>
          <w:rFonts w:ascii="Arial" w:eastAsia="Times New Roman" w:hAnsi="Arial" w:cs="Arial"/>
          <w:sz w:val="24"/>
          <w:szCs w:val="24"/>
          <w:lang w:eastAsia="en-GB"/>
        </w:rPr>
        <w:t xml:space="preserve"> </w:t>
      </w:r>
      <w:r w:rsidR="002B45EA" w:rsidRPr="002B45EA">
        <w:rPr>
          <w:rFonts w:ascii="Arial" w:eastAsia="Times New Roman" w:hAnsi="Arial" w:cs="Arial"/>
          <w:sz w:val="24"/>
          <w:szCs w:val="24"/>
          <w:lang w:eastAsia="en-GB"/>
        </w:rPr>
        <w:t>For emergency services and response agencies, the outer cordon provides a secure operating environment. The radius of the roped area is determined by the type and scale of the incident, resource availability, and community needs.   Blue-and-white tape, preferably prominently marked with the term police, designates an outside perimeter.</w:t>
      </w:r>
      <w:r w:rsidR="002B45EA">
        <w:rPr>
          <w:rFonts w:ascii="Arial" w:eastAsia="Times New Roman" w:hAnsi="Arial" w:cs="Arial"/>
          <w:sz w:val="24"/>
          <w:szCs w:val="24"/>
          <w:lang w:eastAsia="en-GB"/>
        </w:rPr>
        <w:t xml:space="preserve"> (College of policing, 2021).</w:t>
      </w:r>
    </w:p>
    <w:p w14:paraId="6CDA6FC4" w14:textId="77777777" w:rsidR="005A17C5" w:rsidRDefault="005A17C5" w:rsidP="00586BBF">
      <w:pPr>
        <w:spacing w:line="360" w:lineRule="auto"/>
        <w:rPr>
          <w:rFonts w:ascii="Arial" w:eastAsia="Times New Roman" w:hAnsi="Arial" w:cs="Arial"/>
          <w:sz w:val="24"/>
          <w:szCs w:val="24"/>
          <w:lang w:eastAsia="en-GB"/>
        </w:rPr>
      </w:pPr>
    </w:p>
    <w:p w14:paraId="4F9936E8" w14:textId="77777777" w:rsidR="005A17C5" w:rsidRDefault="005A17C5" w:rsidP="00586BBF">
      <w:pPr>
        <w:spacing w:line="360" w:lineRule="auto"/>
        <w:rPr>
          <w:rFonts w:ascii="Arial" w:eastAsia="Times New Roman" w:hAnsi="Arial" w:cs="Arial"/>
          <w:sz w:val="24"/>
          <w:szCs w:val="24"/>
          <w:lang w:eastAsia="en-GB"/>
        </w:rPr>
      </w:pPr>
    </w:p>
    <w:p w14:paraId="7193F319" w14:textId="77777777" w:rsidR="005A17C5" w:rsidRDefault="005A17C5" w:rsidP="00586BBF">
      <w:pPr>
        <w:spacing w:line="360" w:lineRule="auto"/>
        <w:rPr>
          <w:rFonts w:ascii="Arial" w:eastAsia="Times New Roman" w:hAnsi="Arial" w:cs="Arial"/>
          <w:sz w:val="24"/>
          <w:szCs w:val="24"/>
          <w:lang w:eastAsia="en-GB"/>
        </w:rPr>
      </w:pPr>
    </w:p>
    <w:p w14:paraId="1DBC76DD" w14:textId="77777777" w:rsidR="005A17C5" w:rsidRDefault="005A17C5" w:rsidP="00586BBF">
      <w:pPr>
        <w:spacing w:line="360" w:lineRule="auto"/>
        <w:rPr>
          <w:rFonts w:ascii="Arial" w:eastAsia="Times New Roman" w:hAnsi="Arial" w:cs="Arial"/>
          <w:sz w:val="24"/>
          <w:szCs w:val="24"/>
          <w:lang w:eastAsia="en-GB"/>
        </w:rPr>
      </w:pPr>
    </w:p>
    <w:p w14:paraId="269AF846" w14:textId="53E1EFE1" w:rsidR="00B9646A" w:rsidRDefault="00652D0B" w:rsidP="00586BBF">
      <w:pPr>
        <w:spacing w:line="360" w:lineRule="auto"/>
        <w:rPr>
          <w:rFonts w:ascii="Arial" w:hAnsi="Arial" w:cs="Arial"/>
          <w:sz w:val="24"/>
          <w:szCs w:val="24"/>
          <w:shd w:val="clear" w:color="auto" w:fill="FFFFFF"/>
        </w:rPr>
      </w:pPr>
      <w:r w:rsidRPr="00652D0B">
        <w:rPr>
          <w:rFonts w:ascii="Arial" w:eastAsia="Times New Roman" w:hAnsi="Arial" w:cs="Arial"/>
          <w:sz w:val="24"/>
          <w:szCs w:val="24"/>
          <w:lang w:eastAsia="en-GB"/>
        </w:rPr>
        <w:t xml:space="preserve">Those in charge of acquiring and collecting evidence should make evidence preservation a primary priority. Both pre-collection and post-collection evidence are covered by evidence gathering protocols. Evidence may be contaminated or destroyed if it is not properly kept prior to collection. Evidence may deteriorate if it is not properly preserved and stored before forensic investigation or testing, </w:t>
      </w:r>
      <w:r w:rsidR="004A392A" w:rsidRPr="00652D0B">
        <w:rPr>
          <w:rFonts w:ascii="Arial" w:eastAsia="Times New Roman" w:hAnsi="Arial" w:cs="Arial"/>
          <w:sz w:val="24"/>
          <w:szCs w:val="24"/>
          <w:lang w:eastAsia="en-GB"/>
        </w:rPr>
        <w:t>damaging,</w:t>
      </w:r>
      <w:r w:rsidRPr="00652D0B">
        <w:rPr>
          <w:rFonts w:ascii="Arial" w:eastAsia="Times New Roman" w:hAnsi="Arial" w:cs="Arial"/>
          <w:sz w:val="24"/>
          <w:szCs w:val="24"/>
          <w:lang w:eastAsia="en-GB"/>
        </w:rPr>
        <w:t xml:space="preserve"> or depreciating it as a source of information</w:t>
      </w:r>
      <w:r>
        <w:rPr>
          <w:rFonts w:ascii="Arial" w:eastAsia="Times New Roman" w:hAnsi="Arial" w:cs="Arial"/>
          <w:sz w:val="24"/>
          <w:szCs w:val="24"/>
          <w:lang w:eastAsia="en-GB"/>
        </w:rPr>
        <w:t xml:space="preserve"> </w:t>
      </w:r>
      <w:r w:rsidRPr="00B9646A">
        <w:rPr>
          <w:rFonts w:ascii="Arial" w:eastAsia="Times New Roman" w:hAnsi="Arial" w:cs="Arial"/>
          <w:sz w:val="24"/>
          <w:szCs w:val="24"/>
          <w:lang w:eastAsia="en-GB"/>
        </w:rPr>
        <w:t>(</w:t>
      </w:r>
      <w:r w:rsidR="00B9646A" w:rsidRPr="00B9646A">
        <w:rPr>
          <w:rFonts w:ascii="Arial" w:hAnsi="Arial" w:cs="Arial"/>
          <w:shd w:val="clear" w:color="auto" w:fill="FFFFFF"/>
        </w:rPr>
        <w:t>Forensic Science Regulator</w:t>
      </w:r>
      <w:r w:rsidR="00B9646A" w:rsidRPr="00B9646A">
        <w:rPr>
          <w:rFonts w:ascii="Arial" w:hAnsi="Arial" w:cs="Arial"/>
          <w:shd w:val="clear" w:color="auto" w:fill="FFFFFF"/>
        </w:rPr>
        <w:t>, 2020)</w:t>
      </w:r>
      <w:r w:rsidR="00B9646A">
        <w:rPr>
          <w:rFonts w:ascii="Arial" w:hAnsi="Arial" w:cs="Arial"/>
          <w:shd w:val="clear" w:color="auto" w:fill="FFFFFF"/>
        </w:rPr>
        <w:t>.</w:t>
      </w:r>
      <w:r w:rsidR="00353BC0">
        <w:rPr>
          <w:rFonts w:ascii="Arial" w:hAnsi="Arial" w:cs="Arial"/>
          <w:shd w:val="clear" w:color="auto" w:fill="FFFFFF"/>
        </w:rPr>
        <w:t xml:space="preserve"> </w:t>
      </w:r>
      <w:r w:rsidR="00353BC0" w:rsidRPr="00353BC0">
        <w:rPr>
          <w:rFonts w:ascii="Arial" w:hAnsi="Arial" w:cs="Arial"/>
          <w:shd w:val="clear" w:color="auto" w:fill="FFFFFF"/>
        </w:rPr>
        <w:t> </w:t>
      </w:r>
      <w:r w:rsidR="00353BC0">
        <w:rPr>
          <w:rFonts w:ascii="Arial" w:hAnsi="Arial" w:cs="Arial"/>
          <w:sz w:val="24"/>
          <w:szCs w:val="24"/>
          <w:shd w:val="clear" w:color="auto" w:fill="FFFFFF"/>
        </w:rPr>
        <w:t>S</w:t>
      </w:r>
      <w:r w:rsidR="00353BC0" w:rsidRPr="00353BC0">
        <w:rPr>
          <w:rFonts w:ascii="Arial" w:hAnsi="Arial" w:cs="Arial"/>
          <w:sz w:val="24"/>
          <w:szCs w:val="24"/>
          <w:shd w:val="clear" w:color="auto" w:fill="FFFFFF"/>
        </w:rPr>
        <w:t>upposedly second chances are never the same as the first go at things. Similarly, in forensic scene inspection, there is no way to recover evidence that has been destroyed or damaged due to bad decision-making during its identification, retrieval, and subsequent processing</w:t>
      </w:r>
      <w:r w:rsidR="00353BC0">
        <w:rPr>
          <w:rFonts w:ascii="Arial" w:hAnsi="Arial" w:cs="Arial"/>
          <w:sz w:val="24"/>
          <w:szCs w:val="24"/>
          <w:shd w:val="clear" w:color="auto" w:fill="FFFFFF"/>
        </w:rPr>
        <w:t xml:space="preserve"> (</w:t>
      </w:r>
      <w:r w:rsidR="003D73E7">
        <w:rPr>
          <w:rFonts w:ascii="Arial" w:hAnsi="Arial" w:cs="Arial"/>
          <w:sz w:val="24"/>
          <w:szCs w:val="24"/>
          <w:shd w:val="clear" w:color="auto" w:fill="FFFFFF"/>
        </w:rPr>
        <w:t>Rose, 2011).</w:t>
      </w:r>
      <w:r w:rsidR="00C00D4D">
        <w:rPr>
          <w:rFonts w:ascii="Arial" w:hAnsi="Arial" w:cs="Arial"/>
          <w:sz w:val="24"/>
          <w:szCs w:val="24"/>
          <w:shd w:val="clear" w:color="auto" w:fill="FFFFFF"/>
        </w:rPr>
        <w:t xml:space="preserve"> In addition to this </w:t>
      </w:r>
      <w:r w:rsidR="004D0410">
        <w:rPr>
          <w:rFonts w:ascii="Arial" w:hAnsi="Arial" w:cs="Arial"/>
          <w:sz w:val="24"/>
          <w:szCs w:val="24"/>
          <w:shd w:val="clear" w:color="auto" w:fill="FFFFFF"/>
        </w:rPr>
        <w:t xml:space="preserve">the </w:t>
      </w:r>
      <w:r w:rsidR="004D0410" w:rsidRPr="004D0410">
        <w:rPr>
          <w:rFonts w:ascii="Arial" w:hAnsi="Arial" w:cs="Arial"/>
          <w:sz w:val="24"/>
          <w:szCs w:val="24"/>
          <w:shd w:val="clear" w:color="auto" w:fill="FFFFFF"/>
        </w:rPr>
        <w:t xml:space="preserve">term "golden hour" refers to the time period immediately following the commission of an offence, when police have access to large amounts of evidence. Positive action taken soon after a crime is reported reduces the quantity of evidence that could be lost to the </w:t>
      </w:r>
      <w:r w:rsidR="004D0410" w:rsidRPr="004D0410">
        <w:rPr>
          <w:rFonts w:ascii="Arial" w:hAnsi="Arial" w:cs="Arial"/>
          <w:sz w:val="24"/>
          <w:szCs w:val="24"/>
          <w:shd w:val="clear" w:color="auto" w:fill="FFFFFF"/>
        </w:rPr>
        <w:lastRenderedPageBreak/>
        <w:t>investigation and increases the chances of acquiring evidence that will be admissible in court</w:t>
      </w:r>
      <w:r w:rsidR="00AE481C">
        <w:rPr>
          <w:rFonts w:ascii="Arial" w:hAnsi="Arial" w:cs="Arial"/>
          <w:sz w:val="24"/>
          <w:szCs w:val="24"/>
          <w:shd w:val="clear" w:color="auto" w:fill="FFFFFF"/>
        </w:rPr>
        <w:t xml:space="preserve"> (College of Policing, 2021). </w:t>
      </w:r>
      <w:r w:rsidR="00D379FF">
        <w:rPr>
          <w:rFonts w:ascii="Arial" w:hAnsi="Arial" w:cs="Arial"/>
          <w:sz w:val="24"/>
          <w:szCs w:val="24"/>
          <w:shd w:val="clear" w:color="auto" w:fill="FFFFFF"/>
        </w:rPr>
        <w:t>The</w:t>
      </w:r>
      <w:r w:rsidR="008E5293">
        <w:rPr>
          <w:rFonts w:ascii="Arial" w:hAnsi="Arial" w:cs="Arial"/>
          <w:sz w:val="24"/>
          <w:szCs w:val="24"/>
          <w:shd w:val="clear" w:color="auto" w:fill="FFFFFF"/>
        </w:rPr>
        <w:t>re are many</w:t>
      </w:r>
      <w:r w:rsidR="007E2E07">
        <w:rPr>
          <w:rFonts w:ascii="Arial" w:hAnsi="Arial" w:cs="Arial"/>
          <w:sz w:val="24"/>
          <w:szCs w:val="24"/>
          <w:shd w:val="clear" w:color="auto" w:fill="FFFFFF"/>
        </w:rPr>
        <w:t xml:space="preserve"> positives of</w:t>
      </w:r>
      <w:r w:rsidR="00A31951">
        <w:rPr>
          <w:rFonts w:ascii="Arial" w:hAnsi="Arial" w:cs="Arial"/>
          <w:sz w:val="24"/>
          <w:szCs w:val="24"/>
          <w:shd w:val="clear" w:color="auto" w:fill="FFFFFF"/>
        </w:rPr>
        <w:t xml:space="preserve"> the</w:t>
      </w:r>
      <w:r w:rsidR="007E2E07">
        <w:rPr>
          <w:rFonts w:ascii="Arial" w:hAnsi="Arial" w:cs="Arial"/>
          <w:sz w:val="24"/>
          <w:szCs w:val="24"/>
          <w:shd w:val="clear" w:color="auto" w:fill="FFFFFF"/>
        </w:rPr>
        <w:t xml:space="preserve"> golden hour </w:t>
      </w:r>
      <w:r w:rsidR="00A31951">
        <w:rPr>
          <w:rFonts w:ascii="Arial" w:hAnsi="Arial" w:cs="Arial"/>
          <w:sz w:val="24"/>
          <w:szCs w:val="24"/>
          <w:shd w:val="clear" w:color="auto" w:fill="FFFFFF"/>
        </w:rPr>
        <w:t>for instance the</w:t>
      </w:r>
      <w:r w:rsidR="00DB0170">
        <w:rPr>
          <w:rFonts w:ascii="Arial" w:hAnsi="Arial" w:cs="Arial"/>
          <w:sz w:val="24"/>
          <w:szCs w:val="24"/>
          <w:shd w:val="clear" w:color="auto" w:fill="FFFFFF"/>
        </w:rPr>
        <w:t xml:space="preserve"> </w:t>
      </w:r>
      <w:r w:rsidR="00D72D95">
        <w:rPr>
          <w:rFonts w:ascii="Arial" w:hAnsi="Arial" w:cs="Arial"/>
          <w:sz w:val="24"/>
          <w:szCs w:val="24"/>
          <w:shd w:val="clear" w:color="auto" w:fill="FFFFFF"/>
        </w:rPr>
        <w:t xml:space="preserve">best evidence is </w:t>
      </w:r>
      <w:r w:rsidR="000B3E81">
        <w:rPr>
          <w:rFonts w:ascii="Arial" w:hAnsi="Arial" w:cs="Arial"/>
          <w:sz w:val="24"/>
          <w:szCs w:val="24"/>
          <w:shd w:val="clear" w:color="auto" w:fill="FFFFFF"/>
        </w:rPr>
        <w:t xml:space="preserve">being </w:t>
      </w:r>
      <w:r w:rsidR="00D72D95">
        <w:rPr>
          <w:rFonts w:ascii="Arial" w:hAnsi="Arial" w:cs="Arial"/>
          <w:sz w:val="24"/>
          <w:szCs w:val="24"/>
          <w:shd w:val="clear" w:color="auto" w:fill="FFFFFF"/>
        </w:rPr>
        <w:t>obtained</w:t>
      </w:r>
      <w:r w:rsidR="00E300FA">
        <w:rPr>
          <w:rFonts w:ascii="Arial" w:hAnsi="Arial" w:cs="Arial"/>
          <w:sz w:val="24"/>
          <w:szCs w:val="24"/>
          <w:shd w:val="clear" w:color="auto" w:fill="FFFFFF"/>
        </w:rPr>
        <w:t xml:space="preserve"> due to it being </w:t>
      </w:r>
      <w:r w:rsidR="00082235">
        <w:rPr>
          <w:rFonts w:ascii="Arial" w:hAnsi="Arial" w:cs="Arial"/>
          <w:sz w:val="24"/>
          <w:szCs w:val="24"/>
          <w:shd w:val="clear" w:color="auto" w:fill="FFFFFF"/>
        </w:rPr>
        <w:t>soon after the incident</w:t>
      </w:r>
      <w:r w:rsidR="00833758">
        <w:rPr>
          <w:rFonts w:ascii="Arial" w:hAnsi="Arial" w:cs="Arial"/>
          <w:sz w:val="24"/>
          <w:szCs w:val="24"/>
          <w:shd w:val="clear" w:color="auto" w:fill="FFFFFF"/>
        </w:rPr>
        <w:t xml:space="preserve">, accounts </w:t>
      </w:r>
      <w:r w:rsidR="00082235">
        <w:rPr>
          <w:rFonts w:ascii="Arial" w:hAnsi="Arial" w:cs="Arial"/>
          <w:sz w:val="24"/>
          <w:szCs w:val="24"/>
          <w:shd w:val="clear" w:color="auto" w:fill="FFFFFF"/>
        </w:rPr>
        <w:t xml:space="preserve">are </w:t>
      </w:r>
      <w:r w:rsidR="00833758">
        <w:rPr>
          <w:rFonts w:ascii="Arial" w:hAnsi="Arial" w:cs="Arial"/>
          <w:sz w:val="24"/>
          <w:szCs w:val="24"/>
          <w:shd w:val="clear" w:color="auto" w:fill="FFFFFF"/>
        </w:rPr>
        <w:t>given when memory is at the freshest</w:t>
      </w:r>
      <w:r w:rsidR="00834E11">
        <w:rPr>
          <w:rFonts w:ascii="Arial" w:hAnsi="Arial" w:cs="Arial"/>
          <w:sz w:val="24"/>
          <w:szCs w:val="24"/>
          <w:shd w:val="clear" w:color="auto" w:fill="FFFFFF"/>
        </w:rPr>
        <w:t xml:space="preserve">, as </w:t>
      </w:r>
      <w:r w:rsidR="004C7EEF">
        <w:rPr>
          <w:rFonts w:ascii="Arial" w:hAnsi="Arial" w:cs="Arial"/>
          <w:sz w:val="24"/>
          <w:szCs w:val="24"/>
          <w:shd w:val="clear" w:color="auto" w:fill="FFFFFF"/>
        </w:rPr>
        <w:t>well as physical evidence secured and not disposed of or lost.</w:t>
      </w:r>
      <w:r w:rsidR="00A02423">
        <w:rPr>
          <w:rFonts w:ascii="Arial" w:hAnsi="Arial" w:cs="Arial"/>
          <w:sz w:val="24"/>
          <w:szCs w:val="24"/>
          <w:shd w:val="clear" w:color="auto" w:fill="FFFFFF"/>
        </w:rPr>
        <w:t xml:space="preserve"> Suspects are located early</w:t>
      </w:r>
      <w:r w:rsidR="002D1739">
        <w:rPr>
          <w:rFonts w:ascii="Arial" w:hAnsi="Arial" w:cs="Arial"/>
          <w:sz w:val="24"/>
          <w:szCs w:val="24"/>
          <w:shd w:val="clear" w:color="auto" w:fill="FFFFFF"/>
        </w:rPr>
        <w:t xml:space="preserve"> which</w:t>
      </w:r>
      <w:r w:rsidR="00A02423">
        <w:rPr>
          <w:rFonts w:ascii="Arial" w:hAnsi="Arial" w:cs="Arial"/>
          <w:sz w:val="24"/>
          <w:szCs w:val="24"/>
          <w:shd w:val="clear" w:color="auto" w:fill="FFFFFF"/>
        </w:rPr>
        <w:t xml:space="preserve"> maximis</w:t>
      </w:r>
      <w:r w:rsidR="002D1739">
        <w:rPr>
          <w:rFonts w:ascii="Arial" w:hAnsi="Arial" w:cs="Arial"/>
          <w:sz w:val="24"/>
          <w:szCs w:val="24"/>
          <w:shd w:val="clear" w:color="auto" w:fill="FFFFFF"/>
        </w:rPr>
        <w:t xml:space="preserve">es </w:t>
      </w:r>
      <w:r w:rsidR="00A02423">
        <w:rPr>
          <w:rFonts w:ascii="Arial" w:hAnsi="Arial" w:cs="Arial"/>
          <w:sz w:val="24"/>
          <w:szCs w:val="24"/>
          <w:shd w:val="clear" w:color="auto" w:fill="FFFFFF"/>
        </w:rPr>
        <w:t xml:space="preserve">opportunities to recover property and forensic evidence. </w:t>
      </w:r>
      <w:r w:rsidR="00CE6425">
        <w:rPr>
          <w:rFonts w:ascii="Arial" w:hAnsi="Arial" w:cs="Arial"/>
          <w:sz w:val="24"/>
          <w:szCs w:val="24"/>
          <w:shd w:val="clear" w:color="auto" w:fill="FFFFFF"/>
        </w:rPr>
        <w:t>Another positive</w:t>
      </w:r>
      <w:r w:rsidR="00AC62A4">
        <w:rPr>
          <w:rFonts w:ascii="Arial" w:hAnsi="Arial" w:cs="Arial"/>
          <w:sz w:val="24"/>
          <w:szCs w:val="24"/>
          <w:shd w:val="clear" w:color="auto" w:fill="FFFFFF"/>
        </w:rPr>
        <w:t xml:space="preserve"> </w:t>
      </w:r>
      <w:r w:rsidR="00CD5734">
        <w:rPr>
          <w:rFonts w:ascii="Arial" w:hAnsi="Arial" w:cs="Arial"/>
          <w:sz w:val="24"/>
          <w:szCs w:val="24"/>
          <w:shd w:val="clear" w:color="auto" w:fill="FFFFFF"/>
        </w:rPr>
        <w:t>is that the case progressed expeditiously</w:t>
      </w:r>
      <w:r w:rsidR="00D45A0E">
        <w:rPr>
          <w:rFonts w:ascii="Arial" w:hAnsi="Arial" w:cs="Arial"/>
          <w:sz w:val="24"/>
          <w:szCs w:val="24"/>
          <w:shd w:val="clear" w:color="auto" w:fill="FFFFFF"/>
        </w:rPr>
        <w:t xml:space="preserve"> which</w:t>
      </w:r>
      <w:r w:rsidR="00CD5734">
        <w:rPr>
          <w:rFonts w:ascii="Arial" w:hAnsi="Arial" w:cs="Arial"/>
          <w:sz w:val="24"/>
          <w:szCs w:val="24"/>
          <w:shd w:val="clear" w:color="auto" w:fill="FFFFFF"/>
        </w:rPr>
        <w:t xml:space="preserve"> sav</w:t>
      </w:r>
      <w:r w:rsidR="00D45A0E">
        <w:rPr>
          <w:rFonts w:ascii="Arial" w:hAnsi="Arial" w:cs="Arial"/>
          <w:sz w:val="24"/>
          <w:szCs w:val="24"/>
          <w:shd w:val="clear" w:color="auto" w:fill="FFFFFF"/>
        </w:rPr>
        <w:t xml:space="preserve">es </w:t>
      </w:r>
      <w:r w:rsidR="00CD5734">
        <w:rPr>
          <w:rFonts w:ascii="Arial" w:hAnsi="Arial" w:cs="Arial"/>
          <w:sz w:val="24"/>
          <w:szCs w:val="24"/>
          <w:shd w:val="clear" w:color="auto" w:fill="FFFFFF"/>
        </w:rPr>
        <w:t xml:space="preserve">time, money and ensuring </w:t>
      </w:r>
      <w:r w:rsidR="00A24591">
        <w:rPr>
          <w:rFonts w:ascii="Arial" w:hAnsi="Arial" w:cs="Arial"/>
          <w:sz w:val="24"/>
          <w:szCs w:val="24"/>
          <w:shd w:val="clear" w:color="auto" w:fill="FFFFFF"/>
        </w:rPr>
        <w:t>victim and witness safety</w:t>
      </w:r>
      <w:r w:rsidR="005534BC">
        <w:rPr>
          <w:rFonts w:ascii="Arial" w:hAnsi="Arial" w:cs="Arial"/>
          <w:sz w:val="24"/>
          <w:szCs w:val="24"/>
          <w:shd w:val="clear" w:color="auto" w:fill="FFFFFF"/>
        </w:rPr>
        <w:t>, and public protection and confidence is increased</w:t>
      </w:r>
      <w:r w:rsidR="006D0B6D">
        <w:rPr>
          <w:rFonts w:ascii="Arial" w:hAnsi="Arial" w:cs="Arial"/>
          <w:sz w:val="24"/>
          <w:szCs w:val="24"/>
          <w:shd w:val="clear" w:color="auto" w:fill="FFFFFF"/>
        </w:rPr>
        <w:t xml:space="preserve"> (College of policing, 2021). </w:t>
      </w:r>
      <w:r w:rsidR="00586BBF">
        <w:rPr>
          <w:rFonts w:ascii="Arial" w:hAnsi="Arial" w:cs="Arial"/>
          <w:sz w:val="24"/>
          <w:szCs w:val="24"/>
          <w:shd w:val="clear" w:color="auto" w:fill="FFFFFF"/>
        </w:rPr>
        <w:t>T</w:t>
      </w:r>
      <w:r w:rsidR="00586BBF" w:rsidRPr="00586BBF">
        <w:rPr>
          <w:rFonts w:ascii="Arial" w:hAnsi="Arial" w:cs="Arial"/>
          <w:sz w:val="24"/>
          <w:szCs w:val="24"/>
          <w:shd w:val="clear" w:color="auto" w:fill="FFFFFF"/>
        </w:rPr>
        <w:t>he contamination of crime scene evidence may also be influenced by environmental factors.</w:t>
      </w:r>
      <w:r w:rsidR="00586BBF">
        <w:rPr>
          <w:rFonts w:ascii="Arial" w:hAnsi="Arial" w:cs="Arial"/>
          <w:sz w:val="24"/>
          <w:szCs w:val="24"/>
          <w:shd w:val="clear" w:color="auto" w:fill="FFFFFF"/>
        </w:rPr>
        <w:t xml:space="preserve"> </w:t>
      </w:r>
      <w:r w:rsidR="00586BBF" w:rsidRPr="00586BBF">
        <w:rPr>
          <w:rFonts w:ascii="Arial" w:hAnsi="Arial" w:cs="Arial"/>
          <w:sz w:val="24"/>
          <w:szCs w:val="24"/>
          <w:shd w:val="clear" w:color="auto" w:fill="FFFFFF"/>
        </w:rPr>
        <w:t>Wind, sun, rain, snow, and temperature can all contribute to evidence degradation at a crime scene. For example, if blood is present at an outdoor crime scene and it rains, the blood may become so diluted that testing is difficult. If the blood was exposed to the sun on a very hot and humid day, the same thing would happen. Further examination would be impossible or inconclusive at best if the fluid disintegrated or were contaminated by microorganisms</w:t>
      </w:r>
      <w:r w:rsidR="00765187">
        <w:rPr>
          <w:rFonts w:ascii="Arial" w:hAnsi="Arial" w:cs="Arial"/>
          <w:sz w:val="24"/>
          <w:szCs w:val="24"/>
          <w:shd w:val="clear" w:color="auto" w:fill="FFFFFF"/>
        </w:rPr>
        <w:t>, this is why the golden hour is important for first attending officers</w:t>
      </w:r>
      <w:r w:rsidR="008E0B2E">
        <w:rPr>
          <w:rFonts w:ascii="Arial" w:hAnsi="Arial" w:cs="Arial"/>
          <w:sz w:val="24"/>
          <w:szCs w:val="24"/>
          <w:shd w:val="clear" w:color="auto" w:fill="FFFFFF"/>
        </w:rPr>
        <w:t xml:space="preserve"> </w:t>
      </w:r>
      <w:r w:rsidR="008E0B2E">
        <w:rPr>
          <w:rFonts w:ascii="Arial" w:hAnsi="Arial" w:cs="Arial"/>
          <w:sz w:val="24"/>
          <w:szCs w:val="24"/>
          <w:shd w:val="clear" w:color="auto" w:fill="FFFFFF"/>
        </w:rPr>
        <w:t>(</w:t>
      </w:r>
      <w:r w:rsidR="008E0B2E">
        <w:t>Hayden, Baldwin, and May, 2021).</w:t>
      </w:r>
    </w:p>
    <w:p w14:paraId="0377CAC2" w14:textId="25AA30A5" w:rsidR="00996523" w:rsidRDefault="00996523" w:rsidP="00AC6A95">
      <w:pPr>
        <w:spacing w:line="360" w:lineRule="auto"/>
        <w:rPr>
          <w:rFonts w:ascii="Arial" w:hAnsi="Arial" w:cs="Arial"/>
          <w:sz w:val="24"/>
          <w:szCs w:val="24"/>
          <w:shd w:val="clear" w:color="auto" w:fill="FFFFFF"/>
        </w:rPr>
      </w:pPr>
    </w:p>
    <w:p w14:paraId="0D18FE50" w14:textId="3059C1A8" w:rsidR="00996523" w:rsidRPr="00996523" w:rsidRDefault="00996523" w:rsidP="00AC6A95">
      <w:pPr>
        <w:spacing w:line="360" w:lineRule="auto"/>
        <w:rPr>
          <w:rFonts w:ascii="Arial" w:hAnsi="Arial" w:cs="Arial"/>
          <w:sz w:val="24"/>
          <w:szCs w:val="24"/>
          <w:shd w:val="clear" w:color="auto" w:fill="FFFFFF"/>
        </w:rPr>
      </w:pPr>
      <w:r w:rsidRPr="00996523">
        <w:rPr>
          <w:rFonts w:ascii="Arial" w:hAnsi="Arial" w:cs="Arial"/>
          <w:sz w:val="24"/>
          <w:szCs w:val="24"/>
          <w:shd w:val="clear" w:color="auto" w:fill="FFFFFF"/>
        </w:rPr>
        <w:t xml:space="preserve">An investigator may need to wear a sterile suit that covers their body, hair, and shoes depending on the circumstances to prevent cross </w:t>
      </w:r>
      <w:r w:rsidRPr="00996523">
        <w:rPr>
          <w:rFonts w:ascii="Arial" w:hAnsi="Arial" w:cs="Arial"/>
          <w:sz w:val="24"/>
          <w:szCs w:val="24"/>
          <w:shd w:val="clear" w:color="auto" w:fill="FFFFFF"/>
        </w:rPr>
        <w:t>contamination with</w:t>
      </w:r>
      <w:r w:rsidRPr="00996523">
        <w:rPr>
          <w:rFonts w:ascii="Arial" w:hAnsi="Arial" w:cs="Arial"/>
          <w:sz w:val="24"/>
          <w:szCs w:val="24"/>
          <w:shd w:val="clear" w:color="auto" w:fill="FFFFFF"/>
        </w:rPr>
        <w:t xml:space="preserve"> their own DNA or any other trace evidence they could bring to the scene. The investigator would need to ensure they </w:t>
      </w:r>
      <w:r w:rsidRPr="00996523">
        <w:rPr>
          <w:rFonts w:ascii="Arial" w:hAnsi="Arial" w:cs="Arial"/>
          <w:sz w:val="24"/>
          <w:szCs w:val="24"/>
          <w:shd w:val="clear" w:color="auto" w:fill="FFFFFF"/>
        </w:rPr>
        <w:t>use latex</w:t>
      </w:r>
      <w:r w:rsidRPr="00996523">
        <w:rPr>
          <w:rFonts w:ascii="Arial" w:hAnsi="Arial" w:cs="Arial"/>
          <w:sz w:val="24"/>
          <w:szCs w:val="24"/>
          <w:shd w:val="clear" w:color="auto" w:fill="FFFFFF"/>
        </w:rPr>
        <w:t xml:space="preserve"> or chloroprene gloves at practically every crime scene, and they'll replace them frequently during the evidence gathering procedure. Not only do these gloves preserve the crime scene from contamination, but they also protect the investigator from potentially hazardous microorganisms and toxic debris. An investigator may also wear a respirator to decrease the quantity of dust and mists from fingerprint powder or chemical processing, as well as rotten decomposition aromas, that they may otherwise breathe in</w:t>
      </w:r>
      <w:r>
        <w:rPr>
          <w:rFonts w:ascii="Arial" w:hAnsi="Arial" w:cs="Arial"/>
          <w:sz w:val="24"/>
          <w:szCs w:val="24"/>
          <w:shd w:val="clear" w:color="auto" w:fill="FFFFFF"/>
        </w:rPr>
        <w:t xml:space="preserve"> (</w:t>
      </w:r>
      <w:proofErr w:type="spellStart"/>
      <w:r w:rsidR="00032BD4" w:rsidRPr="00645F28">
        <w:rPr>
          <w:rFonts w:ascii="Arial" w:hAnsi="Arial" w:cs="Arial"/>
          <w:sz w:val="24"/>
          <w:szCs w:val="24"/>
          <w:highlight w:val="yellow"/>
          <w:shd w:val="clear" w:color="auto" w:fill="FFFFFF"/>
        </w:rPr>
        <w:t>Harfeild</w:t>
      </w:r>
      <w:proofErr w:type="spellEnd"/>
      <w:r w:rsidR="00032BD4" w:rsidRPr="00645F28">
        <w:rPr>
          <w:rFonts w:ascii="Arial" w:hAnsi="Arial" w:cs="Arial"/>
          <w:sz w:val="24"/>
          <w:szCs w:val="24"/>
          <w:highlight w:val="yellow"/>
          <w:shd w:val="clear" w:color="auto" w:fill="FFFFFF"/>
        </w:rPr>
        <w:t>,</w:t>
      </w:r>
      <w:r w:rsidR="00DB7236" w:rsidRPr="00645F28">
        <w:rPr>
          <w:rFonts w:ascii="Arial" w:hAnsi="Arial" w:cs="Arial"/>
          <w:sz w:val="24"/>
          <w:szCs w:val="24"/>
          <w:highlight w:val="yellow"/>
          <w:shd w:val="clear" w:color="auto" w:fill="FFFFFF"/>
        </w:rPr>
        <w:t xml:space="preserve"> 2013</w:t>
      </w:r>
      <w:r w:rsidR="00645F28" w:rsidRPr="00645F28">
        <w:rPr>
          <w:rFonts w:ascii="Arial" w:hAnsi="Arial" w:cs="Arial"/>
          <w:sz w:val="24"/>
          <w:szCs w:val="24"/>
          <w:highlight w:val="yellow"/>
          <w:shd w:val="clear" w:color="auto" w:fill="FFFFFF"/>
        </w:rPr>
        <w:t xml:space="preserve">, p. </w:t>
      </w:r>
      <w:r w:rsidR="00DB7236" w:rsidRPr="00645F28">
        <w:rPr>
          <w:rFonts w:ascii="Arial" w:hAnsi="Arial" w:cs="Arial"/>
          <w:sz w:val="24"/>
          <w:szCs w:val="24"/>
          <w:highlight w:val="yellow"/>
          <w:shd w:val="clear" w:color="auto" w:fill="FFFFFF"/>
        </w:rPr>
        <w:t>).</w:t>
      </w:r>
      <w:r w:rsidR="00DB7236">
        <w:rPr>
          <w:rFonts w:ascii="Arial" w:hAnsi="Arial" w:cs="Arial"/>
          <w:sz w:val="24"/>
          <w:szCs w:val="24"/>
          <w:shd w:val="clear" w:color="auto" w:fill="FFFFFF"/>
        </w:rPr>
        <w:t xml:space="preserve"> </w:t>
      </w:r>
      <w:r w:rsidR="00AB7F5F" w:rsidRPr="00AB7F5F">
        <w:rPr>
          <w:rFonts w:ascii="Arial" w:hAnsi="Arial" w:cs="Arial"/>
          <w:sz w:val="24"/>
          <w:szCs w:val="24"/>
          <w:shd w:val="clear" w:color="auto" w:fill="FFFFFF"/>
        </w:rPr>
        <w:t>Contamination of a crime scene is mainly caused by the actions of the people on the scene. In general, the larger the number of people on the scene, the more probable the scene/evidence is to be contaminated. Hairs, fibres, and trace material can be deposited on the scene, and latent footwear and fingerprints can be destroyed</w:t>
      </w:r>
      <w:r w:rsidR="00563495">
        <w:rPr>
          <w:rFonts w:ascii="Arial" w:hAnsi="Arial" w:cs="Arial"/>
          <w:sz w:val="24"/>
          <w:szCs w:val="24"/>
          <w:shd w:val="clear" w:color="auto" w:fill="FFFFFF"/>
        </w:rPr>
        <w:t xml:space="preserve"> (Mahoney, 2019)</w:t>
      </w:r>
      <w:r w:rsidR="008109CE">
        <w:rPr>
          <w:rFonts w:ascii="Arial" w:hAnsi="Arial" w:cs="Arial"/>
          <w:sz w:val="24"/>
          <w:szCs w:val="24"/>
          <w:shd w:val="clear" w:color="auto" w:fill="FFFFFF"/>
        </w:rPr>
        <w:t xml:space="preserve">. </w:t>
      </w:r>
      <w:r w:rsidR="008109CE" w:rsidRPr="008109CE">
        <w:rPr>
          <w:rFonts w:ascii="Arial" w:hAnsi="Arial" w:cs="Arial"/>
          <w:sz w:val="24"/>
          <w:szCs w:val="24"/>
          <w:shd w:val="clear" w:color="auto" w:fill="FFFFFF"/>
        </w:rPr>
        <w:t xml:space="preserve">The victim and the officer collecting the report may be the only people present at a burglary scene for example. In contrast, first responders, </w:t>
      </w:r>
      <w:r w:rsidR="008109CE" w:rsidRPr="008109CE">
        <w:rPr>
          <w:rFonts w:ascii="Arial" w:hAnsi="Arial" w:cs="Arial"/>
          <w:sz w:val="24"/>
          <w:szCs w:val="24"/>
          <w:shd w:val="clear" w:color="auto" w:fill="FFFFFF"/>
        </w:rPr>
        <w:lastRenderedPageBreak/>
        <w:t>paramedics, detectives, crime scene examiners, coroner or medical examiners, prosecuting attorneys, and possibly supervisors would typically visit a routine death scene. The victim's family, friends, and neighbours may also be present. The risk of contamination at a death scene is obviously increased due to the greater number of people who come into contact with the site</w:t>
      </w:r>
      <w:r w:rsidR="00A342DF">
        <w:rPr>
          <w:rFonts w:ascii="Arial" w:hAnsi="Arial" w:cs="Arial"/>
          <w:sz w:val="24"/>
          <w:szCs w:val="24"/>
          <w:shd w:val="clear" w:color="auto" w:fill="FFFFFF"/>
        </w:rPr>
        <w:t xml:space="preserve"> </w:t>
      </w:r>
      <w:r w:rsidR="008109CE">
        <w:rPr>
          <w:rFonts w:ascii="Arial" w:hAnsi="Arial" w:cs="Arial"/>
          <w:sz w:val="24"/>
          <w:szCs w:val="24"/>
          <w:shd w:val="clear" w:color="auto" w:fill="FFFFFF"/>
        </w:rPr>
        <w:t>(</w:t>
      </w:r>
      <w:r w:rsidR="00B976A5">
        <w:t>Hayden</w:t>
      </w:r>
      <w:r w:rsidR="00B27EB9">
        <w:t>,</w:t>
      </w:r>
      <w:r w:rsidR="00B976A5">
        <w:t xml:space="preserve"> Baldwin</w:t>
      </w:r>
      <w:r w:rsidR="00B976A5">
        <w:t>,</w:t>
      </w:r>
      <w:r w:rsidR="00B976A5">
        <w:t xml:space="preserve"> and May</w:t>
      </w:r>
      <w:r w:rsidR="00B27EB9">
        <w:t xml:space="preserve">, </w:t>
      </w:r>
      <w:r w:rsidR="00A342DF">
        <w:t xml:space="preserve">2021). </w:t>
      </w:r>
      <w:r w:rsidR="00AB7F5F" w:rsidRPr="00AB7F5F">
        <w:rPr>
          <w:rFonts w:ascii="Arial" w:hAnsi="Arial" w:cs="Arial"/>
          <w:sz w:val="24"/>
          <w:szCs w:val="24"/>
          <w:shd w:val="clear" w:color="auto" w:fill="FFFFFF"/>
        </w:rPr>
        <w:t xml:space="preserve">Footwear patterns can also be left behind by crime scene investigators or anybody else who enters the scene, if they are not careful. When two items come into contact with each other, as Professor </w:t>
      </w:r>
      <w:proofErr w:type="spellStart"/>
      <w:r w:rsidR="00AB7F5F" w:rsidRPr="00AB7F5F">
        <w:rPr>
          <w:rFonts w:ascii="Arial" w:hAnsi="Arial" w:cs="Arial"/>
          <w:sz w:val="24"/>
          <w:szCs w:val="24"/>
          <w:shd w:val="clear" w:color="auto" w:fill="FFFFFF"/>
        </w:rPr>
        <w:t>Locard</w:t>
      </w:r>
      <w:proofErr w:type="spellEnd"/>
      <w:r w:rsidR="00AB7F5F" w:rsidRPr="00AB7F5F">
        <w:rPr>
          <w:rFonts w:ascii="Arial" w:hAnsi="Arial" w:cs="Arial"/>
          <w:sz w:val="24"/>
          <w:szCs w:val="24"/>
          <w:shd w:val="clear" w:color="auto" w:fill="FFFFFF"/>
        </w:rPr>
        <w:t xml:space="preserve"> has </w:t>
      </w:r>
      <w:r w:rsidR="008F0FA8" w:rsidRPr="00AB7F5F">
        <w:rPr>
          <w:rFonts w:ascii="Arial" w:hAnsi="Arial" w:cs="Arial"/>
          <w:sz w:val="24"/>
          <w:szCs w:val="24"/>
          <w:shd w:val="clear" w:color="auto" w:fill="FFFFFF"/>
        </w:rPr>
        <w:t>shown,</w:t>
      </w:r>
      <w:r w:rsidR="00AB7F5F" w:rsidRPr="00AB7F5F">
        <w:rPr>
          <w:rFonts w:ascii="Arial" w:hAnsi="Arial" w:cs="Arial"/>
          <w:sz w:val="24"/>
          <w:szCs w:val="24"/>
          <w:shd w:val="clear" w:color="auto" w:fill="FFFFFF"/>
        </w:rPr>
        <w:t xml:space="preserve"> they exchange trace evidence. When entering a crime </w:t>
      </w:r>
      <w:r w:rsidR="008F0FA8" w:rsidRPr="00AB7F5F">
        <w:rPr>
          <w:rFonts w:ascii="Arial" w:hAnsi="Arial" w:cs="Arial"/>
          <w:sz w:val="24"/>
          <w:szCs w:val="24"/>
          <w:shd w:val="clear" w:color="auto" w:fill="FFFFFF"/>
        </w:rPr>
        <w:t>scene, not</w:t>
      </w:r>
      <w:r w:rsidR="00AB7F5F" w:rsidRPr="00AB7F5F">
        <w:rPr>
          <w:rFonts w:ascii="Arial" w:hAnsi="Arial" w:cs="Arial"/>
          <w:sz w:val="24"/>
          <w:szCs w:val="24"/>
          <w:shd w:val="clear" w:color="auto" w:fill="FFFFFF"/>
        </w:rPr>
        <w:t xml:space="preserve"> only have the capacity to leave trace evidence behind, however there is also the potential to remove evidence from the scene</w:t>
      </w:r>
      <w:r w:rsidR="00AB7F5F">
        <w:rPr>
          <w:rFonts w:ascii="Arial" w:hAnsi="Arial" w:cs="Arial"/>
          <w:sz w:val="24"/>
          <w:szCs w:val="24"/>
          <w:shd w:val="clear" w:color="auto" w:fill="FFFFFF"/>
        </w:rPr>
        <w:t xml:space="preserve"> (</w:t>
      </w:r>
      <w:r w:rsidR="005E5C9C">
        <w:rPr>
          <w:rFonts w:ascii="Arial" w:hAnsi="Arial" w:cs="Arial"/>
          <w:sz w:val="24"/>
          <w:szCs w:val="24"/>
          <w:shd w:val="clear" w:color="auto" w:fill="FFFFFF"/>
        </w:rPr>
        <w:t>Mahoney, 2019).</w:t>
      </w:r>
      <w:r w:rsidR="00997F8E">
        <w:rPr>
          <w:rFonts w:ascii="Arial" w:hAnsi="Arial" w:cs="Arial"/>
          <w:sz w:val="24"/>
          <w:szCs w:val="24"/>
          <w:shd w:val="clear" w:color="auto" w:fill="FFFFFF"/>
        </w:rPr>
        <w:t xml:space="preserve"> </w:t>
      </w:r>
    </w:p>
    <w:p w14:paraId="55E681FB" w14:textId="09D4024D" w:rsidR="00B86F7F" w:rsidRPr="00D014BE" w:rsidRDefault="00B86F7F" w:rsidP="00F35A31">
      <w:pPr>
        <w:rPr>
          <w:rFonts w:ascii="Arial" w:hAnsi="Arial" w:cs="Arial"/>
          <w:sz w:val="24"/>
          <w:szCs w:val="24"/>
        </w:rPr>
      </w:pPr>
    </w:p>
    <w:sectPr w:rsidR="00B86F7F" w:rsidRPr="00D014B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41D8A" w14:textId="77777777" w:rsidR="006E4DEA" w:rsidRDefault="006E4DEA" w:rsidP="00F109C0">
      <w:pPr>
        <w:spacing w:after="0" w:line="240" w:lineRule="auto"/>
      </w:pPr>
      <w:r>
        <w:separator/>
      </w:r>
    </w:p>
  </w:endnote>
  <w:endnote w:type="continuationSeparator" w:id="0">
    <w:p w14:paraId="103779F3" w14:textId="77777777" w:rsidR="006E4DEA" w:rsidRDefault="006E4DEA" w:rsidP="00F10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A0724" w14:textId="77777777" w:rsidR="006E4DEA" w:rsidRDefault="006E4DEA" w:rsidP="00F109C0">
      <w:pPr>
        <w:spacing w:after="0" w:line="240" w:lineRule="auto"/>
      </w:pPr>
      <w:r>
        <w:separator/>
      </w:r>
    </w:p>
  </w:footnote>
  <w:footnote w:type="continuationSeparator" w:id="0">
    <w:p w14:paraId="572B144E" w14:textId="77777777" w:rsidR="006E4DEA" w:rsidRDefault="006E4DEA" w:rsidP="00F109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85CFE" w14:textId="5FA68595" w:rsidR="00F109C0" w:rsidRDefault="00F109C0">
    <w:pPr>
      <w:pStyle w:val="Header"/>
    </w:pPr>
    <w:r>
      <w:t>Daniella Fewings                                                                                                                    1900678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109C0"/>
    <w:rsid w:val="00032BD4"/>
    <w:rsid w:val="00040B80"/>
    <w:rsid w:val="00082235"/>
    <w:rsid w:val="000B3E81"/>
    <w:rsid w:val="00135DFB"/>
    <w:rsid w:val="001415E1"/>
    <w:rsid w:val="00147F74"/>
    <w:rsid w:val="001813EC"/>
    <w:rsid w:val="001F0C6B"/>
    <w:rsid w:val="00242ADB"/>
    <w:rsid w:val="002476CD"/>
    <w:rsid w:val="002B45EA"/>
    <w:rsid w:val="002D1739"/>
    <w:rsid w:val="00353BC0"/>
    <w:rsid w:val="003D73E7"/>
    <w:rsid w:val="004A392A"/>
    <w:rsid w:val="004B00F8"/>
    <w:rsid w:val="004C7EEF"/>
    <w:rsid w:val="004D0410"/>
    <w:rsid w:val="005203EF"/>
    <w:rsid w:val="005534BC"/>
    <w:rsid w:val="00563495"/>
    <w:rsid w:val="0056479A"/>
    <w:rsid w:val="00586BBF"/>
    <w:rsid w:val="005A17C5"/>
    <w:rsid w:val="005A470F"/>
    <w:rsid w:val="005E5C9C"/>
    <w:rsid w:val="00600414"/>
    <w:rsid w:val="00645F28"/>
    <w:rsid w:val="00652D0B"/>
    <w:rsid w:val="006747C1"/>
    <w:rsid w:val="006D0B6D"/>
    <w:rsid w:val="006E4DEA"/>
    <w:rsid w:val="006F50E6"/>
    <w:rsid w:val="00701C06"/>
    <w:rsid w:val="00765187"/>
    <w:rsid w:val="007768AE"/>
    <w:rsid w:val="007A2E79"/>
    <w:rsid w:val="007E2E07"/>
    <w:rsid w:val="007E32D2"/>
    <w:rsid w:val="008109CE"/>
    <w:rsid w:val="0082183F"/>
    <w:rsid w:val="00833758"/>
    <w:rsid w:val="00834E11"/>
    <w:rsid w:val="008E0B2E"/>
    <w:rsid w:val="008E5293"/>
    <w:rsid w:val="008F0FA8"/>
    <w:rsid w:val="00964C94"/>
    <w:rsid w:val="00996523"/>
    <w:rsid w:val="00997541"/>
    <w:rsid w:val="00997F8E"/>
    <w:rsid w:val="00A02423"/>
    <w:rsid w:val="00A24591"/>
    <w:rsid w:val="00A31951"/>
    <w:rsid w:val="00A342DF"/>
    <w:rsid w:val="00AB7F5F"/>
    <w:rsid w:val="00AC62A4"/>
    <w:rsid w:val="00AC6A95"/>
    <w:rsid w:val="00AE481C"/>
    <w:rsid w:val="00B27EB9"/>
    <w:rsid w:val="00B86F7F"/>
    <w:rsid w:val="00B9646A"/>
    <w:rsid w:val="00B976A5"/>
    <w:rsid w:val="00BD1B61"/>
    <w:rsid w:val="00C00D4D"/>
    <w:rsid w:val="00C03DBC"/>
    <w:rsid w:val="00CD5734"/>
    <w:rsid w:val="00CE6425"/>
    <w:rsid w:val="00D014BE"/>
    <w:rsid w:val="00D379FF"/>
    <w:rsid w:val="00D45A0E"/>
    <w:rsid w:val="00D72D95"/>
    <w:rsid w:val="00DB0170"/>
    <w:rsid w:val="00DB7236"/>
    <w:rsid w:val="00E300FA"/>
    <w:rsid w:val="00F109C0"/>
    <w:rsid w:val="00F1491A"/>
    <w:rsid w:val="00F35A31"/>
    <w:rsid w:val="00F83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2993"/>
  <w15:docId w15:val="{694DB124-BEDE-4387-BC5C-750C7AB99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0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9C0"/>
  </w:style>
  <w:style w:type="paragraph" w:styleId="Footer">
    <w:name w:val="footer"/>
    <w:basedOn w:val="Normal"/>
    <w:link w:val="FooterChar"/>
    <w:uiPriority w:val="99"/>
    <w:unhideWhenUsed/>
    <w:rsid w:val="00F10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9C0"/>
  </w:style>
  <w:style w:type="character" w:styleId="Hyperlink">
    <w:name w:val="Hyperlink"/>
    <w:basedOn w:val="DefaultParagraphFont"/>
    <w:uiPriority w:val="99"/>
    <w:semiHidden/>
    <w:unhideWhenUsed/>
    <w:rsid w:val="00F35A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07992">
      <w:bodyDiv w:val="1"/>
      <w:marLeft w:val="0"/>
      <w:marRight w:val="0"/>
      <w:marTop w:val="0"/>
      <w:marBottom w:val="0"/>
      <w:divBdr>
        <w:top w:val="none" w:sz="0" w:space="0" w:color="auto"/>
        <w:left w:val="none" w:sz="0" w:space="0" w:color="auto"/>
        <w:bottom w:val="none" w:sz="0" w:space="0" w:color="auto"/>
        <w:right w:val="none" w:sz="0" w:space="0" w:color="auto"/>
      </w:divBdr>
      <w:divsChild>
        <w:div w:id="230310998">
          <w:marLeft w:val="0"/>
          <w:marRight w:val="0"/>
          <w:marTop w:val="0"/>
          <w:marBottom w:val="0"/>
          <w:divBdr>
            <w:top w:val="none" w:sz="0" w:space="0" w:color="auto"/>
            <w:left w:val="none" w:sz="0" w:space="0" w:color="auto"/>
            <w:bottom w:val="single" w:sz="6" w:space="3" w:color="E88D67"/>
            <w:right w:val="single" w:sz="6" w:space="3" w:color="FFA680"/>
          </w:divBdr>
          <w:divsChild>
            <w:div w:id="1696148460">
              <w:marLeft w:val="0"/>
              <w:marRight w:val="0"/>
              <w:marTop w:val="0"/>
              <w:marBottom w:val="0"/>
              <w:divBdr>
                <w:top w:val="single" w:sz="6" w:space="0" w:color="E88D67"/>
                <w:left w:val="single" w:sz="6" w:space="0" w:color="E88D67"/>
                <w:bottom w:val="single" w:sz="6" w:space="0" w:color="E88D67"/>
                <w:right w:val="single" w:sz="6" w:space="0" w:color="E88D67"/>
              </w:divBdr>
              <w:divsChild>
                <w:div w:id="695229597">
                  <w:marLeft w:val="191"/>
                  <w:marRight w:val="128"/>
                  <w:marTop w:val="319"/>
                  <w:marBottom w:val="0"/>
                  <w:divBdr>
                    <w:top w:val="none" w:sz="0" w:space="0" w:color="auto"/>
                    <w:left w:val="none" w:sz="0" w:space="0" w:color="auto"/>
                    <w:bottom w:val="none" w:sz="0" w:space="0" w:color="auto"/>
                    <w:right w:val="none" w:sz="0" w:space="0" w:color="auto"/>
                  </w:divBdr>
                </w:div>
                <w:div w:id="37650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61ABD2C-CAFB-4614-A42B-96E65C0B4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0204B5-E8FA-4B6D-BDCD-02E0FB7120CA}">
  <ds:schemaRefs>
    <ds:schemaRef ds:uri="http://schemas.microsoft.com/sharepoint/v3/contenttype/forms"/>
  </ds:schemaRefs>
</ds:datastoreItem>
</file>

<file path=customXml/itemProps3.xml><?xml version="1.0" encoding="utf-8"?>
<ds:datastoreItem xmlns:ds="http://schemas.openxmlformats.org/officeDocument/2006/customXml" ds:itemID="{54DD5FB9-D684-47A4-86E4-A94ADF48EF2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5</Pages>
  <Words>1270</Words>
  <Characters>7240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72</cp:revision>
  <dcterms:created xsi:type="dcterms:W3CDTF">2022-02-27T14:20:00Z</dcterms:created>
  <dcterms:modified xsi:type="dcterms:W3CDTF">2022-02-28T19:43:00Z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