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napToGrid w:val="0"/>
        <w:spacing w:line="480" w:lineRule="auto"/>
        <w:jc w:val="center"/>
        <w:outlineLvl w:val="0"/>
        <w:rPr>
          <w:rFonts w:hint="eastAsia" w:ascii="Times New Roman Regular" w:hAnsi="Times New Roman Regular" w:cs="Times New Roman Regular"/>
          <w:b/>
          <w:bCs/>
          <w:sz w:val="28"/>
          <w:szCs w:val="28"/>
        </w:rPr>
      </w:pPr>
      <w:r>
        <w:rPr>
          <w:rFonts w:hint="default" w:ascii="Times New Roman Regular" w:hAnsi="Times New Roman Regular" w:cs="Times New Roman Regular"/>
          <w:b/>
          <w:bCs/>
          <w:sz w:val="28"/>
          <w:szCs w:val="28"/>
        </w:rPr>
        <w:t>Strategic Management</w:t>
      </w:r>
    </w:p>
    <w:p>
      <w:pPr>
        <w:pStyle w:val="2"/>
        <w:jc w:val="center"/>
        <w:rPr>
          <w:rFonts w:hint="default" w:ascii="Times New Roman Regular" w:hAnsi="Times New Roman Regular" w:cs="Times New Roman Regular"/>
          <w:b/>
          <w:bCs/>
          <w:sz w:val="28"/>
          <w:szCs w:val="28"/>
        </w:rPr>
      </w:pPr>
      <w:r>
        <w:rPr>
          <w:rFonts w:hint="default" w:ascii="Times New Roman Regular" w:hAnsi="Times New Roman Regular" w:cs="Times New Roman Regular"/>
          <w:b/>
          <w:bCs/>
          <w:sz w:val="28"/>
          <w:szCs w:val="28"/>
        </w:rPr>
        <w:t xml:space="preserve">Meeting </w:t>
      </w:r>
      <w:r>
        <w:rPr>
          <w:rFonts w:hint="eastAsia" w:ascii="Times New Roman Regular" w:hAnsi="Times New Roman Regular" w:cs="Times New Roman Regular"/>
          <w:b/>
          <w:bCs/>
          <w:sz w:val="28"/>
          <w:szCs w:val="28"/>
          <w:lang w:val="en-US" w:eastAsia="zh-Hans"/>
        </w:rPr>
        <w:t>C</w:t>
      </w:r>
      <w:r>
        <w:rPr>
          <w:rFonts w:hint="default" w:ascii="Times New Roman Regular" w:hAnsi="Times New Roman Regular" w:cs="Times New Roman Regular"/>
          <w:b/>
          <w:bCs/>
          <w:sz w:val="28"/>
          <w:szCs w:val="28"/>
        </w:rPr>
        <w:t xml:space="preserve">ustomers </w:t>
      </w:r>
      <w:r>
        <w:rPr>
          <w:rFonts w:hint="eastAsia" w:ascii="Times New Roman Regular" w:hAnsi="Times New Roman Regular" w:cs="Times New Roman Regular"/>
          <w:b/>
          <w:bCs/>
          <w:sz w:val="28"/>
          <w:szCs w:val="28"/>
          <w:lang w:val="en-US" w:eastAsia="zh-Hans"/>
        </w:rPr>
        <w:t>i</w:t>
      </w:r>
      <w:r>
        <w:rPr>
          <w:rFonts w:hint="default" w:ascii="Times New Roman Regular" w:hAnsi="Times New Roman Regular" w:cs="Times New Roman Regular"/>
          <w:b/>
          <w:bCs/>
          <w:sz w:val="28"/>
          <w:szCs w:val="28"/>
        </w:rPr>
        <w:t xml:space="preserve">s </w:t>
      </w:r>
      <w:r>
        <w:rPr>
          <w:rFonts w:hint="eastAsia" w:ascii="Times New Roman Regular" w:hAnsi="Times New Roman Regular" w:cs="Times New Roman Regular"/>
          <w:b/>
          <w:bCs/>
          <w:sz w:val="28"/>
          <w:szCs w:val="28"/>
          <w:lang w:val="en-US" w:eastAsia="zh-Hans"/>
        </w:rPr>
        <w:t>T</w:t>
      </w:r>
      <w:r>
        <w:rPr>
          <w:rFonts w:hint="default" w:ascii="Times New Roman Regular" w:hAnsi="Times New Roman Regular" w:cs="Times New Roman Regular"/>
          <w:b/>
          <w:bCs/>
          <w:sz w:val="28"/>
          <w:szCs w:val="28"/>
        </w:rPr>
        <w:t xml:space="preserve">he </w:t>
      </w:r>
      <w:r>
        <w:rPr>
          <w:rFonts w:hint="eastAsia" w:ascii="Times New Roman Regular" w:hAnsi="Times New Roman Regular" w:cs="Times New Roman Regular"/>
          <w:b/>
          <w:bCs/>
          <w:sz w:val="28"/>
          <w:szCs w:val="28"/>
          <w:lang w:val="en-US" w:eastAsia="zh-Hans"/>
        </w:rPr>
        <w:t>F</w:t>
      </w:r>
      <w:r>
        <w:rPr>
          <w:rFonts w:hint="default" w:ascii="Times New Roman Regular" w:hAnsi="Times New Roman Regular" w:cs="Times New Roman Regular"/>
          <w:b/>
          <w:bCs/>
          <w:sz w:val="28"/>
          <w:szCs w:val="28"/>
        </w:rPr>
        <w:t xml:space="preserve">oundation of </w:t>
      </w:r>
      <w:r>
        <w:rPr>
          <w:rFonts w:hint="eastAsia" w:ascii="Times New Roman Regular" w:hAnsi="Times New Roman Regular" w:cs="Times New Roman Regular"/>
          <w:b/>
          <w:bCs/>
          <w:sz w:val="28"/>
          <w:szCs w:val="28"/>
          <w:lang w:val="en-US" w:eastAsia="zh-Hans"/>
        </w:rPr>
        <w:t>T</w:t>
      </w:r>
      <w:r>
        <w:rPr>
          <w:rFonts w:hint="default" w:ascii="Times New Roman Regular" w:hAnsi="Times New Roman Regular" w:cs="Times New Roman Regular"/>
          <w:b/>
          <w:bCs/>
          <w:sz w:val="28"/>
          <w:szCs w:val="28"/>
        </w:rPr>
        <w:t>he Mi phones</w:t>
      </w:r>
    </w:p>
    <w:p>
      <w:pPr>
        <w:widowControl/>
        <w:snapToGrid w:val="0"/>
        <w:spacing w:line="480" w:lineRule="auto"/>
        <w:jc w:val="center"/>
        <w:rPr>
          <w:sz w:val="24"/>
        </w:rPr>
      </w:pPr>
      <w:r>
        <w:rPr>
          <w:sz w:val="24"/>
        </w:rPr>
        <w:drawing>
          <wp:inline distT="0" distB="0" distL="0" distR="0">
            <wp:extent cx="2900045" cy="2774315"/>
            <wp:effectExtent l="0" t="0" r="20955" b="1968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8"/>
                    <a:stretch>
                      <a:fillRect/>
                    </a:stretch>
                  </pic:blipFill>
                  <pic:spPr>
                    <a:xfrm>
                      <a:off x="0" y="0"/>
                      <a:ext cx="2912737" cy="2786096"/>
                    </a:xfrm>
                    <a:prstGeom prst="rect">
                      <a:avLst/>
                    </a:prstGeom>
                  </pic:spPr>
                </pic:pic>
              </a:graphicData>
            </a:graphic>
          </wp:inline>
        </w:drawing>
      </w:r>
    </w:p>
    <w:p>
      <w:pPr>
        <w:widowControl/>
        <w:snapToGrid w:val="0"/>
        <w:spacing w:line="480" w:lineRule="auto"/>
        <w:jc w:val="center"/>
        <w:outlineLvl w:val="0"/>
        <w:rPr>
          <w:sz w:val="28"/>
          <w:szCs w:val="28"/>
        </w:rPr>
      </w:pPr>
      <w:bookmarkStart w:id="0" w:name="_Toc819848233"/>
      <w:bookmarkStart w:id="1" w:name="_Toc1783892249"/>
      <w:r>
        <w:rPr>
          <w:sz w:val="28"/>
          <w:szCs w:val="28"/>
        </w:rPr>
        <w:t>December 2022</w:t>
      </w:r>
      <w:bookmarkEnd w:id="0"/>
      <w:bookmarkEnd w:id="1"/>
    </w:p>
    <w:p>
      <w:pPr>
        <w:pStyle w:val="2"/>
      </w:pPr>
    </w:p>
    <w:p>
      <w:pPr>
        <w:pStyle w:val="2"/>
      </w:pPr>
    </w:p>
    <w:p>
      <w:pPr>
        <w:pStyle w:val="2"/>
      </w:pPr>
    </w:p>
    <w:p>
      <w:pPr>
        <w:pStyle w:val="2"/>
      </w:pPr>
    </w:p>
    <w:p>
      <w:pPr>
        <w:pStyle w:val="2"/>
        <w:widowControl/>
        <w:snapToGrid w:val="0"/>
        <w:spacing w:line="480" w:lineRule="auto"/>
        <w:rPr>
          <w:sz w:val="24"/>
        </w:rPr>
      </w:pPr>
    </w:p>
    <w:p>
      <w:pPr>
        <w:pStyle w:val="2"/>
        <w:widowControl/>
        <w:snapToGrid w:val="0"/>
        <w:spacing w:line="276" w:lineRule="auto"/>
        <w:rPr>
          <w:sz w:val="24"/>
        </w:rPr>
      </w:pPr>
      <w:r>
        <w:rPr>
          <w:sz w:val="24"/>
        </w:rPr>
        <w:t xml:space="preserve">MOUDLE NAME: </w:t>
      </w:r>
      <w:r>
        <w:rPr>
          <w:rFonts w:hint="eastAsia" w:eastAsia="宋体"/>
          <w:sz w:val="24"/>
          <w:lang w:val="en-US" w:eastAsia="zh-CN"/>
        </w:rPr>
        <w:t xml:space="preserve">   </w:t>
      </w:r>
      <w:r>
        <w:rPr>
          <w:sz w:val="24"/>
        </w:rPr>
        <w:t>Strategic Management (</w:t>
      </w:r>
      <w:r>
        <w:rPr>
          <w:bCs/>
          <w:sz w:val="24"/>
        </w:rPr>
        <w:t>BMMB7013</w:t>
      </w:r>
      <w:r>
        <w:rPr>
          <w:sz w:val="24"/>
        </w:rPr>
        <w:t>)</w:t>
      </w:r>
    </w:p>
    <w:p>
      <w:pPr>
        <w:pStyle w:val="2"/>
        <w:widowControl/>
        <w:snapToGrid w:val="0"/>
        <w:spacing w:line="276" w:lineRule="auto"/>
        <w:rPr>
          <w:rFonts w:hint="default" w:eastAsia="宋体"/>
          <w:sz w:val="24"/>
          <w:lang w:val="en-US" w:eastAsia="zh-CN"/>
        </w:rPr>
      </w:pPr>
      <w:r>
        <w:rPr>
          <w:sz w:val="24"/>
        </w:rPr>
        <w:t xml:space="preserve">STUDENT NAME: </w:t>
      </w:r>
      <w:r>
        <w:rPr>
          <w:rFonts w:hint="eastAsia" w:eastAsia="宋体"/>
          <w:sz w:val="24"/>
          <w:lang w:val="en-US" w:eastAsia="zh-CN"/>
        </w:rPr>
        <w:t xml:space="preserve">   Zhenjiang Lin</w:t>
      </w:r>
    </w:p>
    <w:p>
      <w:pPr>
        <w:pStyle w:val="2"/>
        <w:widowControl/>
        <w:snapToGrid w:val="0"/>
        <w:spacing w:line="276" w:lineRule="auto"/>
        <w:rPr>
          <w:rFonts w:hint="default" w:eastAsia="宋体"/>
          <w:sz w:val="24"/>
          <w:lang w:val="en-US" w:eastAsia="zh-CN"/>
        </w:rPr>
      </w:pPr>
      <w:r>
        <w:rPr>
          <w:sz w:val="24"/>
        </w:rPr>
        <w:t>STUDENT NUMBER:</w:t>
      </w:r>
      <w:r>
        <w:rPr>
          <w:rFonts w:hint="eastAsia" w:eastAsia="宋体"/>
          <w:sz w:val="24"/>
          <w:lang w:val="en-US" w:eastAsia="zh-CN"/>
        </w:rPr>
        <w:t xml:space="preserve">  2216879</w:t>
      </w:r>
    </w:p>
    <w:p>
      <w:pPr>
        <w:pStyle w:val="3"/>
        <w:bidi w:val="0"/>
        <w:jc w:val="both"/>
        <w:rPr>
          <w:rFonts w:hint="default" w:ascii="Times New Roman Regular" w:hAnsi="Times New Roman Regular" w:cs="Times New Roman Regular"/>
        </w:rPr>
      </w:pPr>
      <w:bookmarkStart w:id="2" w:name="_Toc1934877834"/>
    </w:p>
    <w:p>
      <w:pPr>
        <w:pStyle w:val="3"/>
        <w:bidi w:val="0"/>
        <w:jc w:val="center"/>
        <w:rPr>
          <w:rFonts w:hint="default" w:ascii="Times New Roman Regular" w:hAnsi="Times New Roman Regular" w:cs="Times New Roman Regular"/>
        </w:rPr>
        <w:sectPr>
          <w:footerReference r:id="rId5" w:type="default"/>
          <w:pgSz w:w="11906" w:h="16838"/>
          <w:pgMar w:top="1440" w:right="1800" w:bottom="1440" w:left="1800" w:header="851" w:footer="992" w:gutter="0"/>
          <w:pgNumType w:fmt="decimal" w:start="1"/>
          <w:cols w:space="425" w:num="1"/>
          <w:docGrid w:type="lines" w:linePitch="312" w:charSpace="0"/>
        </w:sectPr>
      </w:pPr>
    </w:p>
    <w:p>
      <w:pPr>
        <w:pStyle w:val="3"/>
        <w:bidi w:val="0"/>
        <w:jc w:val="center"/>
        <w:rPr>
          <w:rFonts w:hint="default" w:ascii="Times New Roman Regular" w:hAnsi="Times New Roman Regular" w:cs="Times New Roman Regular"/>
        </w:rPr>
      </w:pPr>
      <w:r>
        <w:rPr>
          <w:rFonts w:hint="default" w:ascii="Times New Roman Regular" w:hAnsi="Times New Roman Regular" w:cs="Times New Roman Regular"/>
        </w:rPr>
        <w:t>Executive summary</w:t>
      </w:r>
      <w:bookmarkEnd w:id="2"/>
    </w:p>
    <w:p>
      <w:pPr>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Driven by the times, the Internet is developing rapidly, which makes the updating and iteration speed of relevant network products faster and faster, among which smart phones are a topic that cannot be bypassed. The technological attributes of smart phones have led to the continuous innovation of technology, which has brought about the upgrading of mobile phones. This requires mobile phone enterprises to accurately control the market and clarify their next plan and future direction. The enterprise with the largest number of local smartphone fanatics in the Chinese market is Mi phones Mobile. Its early hunger marketing strategy has made potential users of the smartphone market feel more and more demand for Mi phones Mobile. The mobile phone hardware launched by Mi phones Mobile is highly equipped, which has shaped consumers' trust in the Mi phones brand, so that Mi phones Mobile can use the brand effect to generate more profits from other products.Most consumers will make a purchase decision based on the results of these evaluations. This article takes Mi phones mobile phone as an example to introduce the development of Mi phones, analyze the content of Mi phones brand marketing strategy, point out the shortcomings of Mi phones mobile phone brand marketing, and propose effective measures to improve Mi phones brand marketing, hoping to promote the development of Mi phones mobile phone in the future brand marketing.</w:t>
      </w:r>
    </w:p>
    <w:p>
      <w:pPr>
        <w:rPr>
          <w:rFonts w:hint="default" w:ascii="Times New Roman Regular" w:hAnsi="Times New Roman Regular" w:cs="Times New Roman Regular"/>
        </w:rPr>
      </w:pPr>
      <w:r>
        <w:rPr>
          <w:rFonts w:hint="default" w:ascii="Times New Roman Regular" w:hAnsi="Times New Roman Regular" w:cs="Times New Roman Regular"/>
        </w:rPr>
        <w:br w:type="page"/>
      </w:r>
    </w:p>
    <w:p>
      <w:pPr>
        <w:rPr>
          <w:rFonts w:hint="default" w:ascii="Times New Roman Regular" w:hAnsi="Times New Roman Regular" w:cs="Times New Roman Regular"/>
        </w:rPr>
      </w:pPr>
    </w:p>
    <w:sdt>
      <w:sdtPr>
        <w:rPr>
          <w:rFonts w:ascii="宋体" w:hAnsi="宋体" w:eastAsia="宋体" w:cstheme="minorBidi"/>
          <w:sz w:val="21"/>
          <w:szCs w:val="22"/>
          <w:lang w:val="en-GB" w:eastAsia="en-US" w:bidi="ar-SA"/>
        </w:rPr>
        <w:id w:val="724024912"/>
        <w15:color w:val="DBDBDB"/>
        <w:docPartObj>
          <w:docPartGallery w:val="Table of Contents"/>
          <w:docPartUnique/>
        </w:docPartObj>
      </w:sdtPr>
      <w:sdtEndPr>
        <w:rPr>
          <w:rFonts w:ascii="宋体" w:hAnsi="宋体" w:eastAsia="宋体" w:cstheme="minorBidi"/>
          <w:sz w:val="21"/>
          <w:szCs w:val="22"/>
          <w:lang w:val="en-GB" w:eastAsia="en-US" w:bidi="ar-SA"/>
        </w:rPr>
      </w:sdtEndPr>
      <w:sdtContent>
        <w:p>
          <w:pPr>
            <w:spacing w:before="0" w:beforeLines="0" w:after="0" w:afterLines="0" w:line="240" w:lineRule="auto"/>
            <w:ind w:left="0" w:leftChars="0" w:right="0" w:rightChars="0" w:firstLine="0" w:firstLineChars="0"/>
            <w:jc w:val="center"/>
          </w:pPr>
          <w:r>
            <w:rPr>
              <w:rFonts w:hint="default" w:ascii="Times New Roman Regular" w:hAnsi="Times New Roman Regular" w:cs="Times New Roman Regular"/>
              <w:b w:val="0"/>
              <w:bCs/>
              <w:sz w:val="28"/>
              <w:szCs w:val="36"/>
              <w:lang w:eastAsia="en-US" w:bidi="ar-SA"/>
            </w:rPr>
            <w:t>C</w:t>
          </w:r>
          <w:r>
            <w:rPr>
              <w:rFonts w:hint="eastAsia" w:ascii="Times New Roman Regular" w:hAnsi="Times New Roman Regular" w:cs="Times New Roman Regular"/>
              <w:b w:val="0"/>
              <w:bCs/>
              <w:sz w:val="28"/>
              <w:szCs w:val="36"/>
              <w:lang w:val="en-US" w:eastAsia="zh-Hans" w:bidi="ar-SA"/>
            </w:rPr>
            <w:t>ONTENTS</w:t>
          </w:r>
          <w:r>
            <w:fldChar w:fldCharType="begin"/>
          </w:r>
          <w:r>
            <w:instrText xml:space="preserve">TOC \o "1-1" \h \u </w:instrText>
          </w:r>
          <w:r>
            <w:fldChar w:fldCharType="separate"/>
          </w:r>
        </w:p>
        <w:p>
          <w:pPr>
            <w:pStyle w:val="10"/>
            <w:tabs>
              <w:tab w:val="right" w:leader="dot" w:pos="8306"/>
            </w:tabs>
            <w:rPr>
              <w:sz w:val="24"/>
              <w:szCs w:val="24"/>
            </w:rPr>
          </w:pPr>
          <w:r>
            <w:rPr>
              <w:sz w:val="24"/>
              <w:szCs w:val="24"/>
            </w:rPr>
            <w:fldChar w:fldCharType="begin"/>
          </w:r>
          <w:r>
            <w:rPr>
              <w:sz w:val="24"/>
              <w:szCs w:val="24"/>
            </w:rPr>
            <w:instrText xml:space="preserve"> HYPERLINK \l _Toc1934877834 </w:instrText>
          </w:r>
          <w:r>
            <w:rPr>
              <w:sz w:val="24"/>
              <w:szCs w:val="24"/>
            </w:rPr>
            <w:fldChar w:fldCharType="separate"/>
          </w:r>
          <w:r>
            <w:rPr>
              <w:rFonts w:hint="default" w:ascii="Times New Roman Regular" w:hAnsi="Times New Roman Regular" w:cs="Times New Roman Regular"/>
              <w:sz w:val="24"/>
              <w:szCs w:val="24"/>
            </w:rPr>
            <w:t>Executive summary</w:t>
          </w:r>
          <w:r>
            <w:rPr>
              <w:sz w:val="24"/>
              <w:szCs w:val="24"/>
            </w:rPr>
            <w:tab/>
          </w:r>
          <w:r>
            <w:rPr>
              <w:sz w:val="24"/>
              <w:szCs w:val="24"/>
            </w:rPr>
            <w:fldChar w:fldCharType="begin"/>
          </w:r>
          <w:r>
            <w:rPr>
              <w:sz w:val="24"/>
              <w:szCs w:val="24"/>
            </w:rPr>
            <w:instrText xml:space="preserve"> PAGEREF _Toc1934877834 \h </w:instrText>
          </w:r>
          <w:r>
            <w:rPr>
              <w:sz w:val="24"/>
              <w:szCs w:val="24"/>
            </w:rPr>
            <w:fldChar w:fldCharType="separate"/>
          </w:r>
          <w:r>
            <w:rPr>
              <w:sz w:val="24"/>
              <w:szCs w:val="24"/>
            </w:rPr>
            <w:t>2</w:t>
          </w:r>
          <w:r>
            <w:rPr>
              <w:sz w:val="24"/>
              <w:szCs w:val="24"/>
            </w:rPr>
            <w:fldChar w:fldCharType="end"/>
          </w:r>
          <w:r>
            <w:rPr>
              <w:sz w:val="24"/>
              <w:szCs w:val="24"/>
            </w:rPr>
            <w:fldChar w:fldCharType="end"/>
          </w:r>
        </w:p>
        <w:p>
          <w:pPr>
            <w:pStyle w:val="10"/>
            <w:tabs>
              <w:tab w:val="right" w:leader="dot" w:pos="8306"/>
            </w:tabs>
            <w:rPr>
              <w:sz w:val="24"/>
              <w:szCs w:val="24"/>
            </w:rPr>
          </w:pPr>
          <w:r>
            <w:rPr>
              <w:sz w:val="24"/>
              <w:szCs w:val="24"/>
            </w:rPr>
            <w:fldChar w:fldCharType="begin"/>
          </w:r>
          <w:r>
            <w:rPr>
              <w:sz w:val="24"/>
              <w:szCs w:val="24"/>
            </w:rPr>
            <w:instrText xml:space="preserve"> HYPERLINK \l _Toc146889517 </w:instrText>
          </w:r>
          <w:r>
            <w:rPr>
              <w:sz w:val="24"/>
              <w:szCs w:val="24"/>
            </w:rPr>
            <w:fldChar w:fldCharType="separate"/>
          </w:r>
          <w:r>
            <w:rPr>
              <w:rFonts w:hint="default" w:ascii="Times New Roman Regular" w:hAnsi="Times New Roman Regular" w:cs="Times New Roman Regular"/>
              <w:sz w:val="24"/>
              <w:szCs w:val="24"/>
            </w:rPr>
            <w:t>1 Introduction</w:t>
          </w:r>
          <w:r>
            <w:rPr>
              <w:sz w:val="24"/>
              <w:szCs w:val="24"/>
            </w:rPr>
            <w:tab/>
          </w:r>
          <w:r>
            <w:rPr>
              <w:sz w:val="24"/>
              <w:szCs w:val="24"/>
            </w:rPr>
            <w:fldChar w:fldCharType="begin"/>
          </w:r>
          <w:r>
            <w:rPr>
              <w:sz w:val="24"/>
              <w:szCs w:val="24"/>
            </w:rPr>
            <w:instrText xml:space="preserve"> PAGEREF _Toc146889517 \h </w:instrText>
          </w:r>
          <w:r>
            <w:rPr>
              <w:sz w:val="24"/>
              <w:szCs w:val="24"/>
            </w:rPr>
            <w:fldChar w:fldCharType="separate"/>
          </w:r>
          <w:r>
            <w:rPr>
              <w:sz w:val="24"/>
              <w:szCs w:val="24"/>
            </w:rPr>
            <w:t>4</w:t>
          </w:r>
          <w:r>
            <w:rPr>
              <w:sz w:val="24"/>
              <w:szCs w:val="24"/>
            </w:rPr>
            <w:fldChar w:fldCharType="end"/>
          </w:r>
          <w:r>
            <w:rPr>
              <w:sz w:val="24"/>
              <w:szCs w:val="24"/>
            </w:rPr>
            <w:fldChar w:fldCharType="end"/>
          </w:r>
        </w:p>
        <w:p>
          <w:pPr>
            <w:pStyle w:val="10"/>
            <w:tabs>
              <w:tab w:val="right" w:leader="dot" w:pos="8306"/>
            </w:tabs>
            <w:rPr>
              <w:sz w:val="24"/>
              <w:szCs w:val="24"/>
            </w:rPr>
          </w:pPr>
          <w:r>
            <w:rPr>
              <w:sz w:val="24"/>
              <w:szCs w:val="24"/>
            </w:rPr>
            <w:fldChar w:fldCharType="begin"/>
          </w:r>
          <w:r>
            <w:rPr>
              <w:sz w:val="24"/>
              <w:szCs w:val="24"/>
            </w:rPr>
            <w:instrText xml:space="preserve"> HYPERLINK \l _Toc1313401816 </w:instrText>
          </w:r>
          <w:r>
            <w:rPr>
              <w:sz w:val="24"/>
              <w:szCs w:val="24"/>
            </w:rPr>
            <w:fldChar w:fldCharType="separate"/>
          </w:r>
          <w:r>
            <w:rPr>
              <w:rFonts w:hint="default"/>
              <w:sz w:val="24"/>
              <w:szCs w:val="24"/>
            </w:rPr>
            <w:t>2 Comprehensive strategic analysis including internal and external</w:t>
          </w:r>
          <w:r>
            <w:rPr>
              <w:sz w:val="24"/>
              <w:szCs w:val="24"/>
            </w:rPr>
            <w:tab/>
          </w:r>
          <w:r>
            <w:rPr>
              <w:sz w:val="24"/>
              <w:szCs w:val="24"/>
            </w:rPr>
            <w:fldChar w:fldCharType="begin"/>
          </w:r>
          <w:r>
            <w:rPr>
              <w:sz w:val="24"/>
              <w:szCs w:val="24"/>
            </w:rPr>
            <w:instrText xml:space="preserve"> PAGEREF _Toc1313401816 \h </w:instrText>
          </w:r>
          <w:r>
            <w:rPr>
              <w:sz w:val="24"/>
              <w:szCs w:val="24"/>
            </w:rPr>
            <w:fldChar w:fldCharType="separate"/>
          </w:r>
          <w:r>
            <w:rPr>
              <w:sz w:val="24"/>
              <w:szCs w:val="24"/>
            </w:rPr>
            <w:t>5</w:t>
          </w:r>
          <w:r>
            <w:rPr>
              <w:sz w:val="24"/>
              <w:szCs w:val="24"/>
            </w:rPr>
            <w:fldChar w:fldCharType="end"/>
          </w:r>
          <w:r>
            <w:rPr>
              <w:sz w:val="24"/>
              <w:szCs w:val="24"/>
            </w:rPr>
            <w:fldChar w:fldCharType="end"/>
          </w:r>
        </w:p>
        <w:p>
          <w:pPr>
            <w:pStyle w:val="10"/>
            <w:tabs>
              <w:tab w:val="right" w:leader="dot" w:pos="8306"/>
            </w:tabs>
            <w:rPr>
              <w:sz w:val="24"/>
              <w:szCs w:val="24"/>
            </w:rPr>
          </w:pPr>
          <w:r>
            <w:rPr>
              <w:sz w:val="24"/>
              <w:szCs w:val="24"/>
            </w:rPr>
            <w:fldChar w:fldCharType="begin"/>
          </w:r>
          <w:r>
            <w:rPr>
              <w:sz w:val="24"/>
              <w:szCs w:val="24"/>
            </w:rPr>
            <w:instrText xml:space="preserve"> HYPERLINK \l _Toc359913999 </w:instrText>
          </w:r>
          <w:r>
            <w:rPr>
              <w:sz w:val="24"/>
              <w:szCs w:val="24"/>
            </w:rPr>
            <w:fldChar w:fldCharType="separate"/>
          </w:r>
          <w:r>
            <w:rPr>
              <w:rFonts w:hint="default"/>
              <w:sz w:val="24"/>
              <w:szCs w:val="24"/>
            </w:rPr>
            <w:t>3 Assessment of strategic options</w:t>
          </w:r>
          <w:r>
            <w:rPr>
              <w:sz w:val="24"/>
              <w:szCs w:val="24"/>
            </w:rPr>
            <w:tab/>
          </w:r>
          <w:r>
            <w:rPr>
              <w:sz w:val="24"/>
              <w:szCs w:val="24"/>
            </w:rPr>
            <w:fldChar w:fldCharType="begin"/>
          </w:r>
          <w:r>
            <w:rPr>
              <w:sz w:val="24"/>
              <w:szCs w:val="24"/>
            </w:rPr>
            <w:instrText xml:space="preserve"> PAGEREF _Toc359913999 \h </w:instrText>
          </w:r>
          <w:r>
            <w:rPr>
              <w:sz w:val="24"/>
              <w:szCs w:val="24"/>
            </w:rPr>
            <w:fldChar w:fldCharType="separate"/>
          </w:r>
          <w:r>
            <w:rPr>
              <w:sz w:val="24"/>
              <w:szCs w:val="24"/>
            </w:rPr>
            <w:t>8</w:t>
          </w:r>
          <w:r>
            <w:rPr>
              <w:sz w:val="24"/>
              <w:szCs w:val="24"/>
            </w:rPr>
            <w:fldChar w:fldCharType="end"/>
          </w:r>
          <w:r>
            <w:rPr>
              <w:sz w:val="24"/>
              <w:szCs w:val="24"/>
            </w:rPr>
            <w:fldChar w:fldCharType="end"/>
          </w:r>
        </w:p>
        <w:p>
          <w:pPr>
            <w:pStyle w:val="10"/>
            <w:tabs>
              <w:tab w:val="right" w:leader="dot" w:pos="8306"/>
            </w:tabs>
            <w:rPr>
              <w:rFonts w:hint="default" w:eastAsia="宋体"/>
              <w:sz w:val="24"/>
              <w:szCs w:val="24"/>
              <w:lang w:val="en-US" w:eastAsia="zh-CN"/>
            </w:rPr>
          </w:pPr>
          <w:r>
            <w:rPr>
              <w:rFonts w:hint="eastAsia"/>
              <w:sz w:val="24"/>
              <w:szCs w:val="24"/>
              <w:lang w:val="en-US" w:eastAsia="zh-CN"/>
            </w:rPr>
            <w:t xml:space="preserve">4 </w:t>
          </w:r>
          <w:r>
            <w:rPr>
              <w:rFonts w:hint="default"/>
              <w:sz w:val="24"/>
              <w:szCs w:val="24"/>
            </w:rPr>
            <w:t>Influence and Strategy of Strategic Organization</w:t>
          </w:r>
          <w:r>
            <w:rPr>
              <w:sz w:val="24"/>
              <w:szCs w:val="24"/>
            </w:rPr>
            <w:tab/>
          </w:r>
          <w:r>
            <w:rPr>
              <w:rFonts w:hint="eastAsia"/>
              <w:sz w:val="24"/>
              <w:szCs w:val="24"/>
              <w:lang w:val="en-US" w:eastAsia="zh-CN"/>
            </w:rPr>
            <w:t>11</w:t>
          </w:r>
        </w:p>
        <w:p>
          <w:pPr>
            <w:pStyle w:val="10"/>
            <w:tabs>
              <w:tab w:val="right" w:leader="dot" w:pos="8306"/>
            </w:tabs>
            <w:rPr>
              <w:rFonts w:hint="default" w:eastAsia="宋体"/>
              <w:sz w:val="24"/>
              <w:szCs w:val="24"/>
              <w:lang w:val="en-US" w:eastAsia="zh-CN"/>
            </w:rPr>
          </w:pPr>
          <w:r>
            <w:rPr>
              <w:rFonts w:hint="eastAsia"/>
              <w:sz w:val="24"/>
              <w:szCs w:val="24"/>
              <w:lang w:val="en-US" w:eastAsia="zh-CN"/>
            </w:rPr>
            <w:t xml:space="preserve">5 </w:t>
          </w:r>
          <w:r>
            <w:rPr>
              <w:rFonts w:hint="default"/>
              <w:sz w:val="24"/>
              <w:szCs w:val="24"/>
            </w:rPr>
            <w:t>Conclusion</w:t>
          </w:r>
          <w:r>
            <w:rPr>
              <w:sz w:val="24"/>
              <w:szCs w:val="24"/>
            </w:rPr>
            <w:tab/>
          </w:r>
          <w:r>
            <w:rPr>
              <w:rFonts w:hint="eastAsia"/>
              <w:sz w:val="24"/>
              <w:szCs w:val="24"/>
              <w:lang w:val="en-US" w:eastAsia="zh-CN"/>
            </w:rPr>
            <w:t>14</w:t>
          </w:r>
        </w:p>
        <w:p>
          <w:pPr>
            <w:pStyle w:val="10"/>
            <w:tabs>
              <w:tab w:val="right" w:leader="dot" w:pos="8306"/>
            </w:tabs>
            <w:rPr>
              <w:rFonts w:hint="eastAsia" w:eastAsia="宋体"/>
              <w:lang w:val="en-US" w:eastAsia="zh-CN"/>
            </w:rPr>
          </w:pPr>
          <w:r>
            <w:rPr>
              <w:sz w:val="24"/>
              <w:szCs w:val="24"/>
            </w:rPr>
            <w:fldChar w:fldCharType="begin"/>
          </w:r>
          <w:r>
            <w:rPr>
              <w:sz w:val="24"/>
              <w:szCs w:val="24"/>
            </w:rPr>
            <w:instrText xml:space="preserve"> HYPERLINK \l _Toc1760631241 </w:instrText>
          </w:r>
          <w:r>
            <w:rPr>
              <w:sz w:val="24"/>
              <w:szCs w:val="24"/>
            </w:rPr>
            <w:fldChar w:fldCharType="separate"/>
          </w:r>
          <w:r>
            <w:rPr>
              <w:rFonts w:hint="default"/>
              <w:sz w:val="24"/>
              <w:szCs w:val="24"/>
            </w:rPr>
            <w:t>6 References</w:t>
          </w:r>
          <w:r>
            <w:rPr>
              <w:sz w:val="24"/>
              <w:szCs w:val="24"/>
            </w:rPr>
            <w:tab/>
          </w:r>
          <w:r>
            <w:rPr>
              <w:rFonts w:hint="eastAsia"/>
              <w:sz w:val="24"/>
              <w:szCs w:val="24"/>
              <w:lang w:val="en-US" w:eastAsia="zh-CN"/>
            </w:rPr>
            <w:t>1</w:t>
          </w:r>
          <w:r>
            <w:rPr>
              <w:sz w:val="24"/>
              <w:szCs w:val="24"/>
            </w:rPr>
            <w:fldChar w:fldCharType="end"/>
          </w:r>
          <w:r>
            <w:rPr>
              <w:rFonts w:hint="eastAsia"/>
              <w:sz w:val="24"/>
              <w:szCs w:val="24"/>
              <w:lang w:val="en-US" w:eastAsia="zh-CN"/>
            </w:rPr>
            <w:t>6</w:t>
          </w:r>
        </w:p>
        <w:p>
          <w:r>
            <w:fldChar w:fldCharType="end"/>
          </w:r>
        </w:p>
      </w:sdtContent>
    </w:sdt>
    <w:p>
      <w:pPr>
        <w:rPr>
          <w:rFonts w:hint="default" w:ascii="Times New Roman Regular" w:hAnsi="Times New Roman Regular" w:cs="Times New Roman Regular"/>
        </w:rPr>
      </w:pPr>
      <w:bookmarkStart w:id="3" w:name="_Toc146889517"/>
      <w:r>
        <w:rPr>
          <w:rFonts w:hint="default" w:ascii="Times New Roman Regular" w:hAnsi="Times New Roman Regular" w:cs="Times New Roman Regular"/>
        </w:rPr>
        <w:br w:type="page"/>
      </w:r>
    </w:p>
    <w:p>
      <w:pPr>
        <w:pStyle w:val="3"/>
        <w:bidi w:val="0"/>
        <w:rPr>
          <w:rFonts w:hint="default" w:ascii="Times New Roman Regular" w:hAnsi="Times New Roman Regular" w:cs="Times New Roman Regular"/>
        </w:rPr>
      </w:pPr>
      <w:r>
        <w:rPr>
          <w:rFonts w:hint="default" w:ascii="Times New Roman Regular" w:hAnsi="Times New Roman Regular" w:cs="Times New Roman Regular"/>
        </w:rPr>
        <w:t>1 Introduction</w:t>
      </w:r>
      <w:bookmarkEnd w:id="3"/>
    </w:p>
    <w:p>
      <w:pPr>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success of a new brand and the stability of a new market cannot stand the test without three years of continuous testing. As far as Mi phones mobile phones are concerned, it is just three years and three generations since the digital series really entered the high-end market. Now we can analyze whether it is successful or not.</w:t>
      </w:r>
    </w:p>
    <w:p>
      <w:pPr>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First of all, whether a brand stands firmly at the high-end or not, I don't think that the shipment of this high-end product must be very strong, but at least the brand influence must be deeply rooted in the hearts of the people, and the product experience can win the loyal support of some high consumption fans. For example, Apple and Huawei have all become the first choice when buying a computer. As far as competing products are concerned with specific products, in fact, under the influence of high brands, they have long been "loving my house and my family" - one is always regarded as invincible experience, the other has eliminated the differential influence of hardware, and the product has become a spiritual belief.</w:t>
      </w:r>
    </w:p>
    <w:p>
      <w:pPr>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market feedback of Mi phones's high-end products is not satisfactory, but the performance of high-end products is getting better. For example, the performance of Mi phones 12S series in 2022 has won the best reputation of high-end mobile phones of the year. Among them, the good ratings of Mi phones 12S series and folding screen mobile phone Mi phones MIX Fold 2 in the first month of e-commerce platform exceeded 98%. At the same time, Mi phones 12S series is highly recognized by professional photographers and photography enthusiasts with its powerful image strength. The high praise of the whole department has also reached the highest level in history, which is the phased victory of Mi phones's high-end strategy.</w:t>
      </w:r>
    </w:p>
    <w:p>
      <w:pPr>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 addition, just because Mi phones has unswervingly followed the high-end strategy for three years, its brand influence is not the same as before - it has the strength to compete with Apple and Huawei. And looking at the domestic mobile phone market, except Huawei, only Mi phones's high-end strategy is the most successful, and other brands still have a long way to go.</w:t>
      </w:r>
    </w:p>
    <w:p>
      <w:pPr>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Secondly, in terms of products, experience should be above everything else. This is also verified by the important experience of Mi phones in its three-year high-end exploration, that is, the high-end has no weaknesses, from parameter leadership to experience priority, and software and hardware are deeply coordinated.</w:t>
      </w:r>
    </w:p>
    <w:p>
      <w:pPr>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first generation Mi phones mobile phone was released in 2011. It adopts the sales method of hunger marketing to link the reservation number with the purchase opportunity, so as to achieve the effect of "short-term high sales". In 2020, Mi phones will be the fourth smartphone manufacturer in the world and the fourth to develop mobile phone chips after Apple, Samsung and Huawei Company.</w:t>
      </w:r>
    </w:p>
    <w:p>
      <w:pPr>
        <w:pStyle w:val="3"/>
        <w:bidi w:val="0"/>
        <w:rPr>
          <w:rFonts w:hint="default"/>
        </w:rPr>
      </w:pPr>
      <w:bookmarkStart w:id="4" w:name="_Toc1313401816"/>
      <w:r>
        <w:rPr>
          <w:rFonts w:hint="default"/>
        </w:rPr>
        <w:t>2 Comprehensive strategic analysis including internal and external</w:t>
      </w:r>
      <w:bookmarkEnd w:id="4"/>
    </w:p>
    <w:p>
      <w:pPr>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 the first quarter of 2022, Mi phones's revenue fell 4.6% year on year and 14.3% month on month, which is expected. The result is mainly attributed to the decline of its global smartphone sales. The company's largest smartphone business fell 11.1% year on year. According to the latest Counterpoint Market Monitor data, Mi phones's share of global smartphone shipments has been declining in the past three quarters, from a peak of 16% in the second quarter of 2021 to 12% in the first quarter of 2022. The shipment volume has reached the lowest point since the third quarter of 2020.</w:t>
      </w:r>
    </w:p>
    <w:p>
      <w:pPr>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Due to the continuous shortage of key components such as 4G SoC, the resurgence of COVID-19 in some regions, and the global macroeconomic headwind, the shipment of Mi phones smart phones in the first quarter of 2022 fell by 20.6% year on year, while the global decline was 8.1%, and the Chinese market fell by 18.1%, according to the market monitoring data of Counterpoint.</w:t>
      </w:r>
    </w:p>
    <w:p>
      <w:pPr>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When commenting on Mi phones's smartphone sales, Ivan Lam, a senior analyst, said: "Q1 is usually the seasonal low point for all OEMs. However, the decline of Mi phones's smartphone sales is greater than the market. Historically, Mi phones is based on entry-level and budget mid-range smartphones such as Redmi 9A/9C and Redmi Note series. Therefore, the shortage of LTE chipsets has affected Mi phones's performance in the low-end market. However, we can also see the ASP (average selling price) of Mi phones's phones The rise to 1189 yuan (about 176 US dollars) may be the only thing worth cheering in the first quarter data of 2022. "</w:t>
      </w:r>
    </w:p>
    <w:p>
      <w:pPr>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cost of sales of Mi phones smart phones decreased by 8.1%, mainly due to the decline in sales, partly offset by the increase in average cost of sales due to the increase in the proportion of mid end and high-end smartphones shipped. Review the sales campaign, Lin said: "Mi phones's offline channel expansion in China has experienced a period of ups and downs. After spending a lot with offline partners, Mi phones's offline sales share has not changed. What's worse, Mi phones's inventory is now very high, especially in high-end and high-end smartphones. This has prompted Mi phones to spend more on promotional activities. We observed that its inventory turnover days at the end of the first quarter of 2022 are far higher than the first quarter of 2021. The high inventory is The danger signal in the second quarter of 2022 is that some major cities in China are implementing COVID-19 blockade, reducing people's ability to buy new smartphones. "</w:t>
      </w:r>
    </w:p>
    <w:p>
      <w:pPr>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 the first quarter of 2022, Mi phones's Internet of Things and life products sector grew 6.8% year on year, down 22.3% month on month. The sales volume of the company's TV products in China led the sector, and kept the first place in the domestic market for 13 consecutive quarters. Wang Yang, a senior analyst, commented on the performance of the sector, "The Internet of Things and lifestyle products account for 26.6% of the group's total revenue, which is the main source of revenue. However, compared with the smartphone field, this field does not make much money. The increase in profits is mainly due to the decline in the price of key components such as display panels. In terms of wearable products, Mi phones has also seen disappointing results. Although it is India's leading smartphone brand, its TWS and smart watch models are not Can enter the top five brands list. In the first quarter of 2022, India's TWS and smart watch shipments increased by 66% and 173% year on year respectively, but Mi phones was still excluded. It could have done better in terms of its second largest revenue contributor. "</w:t>
      </w:r>
    </w:p>
    <w:p>
      <w:pPr>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Mi phones's Internet service business grew to 9.7% of the company's total revenue in the first quarter of 2022, up 8.2% year on year and down 2.2% month on month. The month on month decline was due to poor smartphone sales. When commenting on Mi phones's Internet service department, Archie Zhang, a research analyst, said: "Against the background that Google has seized a large part of such revenue in overseas markets, Mi phones's Internet service department has constantly brought good news. Mi phones has just broken through the 500 million installation base and joined Samsung and Apple, but it needs to take innovative methods to monetize the traffic of its overseas products."</w:t>
      </w:r>
    </w:p>
    <w:p>
      <w:pPr>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 view of the industry competition environment, this paper uses Porter's five forces model to analyze, that is, potential new competitors, suppliers' bargaining power, buyers' bargaining power, competitors in the same industry, and threats of alternative products.</w:t>
      </w:r>
    </w:p>
    <w:p>
      <w:pPr>
        <w:pStyle w:val="4"/>
        <w:bidi w:val="0"/>
        <w:rPr>
          <w:rFonts w:hint="default"/>
        </w:rPr>
      </w:pPr>
      <w:r>
        <w:rPr>
          <w:rFonts w:hint="default"/>
        </w:rPr>
        <w:t>2.1 Potential new competitors</w:t>
      </w:r>
    </w:p>
    <w:p>
      <w:pPr>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rPr>
      </w:pPr>
      <w:r>
        <w:rPr>
          <w:rFonts w:hint="default" w:ascii="Times New Roman Regular" w:hAnsi="Times New Roman Regular" w:cs="Times New Roman Regular"/>
          <w:sz w:val="24"/>
          <w:szCs w:val="24"/>
        </w:rPr>
        <w:t>The scientific and technological attributes of smart phones have created its own profit space, which needs to be large enough to maintain the development and innovation of new products. The high profit of the product has led potential competitors outside the industry to have a stronger willingness to enter the industry and seize resources, which poses a great potential threat to Mi phones's mobile phone, and urges Mi phones to constantly strengthen its core competitiveness to stabilize its market share and further develop.</w:t>
      </w:r>
    </w:p>
    <w:p>
      <w:pPr>
        <w:pStyle w:val="4"/>
        <w:bidi w:val="0"/>
        <w:rPr>
          <w:rFonts w:hint="default"/>
        </w:rPr>
      </w:pPr>
      <w:r>
        <w:rPr>
          <w:rFonts w:hint="default"/>
        </w:rPr>
        <w:t>2.2 Supplier bargaining power</w:t>
      </w:r>
    </w:p>
    <w:p>
      <w:pPr>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Mi phones mobile phones started with assembly machines and highly relied on external suppliers. The hardware suppliers of Mi phones mobile phones include more than 30 companies, including Inventec, Foxconn, Sharp, SONY, LG, PHILIPS and Samsung. In terms of processors, Mi phones relies more than 90% on Qualcomm processors. Mi phones is an assembly machine. Most of the spare parts need to be purchased externally, which makes it weak in bargaining power with suppliers. Mi phones mobile phones have been expanding in scale, achieving "scale effect" in the mobile phone market, and their external bargaining power has also been improved. In addition, the e-commerce sales model helps Mi phones quickly collect funds. Its brand effect also drives the sales volume of suppliers' products. If both parties achieve mutual benefit, they can obtain bargaining chips with suppliers.</w:t>
      </w:r>
    </w:p>
    <w:p>
      <w:pPr>
        <w:pStyle w:val="4"/>
        <w:bidi w:val="0"/>
        <w:rPr>
          <w:rFonts w:hint="default"/>
        </w:rPr>
      </w:pPr>
      <w:r>
        <w:rPr>
          <w:rFonts w:hint="default"/>
        </w:rPr>
        <w:t>2.3 Buyer bargaining power</w:t>
      </w:r>
    </w:p>
    <w:p>
      <w:pPr>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Mi phones mobile phone adopts the cost leading strategy and the "hunger marketing" mode to achieve the effect of "short-term high sales". At present, there are more and more personalized mobile phones of niche brands. Although Meitu Xiuxiu can only occupy a few markets by creating unique mobile phones based on the characteristics of its own software, the mobile phone market is gradually subdivided with the segmentation of personalized brands. In addition, global informatization makes Internet channels integrate with each other, making it easier for consumers to obtain comprehensive product information, so as to compare various products in terms of price and function; The emergence of customized mobile phones may lead to new mobile phone development trends. Therefore, the bargaining power of buyers is enhanced.</w:t>
      </w:r>
    </w:p>
    <w:p>
      <w:pPr>
        <w:pStyle w:val="4"/>
        <w:bidi w:val="0"/>
        <w:rPr>
          <w:rFonts w:hint="default"/>
        </w:rPr>
      </w:pPr>
      <w:r>
        <w:rPr>
          <w:rFonts w:hint="default"/>
        </w:rPr>
        <w:t>2.4 Competitors in the same industry</w:t>
      </w:r>
    </w:p>
    <w:p>
      <w:pPr>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2011 was a period of rapid development of smart phone industry, and famous brands such as Apple, Mi phones, HTC and Meizu became the main players in the industry at that time. With the development of the industry and consumers' recognition of smart phones, the shipment of smart phones has increased dramatically. 2017 is the peak of global smartphone development, and the smartphone market has gradually reached saturation. After 2018, the annual shipment data began to decline slowly. In 2020, the global smartphone shipment volume was only 1.331 billion, a year-on-year decrease of 10%. In addition, in the mobile phone industry, consumers can buy smart phones for about 1000 yuan, largely because of Lei Jun's cost leadership strategy for Mi phones mobile phones. In order to snipe at Mi phones, competitors have launched sub brands with similar configurations but lower prices to seize the market.</w:t>
      </w:r>
    </w:p>
    <w:p>
      <w:pPr>
        <w:pStyle w:val="3"/>
        <w:bidi w:val="0"/>
        <w:rPr>
          <w:rFonts w:hint="default"/>
        </w:rPr>
      </w:pPr>
      <w:bookmarkStart w:id="5" w:name="_Toc359913999"/>
      <w:r>
        <w:rPr>
          <w:rFonts w:hint="default"/>
        </w:rPr>
        <w:t>3 Assessment of strategic options</w:t>
      </w:r>
      <w:bookmarkEnd w:id="5"/>
    </w:p>
    <w:p>
      <w:pPr>
        <w:pStyle w:val="4"/>
        <w:bidi w:val="0"/>
        <w:rPr>
          <w:rFonts w:hint="default"/>
        </w:rPr>
      </w:pPr>
      <w:r>
        <w:rPr>
          <w:rFonts w:hint="default"/>
        </w:rPr>
        <w:t>3.1 Improve product positioning image and create high-end brand</w:t>
      </w:r>
    </w:p>
    <w:p>
      <w:pPr>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Although Mi phones's mobile phone started with a "price friendly" route, it attracted a large number of loyal rice noodles and brought benefits to its own brand. But in the long run, it is not an appropriate marketing strategy. Low prices can only bring temporary benefits to Mi phones's mobile phone and affect its brand image. The low price positioning is suitable for the development of Mi phones in the initial market, and it can win the demand of the mobile phone market by relying on small profits and quick turnover. With the continuous development of Mi phones mobile phones, it has begun to occupy the top of the top several domestic mobile phones, so we should consider building a high-end brand image of Mi phones mobile phones. Nowadays, because the price friendly route has gone deep into user psychology, it gives the audience the stereotype of low-end and cheap Mi phones mobile phones, which is not conducive to the establishment of high-end brand image of Mi phones mobile phones in the long run. Because the price positioning of Mi phones's mobile phone is too user-friendly, users often regard the Mi phones brand as a transitional period for purchasing mobile phones. When purchasing high-end models, they will give priority to Apple, Huawei, Samsung and other brands. The high-end image of Mi phones has not been established in the minds of users, resulting in insufficient high-end image building of the Mi phones brand.</w:t>
      </w:r>
    </w:p>
    <w:p>
      <w:pPr>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high-end transformation of smart phones requires the brand to upgrade its product positioning, meet the needs of more high-end users for mobile phones, and create its own unique advantages in order to occupy the market. Huawei's mobile phone development plan started from the low-end market at the beginning, and gained initial market share through the technical dimension reduction attack. After constant integration with the international market, Huawei finally achieved some success worldwide, and gradually moved towards high-end. The same route is also followed by Mi phones mobile phones. Mi phones mobile phones started from the low-end market and have always maintained the update iteration of low-end phones. Mi phones mobile phones start with the high cost performance of low-end mobile phones, consolidate consumers' trust and love for Mi phones mobile phones, and use sufficient cash flow to promote the process of high-end mobile phones after accumulating enough low-end users to meet the survival needs of Mi phones mobile phones. In the development direction of high-end computers, we gradually captured the minds of consumers through effective advertising, and bravely tried the international market, obtaining good feedback.</w:t>
      </w:r>
    </w:p>
    <w:p>
      <w:pPr>
        <w:pStyle w:val="4"/>
        <w:bidi w:val="0"/>
        <w:rPr>
          <w:rFonts w:hint="default"/>
        </w:rPr>
      </w:pPr>
      <w:r>
        <w:rPr>
          <w:rFonts w:hint="default"/>
        </w:rPr>
        <w:t>3.2 Innovate the development of core technology and create scientific and technological products</w:t>
      </w:r>
    </w:p>
    <w:p>
      <w:pPr>
        <w:pStyle w:val="2"/>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Although Mi phones mobile phone has become one of the domestic mobile phone brands, there are still core technical problems unsolved. For the development of mobile phone brand, its own innovative technology is the key element of sustainable development. When Mi phones mobile phones first entered the market, they mainly focused on the brand positioning of "fever level". Mi phones's slogan for fever was catchy and popular. But now it has become a prophecy. Mi phones has really become a "fever machine". First of all, the Mi phones mobile phone runs very fast in the early stage of use, and its feel is liked by the audience. However, the frequency of using the mobile phone for a long time will make the Mi phones mobile phone hot during operation for a long time, and even the black screen will crash. Even in the ordinary use of users, the phenomenon of "stuck machine" often occurs, which makes users feel uncomfortable. Secondly, Mi phones does not have a separate processor, relying on the development of Qualcomm Snapdragon processors, and lacks technological innovation. Among the domestic mobile phones, Mi phones and Huawei are competing fiercely. The two have been competing for more audience markets. The reason why the audience chose Huawei is that Huawei has strong innovative technology capabilities, independently develops Qilin processors, and the mobile phone system is more perfect. In contrast, Mi phones's mobile phone technology capabilities need to be improved. Finally, the era continues to develop, from the 4G era to the 5G era, which is a challenge and opportunity for the mobile phone industry.</w:t>
      </w:r>
    </w:p>
    <w:p>
      <w:pPr>
        <w:pStyle w:val="2"/>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Marketing is only a means to assist product promotion in sales. Good products have their own marketing attributes. The quality of products determines the difficulty of product marketing to a certain extent. If there is a problem with product quality, it will seriously affect consumers' perception of the product, but this is also relatively. For example, the initial product of Mi phones mobile phone was very hot. However, with its high cost performance ratio, the hot issue did not seem to be unacceptable to consumers. Instead, it became a propaganda point for consumers to spread Mi phones mobile phone on their own.</w:t>
      </w:r>
    </w:p>
    <w:p>
      <w:pPr>
        <w:pStyle w:val="2"/>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It has become the consensus of all mankind to use infrastructure construction to illuminate the endless frontier road of science and technology. In particular, the rise of AI technology has brought new opportunities for scientific research: large models, AI+life sciences, AI+fluid mechanics, and automatic driving. These crucial scientific and technological development directions all need new scientific research infrastructure as support. The combination of AI and scientific research, as well as the development of industrial intelligence, require abundant AI computing power. This has become the consensus in the industry. Under such consensus, AICC has risen one by one. After such construction activities, AICC everywhere will face a key challenge: how to enable the industry with AICC's computing power. Mi phones mobile phone is an appropriate entry point for AI and consumers' daily life. It applies high-end technology to people's livelihood and brings good changes to consumers' lives.</w:t>
      </w:r>
    </w:p>
    <w:p>
      <w:pPr>
        <w:pStyle w:val="4"/>
        <w:bidi w:val="0"/>
        <w:rPr>
          <w:rFonts w:hint="default"/>
        </w:rPr>
      </w:pPr>
      <w:r>
        <w:rPr>
          <w:rFonts w:hint="default"/>
        </w:rPr>
        <w:t>3.3 Transform brand marketing methods and create diversified content</w:t>
      </w:r>
    </w:p>
    <w:p>
      <w:pPr>
        <w:pStyle w:val="2"/>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Under the traditional marketing mode, many enterprises have weak awareness of marketing management, simple setup of relevant institutions, relatively single marketing methods and marketing strategies, and obvious lack of innovation, which leads to low level of enterprise marketing management and affects its function and role. In those years, Mi phones mobile phones were popular with "hunger marketing".</w:t>
      </w:r>
    </w:p>
    <w:p>
      <w:pPr>
        <w:pStyle w:val="2"/>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mind of consumers is the key to the enterprise's profit, and it is also the key to product R&amp;D and marketing. Enterprises need to fully evaluate consumers' preferences for products and future demand orientation, so that they can firmly grasp consumers' psychology and let consumers continue to pay the bill, so that more profits can be invested in the research and development of higher level products. However, using consumers' minds should not be used frequently. Instead, it will make consumers establish a sense of vigilance, which is not conducive to the positive image of the brand, thus creating the possibility of investing in competitive brands and causing the loss of corporate customers.</w:t>
      </w:r>
    </w:p>
    <w:p>
      <w:pPr>
        <w:pStyle w:val="2"/>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marketing mode of Mi phones mobile phone focuses on online marketing, and the few offline stores of Mi phones mobile phone lead to the failure to fully meet the customer's maintenance needs, which will have a bad impact on the customer's after-sales experience and damage the long-term interests of the enterprise. With the rapid growth of enterprises in the smart phone industry, the competition in the mobile phone market is becoming more and more fierce. Enterprises need to pay special attention to the public image to facilitate the promotion of new products and maintain the loyalty of purchased users. Mi phones mobile phone needs to pay special attention to the analysis of brand marketing concepts and ideas. Mi phones Mobile should seize every opportunity that can effectively promote its brand. By creating a high-quality brand to reduce the communication cost between enterprises and consumers, it can effectively improve the marketing cost of enterprises, thereby improving the overall resource utilization of enterprises, and constantly consolidate the leading position of enterprises in the industry.</w:t>
      </w:r>
    </w:p>
    <w:p>
      <w:pPr>
        <w:pStyle w:val="4"/>
        <w:bidi w:val="0"/>
        <w:rPr>
          <w:rFonts w:hint="default"/>
        </w:rPr>
      </w:pPr>
      <w:r>
        <w:rPr>
          <w:rFonts w:hint="default"/>
        </w:rPr>
        <w:t>4 Influence and Strategy of Strategic Organization</w:t>
      </w:r>
    </w:p>
    <w:p>
      <w:pPr>
        <w:pStyle w:val="2"/>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rPr>
      </w:pPr>
      <w:r>
        <w:rPr>
          <w:rFonts w:hint="default" w:ascii="Times New Roman Regular" w:hAnsi="Times New Roman Regular" w:cs="Times New Roman Regular"/>
          <w:sz w:val="24"/>
          <w:szCs w:val="24"/>
        </w:rPr>
        <w:t>IMi phones is still a young company from the current situation. Mi phones was founded in 2010, but now it is only 12 years old. In the past 12 years, the company has created many miracles. The first mobile phone sold 300000 units as soon as it was opened for booking; The sales volume of mobile phones has become the first in China and the third in the world in three years; After 9 years of establishment, it has become the youngest Fortune 500 enterprise. These are wonderful answers delivered by Mi phones.</w:t>
      </w:r>
    </w:p>
    <w:p>
      <w:pPr>
        <w:pStyle w:val="4"/>
        <w:bidi w:val="0"/>
        <w:rPr>
          <w:rFonts w:hint="default"/>
        </w:rPr>
      </w:pPr>
      <w:r>
        <w:rPr>
          <w:rFonts w:hint="default"/>
        </w:rPr>
        <w:t>4.1 Hunger marketing</w:t>
      </w:r>
    </w:p>
    <w:p>
      <w:pPr>
        <w:pStyle w:val="2"/>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 2011, the first generation of Mi phones mobile phones were released. Mi phones chose the exclusive sales mode on the official website, with 300000 units launched for the first time and sold out in 22 hours. Later, for a long time, Mi phones kept the "exclusive sales mode on the official website", and the rush purchase was open at 12 o'clock every Tuesday, often ending in less than a minute. Since then, Mi phones has been labeled as "Hunger Marketing" and "Playing Monkey".</w:t>
      </w:r>
    </w:p>
    <w:p>
      <w:pPr>
        <w:pStyle w:val="2"/>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Lei Jun also always explained that he had never done hunger marketing, just because the production capacity of the products could not keep up. No matter hunger marketing is intentional for Mi phones, or rumors from outside. However, these topics have brought a huge exposure to Mi phones. Mi phones also reaped the first batch of rice noodles with its ultra-high configuration, excellent cost performance, and good miui experience.</w:t>
      </w:r>
    </w:p>
    <w:p>
      <w:pPr>
        <w:pStyle w:val="2"/>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While people continue to criticize the hunger marketing, many people continue to join in the rush to buy. Under this spectacle, there are scalpers who resell millet mobile phones at high prices. Mi phones didn't spend a penny on advertising, but it gained the largest exposure in the whole mobile phone industry and became the most topical mobile phone brand. Now look at that time, is Mi phones's success just hunger marketing? Actually, it is not. More importantly, Mi phones mobile phones achieve the ultimate cost performance. It can be said that Mi phones has subverted the pricing rules of the mobile phone industry. With the configuration of "dual core, 1.5G", Mi phones set the market off at the price of "1999 yuan" when competitors generally priced more than 3000 yuan.</w:t>
      </w:r>
    </w:p>
    <w:p>
      <w:pPr>
        <w:pStyle w:val="2"/>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All marketing must be based on products. Mi phones redefined the business model of the mobile phone market, from a traditional mobile phone manufacturing company that profits from products to an Internet company that profits from services. Therefore, Mi phones Company has been playing a big game since the beginning. Mobile phone hardware is a profit that they can give up completely.</w:t>
      </w:r>
    </w:p>
    <w:p>
      <w:pPr>
        <w:pStyle w:val="4"/>
        <w:bidi w:val="0"/>
        <w:rPr>
          <w:rFonts w:hint="default"/>
        </w:rPr>
      </w:pPr>
      <w:r>
        <w:rPr>
          <w:rFonts w:hint="default"/>
        </w:rPr>
        <w:t>4.2 Sense of participation</w:t>
      </w:r>
    </w:p>
    <w:p>
      <w:pPr>
        <w:pStyle w:val="2"/>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Li Wanqiang, the co-founder of Mi phones, once wrote a book "Sense of Participation", which systematically introduced Mi phones's idea of "making friends with users". The most interesting things in the world often come from changes. Mi phones updates the MIUI system every week. After users use the newly updated functions, customers can also fill in feedback. Customer feedback is likely to appear in the next system update.</w:t>
      </w:r>
    </w:p>
    <w:p>
      <w:pPr>
        <w:pStyle w:val="2"/>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 order to enable users to participate, Mi phones called the customers who initially used miui "100 dream sponsors", and these 100 user IDs were placed on the boot screen. In order to listen to customers, Mi phones has created Mi phones Community, where all the senior managers of Mi phones will listen to customers. In order to make friends with customers, Mi phones held a popcorn festival so that students who like Mi phones can be linked.</w:t>
      </w:r>
    </w:p>
    <w:p>
      <w:pPr>
        <w:pStyle w:val="2"/>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Mi phones allows every customer to have a voice, and the development of Mi phones also allows every rice noodle to participate in it. The sense of belonging brought to customers by this bit by bit communication has created strong loyalty of products. The implementation of the "sense of participation" strategy has not only created Mi phones Company, but also created the "rice noodles" group.</w:t>
      </w:r>
    </w:p>
    <w:p>
      <w:pPr>
        <w:pStyle w:val="4"/>
        <w:bidi w:val="0"/>
        <w:rPr>
          <w:rFonts w:hint="default"/>
        </w:rPr>
      </w:pPr>
      <w:r>
        <w:rPr>
          <w:rFonts w:hint="default"/>
        </w:rPr>
        <w:t>4.3 Explosives strategy</w:t>
      </w:r>
    </w:p>
    <w:p>
      <w:pPr>
        <w:pStyle w:val="2"/>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annual R&amp;D investment of Mi phones is 17 billion yuan, which makes consumers really see many successful products of Mi phones, such as the first full screen mobile phone Mi phones Mix, the surround screen mobile phone Mi phones alpha that cannot be mass produced, and transparent OLED TV. Since the release of Mi phones 1, Mi phones has always insisted on making explosive products. It doesn't need too many models, but its sales volume is not inferior.</w:t>
      </w:r>
    </w:p>
    <w:p>
      <w:pPr>
        <w:pStyle w:val="2"/>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Mi phones's marketing starts from product design. The product itself is topical, and the release of the product brings about spontaneous spread of various topics. These topics often come from three aspects: ultra-low price, ultra-high face value, and product innovation.</w:t>
      </w:r>
    </w:p>
    <w:p>
      <w:pPr>
        <w:pStyle w:val="2"/>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Ultra low price: The pricing of many products of Mi phones is a subversion of the market. The initial pricing of the charging bank hit 49 yuan from 100 yuan. The subsequent performance was like a price butcher, who successively introduced a box of rainbow batteries worth 9.9 yuan; And 9.9 a box of Juneng writing neutral pens.</w:t>
      </w:r>
    </w:p>
    <w:p>
      <w:pPr>
        <w:pStyle w:val="2"/>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Super high face value: Mi phones starts from the design and remakes the product, which makes many consumers have been accustomed to redesigning the product. For example, millet patch panel, the original patch panel can have a higher face value; For example, the minimalist style of Mi phones desk lamp won the Red Dot Award; For example, various millet household appliances have given consumers a new understanding of traditional white electricity;</w:t>
      </w:r>
    </w:p>
    <w:p>
      <w:pPr>
        <w:pStyle w:val="2"/>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Product innovation: Mi phones has made many micro innovations based on customer pain points. For example, the remote control of the TV, the water adding method of the air humidifier, the USB interface on the Mi phones plug panel, and so on. These are small innovations, but they bring a very good user experience.</w:t>
      </w:r>
    </w:p>
    <w:p>
      <w:pPr>
        <w:pStyle w:val="2"/>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 addition to the above three points, there is also the "acme", which is Mi phones's attitude towards products and itself.</w:t>
      </w:r>
    </w:p>
    <w:p>
      <w:pPr>
        <w:pStyle w:val="4"/>
        <w:bidi w:val="0"/>
        <w:rPr>
          <w:rFonts w:hint="default"/>
        </w:rPr>
      </w:pPr>
      <w:r>
        <w:rPr>
          <w:rFonts w:hint="default"/>
        </w:rPr>
        <w:t>4.4 Public praise marketing</w:t>
      </w:r>
    </w:p>
    <w:p>
      <w:pPr>
        <w:pStyle w:val="2"/>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Mi phones adheres to the principle of "sales second, reputation first". If the product quality and performance fail to meet expectations, it will result in negative comments; The product only meets expectations and will not bring surprises; Only when the product exceeds the expectation can it gain reputation. Word of mouth can lead to consumers' repurchase and active recommendation.</w:t>
      </w:r>
    </w:p>
    <w:p>
      <w:pPr>
        <w:pStyle w:val="2"/>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Mi phones's emphasis on word of mouth has also mentioned "focus, perfection, word of mouth and speed" in Lei Jun's Internet seven word formula. The formation of public praise is also reflected in the pre-sales, sales and after-sales.</w:t>
      </w:r>
    </w:p>
    <w:p>
      <w:pPr>
        <w:pStyle w:val="2"/>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At the pre-sales stage, many people have many expectations about the cost performance of products or product innovation, and all products can be experienced at Mi phones Home. The good experience of Mi phones Home, even if customers don't buy it themselves, they can recommend it to others. These are also important for the reputation of Mi phones Family and Mi phones Brand.</w:t>
      </w:r>
    </w:p>
    <w:p>
      <w:pPr>
        <w:pStyle w:val="2"/>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 the sales stage, Mi phones's online and offline prices are unified without price comparison and fear of purchasing expensive products. Home appliances provide installation services, mobile phones provide free film service, gifts and so on. This has guaranteed Mi phones's reputation when selling.</w:t>
      </w:r>
    </w:p>
    <w:p>
      <w:pPr>
        <w:pStyle w:val="2"/>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 the after-sales stage, Mi phones mobile phones are guaranteed for 18 months, 6 months longer than other mobile phone brands. Mobile phone quality problems can be repaired offline or sent online. Mi phones Home provides lifelong free film and so on. After sales service is not good, which is the most influential factor. Mi phones also pays more attention to after sales service.</w:t>
      </w:r>
    </w:p>
    <w:p>
      <w:pPr>
        <w:pStyle w:val="4"/>
        <w:bidi w:val="0"/>
        <w:rPr>
          <w:rFonts w:hint="default"/>
        </w:rPr>
      </w:pPr>
      <w:r>
        <w:rPr>
          <w:rFonts w:hint="default"/>
        </w:rPr>
        <w:t>4.5 Story marketing</w:t>
      </w:r>
    </w:p>
    <w:p>
      <w:pPr>
        <w:pStyle w:val="2"/>
        <w:keepNext w:val="0"/>
        <w:keepLines w:val="0"/>
        <w:pageBreakBefore w:val="0"/>
        <w:widowControl/>
        <w:kinsoku/>
        <w:wordWrap/>
        <w:overflowPunct/>
        <w:topLinePunct w:val="0"/>
        <w:autoSpaceDE/>
        <w:autoSpaceDN/>
        <w:bidi w:val="0"/>
        <w:adjustRightInd/>
        <w:snapToGrid/>
        <w:spacing w:line="260" w:lineRule="auto"/>
        <w:ind w:firstLine="560" w:firstLineChars="200"/>
        <w:textAlignment w:val="auto"/>
        <w:rPr>
          <w:rFonts w:hint="default" w:ascii="Times New Roman Regular" w:hAnsi="Times New Roman Regular" w:cs="Times New Roman Regular"/>
          <w:sz w:val="28"/>
          <w:szCs w:val="28"/>
        </w:rPr>
      </w:pPr>
      <w:r>
        <w:rPr>
          <w:rFonts w:hint="default" w:ascii="Times New Roman Regular" w:hAnsi="Times New Roman Regular" w:cs="Times New Roman Regular"/>
          <w:sz w:val="28"/>
          <w:szCs w:val="28"/>
        </w:rPr>
        <w:t>Mi phones's mission is to "let everyone in the world enjoy the beautiful life brought by technology", and consumers' yearning for a better life is Mi phones's mission. Such a story is so moving.</w:t>
      </w:r>
    </w:p>
    <w:p>
      <w:pPr>
        <w:pStyle w:val="2"/>
        <w:keepNext w:val="0"/>
        <w:keepLines w:val="0"/>
        <w:pageBreakBefore w:val="0"/>
        <w:widowControl/>
        <w:kinsoku/>
        <w:wordWrap/>
        <w:overflowPunct/>
        <w:topLinePunct w:val="0"/>
        <w:autoSpaceDE/>
        <w:autoSpaceDN/>
        <w:bidi w:val="0"/>
        <w:adjustRightInd/>
        <w:snapToGrid/>
        <w:spacing w:line="260" w:lineRule="auto"/>
        <w:ind w:firstLine="560" w:firstLineChars="200"/>
        <w:textAlignment w:val="auto"/>
        <w:rPr>
          <w:rFonts w:hint="default" w:ascii="Times New Roman Regular" w:hAnsi="Times New Roman Regular" w:cs="Times New Roman Regular"/>
          <w:sz w:val="28"/>
          <w:szCs w:val="28"/>
        </w:rPr>
      </w:pPr>
      <w:r>
        <w:rPr>
          <w:rFonts w:hint="default" w:ascii="Times New Roman Regular" w:hAnsi="Times New Roman Regular" w:cs="Times New Roman Regular"/>
          <w:sz w:val="28"/>
          <w:szCs w:val="28"/>
        </w:rPr>
        <w:t>Mi phones is a company that is very good at telling stories. Since the company has not been established for a long time, it may not have much history to tell. Therefore, Mi phones told stories about the future. The stories linked to every consumer are the hopes of every consumer for future technology.</w:t>
      </w:r>
    </w:p>
    <w:p>
      <w:pPr>
        <w:pStyle w:val="2"/>
        <w:keepNext w:val="0"/>
        <w:keepLines w:val="0"/>
        <w:pageBreakBefore w:val="0"/>
        <w:widowControl/>
        <w:kinsoku/>
        <w:wordWrap/>
        <w:overflowPunct/>
        <w:topLinePunct w:val="0"/>
        <w:autoSpaceDE/>
        <w:autoSpaceDN/>
        <w:bidi w:val="0"/>
        <w:adjustRightInd/>
        <w:snapToGrid/>
        <w:spacing w:line="260" w:lineRule="auto"/>
        <w:ind w:firstLine="560" w:firstLineChars="200"/>
        <w:textAlignment w:val="auto"/>
        <w:rPr>
          <w:rFonts w:hint="default" w:ascii="Times New Roman Regular" w:hAnsi="Times New Roman Regular" w:cs="Times New Roman Regular"/>
          <w:sz w:val="28"/>
          <w:szCs w:val="28"/>
        </w:rPr>
      </w:pPr>
      <w:r>
        <w:rPr>
          <w:rFonts w:hint="default" w:ascii="Times New Roman Regular" w:hAnsi="Times New Roman Regular" w:cs="Times New Roman Regular"/>
          <w:sz w:val="28"/>
          <w:szCs w:val="28"/>
        </w:rPr>
        <w:t>Mi phones told the story of a smart home. When people get home, they turn on the lights automatically, adjust the air conditioner to an appropriate temperature, and play their favorite music on the stereo; When you leave home, all kinds of electrical appliances automatically power off, and the robot starts cleaning. Such scenes are Mi phones's stories, which are being realized step by step.</w:t>
      </w:r>
    </w:p>
    <w:p>
      <w:pPr>
        <w:pStyle w:val="2"/>
        <w:keepNext w:val="0"/>
        <w:keepLines w:val="0"/>
        <w:pageBreakBefore w:val="0"/>
        <w:widowControl/>
        <w:kinsoku/>
        <w:wordWrap/>
        <w:overflowPunct/>
        <w:topLinePunct w:val="0"/>
        <w:autoSpaceDE/>
        <w:autoSpaceDN/>
        <w:bidi w:val="0"/>
        <w:adjustRightInd/>
        <w:snapToGrid/>
        <w:spacing w:line="260" w:lineRule="auto"/>
        <w:ind w:firstLine="560" w:firstLineChars="200"/>
        <w:textAlignment w:val="auto"/>
        <w:rPr>
          <w:rFonts w:hint="default" w:ascii="Times New Roman Regular" w:hAnsi="Times New Roman Regular" w:cs="Times New Roman Regular"/>
        </w:rPr>
      </w:pPr>
      <w:r>
        <w:rPr>
          <w:rFonts w:hint="default" w:ascii="Times New Roman Regular" w:hAnsi="Times New Roman Regular" w:cs="Times New Roman Regular"/>
          <w:sz w:val="28"/>
          <w:szCs w:val="28"/>
        </w:rPr>
        <w:t>What Mi phones wants is not just to sell a mobile phone to customers. He wants to use the mobile phone as a link to enter the whole life of consumers. Mi phones told a story to let consumers see that future life is coming to consumers step by step.</w:t>
      </w:r>
    </w:p>
    <w:p>
      <w:pPr>
        <w:pStyle w:val="4"/>
        <w:bidi w:val="0"/>
        <w:rPr>
          <w:rFonts w:hint="default"/>
        </w:rPr>
      </w:pPr>
      <w:r>
        <w:rPr>
          <w:rFonts w:hint="default"/>
        </w:rPr>
        <w:t>5 Conclusion</w:t>
      </w:r>
    </w:p>
    <w:p>
      <w:pPr>
        <w:pStyle w:val="2"/>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"Born for fever" is Xiaomi's product concept. "Let everyone enjoy the fun of technology" is Xiaomi's vision. Xiaomi has applied the Internet development model to develop products. It uses the geek spirit to make products, and uses the Internet model to eliminate intermediate links. It is committed to enabling everyone in the world to enjoy high-quality scientific and technological products from China. Every "rice noodle" falls for this concept. In 10 years, Xiaomi has become one of the world's top 500 enterprises from a start-up company. We have to say Xiaomi's success. Xiaomi's success is inseparable from its earliest positioning of the "Iron Man Triathlon", namely, software, hardware, and Internet strategy, as well as its successful marketing.</w:t>
      </w:r>
    </w:p>
    <w:p>
      <w:pPr>
        <w:pStyle w:val="2"/>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main marketing strategy of Mi phones mobile phone promotion is hunger marketing. Hunger marketing plays the role of consumer psychology, product innovation and mystery. Although it has many advantages for enterprises, such as strengthening the purchase desire of consumers, increasing the appeal and dependence of product brands, increasing brand publicity and maintaining brand image, it is also a double-edged sword, which needs to be mastered when using, and not every product is applicable, The applicable products should also adapt to the market and consumers according to the changes of the times. However, the repeated use of hunger marketing will reduce the effect and damage the long-term profits of the enterprise. The following six points should be paid attention to when using:</w:t>
      </w:r>
    </w:p>
    <w:p>
      <w:pPr>
        <w:pStyle w:val="2"/>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1. The product has been recognized by the public, and has a stable customer base and competitiveness;</w:t>
      </w:r>
    </w:p>
    <w:p>
      <w:pPr>
        <w:pStyle w:val="2"/>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2. The product quality and reputation are always good, and consumers are willing to take risks to buy new products;</w:t>
      </w:r>
    </w:p>
    <w:p>
      <w:pPr>
        <w:pStyle w:val="2"/>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3. The price is close to the people, can afford to consume and meet the demand of customization;</w:t>
      </w:r>
    </w:p>
    <w:p>
      <w:pPr>
        <w:pStyle w:val="2"/>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4. Product quality must be refined and unique;</w:t>
      </w:r>
    </w:p>
    <w:p>
      <w:pPr>
        <w:pStyle w:val="2"/>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5. "Hunger" should be moderate, and the quantity and price should be balanced to ensure the satisfaction of the user market;</w:t>
      </w:r>
    </w:p>
    <w:p>
      <w:pPr>
        <w:pStyle w:val="2"/>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6. Be fresh and innovative.</w:t>
      </w:r>
    </w:p>
    <w:p>
      <w:pPr>
        <w:pStyle w:val="2"/>
        <w:keepNext w:val="0"/>
        <w:keepLines w:val="0"/>
        <w:pageBreakBefore w:val="0"/>
        <w:widowControl/>
        <w:kinsoku/>
        <w:wordWrap/>
        <w:overflowPunct/>
        <w:topLinePunct w:val="0"/>
        <w:autoSpaceDE/>
        <w:autoSpaceDN/>
        <w:bidi w:val="0"/>
        <w:adjustRightInd/>
        <w:snapToGrid/>
        <w:spacing w:line="260" w:lineRule="auto"/>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The future development strategy of Mi phones mobile phone should choose to build an intensive strategy and innovative network marketing model with high-end model layout as the core and user segmentation. First, increase the layout of Mi phones high-end flagship models. In view of the current difficulties of competitors, accelerate to enter the ranks of high-end models. The high-end models in the market represent the brand image, which can help the company establish a good brand. The higher the market share of a company's high-end mobile phones, the more recognized the brand consumers are. Because the market technology is updated quickly, if the company does not do high-end market, it will inevitably be eliminated by the times. Second, innovate the network marketing mode. The low price strategy of hunger marketing can not meet the future development needs of Mi phones. We can use new </w:t>
      </w:r>
      <w:bookmarkStart w:id="7" w:name="_GoBack"/>
      <w:bookmarkEnd w:id="7"/>
      <w:r>
        <w:rPr>
          <w:rFonts w:hint="default" w:ascii="Times New Roman Regular" w:hAnsi="Times New Roman Regular" w:cs="Times New Roman Regular"/>
          <w:sz w:val="24"/>
          <w:szCs w:val="24"/>
        </w:rPr>
        <w:t>media, such as Tiktok, live streaming and other ways that young people like to create "Mi phones ecological chain", cultivate user habits and improve customer dependence.</w:t>
      </w:r>
    </w:p>
    <w:p>
      <w:pPr>
        <w:pStyle w:val="3"/>
        <w:bidi w:val="0"/>
        <w:rPr>
          <w:rFonts w:hint="default"/>
        </w:rPr>
      </w:pPr>
      <w:bookmarkStart w:id="6" w:name="_Toc1760631241"/>
      <w:r>
        <w:rPr>
          <w:rFonts w:hint="default"/>
        </w:rPr>
        <w:t>6 References</w:t>
      </w:r>
      <w:bookmarkEnd w:id="6"/>
    </w:p>
    <w:p>
      <w:pPr>
        <w:pStyle w:val="7"/>
        <w:keepNext w:val="0"/>
        <w:keepLines w:val="0"/>
        <w:widowControl/>
        <w:suppressLineNumbers w:val="0"/>
        <w:ind w:left="567" w:hanging="567"/>
        <w:rPr>
          <w:b w:val="0"/>
          <w:bCs w:val="0"/>
          <w:i w:val="0"/>
          <w:iCs w:val="0"/>
          <w:caps w:val="0"/>
          <w:color w:val="000000"/>
          <w:spacing w:val="0"/>
          <w:u w:val="none"/>
        </w:rPr>
      </w:pPr>
      <w:r>
        <w:rPr>
          <w:b w:val="0"/>
          <w:bCs w:val="0"/>
          <w:i w:val="0"/>
          <w:iCs w:val="0"/>
          <w:caps w:val="0"/>
          <w:color w:val="000000"/>
          <w:spacing w:val="0"/>
          <w:u w:val="none"/>
        </w:rPr>
        <w:t>Ghose, A. (2017) “Mobile phones: A truly transformative technology,” </w:t>
      </w:r>
      <w:r>
        <w:rPr>
          <w:b w:val="0"/>
          <w:bCs w:val="0"/>
          <w:i/>
          <w:iCs/>
          <w:caps w:val="0"/>
          <w:color w:val="000000"/>
          <w:spacing w:val="0"/>
          <w:u w:val="none"/>
        </w:rPr>
        <w:t>Tap</w:t>
      </w:r>
      <w:r>
        <w:rPr>
          <w:b w:val="0"/>
          <w:bCs w:val="0"/>
          <w:i w:val="0"/>
          <w:iCs w:val="0"/>
          <w:caps w:val="0"/>
          <w:color w:val="000000"/>
          <w:spacing w:val="0"/>
          <w:u w:val="none"/>
        </w:rPr>
        <w:t> [Preprint]. Available at: https://doi.org/10.7551/mitpress/9780262036276.003.0002. </w:t>
      </w:r>
    </w:p>
    <w:p>
      <w:pPr>
        <w:pStyle w:val="7"/>
        <w:keepNext w:val="0"/>
        <w:keepLines w:val="0"/>
        <w:widowControl/>
        <w:suppressLineNumbers w:val="0"/>
        <w:ind w:left="567" w:hanging="567"/>
        <w:rPr>
          <w:b w:val="0"/>
          <w:bCs w:val="0"/>
          <w:i w:val="0"/>
          <w:iCs w:val="0"/>
          <w:caps w:val="0"/>
          <w:color w:val="000000"/>
          <w:spacing w:val="0"/>
          <w:u w:val="none"/>
        </w:rPr>
      </w:pPr>
      <w:r>
        <w:rPr>
          <w:b w:val="0"/>
          <w:bCs w:val="0"/>
          <w:i w:val="0"/>
          <w:iCs w:val="0"/>
          <w:caps w:val="0"/>
          <w:color w:val="000000"/>
          <w:spacing w:val="0"/>
          <w:u w:val="none"/>
        </w:rPr>
        <w:t>Gunter, B. (2019) “Chapter 7 Health Risks and mobile phones,” </w:t>
      </w:r>
      <w:r>
        <w:rPr>
          <w:b w:val="0"/>
          <w:bCs w:val="0"/>
          <w:i/>
          <w:iCs/>
          <w:caps w:val="0"/>
          <w:color w:val="000000"/>
          <w:spacing w:val="0"/>
          <w:u w:val="none"/>
        </w:rPr>
        <w:t>Children and Mobile Phones: Adoption, Use, Impact, and Control</w:t>
      </w:r>
      <w:r>
        <w:rPr>
          <w:b w:val="0"/>
          <w:bCs w:val="0"/>
          <w:i w:val="0"/>
          <w:iCs w:val="0"/>
          <w:caps w:val="0"/>
          <w:color w:val="000000"/>
          <w:spacing w:val="0"/>
          <w:u w:val="none"/>
        </w:rPr>
        <w:t>, pp. 79–97. Available at: https://doi.org/10.1108/978-1-78973-035-720191010. </w:t>
      </w:r>
    </w:p>
    <w:p>
      <w:pPr>
        <w:pStyle w:val="7"/>
        <w:keepNext w:val="0"/>
        <w:keepLines w:val="0"/>
        <w:widowControl/>
        <w:suppressLineNumbers w:val="0"/>
        <w:ind w:left="567" w:hanging="567"/>
        <w:rPr>
          <w:b w:val="0"/>
          <w:bCs w:val="0"/>
          <w:i w:val="0"/>
          <w:iCs w:val="0"/>
          <w:caps w:val="0"/>
          <w:color w:val="000000"/>
          <w:spacing w:val="0"/>
          <w:u w:val="none"/>
        </w:rPr>
      </w:pPr>
      <w:r>
        <w:rPr>
          <w:b w:val="0"/>
          <w:bCs w:val="0"/>
          <w:i w:val="0"/>
          <w:iCs w:val="0"/>
          <w:caps w:val="0"/>
          <w:color w:val="000000"/>
          <w:spacing w:val="0"/>
          <w:u w:val="none"/>
        </w:rPr>
        <w:t>Lee, S.-H. (2015) “Mobile phone culture: The impacts of mobile phone use,” </w:t>
      </w:r>
      <w:r>
        <w:rPr>
          <w:b w:val="0"/>
          <w:bCs w:val="0"/>
          <w:i/>
          <w:iCs/>
          <w:caps w:val="0"/>
          <w:color w:val="000000"/>
          <w:spacing w:val="0"/>
          <w:u w:val="none"/>
        </w:rPr>
        <w:t>Encyclopedia of Mobile Phone Behavior</w:t>
      </w:r>
      <w:r>
        <w:rPr>
          <w:b w:val="0"/>
          <w:bCs w:val="0"/>
          <w:i w:val="0"/>
          <w:iCs w:val="0"/>
          <w:caps w:val="0"/>
          <w:color w:val="000000"/>
          <w:spacing w:val="0"/>
          <w:u w:val="none"/>
        </w:rPr>
        <w:t>, pp. 658–672. Available at: https://doi.org/10.4018/978-1-4666-8239-9.ch055. </w:t>
      </w:r>
    </w:p>
    <w:p>
      <w:pPr>
        <w:pStyle w:val="7"/>
        <w:keepNext w:val="0"/>
        <w:keepLines w:val="0"/>
        <w:widowControl/>
        <w:suppressLineNumbers w:val="0"/>
        <w:ind w:left="567" w:hanging="567"/>
        <w:rPr>
          <w:b w:val="0"/>
          <w:bCs w:val="0"/>
          <w:i w:val="0"/>
          <w:iCs w:val="0"/>
          <w:caps w:val="0"/>
          <w:color w:val="000000"/>
          <w:spacing w:val="0"/>
          <w:u w:val="none"/>
        </w:rPr>
      </w:pPr>
      <w:r>
        <w:rPr>
          <w:b w:val="0"/>
          <w:bCs w:val="0"/>
          <w:i w:val="0"/>
          <w:iCs w:val="0"/>
          <w:caps w:val="0"/>
          <w:color w:val="000000"/>
          <w:spacing w:val="0"/>
          <w:u w:val="none"/>
        </w:rPr>
        <w:t>Martin, C. (2017) “Children, mobile phones and outdoor play,” </w:t>
      </w:r>
      <w:r>
        <w:rPr>
          <w:b w:val="0"/>
          <w:bCs w:val="0"/>
          <w:i/>
          <w:iCs/>
          <w:caps w:val="0"/>
          <w:color w:val="000000"/>
          <w:spacing w:val="0"/>
          <w:u w:val="none"/>
        </w:rPr>
        <w:t>Practice-based Research in Children's Play</w:t>
      </w:r>
      <w:r>
        <w:rPr>
          <w:b w:val="0"/>
          <w:bCs w:val="0"/>
          <w:i w:val="0"/>
          <w:iCs w:val="0"/>
          <w:caps w:val="0"/>
          <w:color w:val="000000"/>
          <w:spacing w:val="0"/>
          <w:u w:val="none"/>
        </w:rPr>
        <w:t> [Preprint]. Available at: https://doi.org/10.1332/policypress/9781447330035.003.0010. </w:t>
      </w:r>
    </w:p>
    <w:p>
      <w:pPr>
        <w:pStyle w:val="7"/>
        <w:keepNext w:val="0"/>
        <w:keepLines w:val="0"/>
        <w:widowControl/>
        <w:suppressLineNumbers w:val="0"/>
        <w:ind w:left="567" w:hanging="567"/>
        <w:rPr>
          <w:b w:val="0"/>
          <w:bCs w:val="0"/>
          <w:i w:val="0"/>
          <w:iCs w:val="0"/>
          <w:caps w:val="0"/>
          <w:color w:val="000000"/>
          <w:spacing w:val="0"/>
          <w:u w:val="none"/>
        </w:rPr>
      </w:pPr>
      <w:r>
        <w:rPr>
          <w:b w:val="0"/>
          <w:bCs w:val="0"/>
          <w:i w:val="0"/>
          <w:iCs w:val="0"/>
          <w:caps w:val="0"/>
          <w:color w:val="000000"/>
          <w:spacing w:val="0"/>
          <w:u w:val="none"/>
        </w:rPr>
        <w:t>Weilenmann, A. and Hillman, T. (2018) “Curating visual experiences through mobile phones,” </w:t>
      </w:r>
      <w:r>
        <w:rPr>
          <w:b w:val="0"/>
          <w:bCs w:val="0"/>
          <w:i/>
          <w:iCs/>
          <w:caps w:val="0"/>
          <w:color w:val="000000"/>
          <w:spacing w:val="0"/>
          <w:u w:val="none"/>
        </w:rPr>
        <w:t>Linguistic and Material Intimacies of Cell Phones</w:t>
      </w:r>
      <w:r>
        <w:rPr>
          <w:b w:val="0"/>
          <w:bCs w:val="0"/>
          <w:i w:val="0"/>
          <w:iCs w:val="0"/>
          <w:caps w:val="0"/>
          <w:color w:val="000000"/>
          <w:spacing w:val="0"/>
          <w:u w:val="none"/>
        </w:rPr>
        <w:t>, pp. 209–232. Available at: https://doi.org/10.4324/9781315388380-10. </w:t>
      </w:r>
    </w:p>
    <w:p>
      <w:pPr>
        <w:pStyle w:val="7"/>
        <w:keepNext w:val="0"/>
        <w:keepLines w:val="0"/>
        <w:pageBreakBefore w:val="0"/>
        <w:widowControl/>
        <w:suppressLineNumbers w:val="0"/>
        <w:kinsoku/>
        <w:wordWrap/>
        <w:overflowPunct/>
        <w:topLinePunct w:val="0"/>
        <w:autoSpaceDE/>
        <w:autoSpaceDN/>
        <w:bidi w:val="0"/>
        <w:adjustRightInd/>
        <w:spacing w:line="480" w:lineRule="auto"/>
        <w:ind w:left="567" w:hanging="567"/>
        <w:textAlignment w:val="auto"/>
        <w:rPr>
          <w:rFonts w:hint="default" w:ascii="Times New Roman Regular" w:hAnsi="Times New Roman Regular" w:cs="Times New Roman Regular"/>
          <w:b w:val="0"/>
          <w:bCs w:val="0"/>
          <w:i w:val="0"/>
          <w:iCs w:val="0"/>
          <w:caps w:val="0"/>
          <w:color w:val="000000"/>
          <w:spacing w:val="0"/>
          <w:sz w:val="24"/>
          <w:szCs w:val="24"/>
          <w:u w:val="none"/>
        </w:rPr>
      </w:pPr>
      <w:r>
        <w:rPr>
          <w:rFonts w:hint="default" w:ascii="Times New Roman Regular" w:hAnsi="Times New Roman Regular" w:cs="Times New Roman Regular"/>
          <w:b w:val="0"/>
          <w:bCs w:val="0"/>
          <w:i w:val="0"/>
          <w:iCs w:val="0"/>
          <w:caps w:val="0"/>
          <w:color w:val="000000"/>
          <w:spacing w:val="0"/>
          <w:sz w:val="24"/>
          <w:szCs w:val="24"/>
          <w:u w:val="none"/>
        </w:rPr>
        <w:t>“Conclusion. the mobile assemblage and social change in China” (2020) </w:t>
      </w:r>
      <w:r>
        <w:rPr>
          <w:rFonts w:hint="default" w:ascii="Times New Roman Regular" w:hAnsi="Times New Roman Regular" w:cs="Times New Roman Regular"/>
          <w:b w:val="0"/>
          <w:bCs w:val="0"/>
          <w:i/>
          <w:iCs/>
          <w:caps w:val="0"/>
          <w:color w:val="000000"/>
          <w:spacing w:val="0"/>
          <w:sz w:val="24"/>
          <w:szCs w:val="24"/>
          <w:u w:val="none"/>
        </w:rPr>
        <w:t>Technomobility in China</w:t>
      </w:r>
      <w:r>
        <w:rPr>
          <w:rFonts w:hint="default" w:ascii="Times New Roman Regular" w:hAnsi="Times New Roman Regular" w:cs="Times New Roman Regular"/>
          <w:b w:val="0"/>
          <w:bCs w:val="0"/>
          <w:i w:val="0"/>
          <w:iCs w:val="0"/>
          <w:caps w:val="0"/>
          <w:color w:val="000000"/>
          <w:spacing w:val="0"/>
          <w:sz w:val="24"/>
          <w:szCs w:val="24"/>
          <w:u w:val="none"/>
        </w:rPr>
        <w:t>, pp. 177–188. Available at: https://doi.org/10.18574/nyu/9780814795262.003.0006. </w:t>
      </w:r>
    </w:p>
    <w:p>
      <w:pPr>
        <w:pStyle w:val="7"/>
        <w:keepNext w:val="0"/>
        <w:keepLines w:val="0"/>
        <w:pageBreakBefore w:val="0"/>
        <w:widowControl/>
        <w:suppressLineNumbers w:val="0"/>
        <w:kinsoku/>
        <w:wordWrap/>
        <w:overflowPunct/>
        <w:topLinePunct w:val="0"/>
        <w:autoSpaceDE/>
        <w:autoSpaceDN/>
        <w:bidi w:val="0"/>
        <w:adjustRightInd/>
        <w:spacing w:line="480" w:lineRule="auto"/>
        <w:ind w:left="567" w:hanging="567"/>
        <w:textAlignment w:val="auto"/>
        <w:rPr>
          <w:rFonts w:hint="default" w:ascii="Times New Roman Regular" w:hAnsi="Times New Roman Regular" w:cs="Times New Roman Regular"/>
          <w:b w:val="0"/>
          <w:bCs w:val="0"/>
          <w:i w:val="0"/>
          <w:iCs w:val="0"/>
          <w:caps w:val="0"/>
          <w:color w:val="000000"/>
          <w:spacing w:val="0"/>
          <w:sz w:val="24"/>
          <w:szCs w:val="24"/>
          <w:u w:val="none"/>
        </w:rPr>
      </w:pPr>
      <w:r>
        <w:rPr>
          <w:rFonts w:hint="default" w:ascii="Times New Roman Regular" w:hAnsi="Times New Roman Regular" w:cs="Times New Roman Regular"/>
          <w:b w:val="0"/>
          <w:bCs w:val="0"/>
          <w:i w:val="0"/>
          <w:iCs w:val="0"/>
          <w:caps w:val="0"/>
          <w:color w:val="000000"/>
          <w:spacing w:val="0"/>
          <w:sz w:val="24"/>
          <w:szCs w:val="24"/>
          <w:u w:val="none"/>
        </w:rPr>
        <w:t>“Introduction. mobile bodies, mobile technologies, and immobile mobility” (2020) </w:t>
      </w:r>
      <w:r>
        <w:rPr>
          <w:rFonts w:hint="default" w:ascii="Times New Roman Regular" w:hAnsi="Times New Roman Regular" w:cs="Times New Roman Regular"/>
          <w:b w:val="0"/>
          <w:bCs w:val="0"/>
          <w:i/>
          <w:iCs/>
          <w:caps w:val="0"/>
          <w:color w:val="000000"/>
          <w:spacing w:val="0"/>
          <w:sz w:val="24"/>
          <w:szCs w:val="24"/>
          <w:u w:val="none"/>
        </w:rPr>
        <w:t>Technomobility in China</w:t>
      </w:r>
      <w:r>
        <w:rPr>
          <w:rFonts w:hint="default" w:ascii="Times New Roman Regular" w:hAnsi="Times New Roman Regular" w:cs="Times New Roman Regular"/>
          <w:b w:val="0"/>
          <w:bCs w:val="0"/>
          <w:i w:val="0"/>
          <w:iCs w:val="0"/>
          <w:caps w:val="0"/>
          <w:color w:val="000000"/>
          <w:spacing w:val="0"/>
          <w:sz w:val="24"/>
          <w:szCs w:val="24"/>
          <w:u w:val="none"/>
        </w:rPr>
        <w:t>, pp. 1–28. Available at: https://doi.org/10.18574/nyu/9780814795262.003.0007. </w:t>
      </w:r>
    </w:p>
    <w:p>
      <w:pPr>
        <w:pStyle w:val="7"/>
        <w:keepNext w:val="0"/>
        <w:keepLines w:val="0"/>
        <w:pageBreakBefore w:val="0"/>
        <w:widowControl/>
        <w:suppressLineNumbers w:val="0"/>
        <w:kinsoku/>
        <w:wordWrap/>
        <w:overflowPunct/>
        <w:topLinePunct w:val="0"/>
        <w:autoSpaceDE/>
        <w:autoSpaceDN/>
        <w:bidi w:val="0"/>
        <w:adjustRightInd/>
        <w:spacing w:line="480" w:lineRule="auto"/>
        <w:ind w:left="567" w:hanging="567"/>
        <w:textAlignment w:val="auto"/>
        <w:rPr>
          <w:rFonts w:hint="default" w:ascii="Times New Roman Regular" w:hAnsi="Times New Roman Regular" w:cs="Times New Roman Regular"/>
          <w:b w:val="0"/>
          <w:bCs w:val="0"/>
          <w:i w:val="0"/>
          <w:iCs w:val="0"/>
          <w:caps w:val="0"/>
          <w:color w:val="000000"/>
          <w:spacing w:val="0"/>
          <w:sz w:val="24"/>
          <w:szCs w:val="24"/>
          <w:u w:val="none"/>
        </w:rPr>
      </w:pPr>
      <w:r>
        <w:rPr>
          <w:rFonts w:hint="default" w:ascii="Times New Roman Regular" w:hAnsi="Times New Roman Regular" w:cs="Times New Roman Regular"/>
          <w:b w:val="0"/>
          <w:bCs w:val="0"/>
          <w:i w:val="0"/>
          <w:iCs w:val="0"/>
          <w:caps w:val="0"/>
          <w:color w:val="000000"/>
          <w:spacing w:val="0"/>
          <w:sz w:val="24"/>
          <w:szCs w:val="24"/>
          <w:u w:val="none"/>
        </w:rPr>
        <w:t>“Mobile people, mobile disease” (2021) </w:t>
      </w:r>
      <w:r>
        <w:rPr>
          <w:rFonts w:hint="default" w:ascii="Times New Roman Regular" w:hAnsi="Times New Roman Regular" w:cs="Times New Roman Regular"/>
          <w:b w:val="0"/>
          <w:bCs w:val="0"/>
          <w:i/>
          <w:iCs/>
          <w:caps w:val="0"/>
          <w:color w:val="000000"/>
          <w:spacing w:val="0"/>
          <w:sz w:val="24"/>
          <w:szCs w:val="24"/>
          <w:u w:val="none"/>
        </w:rPr>
        <w:t>China and the Cholera Pandemic</w:t>
      </w:r>
      <w:r>
        <w:rPr>
          <w:rFonts w:hint="default" w:ascii="Times New Roman Regular" w:hAnsi="Times New Roman Regular" w:cs="Times New Roman Regular"/>
          <w:b w:val="0"/>
          <w:bCs w:val="0"/>
          <w:i w:val="0"/>
          <w:iCs w:val="0"/>
          <w:caps w:val="0"/>
          <w:color w:val="000000"/>
          <w:spacing w:val="0"/>
          <w:sz w:val="24"/>
          <w:szCs w:val="24"/>
          <w:u w:val="none"/>
        </w:rPr>
        <w:t>, pp. 48–78. Available at: https://doi.org/10.2307/j.ctv1kwxfn0.7. </w:t>
      </w:r>
    </w:p>
    <w:p>
      <w:pPr>
        <w:pStyle w:val="7"/>
        <w:keepNext w:val="0"/>
        <w:keepLines w:val="0"/>
        <w:pageBreakBefore w:val="0"/>
        <w:widowControl/>
        <w:suppressLineNumbers w:val="0"/>
        <w:kinsoku/>
        <w:wordWrap/>
        <w:overflowPunct/>
        <w:topLinePunct w:val="0"/>
        <w:autoSpaceDE/>
        <w:autoSpaceDN/>
        <w:bidi w:val="0"/>
        <w:adjustRightInd/>
        <w:spacing w:line="480" w:lineRule="auto"/>
        <w:ind w:left="567" w:hanging="567"/>
        <w:textAlignment w:val="auto"/>
        <w:rPr>
          <w:rFonts w:hint="default" w:ascii="Times New Roman Regular" w:hAnsi="Times New Roman Regular" w:cs="Times New Roman Regular"/>
          <w:b w:val="0"/>
          <w:bCs w:val="0"/>
          <w:i w:val="0"/>
          <w:iCs w:val="0"/>
          <w:caps w:val="0"/>
          <w:color w:val="000000"/>
          <w:spacing w:val="0"/>
          <w:sz w:val="24"/>
          <w:szCs w:val="24"/>
          <w:u w:val="none"/>
        </w:rPr>
      </w:pPr>
      <w:r>
        <w:rPr>
          <w:rFonts w:hint="default" w:ascii="Times New Roman Regular" w:hAnsi="Times New Roman Regular" w:cs="Times New Roman Regular"/>
          <w:b w:val="0"/>
          <w:bCs w:val="0"/>
          <w:i w:val="0"/>
          <w:iCs w:val="0"/>
          <w:caps w:val="0"/>
          <w:color w:val="000000"/>
          <w:spacing w:val="0"/>
          <w:sz w:val="24"/>
          <w:szCs w:val="24"/>
          <w:u w:val="none"/>
        </w:rPr>
        <w:t>Yihong, J. (2011) “Mobile patriarchy: Changes in the Mobile Rural Family,” </w:t>
      </w:r>
      <w:r>
        <w:rPr>
          <w:rFonts w:hint="default" w:ascii="Times New Roman Regular" w:hAnsi="Times New Roman Regular" w:cs="Times New Roman Regular"/>
          <w:b w:val="0"/>
          <w:bCs w:val="0"/>
          <w:i/>
          <w:iCs/>
          <w:caps w:val="0"/>
          <w:color w:val="000000"/>
          <w:spacing w:val="0"/>
          <w:sz w:val="24"/>
          <w:szCs w:val="24"/>
          <w:u w:val="none"/>
        </w:rPr>
        <w:t>Social Sciences in China</w:t>
      </w:r>
      <w:r>
        <w:rPr>
          <w:rFonts w:hint="default" w:ascii="Times New Roman Regular" w:hAnsi="Times New Roman Regular" w:cs="Times New Roman Regular"/>
          <w:b w:val="0"/>
          <w:bCs w:val="0"/>
          <w:i w:val="0"/>
          <w:iCs w:val="0"/>
          <w:caps w:val="0"/>
          <w:color w:val="000000"/>
          <w:spacing w:val="0"/>
          <w:sz w:val="24"/>
          <w:szCs w:val="24"/>
          <w:u w:val="none"/>
        </w:rPr>
        <w:t>, 32(1), pp. 26–43. Available at: https://doi.org/10.1080/02529203.2011.548917. </w:t>
      </w:r>
    </w:p>
    <w:p>
      <w:pPr>
        <w:pStyle w:val="7"/>
        <w:keepNext w:val="0"/>
        <w:keepLines w:val="0"/>
        <w:pageBreakBefore w:val="0"/>
        <w:widowControl/>
        <w:suppressLineNumbers w:val="0"/>
        <w:kinsoku/>
        <w:wordWrap/>
        <w:overflowPunct/>
        <w:topLinePunct w:val="0"/>
        <w:autoSpaceDE/>
        <w:autoSpaceDN/>
        <w:bidi w:val="0"/>
        <w:adjustRightInd/>
        <w:spacing w:line="480" w:lineRule="auto"/>
        <w:ind w:left="567" w:hanging="567"/>
        <w:textAlignment w:val="auto"/>
        <w:rPr>
          <w:rFonts w:hint="default" w:ascii="Times New Roman Regular" w:hAnsi="Times New Roman Regular" w:cs="Times New Roman Regular"/>
          <w:b w:val="0"/>
          <w:bCs w:val="0"/>
          <w:i w:val="0"/>
          <w:iCs w:val="0"/>
          <w:caps w:val="0"/>
          <w:color w:val="000000"/>
          <w:spacing w:val="0"/>
          <w:sz w:val="24"/>
          <w:szCs w:val="24"/>
          <w:u w:val="none"/>
        </w:rPr>
      </w:pPr>
      <w:r>
        <w:rPr>
          <w:rFonts w:hint="default" w:ascii="Times New Roman Regular" w:hAnsi="Times New Roman Regular" w:cs="Times New Roman Regular"/>
          <w:b w:val="0"/>
          <w:bCs w:val="0"/>
          <w:i w:val="0"/>
          <w:iCs w:val="0"/>
          <w:caps w:val="0"/>
          <w:color w:val="000000"/>
          <w:spacing w:val="0"/>
          <w:sz w:val="24"/>
          <w:szCs w:val="24"/>
          <w:u w:val="none"/>
        </w:rPr>
        <w:t>Zhang, G. (2022) “Mobile media in China: media practice as a research orientation,” </w:t>
      </w:r>
      <w:r>
        <w:rPr>
          <w:rFonts w:hint="default" w:ascii="Times New Roman Regular" w:hAnsi="Times New Roman Regular" w:cs="Times New Roman Regular"/>
          <w:b w:val="0"/>
          <w:bCs w:val="0"/>
          <w:i/>
          <w:iCs/>
          <w:caps w:val="0"/>
          <w:color w:val="000000"/>
          <w:spacing w:val="0"/>
          <w:sz w:val="24"/>
          <w:szCs w:val="24"/>
          <w:u w:val="none"/>
        </w:rPr>
        <w:t>Mobile Media &amp; Communication</w:t>
      </w:r>
      <w:r>
        <w:rPr>
          <w:rFonts w:hint="default" w:ascii="Times New Roman Regular" w:hAnsi="Times New Roman Regular" w:cs="Times New Roman Regular"/>
          <w:b w:val="0"/>
          <w:bCs w:val="0"/>
          <w:i w:val="0"/>
          <w:iCs w:val="0"/>
          <w:caps w:val="0"/>
          <w:color w:val="000000"/>
          <w:spacing w:val="0"/>
          <w:sz w:val="24"/>
          <w:szCs w:val="24"/>
          <w:u w:val="none"/>
        </w:rPr>
        <w:t>, p. 205015792211349. Available at: https://doi.org/10.1177/20501579221134947. </w:t>
      </w:r>
    </w:p>
    <w:p>
      <w:pPr>
        <w:pStyle w:val="7"/>
        <w:keepNext w:val="0"/>
        <w:keepLines w:val="0"/>
        <w:pageBreakBefore w:val="0"/>
        <w:widowControl/>
        <w:suppressLineNumbers w:val="0"/>
        <w:kinsoku/>
        <w:wordWrap/>
        <w:overflowPunct/>
        <w:topLinePunct w:val="0"/>
        <w:autoSpaceDE/>
        <w:autoSpaceDN/>
        <w:bidi w:val="0"/>
        <w:adjustRightInd/>
        <w:spacing w:line="480" w:lineRule="auto"/>
        <w:ind w:left="567" w:hanging="567"/>
        <w:textAlignment w:val="auto"/>
        <w:rPr>
          <w:rFonts w:hint="default" w:ascii="Times New Roman Regular" w:hAnsi="Times New Roman Regular" w:cs="Times New Roman Regular"/>
          <w:b w:val="0"/>
          <w:bCs w:val="0"/>
          <w:i w:val="0"/>
          <w:iCs w:val="0"/>
          <w:caps w:val="0"/>
          <w:color w:val="000000"/>
          <w:spacing w:val="0"/>
          <w:sz w:val="24"/>
          <w:szCs w:val="24"/>
          <w:u w:val="none"/>
        </w:rPr>
      </w:pPr>
      <w:r>
        <w:rPr>
          <w:rFonts w:hint="default" w:ascii="Times New Roman Regular" w:hAnsi="Times New Roman Regular" w:cs="Times New Roman Regular"/>
          <w:b w:val="0"/>
          <w:bCs w:val="0"/>
          <w:i w:val="0"/>
          <w:iCs w:val="0"/>
          <w:caps w:val="0"/>
          <w:color w:val="000000"/>
          <w:spacing w:val="0"/>
          <w:sz w:val="24"/>
          <w:szCs w:val="24"/>
          <w:u w:val="none"/>
        </w:rPr>
        <w:t>Durand, A. (2018) “Mobile marketing,” </w:t>
      </w:r>
      <w:r>
        <w:rPr>
          <w:rFonts w:hint="default" w:ascii="Times New Roman Regular" w:hAnsi="Times New Roman Regular" w:cs="Times New Roman Regular"/>
          <w:b w:val="0"/>
          <w:bCs w:val="0"/>
          <w:i/>
          <w:iCs/>
          <w:caps w:val="0"/>
          <w:color w:val="000000"/>
          <w:spacing w:val="0"/>
          <w:sz w:val="24"/>
          <w:szCs w:val="24"/>
          <w:u w:val="none"/>
        </w:rPr>
        <w:t>Marketing and Globalization</w:t>
      </w:r>
      <w:r>
        <w:rPr>
          <w:rFonts w:hint="default" w:ascii="Times New Roman Regular" w:hAnsi="Times New Roman Regular" w:cs="Times New Roman Regular"/>
          <w:b w:val="0"/>
          <w:bCs w:val="0"/>
          <w:i w:val="0"/>
          <w:iCs w:val="0"/>
          <w:caps w:val="0"/>
          <w:color w:val="000000"/>
          <w:spacing w:val="0"/>
          <w:sz w:val="24"/>
          <w:szCs w:val="24"/>
          <w:u w:val="none"/>
        </w:rPr>
        <w:t>, pp. 376–430. Available at: https://doi.org/10.4324/9781315474175-10. </w:t>
      </w:r>
    </w:p>
    <w:p>
      <w:pPr>
        <w:pStyle w:val="7"/>
        <w:keepNext w:val="0"/>
        <w:keepLines w:val="0"/>
        <w:pageBreakBefore w:val="0"/>
        <w:widowControl/>
        <w:suppressLineNumbers w:val="0"/>
        <w:kinsoku/>
        <w:wordWrap/>
        <w:overflowPunct/>
        <w:topLinePunct w:val="0"/>
        <w:autoSpaceDE/>
        <w:autoSpaceDN/>
        <w:bidi w:val="0"/>
        <w:adjustRightInd/>
        <w:spacing w:line="480" w:lineRule="auto"/>
        <w:ind w:left="567" w:hanging="567"/>
        <w:textAlignment w:val="auto"/>
        <w:rPr>
          <w:rFonts w:hint="default" w:ascii="Times New Roman Regular" w:hAnsi="Times New Roman Regular" w:cs="Times New Roman Regular"/>
          <w:b w:val="0"/>
          <w:bCs w:val="0"/>
          <w:i w:val="0"/>
          <w:iCs w:val="0"/>
          <w:caps w:val="0"/>
          <w:color w:val="000000"/>
          <w:spacing w:val="0"/>
          <w:sz w:val="24"/>
          <w:szCs w:val="24"/>
          <w:u w:val="none"/>
        </w:rPr>
      </w:pPr>
      <w:r>
        <w:rPr>
          <w:rFonts w:hint="default" w:ascii="Times New Roman Regular" w:hAnsi="Times New Roman Regular" w:cs="Times New Roman Regular"/>
          <w:b w:val="0"/>
          <w:bCs w:val="0"/>
          <w:i w:val="0"/>
          <w:iCs w:val="0"/>
          <w:caps w:val="0"/>
          <w:color w:val="000000"/>
          <w:spacing w:val="0"/>
          <w:sz w:val="24"/>
          <w:szCs w:val="24"/>
          <w:u w:val="none"/>
        </w:rPr>
        <w:t>Hua, H. (2019) “Marketing space 4.0 - mobile end-to-end marketing,” </w:t>
      </w:r>
      <w:r>
        <w:rPr>
          <w:rFonts w:hint="default" w:ascii="Times New Roman Regular" w:hAnsi="Times New Roman Regular" w:cs="Times New Roman Regular"/>
          <w:b w:val="0"/>
          <w:bCs w:val="0"/>
          <w:i/>
          <w:iCs/>
          <w:caps w:val="0"/>
          <w:color w:val="000000"/>
          <w:spacing w:val="0"/>
          <w:sz w:val="24"/>
          <w:szCs w:val="24"/>
          <w:u w:val="none"/>
        </w:rPr>
        <w:t>Mobile Marketing Management</w:t>
      </w:r>
      <w:r>
        <w:rPr>
          <w:rFonts w:hint="default" w:ascii="Times New Roman Regular" w:hAnsi="Times New Roman Regular" w:cs="Times New Roman Regular"/>
          <w:b w:val="0"/>
          <w:bCs w:val="0"/>
          <w:i w:val="0"/>
          <w:iCs w:val="0"/>
          <w:caps w:val="0"/>
          <w:color w:val="000000"/>
          <w:spacing w:val="0"/>
          <w:sz w:val="24"/>
          <w:szCs w:val="24"/>
          <w:u w:val="none"/>
        </w:rPr>
        <w:t>, pp. 320–345. Available at: https://doi.org/10.4324/9780429030871-17. </w:t>
      </w:r>
    </w:p>
    <w:p>
      <w:pPr>
        <w:pStyle w:val="7"/>
        <w:keepNext w:val="0"/>
        <w:keepLines w:val="0"/>
        <w:pageBreakBefore w:val="0"/>
        <w:widowControl/>
        <w:suppressLineNumbers w:val="0"/>
        <w:kinsoku/>
        <w:wordWrap/>
        <w:overflowPunct/>
        <w:topLinePunct w:val="0"/>
        <w:autoSpaceDE/>
        <w:autoSpaceDN/>
        <w:bidi w:val="0"/>
        <w:adjustRightInd/>
        <w:spacing w:line="480" w:lineRule="auto"/>
        <w:ind w:left="567" w:hanging="567"/>
        <w:textAlignment w:val="auto"/>
        <w:rPr>
          <w:rFonts w:hint="default" w:ascii="Times New Roman Regular" w:hAnsi="Times New Roman Regular" w:cs="Times New Roman Regular"/>
          <w:b w:val="0"/>
          <w:bCs w:val="0"/>
          <w:i w:val="0"/>
          <w:iCs w:val="0"/>
          <w:caps w:val="0"/>
          <w:color w:val="000000"/>
          <w:spacing w:val="0"/>
          <w:sz w:val="24"/>
          <w:szCs w:val="24"/>
          <w:u w:val="none"/>
        </w:rPr>
      </w:pPr>
      <w:r>
        <w:rPr>
          <w:rFonts w:hint="default" w:ascii="Times New Roman Regular" w:hAnsi="Times New Roman Regular" w:cs="Times New Roman Regular"/>
          <w:b w:val="0"/>
          <w:bCs w:val="0"/>
          <w:i w:val="0"/>
          <w:iCs w:val="0"/>
          <w:caps w:val="0"/>
          <w:color w:val="000000"/>
          <w:spacing w:val="0"/>
          <w:sz w:val="24"/>
          <w:szCs w:val="24"/>
          <w:u w:val="none"/>
        </w:rPr>
        <w:t>Lee, S.-H. (2015) “Mobile phone culture: The impacts of mobile phone use,” </w:t>
      </w:r>
      <w:r>
        <w:rPr>
          <w:rFonts w:hint="default" w:ascii="Times New Roman Regular" w:hAnsi="Times New Roman Regular" w:cs="Times New Roman Regular"/>
          <w:b w:val="0"/>
          <w:bCs w:val="0"/>
          <w:i/>
          <w:iCs/>
          <w:caps w:val="0"/>
          <w:color w:val="000000"/>
          <w:spacing w:val="0"/>
          <w:sz w:val="24"/>
          <w:szCs w:val="24"/>
          <w:u w:val="none"/>
        </w:rPr>
        <w:t>Encyclopedia of Mobile Phone Behavior</w:t>
      </w:r>
      <w:r>
        <w:rPr>
          <w:rFonts w:hint="default" w:ascii="Times New Roman Regular" w:hAnsi="Times New Roman Regular" w:cs="Times New Roman Regular"/>
          <w:b w:val="0"/>
          <w:bCs w:val="0"/>
          <w:i w:val="0"/>
          <w:iCs w:val="0"/>
          <w:caps w:val="0"/>
          <w:color w:val="000000"/>
          <w:spacing w:val="0"/>
          <w:sz w:val="24"/>
          <w:szCs w:val="24"/>
          <w:u w:val="none"/>
        </w:rPr>
        <w:t>, pp. 658–672. Available at: https://doi.org/10.4018/978-1-4666-8239-9.ch055. </w:t>
      </w:r>
    </w:p>
    <w:p>
      <w:pPr>
        <w:pStyle w:val="7"/>
        <w:keepNext w:val="0"/>
        <w:keepLines w:val="0"/>
        <w:pageBreakBefore w:val="0"/>
        <w:widowControl/>
        <w:suppressLineNumbers w:val="0"/>
        <w:kinsoku/>
        <w:wordWrap/>
        <w:overflowPunct/>
        <w:topLinePunct w:val="0"/>
        <w:autoSpaceDE/>
        <w:autoSpaceDN/>
        <w:bidi w:val="0"/>
        <w:adjustRightInd/>
        <w:spacing w:line="480" w:lineRule="auto"/>
        <w:ind w:left="567" w:hanging="567"/>
        <w:textAlignment w:val="auto"/>
        <w:rPr>
          <w:rFonts w:hint="default" w:ascii="Times New Roman Regular" w:hAnsi="Times New Roman Regular" w:cs="Times New Roman Regular"/>
          <w:b w:val="0"/>
          <w:bCs w:val="0"/>
          <w:i w:val="0"/>
          <w:iCs w:val="0"/>
          <w:caps w:val="0"/>
          <w:color w:val="000000"/>
          <w:spacing w:val="0"/>
          <w:sz w:val="24"/>
          <w:szCs w:val="24"/>
          <w:u w:val="none"/>
        </w:rPr>
      </w:pPr>
      <w:r>
        <w:rPr>
          <w:rFonts w:hint="default" w:ascii="Times New Roman Regular" w:hAnsi="Times New Roman Regular" w:cs="Times New Roman Regular"/>
          <w:b w:val="0"/>
          <w:bCs w:val="0"/>
          <w:i w:val="0"/>
          <w:iCs w:val="0"/>
          <w:caps w:val="0"/>
          <w:color w:val="000000"/>
          <w:spacing w:val="0"/>
          <w:sz w:val="24"/>
          <w:szCs w:val="24"/>
          <w:u w:val="none"/>
        </w:rPr>
        <w:t>Rieber, D. (2017) “Mobile marketing,” </w:t>
      </w:r>
      <w:r>
        <w:rPr>
          <w:rFonts w:hint="default" w:ascii="Times New Roman Regular" w:hAnsi="Times New Roman Regular" w:cs="Times New Roman Regular"/>
          <w:b w:val="0"/>
          <w:bCs w:val="0"/>
          <w:i/>
          <w:iCs/>
          <w:caps w:val="0"/>
          <w:color w:val="000000"/>
          <w:spacing w:val="0"/>
          <w:sz w:val="24"/>
          <w:szCs w:val="24"/>
          <w:u w:val="none"/>
        </w:rPr>
        <w:t>Mobile Marketing</w:t>
      </w:r>
      <w:r>
        <w:rPr>
          <w:rFonts w:hint="default" w:ascii="Times New Roman Regular" w:hAnsi="Times New Roman Regular" w:cs="Times New Roman Regular"/>
          <w:b w:val="0"/>
          <w:bCs w:val="0"/>
          <w:i w:val="0"/>
          <w:iCs w:val="0"/>
          <w:caps w:val="0"/>
          <w:color w:val="000000"/>
          <w:spacing w:val="0"/>
          <w:sz w:val="24"/>
          <w:szCs w:val="24"/>
          <w:u w:val="none"/>
        </w:rPr>
        <w:t>, pp. 25–45. Available at: https://doi.org/10.1007/978-3-658-14777-8_2. </w:t>
      </w:r>
    </w:p>
    <w:p>
      <w:pPr>
        <w:pStyle w:val="7"/>
        <w:keepNext w:val="0"/>
        <w:keepLines w:val="0"/>
        <w:pageBreakBefore w:val="0"/>
        <w:widowControl/>
        <w:suppressLineNumbers w:val="0"/>
        <w:kinsoku/>
        <w:wordWrap/>
        <w:overflowPunct/>
        <w:topLinePunct w:val="0"/>
        <w:autoSpaceDE/>
        <w:autoSpaceDN/>
        <w:bidi w:val="0"/>
        <w:adjustRightInd/>
        <w:spacing w:line="480" w:lineRule="auto"/>
        <w:ind w:left="567" w:hanging="567"/>
        <w:textAlignment w:val="auto"/>
        <w:rPr>
          <w:rFonts w:hint="default" w:ascii="Times New Roman Regular" w:hAnsi="Times New Roman Regular" w:cs="Times New Roman Regular"/>
          <w:b w:val="0"/>
          <w:bCs w:val="0"/>
          <w:i w:val="0"/>
          <w:iCs w:val="0"/>
          <w:caps w:val="0"/>
          <w:color w:val="000000"/>
          <w:spacing w:val="0"/>
          <w:sz w:val="24"/>
          <w:szCs w:val="24"/>
          <w:u w:val="none"/>
        </w:rPr>
      </w:pPr>
      <w:r>
        <w:rPr>
          <w:rFonts w:hint="default" w:ascii="Times New Roman Regular" w:hAnsi="Times New Roman Regular" w:cs="Times New Roman Regular"/>
          <w:b w:val="0"/>
          <w:bCs w:val="0"/>
          <w:i w:val="0"/>
          <w:iCs w:val="0"/>
          <w:caps w:val="0"/>
          <w:color w:val="000000"/>
          <w:spacing w:val="0"/>
          <w:sz w:val="24"/>
          <w:szCs w:val="24"/>
          <w:u w:val="none"/>
        </w:rPr>
        <w:t>S, B. (2019) “Marketing, mobile and future of Mobile Advertisement: Life Changing Through Mobile,” </w:t>
      </w:r>
      <w:r>
        <w:rPr>
          <w:rFonts w:hint="default" w:ascii="Times New Roman Regular" w:hAnsi="Times New Roman Regular" w:cs="Times New Roman Regular"/>
          <w:b w:val="0"/>
          <w:bCs w:val="0"/>
          <w:i/>
          <w:iCs/>
          <w:caps w:val="0"/>
          <w:color w:val="000000"/>
          <w:spacing w:val="0"/>
          <w:sz w:val="24"/>
          <w:szCs w:val="24"/>
          <w:u w:val="none"/>
        </w:rPr>
        <w:t>International Journal of Psychosocial Rehabilitation</w:t>
      </w:r>
      <w:r>
        <w:rPr>
          <w:rFonts w:hint="default" w:ascii="Times New Roman Regular" w:hAnsi="Times New Roman Regular" w:cs="Times New Roman Regular"/>
          <w:b w:val="0"/>
          <w:bCs w:val="0"/>
          <w:i w:val="0"/>
          <w:iCs w:val="0"/>
          <w:caps w:val="0"/>
          <w:color w:val="000000"/>
          <w:spacing w:val="0"/>
          <w:sz w:val="24"/>
          <w:szCs w:val="24"/>
          <w:u w:val="none"/>
        </w:rPr>
        <w:t>, 23(4), pp. 1623–1630. Available at: https://doi.org/10.37200/ijpr/v23i4/pr190487. </w:t>
      </w:r>
    </w:p>
    <w:p>
      <w:pPr>
        <w:pStyle w:val="7"/>
        <w:keepNext w:val="0"/>
        <w:keepLines w:val="0"/>
        <w:pageBreakBefore w:val="0"/>
        <w:widowControl/>
        <w:suppressLineNumbers w:val="0"/>
        <w:kinsoku/>
        <w:wordWrap/>
        <w:overflowPunct/>
        <w:topLinePunct w:val="0"/>
        <w:autoSpaceDE/>
        <w:autoSpaceDN/>
        <w:bidi w:val="0"/>
        <w:adjustRightInd/>
        <w:spacing w:line="480" w:lineRule="auto"/>
        <w:ind w:left="567" w:hanging="567"/>
        <w:textAlignment w:val="auto"/>
        <w:rPr>
          <w:rFonts w:hint="default" w:ascii="Times New Roman Regular" w:hAnsi="Times New Roman Regular" w:cs="Times New Roman Regular"/>
          <w:b w:val="0"/>
          <w:bCs w:val="0"/>
          <w:i w:val="0"/>
          <w:iCs w:val="0"/>
          <w:caps w:val="0"/>
          <w:color w:val="000000"/>
          <w:spacing w:val="0"/>
          <w:sz w:val="24"/>
          <w:szCs w:val="24"/>
          <w:u w:val="none"/>
        </w:rPr>
      </w:pPr>
      <w:r>
        <w:rPr>
          <w:rFonts w:hint="default" w:ascii="Times New Roman Regular" w:hAnsi="Times New Roman Regular" w:cs="Times New Roman Regular"/>
          <w:b w:val="0"/>
          <w:bCs w:val="0"/>
          <w:i w:val="0"/>
          <w:iCs w:val="0"/>
          <w:caps w:val="0"/>
          <w:color w:val="000000"/>
          <w:spacing w:val="0"/>
          <w:sz w:val="24"/>
          <w:szCs w:val="24"/>
          <w:u w:val="none"/>
        </w:rPr>
        <w:t>Alleva, C. (2021) “A mobile mapping system utilizing a spherical camera.” Available at: https://doi.org/10.32920/ryerson.14643951.v1. </w:t>
      </w:r>
    </w:p>
    <w:p>
      <w:pPr>
        <w:pStyle w:val="7"/>
        <w:keepNext w:val="0"/>
        <w:keepLines w:val="0"/>
        <w:pageBreakBefore w:val="0"/>
        <w:widowControl/>
        <w:suppressLineNumbers w:val="0"/>
        <w:kinsoku/>
        <w:wordWrap/>
        <w:overflowPunct/>
        <w:topLinePunct w:val="0"/>
        <w:autoSpaceDE/>
        <w:autoSpaceDN/>
        <w:bidi w:val="0"/>
        <w:adjustRightInd/>
        <w:spacing w:line="480" w:lineRule="auto"/>
        <w:ind w:left="567" w:hanging="567"/>
        <w:textAlignment w:val="auto"/>
        <w:rPr>
          <w:rFonts w:hint="default" w:ascii="Times New Roman Regular" w:hAnsi="Times New Roman Regular" w:cs="Times New Roman Regular"/>
          <w:b w:val="0"/>
          <w:bCs w:val="0"/>
          <w:i w:val="0"/>
          <w:iCs w:val="0"/>
          <w:caps w:val="0"/>
          <w:color w:val="000000"/>
          <w:spacing w:val="0"/>
          <w:sz w:val="24"/>
          <w:szCs w:val="24"/>
          <w:u w:val="none"/>
        </w:rPr>
      </w:pPr>
      <w:r>
        <w:rPr>
          <w:rFonts w:hint="default" w:ascii="Times New Roman Regular" w:hAnsi="Times New Roman Regular" w:cs="Times New Roman Regular"/>
          <w:b w:val="0"/>
          <w:bCs w:val="0"/>
          <w:i w:val="0"/>
          <w:iCs w:val="0"/>
          <w:caps w:val="0"/>
          <w:color w:val="000000"/>
          <w:spacing w:val="0"/>
          <w:sz w:val="24"/>
          <w:szCs w:val="24"/>
          <w:u w:val="none"/>
        </w:rPr>
        <w:t>Androulidakis, I.I. (2016) “Mobile Phone Forensics,” </w:t>
      </w:r>
      <w:r>
        <w:rPr>
          <w:rFonts w:hint="default" w:ascii="Times New Roman Regular" w:hAnsi="Times New Roman Regular" w:cs="Times New Roman Regular"/>
          <w:b w:val="0"/>
          <w:bCs w:val="0"/>
          <w:i/>
          <w:iCs/>
          <w:caps w:val="0"/>
          <w:color w:val="000000"/>
          <w:spacing w:val="0"/>
          <w:sz w:val="24"/>
          <w:szCs w:val="24"/>
          <w:u w:val="none"/>
        </w:rPr>
        <w:t>Mobile Phone Security and Forensics</w:t>
      </w:r>
      <w:r>
        <w:rPr>
          <w:rFonts w:hint="default" w:ascii="Times New Roman Regular" w:hAnsi="Times New Roman Regular" w:cs="Times New Roman Regular"/>
          <w:b w:val="0"/>
          <w:bCs w:val="0"/>
          <w:i w:val="0"/>
          <w:iCs w:val="0"/>
          <w:caps w:val="0"/>
          <w:color w:val="000000"/>
          <w:spacing w:val="0"/>
          <w:sz w:val="24"/>
          <w:szCs w:val="24"/>
          <w:u w:val="none"/>
        </w:rPr>
        <w:t>, pp. 87–109. Available at: https://doi.org/10.1007/978-3-319-29742-2_6. </w:t>
      </w:r>
    </w:p>
    <w:p>
      <w:pPr>
        <w:pStyle w:val="7"/>
        <w:keepNext w:val="0"/>
        <w:keepLines w:val="0"/>
        <w:pageBreakBefore w:val="0"/>
        <w:widowControl/>
        <w:suppressLineNumbers w:val="0"/>
        <w:kinsoku/>
        <w:wordWrap/>
        <w:overflowPunct/>
        <w:topLinePunct w:val="0"/>
        <w:autoSpaceDE/>
        <w:autoSpaceDN/>
        <w:bidi w:val="0"/>
        <w:adjustRightInd/>
        <w:spacing w:line="480" w:lineRule="auto"/>
        <w:ind w:left="567" w:hanging="567"/>
        <w:textAlignment w:val="auto"/>
        <w:rPr>
          <w:rFonts w:hint="default" w:ascii="Times New Roman Regular" w:hAnsi="Times New Roman Regular" w:cs="Times New Roman Regular"/>
          <w:b w:val="0"/>
          <w:bCs w:val="0"/>
          <w:i w:val="0"/>
          <w:iCs w:val="0"/>
          <w:caps w:val="0"/>
          <w:color w:val="000000"/>
          <w:spacing w:val="0"/>
          <w:sz w:val="24"/>
          <w:szCs w:val="24"/>
          <w:u w:val="none"/>
        </w:rPr>
      </w:pPr>
      <w:r>
        <w:rPr>
          <w:rFonts w:hint="default" w:ascii="Times New Roman Regular" w:hAnsi="Times New Roman Regular" w:cs="Times New Roman Regular"/>
          <w:b w:val="0"/>
          <w:bCs w:val="0"/>
          <w:i w:val="0"/>
          <w:iCs w:val="0"/>
          <w:caps w:val="0"/>
          <w:color w:val="000000"/>
          <w:spacing w:val="0"/>
          <w:sz w:val="24"/>
          <w:szCs w:val="24"/>
          <w:u w:val="none"/>
        </w:rPr>
        <w:t>Lee, S.-H. (2015) “Mobile phone culture: The impacts of mobile phone use,” </w:t>
      </w:r>
      <w:r>
        <w:rPr>
          <w:rFonts w:hint="default" w:ascii="Times New Roman Regular" w:hAnsi="Times New Roman Regular" w:cs="Times New Roman Regular"/>
          <w:b w:val="0"/>
          <w:bCs w:val="0"/>
          <w:i/>
          <w:iCs/>
          <w:caps w:val="0"/>
          <w:color w:val="000000"/>
          <w:spacing w:val="0"/>
          <w:sz w:val="24"/>
          <w:szCs w:val="24"/>
          <w:u w:val="none"/>
        </w:rPr>
        <w:t>Encyclopedia of Mobile Phone Behavior</w:t>
      </w:r>
      <w:r>
        <w:rPr>
          <w:rFonts w:hint="default" w:ascii="Times New Roman Regular" w:hAnsi="Times New Roman Regular" w:cs="Times New Roman Regular"/>
          <w:b w:val="0"/>
          <w:bCs w:val="0"/>
          <w:i w:val="0"/>
          <w:iCs w:val="0"/>
          <w:caps w:val="0"/>
          <w:color w:val="000000"/>
          <w:spacing w:val="0"/>
          <w:sz w:val="24"/>
          <w:szCs w:val="24"/>
          <w:u w:val="none"/>
        </w:rPr>
        <w:t>, pp. 658–672. Available at: https://doi.org/10.4018/978-1-4666-8239-9.ch055. </w:t>
      </w:r>
    </w:p>
    <w:p>
      <w:pPr>
        <w:pStyle w:val="7"/>
        <w:keepNext w:val="0"/>
        <w:keepLines w:val="0"/>
        <w:pageBreakBefore w:val="0"/>
        <w:widowControl/>
        <w:suppressLineNumbers w:val="0"/>
        <w:kinsoku/>
        <w:wordWrap/>
        <w:overflowPunct/>
        <w:topLinePunct w:val="0"/>
        <w:autoSpaceDE/>
        <w:autoSpaceDN/>
        <w:bidi w:val="0"/>
        <w:adjustRightInd/>
        <w:spacing w:line="480" w:lineRule="auto"/>
        <w:ind w:left="567" w:hanging="567"/>
        <w:textAlignment w:val="auto"/>
        <w:rPr>
          <w:rFonts w:hint="default" w:ascii="Times New Roman Regular" w:hAnsi="Times New Roman Regular" w:cs="Times New Roman Regular"/>
          <w:b w:val="0"/>
          <w:bCs w:val="0"/>
          <w:i w:val="0"/>
          <w:iCs w:val="0"/>
          <w:caps w:val="0"/>
          <w:color w:val="000000"/>
          <w:spacing w:val="0"/>
          <w:sz w:val="24"/>
          <w:szCs w:val="24"/>
          <w:u w:val="none"/>
        </w:rPr>
      </w:pPr>
      <w:r>
        <w:rPr>
          <w:rFonts w:hint="default" w:ascii="Times New Roman Regular" w:hAnsi="Times New Roman Regular" w:cs="Times New Roman Regular"/>
          <w:b w:val="0"/>
          <w:bCs w:val="0"/>
          <w:i w:val="0"/>
          <w:iCs w:val="0"/>
          <w:caps w:val="0"/>
          <w:color w:val="000000"/>
          <w:spacing w:val="0"/>
          <w:sz w:val="24"/>
          <w:szCs w:val="24"/>
          <w:u w:val="none"/>
        </w:rPr>
        <w:t>Udell, C. (2014) “Using a mobile camera as a powerful learning tool,” </w:t>
      </w:r>
      <w:r>
        <w:rPr>
          <w:rFonts w:hint="default" w:ascii="Times New Roman Regular" w:hAnsi="Times New Roman Regular" w:cs="Times New Roman Regular"/>
          <w:b w:val="0"/>
          <w:bCs w:val="0"/>
          <w:i/>
          <w:iCs/>
          <w:caps w:val="0"/>
          <w:color w:val="000000"/>
          <w:spacing w:val="0"/>
          <w:sz w:val="24"/>
          <w:szCs w:val="24"/>
          <w:u w:val="none"/>
        </w:rPr>
        <w:t>Mastering Mobile Learning</w:t>
      </w:r>
      <w:r>
        <w:rPr>
          <w:rFonts w:hint="default" w:ascii="Times New Roman Regular" w:hAnsi="Times New Roman Regular" w:cs="Times New Roman Regular"/>
          <w:b w:val="0"/>
          <w:bCs w:val="0"/>
          <w:i w:val="0"/>
          <w:iCs w:val="0"/>
          <w:caps w:val="0"/>
          <w:color w:val="000000"/>
          <w:spacing w:val="0"/>
          <w:sz w:val="24"/>
          <w:szCs w:val="24"/>
          <w:u w:val="none"/>
        </w:rPr>
        <w:t>, pp. 141–143. Available at: https://doi.org/10.1002/9781119036883.ch19. </w:t>
      </w:r>
    </w:p>
    <w:p>
      <w:pPr>
        <w:pStyle w:val="7"/>
        <w:keepNext w:val="0"/>
        <w:keepLines w:val="0"/>
        <w:pageBreakBefore w:val="0"/>
        <w:widowControl/>
        <w:suppressLineNumbers w:val="0"/>
        <w:kinsoku/>
        <w:wordWrap/>
        <w:overflowPunct/>
        <w:topLinePunct w:val="0"/>
        <w:autoSpaceDE/>
        <w:autoSpaceDN/>
        <w:bidi w:val="0"/>
        <w:adjustRightInd/>
        <w:spacing w:line="480" w:lineRule="auto"/>
        <w:ind w:left="567" w:hanging="567"/>
        <w:textAlignment w:val="auto"/>
        <w:rPr>
          <w:rFonts w:hint="default" w:ascii="Times New Roman Regular" w:hAnsi="Times New Roman Regular" w:cs="Times New Roman Regular"/>
          <w:b w:val="0"/>
          <w:bCs w:val="0"/>
          <w:i w:val="0"/>
          <w:iCs w:val="0"/>
          <w:caps w:val="0"/>
          <w:color w:val="000000"/>
          <w:spacing w:val="0"/>
          <w:sz w:val="24"/>
          <w:szCs w:val="24"/>
          <w:u w:val="none"/>
        </w:rPr>
      </w:pPr>
      <w:r>
        <w:rPr>
          <w:rFonts w:hint="default" w:ascii="Times New Roman Regular" w:hAnsi="Times New Roman Regular" w:cs="Times New Roman Regular"/>
          <w:b w:val="0"/>
          <w:bCs w:val="0"/>
          <w:i w:val="0"/>
          <w:iCs w:val="0"/>
          <w:caps w:val="0"/>
          <w:color w:val="000000"/>
          <w:spacing w:val="0"/>
          <w:sz w:val="24"/>
          <w:szCs w:val="24"/>
          <w:u w:val="none"/>
        </w:rPr>
        <w:t>Chunli, W., Yuchen, L. and Huaiwei, L. (2019) “Speech enhancement algorithms in vehicle environment,” </w:t>
      </w:r>
      <w:r>
        <w:rPr>
          <w:rFonts w:hint="default" w:ascii="Times New Roman Regular" w:hAnsi="Times New Roman Regular" w:cs="Times New Roman Regular"/>
          <w:b w:val="0"/>
          <w:bCs w:val="0"/>
          <w:i/>
          <w:iCs/>
          <w:caps w:val="0"/>
          <w:color w:val="000000"/>
          <w:spacing w:val="0"/>
          <w:sz w:val="24"/>
          <w:szCs w:val="24"/>
          <w:u w:val="none"/>
        </w:rPr>
        <w:t>International Journal of Performability Engineering</w:t>
      </w:r>
      <w:r>
        <w:rPr>
          <w:rFonts w:hint="default" w:ascii="Times New Roman Regular" w:hAnsi="Times New Roman Regular" w:cs="Times New Roman Regular"/>
          <w:b w:val="0"/>
          <w:bCs w:val="0"/>
          <w:i w:val="0"/>
          <w:iCs w:val="0"/>
          <w:caps w:val="0"/>
          <w:color w:val="000000"/>
          <w:spacing w:val="0"/>
          <w:sz w:val="24"/>
          <w:szCs w:val="24"/>
          <w:u w:val="none"/>
        </w:rPr>
        <w:t>, 15(11), p. 3081. Available at: https://doi.org/10.23940/ijpe.19.11.p28.30813089. </w:t>
      </w:r>
    </w:p>
    <w:p>
      <w:pPr>
        <w:pStyle w:val="2"/>
        <w:pageBreakBefore w:val="0"/>
        <w:widowControl/>
        <w:kinsoku/>
        <w:wordWrap/>
        <w:overflowPunct/>
        <w:topLinePunct w:val="0"/>
        <w:autoSpaceDE/>
        <w:autoSpaceDN/>
        <w:bidi w:val="0"/>
        <w:adjustRightInd/>
        <w:spacing w:line="480" w:lineRule="auto"/>
        <w:textAlignment w:val="auto"/>
        <w:rPr>
          <w:rFonts w:hint="default" w:ascii="Times New Roman Regular" w:hAnsi="Times New Roman Regular" w:cs="Times New Roman Regular"/>
          <w:sz w:val="24"/>
          <w:szCs w:val="24"/>
        </w:rPr>
      </w:pPr>
    </w:p>
    <w:p>
      <w:pPr>
        <w:pStyle w:val="2"/>
        <w:pageBreakBefore w:val="0"/>
        <w:widowControl/>
        <w:kinsoku/>
        <w:wordWrap/>
        <w:overflowPunct/>
        <w:topLinePunct w:val="0"/>
        <w:autoSpaceDE/>
        <w:autoSpaceDN/>
        <w:bidi w:val="0"/>
        <w:adjustRightInd/>
        <w:spacing w:line="480" w:lineRule="auto"/>
        <w:textAlignment w:val="auto"/>
        <w:rPr>
          <w:rFonts w:hint="default" w:ascii="Times New Roman Regular" w:hAnsi="Times New Roman Regular" w:cs="Times New Roman Regular"/>
          <w:sz w:val="24"/>
          <w:szCs w:val="24"/>
        </w:rPr>
      </w:pPr>
    </w:p>
    <w:p>
      <w:pPr>
        <w:pStyle w:val="2"/>
        <w:pageBreakBefore w:val="0"/>
        <w:widowControl/>
        <w:kinsoku/>
        <w:wordWrap/>
        <w:overflowPunct/>
        <w:topLinePunct w:val="0"/>
        <w:autoSpaceDE/>
        <w:autoSpaceDN/>
        <w:bidi w:val="0"/>
        <w:adjustRightInd/>
        <w:spacing w:line="480" w:lineRule="auto"/>
        <w:textAlignment w:val="auto"/>
        <w:rPr>
          <w:rFonts w:hint="default" w:ascii="Times New Roman Regular" w:hAnsi="Times New Roman Regular" w:cs="Times New Roman Regular"/>
          <w:sz w:val="24"/>
          <w:szCs w:val="24"/>
        </w:rPr>
      </w:pPr>
    </w:p>
    <w:p>
      <w:pPr>
        <w:pStyle w:val="2"/>
        <w:pageBreakBefore w:val="0"/>
        <w:widowControl/>
        <w:kinsoku/>
        <w:wordWrap/>
        <w:overflowPunct/>
        <w:topLinePunct w:val="0"/>
        <w:autoSpaceDE/>
        <w:autoSpaceDN/>
        <w:bidi w:val="0"/>
        <w:adjustRightInd/>
        <w:spacing w:line="480" w:lineRule="auto"/>
        <w:textAlignment w:val="auto"/>
        <w:rPr>
          <w:rFonts w:hint="default" w:ascii="Times New Roman Regular" w:hAnsi="Times New Roman Regular" w:cs="Times New Roman Regular"/>
          <w:sz w:val="24"/>
          <w:szCs w:val="24"/>
        </w:rPr>
      </w:pPr>
    </w:p>
    <w:p>
      <w:pPr>
        <w:pStyle w:val="2"/>
        <w:pageBreakBefore w:val="0"/>
        <w:widowControl/>
        <w:kinsoku/>
        <w:wordWrap/>
        <w:overflowPunct/>
        <w:topLinePunct w:val="0"/>
        <w:autoSpaceDE/>
        <w:autoSpaceDN/>
        <w:bidi w:val="0"/>
        <w:adjustRightInd/>
        <w:spacing w:line="480" w:lineRule="auto"/>
        <w:textAlignment w:val="auto"/>
        <w:rPr>
          <w:rFonts w:hint="default" w:ascii="Times New Roman Regular" w:hAnsi="Times New Roman Regular" w:cs="Times New Roman Regular"/>
          <w:sz w:val="24"/>
          <w:szCs w:val="24"/>
        </w:rPr>
      </w:pPr>
    </w:p>
    <w:p>
      <w:pPr>
        <w:pStyle w:val="7"/>
        <w:keepNext w:val="0"/>
        <w:keepLines w:val="0"/>
        <w:widowControl/>
        <w:suppressLineNumbers w:val="0"/>
        <w:ind w:left="567" w:hanging="567"/>
        <w:rPr>
          <w:b w:val="0"/>
          <w:bCs w:val="0"/>
          <w:i w:val="0"/>
          <w:iCs w:val="0"/>
          <w:caps w:val="0"/>
          <w:color w:val="000000"/>
          <w:spacing w:val="0"/>
          <w:u w:val="none"/>
        </w:rPr>
      </w:pPr>
    </w:p>
    <w:p>
      <w:pPr>
        <w:rPr>
          <w:rFonts w:hint="default"/>
        </w:rPr>
      </w:pPr>
    </w:p>
    <w:p>
      <w:pPr>
        <w:pStyle w:val="2"/>
        <w:rPr>
          <w:rFonts w:hint="default" w:ascii="Times New Roman Regular" w:hAnsi="Times New Roman Regular" w:cs="Times New Roman Regular"/>
        </w:rPr>
      </w:pPr>
    </w:p>
    <w:p>
      <w:pPr>
        <w:pStyle w:val="2"/>
        <w:rPr>
          <w:rFonts w:hint="default" w:ascii="Times New Roman Regular" w:hAnsi="Times New Roman Regular" w:cs="Times New Roman Regular"/>
        </w:rPr>
      </w:pPr>
    </w:p>
    <w:sectPr>
      <w:footerReference r:id="rId6" w:type="default"/>
      <w:pgSz w:w="11906" w:h="16838"/>
      <w:pgMar w:top="1440" w:right="1800" w:bottom="1440" w:left="180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imes New Roman Regular">
    <w:altName w:val="Times New Roman"/>
    <w:panose1 w:val="020206030504050203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5"/>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Ipr3cAgAAJAYAAA4AAABkcnMvZTJvRG9jLnhtbK1UzW7UMBC+I/EO&#10;lu9pfppus6tmq+2mQUgVrVQQZ6/jbCwc27K9PwVxhTfgxIU7z9XnYJxsdtuCUCXYQ3bsGX+e75vx&#10;nJ1vW4HWzFiuZI7jowgjJqmquFzm+N3bMsgwso7IigglWY7vmMXn05cvzjZ6whLVKFExgwBE2slG&#10;57hxTk/C0NKGtcQeKc0kOGtlWuJgaZZhZcgG0FsRJlE0CjfKVNooyqyF3aJ34h2ieQ6gqmtOWaHo&#10;qmXS9aiGCeKAkm24tnjaZVvXjLrrurbMIZFjYOq6L1wC9sJ/w+kZmSwN0Q2nuxTIc1J4wqklXMKl&#10;e6iCOIJWhv8G1XJqlFW1O6KqDXsinSLAIo6eaHPbEM06LiC11XvR7f+DpW/WNwbxKscJRpK0UPD7&#10;b1/vv/+8//EFJV6ejbYTiLrVEOe2F2oLTTPsW9j0rLe1af0/8EHgB3Hv9uKyrUPUH8qSLIvARcE3&#10;LAA/PBzXxrpXTLXIGzk2UL1OVLK+sq4PHUL8bVKVXIiugkKiTY5HxydRd2DvAXAhfSxkARg7q6/M&#10;p3E0vswuszRIk9FlkEZFEczKeRqMyvj0pDgu5vMi/uzx4nTS8Kpi0t83dEmcPq8Ku07p67vvE6sE&#10;rzycT8ma5WIuDFoT6NKy+3mFIfkHYeHjNDo3sHpCKU7S6CIZB+UoOw3SMj0JxqdRFkTx+GI8itJx&#10;WpSPKV1xyf6d0iP1HyRNJr5ge24LQeiHv1Lz6RyogQJD4ULfh32/ecttF1uQyJsLVd1BbxrVP26r&#10;acnh0iti3Q0x8Jqh52DeuWv41EJBn6idhVGjzMc/7ft4KC94MdrAdMixhGGIkXgt4fEBoBsMMxiL&#10;wZCrdq6gkDHMUU07Ew4YJwazNqp9D0Nw5u8AF5EUbsqxG8y56ycUDFHKZrMuaKUNXzb9ARgdmrgr&#10;eaupv6ZrIT1bOXgP3TM5qAJS+gUMj07U3aDz0+nhuos6DPfp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fyKa93AIAACQGAAAOAAAAAAAAAAEAIAAAAB8BAABkcnMvZTJvRG9jLnhtbFBLBQYA&#10;AAAABgAGAFkBAABtBg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2</w:t>
                    </w:r>
                    <w:r>
                      <w:fldChar w:fldCharType="end"/>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default" w:ascii="Times New Roman" w:hAnsi="Times New Roman" w:cs="Times New Roman"/>
                              <w:lang w:val="en-US"/>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5"/>
                      <w:rPr>
                        <w:rFonts w:hint="default" w:ascii="Times New Roman" w:hAnsi="Times New Roman" w:cs="Times New Roman"/>
                        <w:lang w:val="en-US"/>
                      </w:rPr>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U1MTk5ODg1MzVhYTU0NGU3YTI4NzBmMGQ2ZWVmZmUifQ=="/>
  </w:docVars>
  <w:rsids>
    <w:rsidRoot w:val="3FFBEFB4"/>
    <w:rsid w:val="0D9D5EE1"/>
    <w:rsid w:val="121A333A"/>
    <w:rsid w:val="35F17908"/>
    <w:rsid w:val="3FFBEFB4"/>
    <w:rsid w:val="43BE0280"/>
    <w:rsid w:val="4B7B7947"/>
    <w:rsid w:val="56FF92EE"/>
    <w:rsid w:val="5D084AC5"/>
    <w:rsid w:val="5F7D7EA4"/>
    <w:rsid w:val="5FCFE1B4"/>
    <w:rsid w:val="6687DECD"/>
    <w:rsid w:val="6DA70E05"/>
    <w:rsid w:val="736FD6AD"/>
    <w:rsid w:val="7B6B6B95"/>
    <w:rsid w:val="7FD76354"/>
    <w:rsid w:val="7FEA3F8F"/>
    <w:rsid w:val="A7FF97B7"/>
    <w:rsid w:val="BF6B4841"/>
    <w:rsid w:val="BF75438C"/>
    <w:rsid w:val="EBAFEE20"/>
    <w:rsid w:val="EBFF64E8"/>
    <w:rsid w:val="EFFCB124"/>
    <w:rsid w:val="F3FF2639"/>
    <w:rsid w:val="F5FF91EA"/>
    <w:rsid w:val="F9F51ECC"/>
    <w:rsid w:val="FFBF7A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name="header"/>
    <w:lsdException w:qFormat="1" w:uiPriority="99"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3">
    <w:name w:val="heading 1"/>
    <w:basedOn w:val="1"/>
    <w:next w:val="1"/>
    <w:qFormat/>
    <w:uiPriority w:val="0"/>
    <w:pPr>
      <w:keepNext/>
      <w:keepLines/>
      <w:spacing w:beforeLines="0" w:beforeAutospacing="0" w:afterLines="0" w:afterAutospacing="0" w:line="480" w:lineRule="auto"/>
      <w:outlineLvl w:val="0"/>
    </w:pPr>
    <w:rPr>
      <w:rFonts w:ascii="Times New Roman" w:hAnsi="Times New Roman" w:eastAsia="Times New Roman"/>
      <w:b/>
      <w:kern w:val="44"/>
      <w:sz w:val="28"/>
    </w:rPr>
  </w:style>
  <w:style w:type="paragraph" w:styleId="4">
    <w:name w:val="heading 2"/>
    <w:basedOn w:val="1"/>
    <w:next w:val="1"/>
    <w:unhideWhenUsed/>
    <w:qFormat/>
    <w:uiPriority w:val="0"/>
    <w:pPr>
      <w:keepNext/>
      <w:keepLines/>
      <w:spacing w:beforeLines="0" w:beforeAutospacing="0" w:afterLines="0" w:afterAutospacing="0" w:line="480" w:lineRule="auto"/>
      <w:outlineLvl w:val="1"/>
    </w:pPr>
    <w:rPr>
      <w:rFonts w:ascii="Times New Roman" w:hAnsi="Times New Roman" w:eastAsia="Times New Roman"/>
      <w:b/>
      <w:sz w:val="28"/>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unhideWhenUsed/>
    <w:qFormat/>
    <w:uiPriority w:val="99"/>
    <w:pPr>
      <w:spacing w:after="120" w:afterLines="0" w:afterAutospacing="0"/>
    </w:pPr>
  </w:style>
  <w:style w:type="paragraph" w:styleId="5">
    <w:name w:val="footer"/>
    <w:basedOn w:val="1"/>
    <w:semiHidden/>
    <w:unhideWhenUsed/>
    <w:qFormat/>
    <w:uiPriority w:val="99"/>
    <w:pPr>
      <w:tabs>
        <w:tab w:val="center" w:pos="4153"/>
        <w:tab w:val="right" w:pos="8306"/>
      </w:tabs>
      <w:snapToGrid w:val="0"/>
      <w:jc w:val="left"/>
    </w:pPr>
    <w:rPr>
      <w:sz w:val="18"/>
    </w:rPr>
  </w:style>
  <w:style w:type="paragraph" w:styleId="6">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paragraph" w:customStyle="1" w:styleId="10">
    <w:name w:val="WPSOffice手动目录 1"/>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5723</Words>
  <Characters>30815</Characters>
  <Lines>0</Lines>
  <Paragraphs>0</Paragraphs>
  <TotalTime>11</TotalTime>
  <ScaleCrop>false</ScaleCrop>
  <LinksUpToDate>false</LinksUpToDate>
  <CharactersWithSpaces>36460</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2018-12-15T07:06:00Z</dcterms:created>
  <dc:creator> </dc:creator>
  <cp:lastModifiedBy>兴业银行林镇江，推荐人工号077465</cp:lastModifiedBy>
  <dcterms:modified xsi:type="dcterms:W3CDTF">2022-12-16T17:31:07Z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B99504866A354A6280B4C438E0087CFE</vt:lpwstr>
  </property>
</Properties>
</file>