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9FAD0" w14:textId="1F14AEC7" w:rsidR="00EC6DAF" w:rsidRDefault="008B3603" w:rsidP="00427045">
      <w:pPr>
        <w:jc w:val="center"/>
        <w:rPr>
          <w:rFonts w:ascii="Calibri Light" w:hAnsi="Calibri Light" w:cs="Times New Roman"/>
          <w:color w:val="000000"/>
          <w:kern w:val="0"/>
          <w:sz w:val="42"/>
          <w:szCs w:val="42"/>
          <w14:ligatures w14:val="none"/>
        </w:rPr>
      </w:pPr>
      <w:r>
        <w:rPr>
          <w:rFonts w:ascii="Calibri Light" w:hAnsi="Calibri Light" w:cs="Times New Roman"/>
          <w:color w:val="000000"/>
          <w:kern w:val="0"/>
          <w:sz w:val="42"/>
          <w:szCs w:val="42"/>
          <w14:ligatures w14:val="none"/>
        </w:rPr>
        <w:t>Project Management</w:t>
      </w:r>
      <w:r w:rsidR="00427045">
        <w:rPr>
          <w:rFonts w:ascii="Calibri Light" w:hAnsi="Calibri Light" w:cs="Times New Roman"/>
          <w:color w:val="000000"/>
          <w:kern w:val="0"/>
          <w:sz w:val="42"/>
          <w:szCs w:val="42"/>
          <w14:ligatures w14:val="none"/>
        </w:rPr>
        <w:t xml:space="preserve"> - </w:t>
      </w:r>
      <w:r>
        <w:rPr>
          <w:rFonts w:ascii="Calibri Light" w:hAnsi="Calibri Light" w:cs="Times New Roman"/>
          <w:color w:val="000000"/>
          <w:kern w:val="0"/>
          <w:sz w:val="42"/>
          <w:szCs w:val="42"/>
          <w14:ligatures w14:val="none"/>
        </w:rPr>
        <w:t>LCBB5005</w:t>
      </w:r>
    </w:p>
    <w:p w14:paraId="41A1F7C6" w14:textId="7826C8C6" w:rsidR="009E0BB2" w:rsidRDefault="00EA43D0" w:rsidP="00B424AA">
      <w:pPr>
        <w:jc w:val="center"/>
        <w:rPr>
          <w:rFonts w:ascii="Calibri Light" w:hAnsi="Calibri Light" w:cs="Times New Roman"/>
          <w:color w:val="000000"/>
          <w:kern w:val="0"/>
          <w:sz w:val="42"/>
          <w:szCs w:val="42"/>
          <w14:ligatures w14:val="none"/>
        </w:rPr>
      </w:pPr>
      <w:r>
        <w:rPr>
          <w:rFonts w:ascii="Calibri Light" w:hAnsi="Calibri Light" w:cs="Times New Roman"/>
          <w:color w:val="000000"/>
          <w:kern w:val="0"/>
          <w:sz w:val="42"/>
          <w:szCs w:val="42"/>
          <w14:ligatures w14:val="none"/>
        </w:rPr>
        <w:t xml:space="preserve">Dr </w:t>
      </w:r>
      <w:r w:rsidR="00EC6DAF">
        <w:rPr>
          <w:rFonts w:ascii="Calibri Light" w:hAnsi="Calibri Light" w:cs="Times New Roman"/>
          <w:color w:val="000000"/>
          <w:kern w:val="0"/>
          <w:sz w:val="42"/>
          <w:szCs w:val="42"/>
          <w14:ligatures w14:val="none"/>
        </w:rPr>
        <w:t>Xavier Matieni</w:t>
      </w:r>
    </w:p>
    <w:p w14:paraId="4B4335BE" w14:textId="77777777" w:rsidR="00427045" w:rsidRDefault="00427045" w:rsidP="00B424AA">
      <w:pPr>
        <w:jc w:val="center"/>
        <w:rPr>
          <w:rFonts w:ascii="Calibri Light" w:hAnsi="Calibri Light" w:cs="Times New Roman"/>
          <w:color w:val="000000"/>
          <w:kern w:val="0"/>
          <w:sz w:val="42"/>
          <w:szCs w:val="42"/>
          <w14:ligatures w14:val="none"/>
        </w:rPr>
      </w:pPr>
    </w:p>
    <w:p w14:paraId="3D1BD377" w14:textId="77777777" w:rsidR="00427045" w:rsidRDefault="00427045" w:rsidP="00B424AA">
      <w:pPr>
        <w:jc w:val="center"/>
        <w:rPr>
          <w:rFonts w:ascii="Calibri Light" w:hAnsi="Calibri Light" w:cs="Times New Roman"/>
          <w:color w:val="000000"/>
          <w:kern w:val="0"/>
          <w:sz w:val="42"/>
          <w:szCs w:val="42"/>
          <w14:ligatures w14:val="none"/>
        </w:rPr>
      </w:pPr>
    </w:p>
    <w:p w14:paraId="7C14C317" w14:textId="77777777" w:rsidR="00643B7E" w:rsidRDefault="00427045" w:rsidP="00B424AA">
      <w:pPr>
        <w:jc w:val="center"/>
        <w:rPr>
          <w:rFonts w:ascii="Calibri Light" w:hAnsi="Calibri Light" w:cs="Times New Roman"/>
          <w:color w:val="000000"/>
          <w:kern w:val="0"/>
          <w:sz w:val="42"/>
          <w:szCs w:val="42"/>
          <w14:ligatures w14:val="none"/>
        </w:rPr>
      </w:pPr>
      <w:r>
        <w:rPr>
          <w:rFonts w:ascii="Calibri Light" w:hAnsi="Calibri Light" w:cs="Times New Roman"/>
          <w:color w:val="000000"/>
          <w:kern w:val="0"/>
          <w:sz w:val="42"/>
          <w:szCs w:val="42"/>
          <w14:ligatures w14:val="none"/>
        </w:rPr>
        <w:t>Georgel-Laurentiu Opre</w:t>
      </w:r>
      <w:r w:rsidR="00643B7E">
        <w:rPr>
          <w:rFonts w:ascii="Calibri Light" w:hAnsi="Calibri Light" w:cs="Times New Roman"/>
          <w:color w:val="000000"/>
          <w:kern w:val="0"/>
          <w:sz w:val="42"/>
          <w:szCs w:val="42"/>
          <w14:ligatures w14:val="none"/>
        </w:rPr>
        <w:t>a</w:t>
      </w:r>
    </w:p>
    <w:p w14:paraId="5ACCC2CB" w14:textId="5F3C891B" w:rsidR="00427045" w:rsidRDefault="00427045" w:rsidP="00B424AA">
      <w:pPr>
        <w:jc w:val="center"/>
        <w:rPr>
          <w:rFonts w:ascii="Calibri Light" w:hAnsi="Calibri Light" w:cs="Times New Roman"/>
          <w:color w:val="000000"/>
          <w:kern w:val="0"/>
          <w:sz w:val="42"/>
          <w:szCs w:val="42"/>
          <w14:ligatures w14:val="none"/>
        </w:rPr>
      </w:pPr>
      <w:r>
        <w:rPr>
          <w:rFonts w:ascii="Calibri Light" w:hAnsi="Calibri Light" w:cs="Times New Roman"/>
          <w:color w:val="000000"/>
          <w:kern w:val="0"/>
          <w:sz w:val="42"/>
          <w:szCs w:val="42"/>
          <w14:ligatures w14:val="none"/>
        </w:rPr>
        <w:t xml:space="preserve"> (211487</w:t>
      </w:r>
      <w:r w:rsidR="007E339A">
        <w:rPr>
          <w:rFonts w:ascii="Calibri Light" w:hAnsi="Calibri Light" w:cs="Times New Roman"/>
          <w:color w:val="000000"/>
          <w:kern w:val="0"/>
          <w:sz w:val="42"/>
          <w:szCs w:val="42"/>
          <w14:ligatures w14:val="none"/>
        </w:rPr>
        <w:t>9</w:t>
      </w:r>
      <w:r>
        <w:rPr>
          <w:rFonts w:ascii="Calibri Light" w:hAnsi="Calibri Light" w:cs="Times New Roman"/>
          <w:color w:val="000000"/>
          <w:kern w:val="0"/>
          <w:sz w:val="42"/>
          <w:szCs w:val="42"/>
          <w14:ligatures w14:val="none"/>
        </w:rPr>
        <w:t>)</w:t>
      </w:r>
    </w:p>
    <w:p w14:paraId="5A932A5B" w14:textId="77777777" w:rsidR="00427045" w:rsidRDefault="00427045" w:rsidP="00B424AA">
      <w:pPr>
        <w:jc w:val="center"/>
        <w:rPr>
          <w:rFonts w:ascii="Calibri Light" w:hAnsi="Calibri Light" w:cs="Times New Roman"/>
          <w:color w:val="000000"/>
          <w:kern w:val="0"/>
          <w:sz w:val="42"/>
          <w:szCs w:val="42"/>
          <w14:ligatures w14:val="none"/>
        </w:rPr>
      </w:pPr>
    </w:p>
    <w:p w14:paraId="66CC53F3" w14:textId="77777777" w:rsidR="007815CA" w:rsidRDefault="007815CA" w:rsidP="00A06991">
      <w:pPr>
        <w:jc w:val="center"/>
        <w:rPr>
          <w:rFonts w:ascii="Calibri Light" w:hAnsi="Calibri Light" w:cs="Times New Roman"/>
          <w:color w:val="000000"/>
          <w:kern w:val="0"/>
          <w:sz w:val="42"/>
          <w:szCs w:val="42"/>
          <w14:ligatures w14:val="none"/>
        </w:rPr>
      </w:pPr>
    </w:p>
    <w:p w14:paraId="69949962" w14:textId="77777777" w:rsidR="00260CC7" w:rsidRDefault="00260CC7" w:rsidP="00A06991">
      <w:pPr>
        <w:jc w:val="center"/>
        <w:rPr>
          <w:rFonts w:ascii="Calibri Light" w:hAnsi="Calibri Light" w:cs="Times New Roman"/>
          <w:color w:val="000000"/>
          <w:kern w:val="0"/>
          <w:sz w:val="42"/>
          <w:szCs w:val="42"/>
          <w14:ligatures w14:val="none"/>
        </w:rPr>
      </w:pPr>
    </w:p>
    <w:p w14:paraId="4E828ACA" w14:textId="77777777" w:rsidR="00260CC7" w:rsidRDefault="00260CC7" w:rsidP="00A06991">
      <w:pPr>
        <w:jc w:val="center"/>
        <w:rPr>
          <w:rFonts w:ascii="Calibri Light" w:hAnsi="Calibri Light" w:cs="Times New Roman"/>
          <w:color w:val="000000"/>
          <w:kern w:val="0"/>
          <w:sz w:val="42"/>
          <w:szCs w:val="42"/>
          <w14:ligatures w14:val="none"/>
        </w:rPr>
      </w:pPr>
    </w:p>
    <w:p w14:paraId="2CD54344" w14:textId="77777777" w:rsidR="009E0BB2" w:rsidRDefault="009E0BB2" w:rsidP="00A06991">
      <w:pPr>
        <w:jc w:val="center"/>
        <w:rPr>
          <w:rFonts w:ascii="Calibri Light" w:hAnsi="Calibri Light" w:cs="Times New Roman"/>
          <w:color w:val="000000"/>
          <w:kern w:val="0"/>
          <w:sz w:val="42"/>
          <w:szCs w:val="42"/>
          <w14:ligatures w14:val="none"/>
        </w:rPr>
      </w:pPr>
    </w:p>
    <w:p w14:paraId="00C82477" w14:textId="77777777" w:rsidR="009E0BB2" w:rsidRDefault="009E0BB2" w:rsidP="00A06991">
      <w:pPr>
        <w:jc w:val="center"/>
        <w:rPr>
          <w:rFonts w:ascii="Calibri Light" w:hAnsi="Calibri Light" w:cs="Times New Roman"/>
          <w:color w:val="000000"/>
          <w:kern w:val="0"/>
          <w:sz w:val="42"/>
          <w:szCs w:val="42"/>
          <w14:ligatures w14:val="none"/>
        </w:rPr>
      </w:pPr>
    </w:p>
    <w:p w14:paraId="72FF5D17" w14:textId="0C926228" w:rsidR="00A06991" w:rsidRPr="00260CC7" w:rsidRDefault="00A674D1" w:rsidP="00A06991">
      <w:pPr>
        <w:jc w:val="center"/>
        <w:rPr>
          <w:rFonts w:ascii="Calibri Light" w:hAnsi="Calibri Light" w:cs="Times New Roman"/>
          <w:b/>
          <w:bCs/>
          <w:color w:val="000000"/>
          <w:kern w:val="0"/>
          <w:sz w:val="54"/>
          <w:szCs w:val="54"/>
          <w14:ligatures w14:val="none"/>
        </w:rPr>
      </w:pPr>
      <w:r w:rsidRPr="00A674D1">
        <w:rPr>
          <w:rFonts w:ascii="Calibri Light" w:hAnsi="Calibri Light" w:cs="Times New Roman"/>
          <w:b/>
          <w:bCs/>
          <w:color w:val="000000"/>
          <w:kern w:val="0"/>
          <w:sz w:val="54"/>
          <w:szCs w:val="54"/>
          <w14:ligatures w14:val="none"/>
        </w:rPr>
        <w:t>Project Progress</w:t>
      </w:r>
    </w:p>
    <w:p w14:paraId="5E482C00" w14:textId="7130AA3A" w:rsidR="00A674D1" w:rsidRPr="00260CC7" w:rsidRDefault="00A674D1" w:rsidP="00A06991">
      <w:pPr>
        <w:jc w:val="center"/>
        <w:rPr>
          <w:rFonts w:ascii="Calibri Light" w:hAnsi="Calibri Light" w:cs="Times New Roman"/>
          <w:b/>
          <w:bCs/>
          <w:color w:val="000000"/>
          <w:kern w:val="0"/>
          <w:sz w:val="54"/>
          <w:szCs w:val="54"/>
          <w14:ligatures w14:val="none"/>
        </w:rPr>
      </w:pPr>
      <w:r w:rsidRPr="00A674D1">
        <w:rPr>
          <w:rFonts w:ascii="Calibri Light" w:hAnsi="Calibri Light" w:cs="Times New Roman"/>
          <w:b/>
          <w:bCs/>
          <w:color w:val="000000"/>
          <w:kern w:val="0"/>
          <w:sz w:val="54"/>
          <w:szCs w:val="54"/>
          <w14:ligatures w14:val="none"/>
        </w:rPr>
        <w:t>Hinkley Point C: Review</w:t>
      </w:r>
    </w:p>
    <w:p w14:paraId="5FC4E013" w14:textId="77777777" w:rsidR="00A06991" w:rsidRPr="00260CC7" w:rsidRDefault="00A06991" w:rsidP="00A06991">
      <w:pPr>
        <w:jc w:val="center"/>
        <w:rPr>
          <w:rFonts w:ascii="Calibri Light" w:hAnsi="Calibri Light" w:cs="Times New Roman"/>
          <w:b/>
          <w:bCs/>
          <w:color w:val="000000"/>
          <w:kern w:val="0"/>
          <w:sz w:val="54"/>
          <w:szCs w:val="54"/>
          <w14:ligatures w14:val="none"/>
        </w:rPr>
      </w:pPr>
    </w:p>
    <w:p w14:paraId="4970A71D" w14:textId="77777777" w:rsidR="00A06991" w:rsidRPr="00A674D1" w:rsidRDefault="00A06991" w:rsidP="00A06991">
      <w:pPr>
        <w:jc w:val="center"/>
        <w:rPr>
          <w:rFonts w:ascii="-webkit-standard" w:hAnsi="-webkit-standard" w:cs="Times New Roman"/>
          <w:b/>
          <w:bCs/>
          <w:color w:val="000000"/>
          <w:kern w:val="0"/>
          <w:sz w:val="54"/>
          <w:szCs w:val="54"/>
          <w14:ligatures w14:val="none"/>
        </w:rPr>
      </w:pPr>
    </w:p>
    <w:p w14:paraId="11CCE5BA" w14:textId="16532D26" w:rsidR="00A674D1" w:rsidRPr="00A674D1" w:rsidRDefault="00A674D1" w:rsidP="00A06991">
      <w:pPr>
        <w:spacing w:line="324" w:lineRule="atLeast"/>
        <w:jc w:val="center"/>
        <w:rPr>
          <w:rFonts w:ascii="-webkit-standard" w:hAnsi="-webkit-standard" w:cs="Times New Roman"/>
          <w:color w:val="000000"/>
          <w:kern w:val="0"/>
          <w:sz w:val="54"/>
          <w:szCs w:val="54"/>
          <w14:ligatures w14:val="none"/>
        </w:rPr>
      </w:pPr>
    </w:p>
    <w:p w14:paraId="1BB17B9A" w14:textId="110545EE" w:rsidR="00A674D1" w:rsidRDefault="00A674D1" w:rsidP="00A06991">
      <w:pPr>
        <w:spacing w:line="324" w:lineRule="atLeast"/>
        <w:jc w:val="both"/>
        <w:rPr>
          <w:rFonts w:ascii="-webkit-standard" w:hAnsi="-webkit-standard" w:cs="Times New Roman"/>
          <w:color w:val="000000"/>
          <w:kern w:val="0"/>
          <w:sz w:val="27"/>
          <w:szCs w:val="27"/>
          <w14:ligatures w14:val="none"/>
        </w:rPr>
      </w:pPr>
    </w:p>
    <w:p w14:paraId="654BA2DE" w14:textId="77777777" w:rsidR="00643B7E" w:rsidRPr="00A674D1" w:rsidRDefault="00643B7E" w:rsidP="00A06991">
      <w:pPr>
        <w:spacing w:line="324" w:lineRule="atLeast"/>
        <w:jc w:val="both"/>
        <w:rPr>
          <w:rFonts w:ascii="-webkit-standard" w:hAnsi="-webkit-standard" w:cs="Times New Roman"/>
          <w:color w:val="000000"/>
          <w:kern w:val="0"/>
          <w:sz w:val="27"/>
          <w:szCs w:val="27"/>
          <w14:ligatures w14:val="none"/>
        </w:rPr>
      </w:pPr>
    </w:p>
    <w:p w14:paraId="02DF7740"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w:t>
      </w:r>
    </w:p>
    <w:p w14:paraId="51EE7D7C"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w:t>
      </w:r>
    </w:p>
    <w:p w14:paraId="4550D078"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w:t>
      </w:r>
    </w:p>
    <w:p w14:paraId="485A74F1"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w:t>
      </w:r>
    </w:p>
    <w:p w14:paraId="51452A3A"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w:t>
      </w:r>
    </w:p>
    <w:p w14:paraId="6571C364"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w:t>
      </w:r>
    </w:p>
    <w:p w14:paraId="5861C8BD"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w:t>
      </w:r>
    </w:p>
    <w:p w14:paraId="73074051" w14:textId="119840C7" w:rsidR="00A674D1" w:rsidRPr="00A674D1" w:rsidRDefault="00A674D1" w:rsidP="00260CC7">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w:t>
      </w:r>
    </w:p>
    <w:p w14:paraId="783B6353" w14:textId="44662976" w:rsidR="00A674D1" w:rsidRPr="00A674D1" w:rsidRDefault="00A674D1" w:rsidP="00A06991">
      <w:pPr>
        <w:spacing w:before="180" w:line="324" w:lineRule="atLeast"/>
        <w:jc w:val="both"/>
        <w:rPr>
          <w:rFonts w:ascii="-webkit-standard" w:hAnsi="-webkit-standard" w:cs="Times New Roman"/>
          <w:b/>
          <w:bCs/>
          <w:color w:val="000000" w:themeColor="text1"/>
          <w:kern w:val="0"/>
          <w:sz w:val="27"/>
          <w:szCs w:val="27"/>
          <w14:ligatures w14:val="none"/>
        </w:rPr>
      </w:pPr>
      <w:r w:rsidRPr="00A674D1">
        <w:rPr>
          <w:rFonts w:ascii="Calibri Light" w:hAnsi="Calibri Light" w:cs="Times New Roman"/>
          <w:b/>
          <w:bCs/>
          <w:color w:val="000000" w:themeColor="text1"/>
          <w:kern w:val="0"/>
          <w:sz w:val="36"/>
          <w:szCs w:val="36"/>
          <w14:ligatures w14:val="none"/>
        </w:rPr>
        <w:lastRenderedPageBreak/>
        <w:t>Introduction</w:t>
      </w:r>
    </w:p>
    <w:p w14:paraId="195E69C1" w14:textId="710C0132" w:rsidR="00A674D1" w:rsidRPr="00F042A0" w:rsidRDefault="00A674D1" w:rsidP="00180C5A">
      <w:pPr>
        <w:spacing w:before="240" w:line="324" w:lineRule="atLeast"/>
        <w:ind w:firstLine="720"/>
        <w:jc w:val="both"/>
        <w:rPr>
          <w:rFonts w:ascii="-webkit-standard" w:hAnsi="-webkit-standard" w:cs="Times New Roman"/>
          <w:color w:val="000000"/>
          <w:kern w:val="0"/>
          <w:sz w:val="27"/>
          <w:szCs w:val="27"/>
          <w14:ligatures w14:val="none"/>
        </w:rPr>
      </w:pPr>
      <w:r w:rsidRPr="00F042A0">
        <w:rPr>
          <w:rFonts w:ascii="-webkit-standard" w:hAnsi="-webkit-standard" w:cs="Times New Roman"/>
          <w:color w:val="000000"/>
          <w:kern w:val="0"/>
          <w:sz w:val="27"/>
          <w:szCs w:val="27"/>
          <w14:ligatures w14:val="none"/>
        </w:rPr>
        <w:t xml:space="preserve">Hinkley Point C nuclear power station in Somerset, UK, stands to play an instrumental role in shaping Britain's energy landscape by meeting part of its future electricity requirements while pioneering low-carbon solutions. At an estimated construction cost of PS25-26 billion, this </w:t>
      </w:r>
      <w:r w:rsidR="00F042A0" w:rsidRPr="00F042A0">
        <w:rPr>
          <w:rFonts w:ascii="-webkit-standard" w:hAnsi="-webkit-standard" w:cs="Times New Roman"/>
          <w:color w:val="000000"/>
          <w:kern w:val="0"/>
          <w:sz w:val="27"/>
          <w:szCs w:val="27"/>
          <w14:ligatures w14:val="none"/>
        </w:rPr>
        <w:t>mega project</w:t>
      </w:r>
      <w:r w:rsidRPr="00F042A0">
        <w:rPr>
          <w:rFonts w:ascii="-webkit-standard" w:hAnsi="-webkit-standard" w:cs="Times New Roman"/>
          <w:color w:val="000000"/>
          <w:kern w:val="0"/>
          <w:sz w:val="27"/>
          <w:szCs w:val="27"/>
          <w14:ligatures w14:val="none"/>
        </w:rPr>
        <w:t xml:space="preserve"> has attracted considerable media coverage due to both its scale and potential contributions towards climate change mitigation efforts worldwide.</w:t>
      </w:r>
    </w:p>
    <w:p w14:paraId="560BDBAA"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As an academic student assessing Hinkley Point C Project's progress, their task involves conducting a detailed investigation using project management principles, tools, and techniques to scrutinize its trajectory against established standards and determine its significance for future energy sector developments. Their evaluation goes far beyond simply looking at costs and benefits; instead they involve an in-depth evaluation of project management methodologies applied throughout this endeavor.</w:t>
      </w:r>
    </w:p>
    <w:p w14:paraId="1FF6FEB2"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Beyond providing an evaluation, this report seeks to draw lessons from the project's evolution that can serve as guidance for similar endeavors in the future. By studying its challenges, achievements, and managerial strategies it seeks to offer insights that contribute not only to academia but also the actual implementation of ambitious ventures.</w:t>
      </w:r>
    </w:p>
    <w:p w14:paraId="6195C8C1"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At its heart, this report sets forth on an exploration of Hinkley Point C Project's complexity. Utilizing project management principles to critically assess its progress and draw lessons that extend beyond its immediate scope, this work hopes to contribute to both project management and UK energy sector discourses.</w:t>
      </w:r>
    </w:p>
    <w:p w14:paraId="4A438900" w14:textId="77777777" w:rsidR="00A674D1" w:rsidRPr="00A674D1" w:rsidRDefault="00A674D1" w:rsidP="00A06991">
      <w:pPr>
        <w:spacing w:before="180" w:line="324" w:lineRule="atLeast"/>
        <w:jc w:val="both"/>
        <w:rPr>
          <w:rFonts w:ascii="-webkit-standard" w:hAnsi="-webkit-standard" w:cs="Times New Roman"/>
          <w:b/>
          <w:bCs/>
          <w:color w:val="000000" w:themeColor="text1"/>
          <w:kern w:val="0"/>
          <w:sz w:val="27"/>
          <w:szCs w:val="27"/>
          <w14:ligatures w14:val="none"/>
        </w:rPr>
      </w:pPr>
      <w:r w:rsidRPr="00A674D1">
        <w:rPr>
          <w:rFonts w:ascii="Calibri Light" w:hAnsi="Calibri Light" w:cs="Times New Roman"/>
          <w:b/>
          <w:bCs/>
          <w:color w:val="000000" w:themeColor="text1"/>
          <w:kern w:val="0"/>
          <w:sz w:val="36"/>
          <w:szCs w:val="36"/>
          <w14:ligatures w14:val="none"/>
        </w:rPr>
        <w:t>Project Scope</w:t>
      </w:r>
    </w:p>
    <w:p w14:paraId="1BEBACA1"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The original scope of Hinkley Point C was defined in 2008 and focused around building two European Pressurized Reactors (EPRs), designed by French company Areva and capable of producing combined capacity of 3,260MW. While this core scope remained relatively consistent during the project's lifespan, what changed significantly was gradually adding infrastructure elements that increased both breadth and complexity (Smyth et al. 2018). Transmission lines, grid connections, seawater cooling systems, backup diesel generators were gradually integrated throughout its lifetime demonstrating megaproject's dynamic nature and scope changeability over time (Smyth et al 2018).</w:t>
      </w:r>
    </w:p>
    <w:p w14:paraId="3B4A57FB"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xml:space="preserve">The European Pressurized Reactor (EPR) technology presented a unique challenge that significantly elevated project complexity. Untested at its introduction in 2008, this advanced technology created an element of uncertainty which magnified risks associated with its integration. Furthermore, due to its </w:t>
      </w:r>
      <w:r w:rsidRPr="00A674D1">
        <w:rPr>
          <w:rFonts w:ascii="-webkit-standard" w:hAnsi="-webkit-standard" w:cs="Times New Roman"/>
          <w:color w:val="000000"/>
          <w:kern w:val="0"/>
          <w:sz w:val="27"/>
          <w:szCs w:val="27"/>
          <w14:ligatures w14:val="none"/>
        </w:rPr>
        <w:lastRenderedPageBreak/>
        <w:t>novel nature of design, unexpected modifications or substantial redesigns may become necessary during construction based on lessons learned during implementation (Adamson 2022). Therefore pioneering nature of EPR was synonymous with pioneering risks as well as continuous adaptation needs (Adamson 2022).</w:t>
      </w:r>
    </w:p>
    <w:p w14:paraId="2E1E1A91"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Post-Fukushima regulation had an enormous effect on Hinkley Point C project scope. Following the 2011 Fukushima nuclear disaster, UK's Office for Nuclear Regulation implemented new safety measures to avoid similar catastrophe; such measures included installing larger backup generators and seawater cooling systems - changes which widened Hinkley Point C's scope considerably beyond original plans (Vaughan 2016). This regulatory response had ripple effects across project design which further complicated task of maintaining stable scope (Vaughan 2016).</w:t>
      </w:r>
    </w:p>
    <w:p w14:paraId="53EDF31C"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Hinkley Point C's project scope evolved significantly over its lifecycle from its initial focus of EPR reactor construction, to include infrastructure elements and regulatory-driven safety improvements. This was partly impacted by new, untested technology being integrated and changing regulatory standards affecting safety regulations influencing expansion, while adding an extra level of complexity and challenge for this megaproject whose objectives and requirements can often require adjustments that change as time progresses.</w:t>
      </w:r>
    </w:p>
    <w:p w14:paraId="6A94491E" w14:textId="77777777" w:rsidR="00A674D1" w:rsidRPr="00A674D1" w:rsidRDefault="00A674D1" w:rsidP="00A06991">
      <w:pPr>
        <w:spacing w:before="180" w:line="324" w:lineRule="atLeast"/>
        <w:jc w:val="both"/>
        <w:rPr>
          <w:rFonts w:ascii="-webkit-standard" w:hAnsi="-webkit-standard" w:cs="Times New Roman"/>
          <w:b/>
          <w:bCs/>
          <w:color w:val="000000" w:themeColor="text1"/>
          <w:kern w:val="0"/>
          <w:sz w:val="27"/>
          <w:szCs w:val="27"/>
          <w14:ligatures w14:val="none"/>
        </w:rPr>
      </w:pPr>
      <w:r w:rsidRPr="00A674D1">
        <w:rPr>
          <w:rFonts w:ascii="Calibri Light" w:hAnsi="Calibri Light" w:cs="Times New Roman"/>
          <w:b/>
          <w:bCs/>
          <w:color w:val="000000" w:themeColor="text1"/>
          <w:kern w:val="0"/>
          <w:sz w:val="36"/>
          <w:szCs w:val="36"/>
          <w14:ligatures w14:val="none"/>
        </w:rPr>
        <w:t>Budget</w:t>
      </w:r>
    </w:p>
    <w:p w14:paraId="55C5FCD5"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The Hinkley Point C Project's financial dimension has experienced an unpredictable journey, marked by budget overruns that have caused widespread discussion regarding cost control for mega-infrastructure projects. Although initially estimated with an initial budget of PS16 billion in 2008, its financial outlook has been dramatically altered by multiple factors outside cost projections alone.</w:t>
      </w:r>
    </w:p>
    <w:p w14:paraId="278157AA"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External economic dynamics such as inflation and currency fluctuations have proven formidable obstacles to maintaining cost control. For instance, between 2008 and 2016, depreciation of the British Pound against Euro has caused major cost escalations in equipment and components sourced from Europe - more than 20% escalation over that time frame - further underlining macroeconomic effects on project budgets and the importance of factoring currency fluctuations into cost projections (Vaughan 2016).</w:t>
      </w:r>
    </w:p>
    <w:p w14:paraId="280CD7E5"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xml:space="preserve">Hinkley Point C has experienced financial turmoil due to its rapidly evolving project scope, due to regulatory mandates triggered by the Fukushima nuclear disaster. These mandates required including elements such as larger backup generators and seawater cooling systems which increased complexity and cost - leading to budget overruns as budget overruns continued (Glasson et al. 2018). </w:t>
      </w:r>
      <w:r w:rsidRPr="00A674D1">
        <w:rPr>
          <w:rFonts w:ascii="-webkit-standard" w:hAnsi="-webkit-standard" w:cs="Times New Roman"/>
          <w:color w:val="000000"/>
          <w:kern w:val="0"/>
          <w:sz w:val="27"/>
          <w:szCs w:val="27"/>
          <w14:ligatures w14:val="none"/>
        </w:rPr>
        <w:lastRenderedPageBreak/>
        <w:t>Accordingly, robust scope management strategies and anticipatory planning strategies must be employed in order to minimize financial uncertainties (Glasson et al. 2018).</w:t>
      </w:r>
    </w:p>
    <w:p w14:paraId="0FC33C71"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Untested reactor technology played a significant role in driving up project costs. Deployment of EPR reactor design without previous successful implementations heightened risk for modifications and redesigns that led to costly modifications during construction requiring costly adjustments and revisions, necessitating additional expenses and necessitating revision of budget estimates (Elliott, 2021). Therefore, accurate risk evaluation and contingency planning is vital when dealing with unproven technologies (Elliott, 2021).</w:t>
      </w:r>
    </w:p>
    <w:p w14:paraId="4FF28322"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Labor shortages and disruptions were another source of budgetary strain. A shortage of skilled British labor, compounded by competing nuclear projects, caused wages to soar as bids competed for talent - as projects struggled to secure adequate skilled workforce to remain productive and deliver projects on schedule without delays and cost overruns. This highlights the significance of early identification of workforce requirements and strategic labor planning in keeping budgetary control (Thomas 2019).</w:t>
      </w:r>
    </w:p>
    <w:p w14:paraId="259D7F27"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Laing O'Rourke's departure in 2012 added another layer of complexity. Re-tendering contracts resulted in higher bids from new contractors due to transition challenges and potential underestimation of project complexity, reflecting these difficulties as well as potential miscalculation of complexity by previous contractors (Adamson 2022). This incident serves as a reminder of the importance of consistent contractor assessment and management throughout a project's lifespan (Adamson 2022).</w:t>
      </w:r>
    </w:p>
    <w:p w14:paraId="2623BFCE"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The Hinkley Point C Project's budgetary journey encompasses numerous elements that have come together to influence its financial narrative. Currency fluctuations, scope expansion and unproven technology all played their parts; each factor interweaves to create a story highlighting the importance of accurate estimation, careful risk management, and adaptive project governance.</w:t>
      </w:r>
    </w:p>
    <w:p w14:paraId="448203FF" w14:textId="77777777" w:rsidR="00A674D1" w:rsidRPr="00A674D1" w:rsidRDefault="00A674D1" w:rsidP="00A06991">
      <w:pPr>
        <w:spacing w:before="180" w:line="324" w:lineRule="atLeast"/>
        <w:jc w:val="both"/>
        <w:rPr>
          <w:rFonts w:ascii="-webkit-standard" w:hAnsi="-webkit-standard" w:cs="Times New Roman"/>
          <w:b/>
          <w:bCs/>
          <w:color w:val="000000" w:themeColor="text1"/>
          <w:kern w:val="0"/>
          <w:sz w:val="27"/>
          <w:szCs w:val="27"/>
          <w14:ligatures w14:val="none"/>
        </w:rPr>
      </w:pPr>
      <w:r w:rsidRPr="00A674D1">
        <w:rPr>
          <w:rFonts w:ascii="Calibri Light" w:hAnsi="Calibri Light" w:cs="Times New Roman"/>
          <w:b/>
          <w:bCs/>
          <w:color w:val="000000" w:themeColor="text1"/>
          <w:kern w:val="0"/>
          <w:sz w:val="36"/>
          <w:szCs w:val="36"/>
          <w14:ligatures w14:val="none"/>
        </w:rPr>
        <w:t>Timeline</w:t>
      </w:r>
    </w:p>
    <w:p w14:paraId="4AE03663"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The Hinkley Point C Project's timeline represents all the difficulties associated with managing large-scale nuclear endeavors. While initial plans called for main construction to start in 2013 and commercial operations to commence by 2023, however actual journey has been beset with several setbacks that have significantly extended it.</w:t>
      </w:r>
    </w:p>
    <w:p w14:paraId="16934B42"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xml:space="preserve">At the core of timeline discrepancies lies European Pressurized Reactor (EPR) technology. Being untested and pioneering design, EPR projects were subject to inherent technical uncertainties and challenges - as evidenced by Finland's first EPR plant construction begun in 2005 but remains incomplete as of 2023 due to </w:t>
      </w:r>
      <w:r w:rsidRPr="00A674D1">
        <w:rPr>
          <w:rFonts w:ascii="-webkit-standard" w:hAnsi="-webkit-standard" w:cs="Times New Roman"/>
          <w:color w:val="000000"/>
          <w:kern w:val="0"/>
          <w:sz w:val="27"/>
          <w:szCs w:val="27"/>
          <w14:ligatures w14:val="none"/>
        </w:rPr>
        <w:lastRenderedPageBreak/>
        <w:t>technical challenges. Furthermore, applying unproven technologies exacerbated delays during construction delays thus rendering original timeline projections unrealistic (Vaughan 2016).</w:t>
      </w:r>
    </w:p>
    <w:p w14:paraId="2BBAEDE8"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Early planning also contributed to extending the timeline. Securing nuclear supply chains, hiring skilled construction workforce members and securing regulatory approvals were underestimated, leading to substantial delays during on-site construction activities (Elliott 2021). Due to inadequate initial preparation efforts causing further delays during this phase of construction (Elliott 2021).</w:t>
      </w:r>
    </w:p>
    <w:p w14:paraId="3D45A955"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Quality defects discovered in major components, like the steel reactor pressure vessels, contributed significantly to timeline expansions. Rework and remanufacture of these parts caused delays that put off completion by years (Adamson 2022). To combat such quality control issues effectively (and avoid delays), strict manufacturing oversight and quality assurance processes should be implemented immediately (Adamson 2022).</w:t>
      </w:r>
    </w:p>
    <w:p w14:paraId="347E09BB"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Labour shortages combined with disputes over working conditions were yet another barrier to the timeline of the nuclear construction project. Due to the absence of recent domestic nuclear construction projects and skilled British labor shortages, productivity lapses and work interruptions resulted. This serves as a reminder to maintain qualified staff early in any project's lifespan (Thomas 2019).</w:t>
      </w:r>
    </w:p>
    <w:p w14:paraId="62481B54"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The Hinkley Point C Project's timeline variance from its original projections can be explained by an intricate interplay of technical challenges, inadequate early planning, quality control issues and labor restrictions. It demonstrates why realistic scheduling, robust risk evaluation and thorough preparation for unexpected delays is so essential when dealing with large-scale megaprojects.</w:t>
      </w:r>
    </w:p>
    <w:p w14:paraId="034D61E7" w14:textId="77777777" w:rsidR="00A674D1" w:rsidRPr="00A674D1" w:rsidRDefault="00A674D1" w:rsidP="00A06991">
      <w:pPr>
        <w:spacing w:before="180" w:line="324" w:lineRule="atLeast"/>
        <w:jc w:val="both"/>
        <w:rPr>
          <w:rFonts w:ascii="-webkit-standard" w:hAnsi="-webkit-standard" w:cs="Times New Roman"/>
          <w:b/>
          <w:bCs/>
          <w:color w:val="000000" w:themeColor="text1"/>
          <w:kern w:val="0"/>
          <w:sz w:val="27"/>
          <w:szCs w:val="27"/>
          <w14:ligatures w14:val="none"/>
        </w:rPr>
      </w:pPr>
      <w:r w:rsidRPr="00A674D1">
        <w:rPr>
          <w:rFonts w:ascii="Calibri Light" w:hAnsi="Calibri Light" w:cs="Times New Roman"/>
          <w:b/>
          <w:bCs/>
          <w:color w:val="000000" w:themeColor="text1"/>
          <w:kern w:val="0"/>
          <w:sz w:val="36"/>
          <w:szCs w:val="36"/>
          <w14:ligatures w14:val="none"/>
        </w:rPr>
        <w:t>Quality Control Issues</w:t>
      </w:r>
    </w:p>
    <w:p w14:paraId="4AB17C1C"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The Hinkley Point C Project's quality control struggles are beset with difficulties, particularly regarding defects found within reactor pressure vessels and structural steel components. These setbacks demonstrate how essential strict quality standards, experienced contractors and regulatory oversight are in ensuring large infrastructure projects remain intact.</w:t>
      </w:r>
    </w:p>
    <w:p w14:paraId="15F329ED"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One key contributor to quality control issues was Framatome'sinexperience in manufacturing complex nuclear components with rigorous quality requirements, such as welds and steel forging that required stringent quality standards. Due to a lack of prior experience handling such intricate pieces, substandard welds and steel forging occurred that undermined safety and operational efficiency for reactor pressure vessels - underscoring the importance of experienced contractors for maintaining quality and mitigating risks (Adamson 2022).</w:t>
      </w:r>
    </w:p>
    <w:p w14:paraId="2C9C14DB"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lastRenderedPageBreak/>
        <w:t>Regulative interventions provided an effective countermeasure against quality control deficiencies. The UK Office for Nuclear Regulation (ONR) implemented stringent inspections using modern techniques like ultrasonic and X-ray tests; these interventions uncovered previously undetected defects in reactor vessel welds and internal steel components highlighting its significance as a means of uncovering and rectifying quality issues (Vaughan, 2016).</w:t>
      </w:r>
    </w:p>
    <w:p w14:paraId="7AD8F264"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Construction quality defects highlighted the necessity of adhering to stringent quality standards, with subsequent rework and replacements of defective sections illustrating its dire consequences. This highlights the significance of maintaining quality assurance processes throughout both manufacturing and construction phases in order to avoid costly rectifications and protect project integrity (Elliott 2021).</w:t>
      </w:r>
    </w:p>
    <w:p w14:paraId="6FD7E88D"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Hinkley Point C Project quality issues demonstrate the difficulty associated with assuring quality in complex infrastructure endeavors. A combination of contractor expertise, regulatory oversight, and adherence to stringent quality benchmarks all influence a project's ability to produce safe and reliable outcomes.</w:t>
      </w:r>
    </w:p>
    <w:p w14:paraId="49015D96" w14:textId="77777777" w:rsidR="00A674D1" w:rsidRPr="00A674D1" w:rsidRDefault="00A674D1" w:rsidP="00A06991">
      <w:pPr>
        <w:spacing w:before="180" w:line="324" w:lineRule="atLeast"/>
        <w:jc w:val="both"/>
        <w:rPr>
          <w:rFonts w:ascii="-webkit-standard" w:hAnsi="-webkit-standard" w:cs="Times New Roman"/>
          <w:b/>
          <w:bCs/>
          <w:color w:val="000000" w:themeColor="text1"/>
          <w:kern w:val="0"/>
          <w:sz w:val="27"/>
          <w:szCs w:val="27"/>
          <w14:ligatures w14:val="none"/>
        </w:rPr>
      </w:pPr>
      <w:r w:rsidRPr="00A674D1">
        <w:rPr>
          <w:rFonts w:ascii="Calibri Light" w:hAnsi="Calibri Light" w:cs="Times New Roman"/>
          <w:b/>
          <w:bCs/>
          <w:color w:val="000000" w:themeColor="text1"/>
          <w:kern w:val="0"/>
          <w:sz w:val="36"/>
          <w:szCs w:val="36"/>
          <w14:ligatures w14:val="none"/>
        </w:rPr>
        <w:t>Stakeholders</w:t>
      </w:r>
    </w:p>
    <w:p w14:paraId="547020C7"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The Hinkley Point C Project involves numerous stakeholders with diverse interests and contributions that work in concert to shape its narrative. These stakeholders include EDF Energy and the government as primary project owners, local communities, environmental advocacy groups, wider public, suppliers of EPR technology, regulatory bodies such as Office for Nuclear Regulation (ONR), local workforce.</w:t>
      </w:r>
    </w:p>
    <w:p w14:paraId="6CA65199"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EDF Energy and the government, the primary project owners, hold significant interests in the results of this project due to the substantial financial risk posed by budget overruns and delays. Their roles as guardians of public interests necessitate careful project governance and strategic decision-making so as to mitigate financial and reputational risks (Adamson 2022).</w:t>
      </w:r>
    </w:p>
    <w:p w14:paraId="43955C95"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Local communities surrounding a project site are key stakeholders with expectations of economic development and job opportunities, which is essential to its successful implementation. Therefore, engagement of all key stakeholders and open communication is necessary in securing community support (Glasson et al. 2018).</w:t>
      </w:r>
    </w:p>
    <w:p w14:paraId="540D9FA9"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Environmental advocacy groups represent stakeholders with opposing views. When concerns over cost increases and nuclear safety risks surface, environmental advocacy groups come out in opposition. Their advocacy serves as a reminder that projects must address public concerns while also align with larger societal and environmental goals (Jenkins et al. 2017).</w:t>
      </w:r>
    </w:p>
    <w:p w14:paraId="29B306F0"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lastRenderedPageBreak/>
        <w:t>The public of the UK has an enormous stake in this project's success, given the anticipated benefits of low-carbon electricity generation. Their expectations for reliable, cost-effective energy make meeting project objectives essential in fulfilling public aspirations (Sovacool et al. 2014).</w:t>
      </w:r>
    </w:p>
    <w:p w14:paraId="541DF848"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EPR technology providers and regulatory authorities, such as the Office for Nuclear Regulation, play key roles in ensuring technology viability and safety. Their contributions in validating technology and enforcing standards speak volumes about collaboration between technology suppliers and regulatory bodies (Elliott 2021).</w:t>
      </w:r>
    </w:p>
    <w:p w14:paraId="1CCACCDB"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The local workforce represents skilled labor who are critical in project implementation. Their engagement and wellbeing play an essential role in maintaining productivity and timelines, thus emphasizing the significance of meeting their needs through effective labor management strategies as part of developing project's human capital (Thomas, 2019).</w:t>
      </w:r>
    </w:p>
    <w:p w14:paraId="2B21BA36"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Hinkley Point C Project success relies upon an orchestra of stakeholders, each possessing unique influence over its progress. Effective stakeholder engagement, transparency and collaboration provide key components necessary to harmonizing these disparate interests into an effort that meets both societal goals as well as individual stakeholders' requirements.</w:t>
      </w:r>
    </w:p>
    <w:p w14:paraId="47F17C7D" w14:textId="77777777" w:rsidR="00A674D1" w:rsidRPr="00A674D1" w:rsidRDefault="00A674D1" w:rsidP="00A06991">
      <w:pPr>
        <w:spacing w:before="180" w:line="324" w:lineRule="atLeast"/>
        <w:jc w:val="both"/>
        <w:rPr>
          <w:rFonts w:ascii="-webkit-standard" w:hAnsi="-webkit-standard" w:cs="Times New Roman"/>
          <w:b/>
          <w:bCs/>
          <w:color w:val="000000" w:themeColor="text1"/>
          <w:kern w:val="0"/>
          <w:sz w:val="27"/>
          <w:szCs w:val="27"/>
          <w14:ligatures w14:val="none"/>
        </w:rPr>
      </w:pPr>
      <w:r w:rsidRPr="00A674D1">
        <w:rPr>
          <w:rFonts w:ascii="Calibri Light" w:hAnsi="Calibri Light" w:cs="Times New Roman"/>
          <w:b/>
          <w:bCs/>
          <w:color w:val="000000" w:themeColor="text1"/>
          <w:kern w:val="0"/>
          <w:sz w:val="36"/>
          <w:szCs w:val="36"/>
          <w14:ligatures w14:val="none"/>
        </w:rPr>
        <w:t>Risk Management</w:t>
      </w:r>
    </w:p>
    <w:p w14:paraId="16419D35"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Our evaluation of risk management within the Hinkley Point C Project revealed a complex interplay of decisions and oversights which greatly compromised project outcomes. A key issue arose from the decision to begin full-scale construction before finalizing reactor designs - driven by overconfidence and aggressive timelines, this choice introduced considerable risks that were further compounded by being so new as EPR reactor technology (Smyth et al., 2018).</w:t>
      </w:r>
    </w:p>
    <w:p w14:paraId="6E38ACE7"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Alternative risk-mitigating approaches such as incremental testing could have provided valuable insight into the viability of EPR reactor design before proceeding with full-scale construction. By testing a smaller prototype EPR reactor in controlled conditions, potential technical challenges could have been identified and addressed before undertaking full-scale construction (Vaughan 2016).</w:t>
      </w:r>
    </w:p>
    <w:p w14:paraId="0F4E1208"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An inadequate risk analysis during the early phases of the project exacerbated its difficulties further, leaving the project vulnerable to unexpected issues and setbacks that were never identified or managed proactively. A more thorough risk evaluation could have enabled more resilient project planning that included allowance for potential uncertainties (Fouquet, 2018).</w:t>
      </w:r>
    </w:p>
    <w:p w14:paraId="411676FA"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xml:space="preserve">The report highlights the significance of transparent risk registers and robust mitigation planning as integral elements of effective risk management. </w:t>
      </w:r>
      <w:r w:rsidRPr="00A674D1">
        <w:rPr>
          <w:rFonts w:ascii="-webkit-standard" w:hAnsi="-webkit-standard" w:cs="Times New Roman"/>
          <w:color w:val="000000"/>
          <w:kern w:val="0"/>
          <w:sz w:val="27"/>
          <w:szCs w:val="27"/>
          <w14:ligatures w14:val="none"/>
        </w:rPr>
        <w:lastRenderedPageBreak/>
        <w:t>Transparent registers facilitate shared understanding and decision-making among stakeholders, enabling proactive risk mitigation. Robust mitigation planning requires identifying potential hazards before initiating mitigation strategies to address them (Patlitzianas et al. 2008).</w:t>
      </w:r>
    </w:p>
    <w:p w14:paraId="15DF25E5"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Hinkley Point C Project risk management processes provide an instructive example of decision-making and uncertainty balancing acts. Without finalized reactor designs, early risk assessments, or proactive risk mitigation strategies, many challenges were presented that compromised the project. By adopting alternative risk-mitigating approaches and building a culture of proactive risk management in future megaprojects, greater resilience and success may be found when facing uncertainties.</w:t>
      </w:r>
    </w:p>
    <w:p w14:paraId="2CBD8A33" w14:textId="77777777" w:rsidR="00A674D1" w:rsidRPr="00A674D1" w:rsidRDefault="00A674D1" w:rsidP="00A06991">
      <w:pPr>
        <w:spacing w:before="180" w:line="324" w:lineRule="atLeast"/>
        <w:jc w:val="both"/>
        <w:rPr>
          <w:rFonts w:ascii="-webkit-standard" w:hAnsi="-webkit-standard" w:cs="Times New Roman"/>
          <w:b/>
          <w:bCs/>
          <w:color w:val="000000" w:themeColor="text1"/>
          <w:kern w:val="0"/>
          <w:sz w:val="27"/>
          <w:szCs w:val="27"/>
          <w14:ligatures w14:val="none"/>
        </w:rPr>
      </w:pPr>
      <w:r w:rsidRPr="00A674D1">
        <w:rPr>
          <w:rFonts w:ascii="Calibri Light" w:hAnsi="Calibri Light" w:cs="Times New Roman"/>
          <w:b/>
          <w:bCs/>
          <w:color w:val="000000" w:themeColor="text1"/>
          <w:kern w:val="0"/>
          <w:sz w:val="36"/>
          <w:szCs w:val="36"/>
          <w14:ligatures w14:val="none"/>
        </w:rPr>
        <w:t>Conclusion</w:t>
      </w:r>
    </w:p>
    <w:p w14:paraId="7E6B8F5B"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The Hinkley Point C Project stands as an ambitious endeavordesigned to address UK energy needs while furthering low-carbon electricity generation. But its narrative has been marred by mismanagement and setbacks across various dimensions such as scope, budget, timeline, quality stakeholders and risks - the project promises much but also illustrates the dangers of forgoing sound project governance principles.</w:t>
      </w:r>
    </w:p>
    <w:p w14:paraId="7F67852C"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Analysis reveals that the project scope grew substantially over time due to untested reactor technology and evolving regulatory requirements, driving budget overruns significantly. Economic challenges, scope expansion, and departure of lead contractor all compounded to create budget overruns which exceeded estimates further. Unfulfilled timeline projections stemmed from untested technology, inadequate early planning, quality defects, labor shortages - these all point toward mismanagement on multiple levels.</w:t>
      </w:r>
    </w:p>
    <w:p w14:paraId="416CF793"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Quality issues involving reactor pressure vessels highlight the significance of adhering to stringent quality standards, engaging experienced contractors, and maintaining strict regulatory oversight. Project stakeholders ranging from project owners and local communities to environmental advocacy groups and the wider public all play an integral part in shaping project's direction; effective communication, transparency and collaborative planning can help foster support while accommodating divergent interests.</w:t>
      </w:r>
    </w:p>
    <w:p w14:paraId="0C628F5B"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The report concludes by outlining lessons to be drawn from Hinkley Point C Project's challenges, such as realistic planning, rigorous risk evaluation, effective governance and stakeholder engagement - essential principles of successful megaproject completion. Furthermore, transparent risk registers and proactive risk mitigation strategies should form part of effective risk management practices.</w:t>
      </w:r>
    </w:p>
    <w:p w14:paraId="3C225E71"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xml:space="preserve">Hinkley Point C Project provides an invaluable lesson in megaproject execution for other megaprojects. While project execution may involve many hurdles and </w:t>
      </w:r>
      <w:r w:rsidRPr="00A674D1">
        <w:rPr>
          <w:rFonts w:ascii="-webkit-standard" w:hAnsi="-webkit-standard" w:cs="Times New Roman"/>
          <w:color w:val="000000"/>
          <w:kern w:val="0"/>
          <w:sz w:val="27"/>
          <w:szCs w:val="27"/>
          <w14:ligatures w14:val="none"/>
        </w:rPr>
        <w:lastRenderedPageBreak/>
        <w:t>complications, its report highlights that effective communication, risk management practices, and quality standards compliance can contribute towards creating an orchestra of accomplishment.</w:t>
      </w:r>
    </w:p>
    <w:p w14:paraId="0D8DDA5D"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w:t>
      </w:r>
    </w:p>
    <w:p w14:paraId="15FED5F0" w14:textId="77777777" w:rsidR="00A674D1" w:rsidRPr="00A674D1" w:rsidRDefault="00A674D1" w:rsidP="00A06991">
      <w:pPr>
        <w:spacing w:before="180" w:line="324" w:lineRule="atLeast"/>
        <w:jc w:val="both"/>
        <w:rPr>
          <w:rFonts w:ascii="-webkit-standard" w:hAnsi="-webkit-standard" w:cs="Times New Roman"/>
          <w:b/>
          <w:bCs/>
          <w:color w:val="000000" w:themeColor="text1"/>
          <w:kern w:val="0"/>
          <w:sz w:val="27"/>
          <w:szCs w:val="27"/>
          <w14:ligatures w14:val="none"/>
        </w:rPr>
      </w:pPr>
      <w:r w:rsidRPr="00A674D1">
        <w:rPr>
          <w:rFonts w:ascii="Calibri Light" w:hAnsi="Calibri Light" w:cs="Times New Roman"/>
          <w:b/>
          <w:bCs/>
          <w:color w:val="000000" w:themeColor="text1"/>
          <w:kern w:val="0"/>
          <w:sz w:val="36"/>
          <w:szCs w:val="36"/>
          <w14:ligatures w14:val="none"/>
        </w:rPr>
        <w:t>References</w:t>
      </w:r>
    </w:p>
    <w:p w14:paraId="6C621BD8"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w:t>
      </w:r>
    </w:p>
    <w:tbl>
      <w:tblPr>
        <w:tblW w:w="0" w:type="auto"/>
        <w:tblCellMar>
          <w:top w:w="15" w:type="dxa"/>
          <w:left w:w="15" w:type="dxa"/>
          <w:bottom w:w="15" w:type="dxa"/>
          <w:right w:w="15" w:type="dxa"/>
        </w:tblCellMar>
        <w:tblLook w:val="04A0" w:firstRow="1" w:lastRow="0" w:firstColumn="1" w:lastColumn="0" w:noHBand="0" w:noVBand="1"/>
      </w:tblPr>
      <w:tblGrid>
        <w:gridCol w:w="9344"/>
      </w:tblGrid>
      <w:tr w:rsidR="00A674D1" w:rsidRPr="00A674D1" w14:paraId="62AB8FBB" w14:textId="77777777">
        <w:trPr>
          <w:trHeight w:val="22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AD32E80" w14:textId="77777777" w:rsidR="00A674D1" w:rsidRPr="00A674D1" w:rsidRDefault="00A674D1" w:rsidP="00A06991">
            <w:pPr>
              <w:ind w:hanging="270"/>
              <w:jc w:val="both"/>
              <w:divId w:val="960301031"/>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1. Technology. Available at: https://www.power-technology.com/analysis/nuclear-can-hinkley-point-c-avoid-further-delays/ </w:t>
            </w:r>
          </w:p>
        </w:tc>
      </w:tr>
      <w:tr w:rsidR="00A674D1" w:rsidRPr="00A674D1" w14:paraId="6106F230" w14:textId="77777777">
        <w:trPr>
          <w:trHeight w:val="22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AB5F1B7" w14:textId="77777777" w:rsidR="00A674D1" w:rsidRPr="00A674D1" w:rsidRDefault="00A674D1" w:rsidP="00A06991">
            <w:pPr>
              <w:ind w:hanging="270"/>
              <w:jc w:val="both"/>
              <w:divId w:val="597061015"/>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2. Adamson, K. (2022). Will the UK’s nuclear pipeline take a hit from Sizewell C delays? [online] Power Technology. Available at: https://www.power-technology.com/features/will-the-uks-nuclear-pipeline-take-a-hit-from-sizewell-c-delays/ </w:t>
            </w:r>
          </w:p>
        </w:tc>
      </w:tr>
      <w:tr w:rsidR="00A674D1" w:rsidRPr="00A674D1" w14:paraId="4BB46D36" w14:textId="77777777">
        <w:trPr>
          <w:trHeight w:val="22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2860D2D" w14:textId="77777777" w:rsidR="00A674D1" w:rsidRPr="00A674D1" w:rsidRDefault="00A674D1" w:rsidP="00A06991">
            <w:pPr>
              <w:ind w:hanging="270"/>
              <w:jc w:val="both"/>
              <w:divId w:val="1537044820"/>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3. Ansar, A. and Flyvbjerg, B., 2016. Big is fragile: Why the UK government should not approve the Hinkley Point C nuclear power station. Petroleum Review, 70(834), pp.37-40.</w:t>
            </w:r>
          </w:p>
        </w:tc>
      </w:tr>
      <w:tr w:rsidR="00A674D1" w:rsidRPr="00A674D1" w14:paraId="04076EAC" w14:textId="77777777">
        <w:trPr>
          <w:trHeight w:val="22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3CE7FBD" w14:textId="77777777" w:rsidR="00A674D1" w:rsidRPr="00A674D1" w:rsidRDefault="00A674D1" w:rsidP="00A06991">
            <w:pPr>
              <w:ind w:hanging="270"/>
              <w:jc w:val="both"/>
              <w:divId w:val="1032850640"/>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4. Elliott, D. (2021). The troubled story of Hinkley Point C. [online] Energy Transition. Available at: https://energytransition.org/2021/04/the-troubled-story-of-hinkley-point-c/ </w:t>
            </w:r>
          </w:p>
        </w:tc>
      </w:tr>
      <w:tr w:rsidR="00A674D1" w:rsidRPr="00A674D1" w14:paraId="682F8AE3" w14:textId="77777777">
        <w:trPr>
          <w:trHeight w:val="22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C2D7D60" w14:textId="77777777" w:rsidR="00A674D1" w:rsidRPr="00A674D1" w:rsidRDefault="00A674D1" w:rsidP="00A06991">
            <w:pPr>
              <w:ind w:hanging="270"/>
              <w:jc w:val="both"/>
              <w:divId w:val="329064239"/>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5. Glasson, J., van Der Wee, D. and Barrett, B., 2018. A local income and employment multiplier analysis of a proposed nuclear power station development at Hinkley Point in Somerset. Urban Studies, 25(3), pp.248-261.</w:t>
            </w:r>
          </w:p>
        </w:tc>
      </w:tr>
      <w:tr w:rsidR="00A674D1" w:rsidRPr="00A674D1" w14:paraId="50A6AFB3" w14:textId="77777777">
        <w:trPr>
          <w:trHeight w:val="22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2F01D74" w14:textId="77777777" w:rsidR="00A674D1" w:rsidRPr="00A674D1" w:rsidRDefault="00A674D1" w:rsidP="00A06991">
            <w:pPr>
              <w:ind w:hanging="270"/>
              <w:jc w:val="both"/>
              <w:divId w:val="1286765981"/>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6. Jenkins, K., McCauley, D. and Warren, C.R., 2017. Attributing responsibility for energy justice: A case study of the Hinkley Point Nuclear Complex. Energy Policy, 108, pp.836-843.</w:t>
            </w:r>
          </w:p>
        </w:tc>
      </w:tr>
      <w:tr w:rsidR="00A674D1" w:rsidRPr="00A674D1" w14:paraId="505A2301" w14:textId="77777777">
        <w:trPr>
          <w:trHeight w:val="22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5AF4797" w14:textId="77777777" w:rsidR="00A674D1" w:rsidRPr="00A674D1" w:rsidRDefault="00A674D1" w:rsidP="00A06991">
            <w:pPr>
              <w:ind w:hanging="270"/>
              <w:jc w:val="both"/>
              <w:divId w:val="1224565496"/>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7. Sovacool, B.K., Gilbert, A. and Nugent, D. (2014). Risk, innovation, electricity infrastructure and construction cost overruns: Testing six hypotheses for the cost escalation at Hinkley Point C. Energy, 74, pp.906-917.</w:t>
            </w:r>
          </w:p>
        </w:tc>
      </w:tr>
      <w:tr w:rsidR="00A674D1" w:rsidRPr="00A674D1" w14:paraId="1A9E2C42" w14:textId="77777777">
        <w:trPr>
          <w:trHeight w:val="22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CFDAB37" w14:textId="77777777" w:rsidR="00A674D1" w:rsidRPr="00A674D1" w:rsidRDefault="00A674D1" w:rsidP="00A06991">
            <w:pPr>
              <w:ind w:hanging="270"/>
              <w:jc w:val="both"/>
              <w:divId w:val="413867802"/>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8. Thomas, S. (2019). Rumbling on at Hinkley Point C. [online] The Engineer. Available at: https://www.theengineer.co.uk/nuclear-energy/rumbling-on-at-hinkley-point-c/</w:t>
            </w:r>
          </w:p>
        </w:tc>
      </w:tr>
      <w:tr w:rsidR="00A674D1" w:rsidRPr="00A674D1" w14:paraId="4E6C4F2C" w14:textId="77777777">
        <w:trPr>
          <w:trHeight w:val="22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41149A32" w14:textId="77777777" w:rsidR="00A674D1" w:rsidRPr="00A674D1" w:rsidRDefault="00A674D1" w:rsidP="00A06991">
            <w:pPr>
              <w:ind w:hanging="270"/>
              <w:jc w:val="both"/>
              <w:divId w:val="1771470429"/>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9. Vaughan, A. (2016). Hinkley Point C nuclear power station gets go ahead. [online] The Guardian. Available at: https://www.theguardian.com/uk-news/2016/sep/15/hinkley-point-c-nuclear-power-station-gets-go-ahead</w:t>
            </w:r>
          </w:p>
        </w:tc>
      </w:tr>
      <w:tr w:rsidR="00A674D1" w:rsidRPr="00A674D1" w14:paraId="5036EF1D" w14:textId="77777777">
        <w:trPr>
          <w:trHeight w:val="22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C26311D" w14:textId="77777777" w:rsidR="00A674D1" w:rsidRPr="00A674D1" w:rsidRDefault="00A674D1" w:rsidP="00A06991">
            <w:pPr>
              <w:ind w:hanging="270"/>
              <w:jc w:val="both"/>
              <w:divId w:val="1329943096"/>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10. Whitton, J., Parry, I.M., Akiyoshi, M. and Lawless, W., 2015. Conceptualizing a social sustainability framework for energy infrastructure decisions. Energy Research &amp; Social Science, 8, pp.127-138.</w:t>
            </w:r>
          </w:p>
        </w:tc>
      </w:tr>
      <w:tr w:rsidR="00A674D1" w:rsidRPr="00A674D1" w14:paraId="5A7D2CF9" w14:textId="77777777">
        <w:trPr>
          <w:trHeight w:val="22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680139C" w14:textId="77777777" w:rsidR="00A674D1" w:rsidRPr="00A674D1" w:rsidRDefault="00A674D1" w:rsidP="00A06991">
            <w:pPr>
              <w:ind w:hanging="270"/>
              <w:jc w:val="both"/>
              <w:divId w:val="1091857850"/>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11. Alam, M., Gale, A., Brown, M. and Khan, A.I., 2010. The importance of human skills in project management professional development. International Journal of Managing Projects in Business, 3(3), pp.495-516.</w:t>
            </w:r>
          </w:p>
        </w:tc>
      </w:tr>
      <w:tr w:rsidR="00A674D1" w:rsidRPr="00A674D1" w14:paraId="3BA3DD00" w14:textId="77777777">
        <w:trPr>
          <w:trHeight w:val="22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F333C7A" w14:textId="77777777" w:rsidR="00A674D1" w:rsidRPr="00A674D1" w:rsidRDefault="00A674D1" w:rsidP="00A06991">
            <w:pPr>
              <w:ind w:hanging="270"/>
              <w:jc w:val="both"/>
              <w:divId w:val="1912890968"/>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12. Anees, A.S., 2012, December. Grid integration of renewable energy sources: Challenges, issues and possible solutions. In 2012 IEEE 5th India International Conference on Power Electronics (IICPE) (pp. 1-6). IEEE.</w:t>
            </w:r>
          </w:p>
        </w:tc>
      </w:tr>
      <w:tr w:rsidR="00A674D1" w:rsidRPr="00A674D1" w14:paraId="08F9171B" w14:textId="77777777">
        <w:trPr>
          <w:trHeight w:val="22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18622A2F" w14:textId="77777777" w:rsidR="00A674D1" w:rsidRPr="00A674D1" w:rsidRDefault="00A674D1" w:rsidP="00A06991">
            <w:pPr>
              <w:ind w:hanging="270"/>
              <w:jc w:val="both"/>
              <w:divId w:val="1366830203"/>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13. Patlitzianas, K.D., Doukas, H., Kagiannas, A.G. and Psarras, J., 2008. Sustainable energy policy indicators: Review and recommendations. Renewable Energy, 33(5), pp.966-973.</w:t>
            </w:r>
          </w:p>
        </w:tc>
      </w:tr>
      <w:tr w:rsidR="00A674D1" w:rsidRPr="00A674D1" w14:paraId="09BB95AD" w14:textId="77777777">
        <w:trPr>
          <w:trHeight w:val="22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56F82BF7" w14:textId="77777777" w:rsidR="00A674D1" w:rsidRPr="00A674D1" w:rsidRDefault="00A674D1" w:rsidP="00A06991">
            <w:pPr>
              <w:ind w:hanging="270"/>
              <w:jc w:val="both"/>
              <w:divId w:val="1953784562"/>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14. Cook, C.C., 2005. Assessing the impact of transport and energy infrastructure on poverty reduction. Asian Development Bank.</w:t>
            </w:r>
          </w:p>
        </w:tc>
      </w:tr>
      <w:tr w:rsidR="00A674D1" w:rsidRPr="00A674D1" w14:paraId="7E13B6E0" w14:textId="77777777">
        <w:trPr>
          <w:trHeight w:val="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7C69B362" w14:textId="77777777" w:rsidR="00A674D1" w:rsidRPr="00A674D1" w:rsidRDefault="00A674D1" w:rsidP="00A06991">
            <w:pPr>
              <w:ind w:hanging="270"/>
              <w:jc w:val="both"/>
              <w:divId w:val="1985159635"/>
              <w:rPr>
                <w:rFonts w:ascii="-webkit-standard" w:eastAsia="Times New Roman" w:hAnsi="-webkit-standard" w:cs="Times New Roman"/>
                <w:kern w:val="0"/>
                <w:sz w:val="18"/>
                <w:szCs w:val="18"/>
                <w14:ligatures w14:val="none"/>
              </w:rPr>
            </w:pPr>
            <w:r w:rsidRPr="00A674D1">
              <w:rPr>
                <w:rFonts w:ascii="-webkit-standard" w:eastAsia="Times New Roman" w:hAnsi="-webkit-standard" w:cs="Times New Roman"/>
                <w:kern w:val="0"/>
                <w:sz w:val="18"/>
                <w:szCs w:val="18"/>
                <w14:ligatures w14:val="none"/>
              </w:rPr>
              <w:t>15. Fouquet, D., 2018. The Hinkley Point C Judgment of the General Court in view of a changing internal electricity market. </w:t>
            </w:r>
            <w:r w:rsidRPr="00A674D1">
              <w:rPr>
                <w:rFonts w:ascii="-webkit-standard" w:eastAsia="Times New Roman" w:hAnsi="-webkit-standard" w:cs="Times New Roman"/>
                <w:i/>
                <w:iCs/>
                <w:kern w:val="0"/>
                <w:sz w:val="18"/>
                <w:szCs w:val="18"/>
                <w14:ligatures w14:val="none"/>
              </w:rPr>
              <w:t>Renewable Energy Law and Policy Review</w:t>
            </w:r>
            <w:r w:rsidRPr="00A674D1">
              <w:rPr>
                <w:rFonts w:ascii="-webkit-standard" w:eastAsia="Times New Roman" w:hAnsi="-webkit-standard" w:cs="Times New Roman"/>
                <w:kern w:val="0"/>
                <w:sz w:val="18"/>
                <w:szCs w:val="18"/>
                <w14:ligatures w14:val="none"/>
              </w:rPr>
              <w:t>, </w:t>
            </w:r>
            <w:r w:rsidRPr="00A674D1">
              <w:rPr>
                <w:rFonts w:ascii="-webkit-standard" w:eastAsia="Times New Roman" w:hAnsi="-webkit-standard" w:cs="Times New Roman"/>
                <w:i/>
                <w:iCs/>
                <w:kern w:val="0"/>
                <w:sz w:val="18"/>
                <w:szCs w:val="18"/>
                <w14:ligatures w14:val="none"/>
              </w:rPr>
              <w:t>9</w:t>
            </w:r>
            <w:r w:rsidRPr="00A674D1">
              <w:rPr>
                <w:rFonts w:ascii="-webkit-standard" w:eastAsia="Times New Roman" w:hAnsi="-webkit-standard" w:cs="Times New Roman"/>
                <w:kern w:val="0"/>
                <w:sz w:val="18"/>
                <w:szCs w:val="18"/>
                <w14:ligatures w14:val="none"/>
              </w:rPr>
              <w:t>(1), pp.35-43.</w:t>
            </w:r>
          </w:p>
        </w:tc>
      </w:tr>
    </w:tbl>
    <w:p w14:paraId="555BAE61" w14:textId="77777777" w:rsidR="00A674D1" w:rsidRPr="00A674D1" w:rsidRDefault="00A674D1" w:rsidP="00A06991">
      <w:pPr>
        <w:spacing w:line="324" w:lineRule="atLeast"/>
        <w:jc w:val="both"/>
        <w:rPr>
          <w:rFonts w:ascii="-webkit-standard" w:hAnsi="-webkit-standard" w:cs="Times New Roman"/>
          <w:color w:val="000000"/>
          <w:kern w:val="0"/>
          <w:sz w:val="27"/>
          <w:szCs w:val="27"/>
          <w14:ligatures w14:val="none"/>
        </w:rPr>
      </w:pPr>
      <w:r w:rsidRPr="00A674D1">
        <w:rPr>
          <w:rFonts w:ascii="-webkit-standard" w:hAnsi="-webkit-standard" w:cs="Times New Roman"/>
          <w:color w:val="000000"/>
          <w:kern w:val="0"/>
          <w:sz w:val="27"/>
          <w:szCs w:val="27"/>
          <w14:ligatures w14:val="none"/>
        </w:rPr>
        <w:t> </w:t>
      </w:r>
    </w:p>
    <w:p w14:paraId="4043AE79" w14:textId="77777777" w:rsidR="00A674D1" w:rsidRDefault="00A674D1" w:rsidP="00A06991">
      <w:pPr>
        <w:jc w:val="both"/>
      </w:pPr>
    </w:p>
    <w:sectPr w:rsidR="00A674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76328"/>
    <w:multiLevelType w:val="hybridMultilevel"/>
    <w:tmpl w:val="9EE64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7869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4D1"/>
    <w:rsid w:val="00180C5A"/>
    <w:rsid w:val="0025498F"/>
    <w:rsid w:val="00260CC7"/>
    <w:rsid w:val="003909C4"/>
    <w:rsid w:val="00427045"/>
    <w:rsid w:val="004F3460"/>
    <w:rsid w:val="00643B7E"/>
    <w:rsid w:val="007235DC"/>
    <w:rsid w:val="007815CA"/>
    <w:rsid w:val="007E339A"/>
    <w:rsid w:val="008B3603"/>
    <w:rsid w:val="009C76E6"/>
    <w:rsid w:val="009E0BB2"/>
    <w:rsid w:val="00A06991"/>
    <w:rsid w:val="00A674D1"/>
    <w:rsid w:val="00C136DF"/>
    <w:rsid w:val="00D466E9"/>
    <w:rsid w:val="00EA43D0"/>
    <w:rsid w:val="00EC6DAF"/>
    <w:rsid w:val="00F04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B20499D"/>
  <w15:chartTrackingRefBased/>
  <w15:docId w15:val="{84377089-00E5-7240-B8B8-F855B3A4D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A674D1"/>
    <w:pPr>
      <w:spacing w:before="100" w:beforeAutospacing="1" w:after="100" w:afterAutospacing="1"/>
    </w:pPr>
    <w:rPr>
      <w:rFonts w:ascii="Times New Roman" w:hAnsi="Times New Roman" w:cs="Times New Roman"/>
      <w:kern w:val="0"/>
      <w:sz w:val="24"/>
      <w:szCs w:val="24"/>
      <w14:ligatures w14:val="none"/>
    </w:rPr>
  </w:style>
  <w:style w:type="character" w:customStyle="1" w:styleId="s2">
    <w:name w:val="s2"/>
    <w:basedOn w:val="DefaultParagraphFont"/>
    <w:rsid w:val="00A674D1"/>
  </w:style>
  <w:style w:type="paragraph" w:styleId="NormalWeb">
    <w:name w:val="Normal (Web)"/>
    <w:basedOn w:val="Normal"/>
    <w:uiPriority w:val="99"/>
    <w:semiHidden/>
    <w:unhideWhenUsed/>
    <w:rsid w:val="00A674D1"/>
    <w:pPr>
      <w:spacing w:before="100" w:beforeAutospacing="1" w:after="100" w:afterAutospacing="1"/>
    </w:pPr>
    <w:rPr>
      <w:rFonts w:ascii="Times New Roman" w:hAnsi="Times New Roman" w:cs="Times New Roman"/>
      <w:kern w:val="0"/>
      <w:sz w:val="24"/>
      <w:szCs w:val="24"/>
      <w14:ligatures w14:val="none"/>
    </w:rPr>
  </w:style>
  <w:style w:type="paragraph" w:customStyle="1" w:styleId="s4">
    <w:name w:val="s4"/>
    <w:basedOn w:val="Normal"/>
    <w:rsid w:val="00A674D1"/>
    <w:pPr>
      <w:spacing w:before="100" w:beforeAutospacing="1" w:after="100" w:afterAutospacing="1"/>
    </w:pPr>
    <w:rPr>
      <w:rFonts w:ascii="Times New Roman" w:hAnsi="Times New Roman" w:cs="Times New Roman"/>
      <w:kern w:val="0"/>
      <w:sz w:val="24"/>
      <w:szCs w:val="24"/>
      <w14:ligatures w14:val="none"/>
    </w:rPr>
  </w:style>
  <w:style w:type="character" w:customStyle="1" w:styleId="bumpedfont15">
    <w:name w:val="bumpedfont15"/>
    <w:basedOn w:val="DefaultParagraphFont"/>
    <w:rsid w:val="00A674D1"/>
  </w:style>
  <w:style w:type="character" w:customStyle="1" w:styleId="apple-converted-space">
    <w:name w:val="apple-converted-space"/>
    <w:basedOn w:val="DefaultParagraphFont"/>
    <w:rsid w:val="00A674D1"/>
  </w:style>
  <w:style w:type="character" w:customStyle="1" w:styleId="s9">
    <w:name w:val="s9"/>
    <w:basedOn w:val="DefaultParagraphFont"/>
    <w:rsid w:val="00A674D1"/>
  </w:style>
  <w:style w:type="paragraph" w:styleId="ListParagraph">
    <w:name w:val="List Paragraph"/>
    <w:basedOn w:val="Normal"/>
    <w:uiPriority w:val="34"/>
    <w:qFormat/>
    <w:rsid w:val="00F042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02961">
      <w:marLeft w:val="0"/>
      <w:marRight w:val="0"/>
      <w:marTop w:val="0"/>
      <w:marBottom w:val="0"/>
      <w:divBdr>
        <w:top w:val="none" w:sz="0" w:space="0" w:color="auto"/>
        <w:left w:val="none" w:sz="0" w:space="0" w:color="auto"/>
        <w:bottom w:val="none" w:sz="0" w:space="0" w:color="auto"/>
        <w:right w:val="none" w:sz="0" w:space="0" w:color="auto"/>
      </w:divBdr>
      <w:divsChild>
        <w:div w:id="1953784562">
          <w:marLeft w:val="540"/>
          <w:marRight w:val="0"/>
          <w:marTop w:val="0"/>
          <w:marBottom w:val="0"/>
          <w:divBdr>
            <w:top w:val="none" w:sz="0" w:space="0" w:color="auto"/>
            <w:left w:val="none" w:sz="0" w:space="0" w:color="auto"/>
            <w:bottom w:val="none" w:sz="0" w:space="0" w:color="auto"/>
            <w:right w:val="none" w:sz="0" w:space="0" w:color="auto"/>
          </w:divBdr>
        </w:div>
      </w:divsChild>
    </w:div>
    <w:div w:id="134952757">
      <w:marLeft w:val="0"/>
      <w:marRight w:val="0"/>
      <w:marTop w:val="0"/>
      <w:marBottom w:val="0"/>
      <w:divBdr>
        <w:top w:val="none" w:sz="0" w:space="0" w:color="auto"/>
        <w:left w:val="none" w:sz="0" w:space="0" w:color="auto"/>
        <w:bottom w:val="none" w:sz="0" w:space="0" w:color="auto"/>
        <w:right w:val="none" w:sz="0" w:space="0" w:color="auto"/>
      </w:divBdr>
      <w:divsChild>
        <w:div w:id="1032850640">
          <w:marLeft w:val="540"/>
          <w:marRight w:val="0"/>
          <w:marTop w:val="0"/>
          <w:marBottom w:val="0"/>
          <w:divBdr>
            <w:top w:val="none" w:sz="0" w:space="0" w:color="auto"/>
            <w:left w:val="none" w:sz="0" w:space="0" w:color="auto"/>
            <w:bottom w:val="none" w:sz="0" w:space="0" w:color="auto"/>
            <w:right w:val="none" w:sz="0" w:space="0" w:color="auto"/>
          </w:divBdr>
        </w:div>
      </w:divsChild>
    </w:div>
    <w:div w:id="207497291">
      <w:marLeft w:val="0"/>
      <w:marRight w:val="0"/>
      <w:marTop w:val="0"/>
      <w:marBottom w:val="0"/>
      <w:divBdr>
        <w:top w:val="none" w:sz="0" w:space="0" w:color="auto"/>
        <w:left w:val="none" w:sz="0" w:space="0" w:color="auto"/>
        <w:bottom w:val="none" w:sz="0" w:space="0" w:color="auto"/>
        <w:right w:val="none" w:sz="0" w:space="0" w:color="auto"/>
      </w:divBdr>
      <w:divsChild>
        <w:div w:id="1286765981">
          <w:marLeft w:val="540"/>
          <w:marRight w:val="0"/>
          <w:marTop w:val="0"/>
          <w:marBottom w:val="0"/>
          <w:divBdr>
            <w:top w:val="none" w:sz="0" w:space="0" w:color="auto"/>
            <w:left w:val="none" w:sz="0" w:space="0" w:color="auto"/>
            <w:bottom w:val="none" w:sz="0" w:space="0" w:color="auto"/>
            <w:right w:val="none" w:sz="0" w:space="0" w:color="auto"/>
          </w:divBdr>
        </w:div>
      </w:divsChild>
    </w:div>
    <w:div w:id="275019700">
      <w:marLeft w:val="0"/>
      <w:marRight w:val="0"/>
      <w:marTop w:val="0"/>
      <w:marBottom w:val="0"/>
      <w:divBdr>
        <w:top w:val="none" w:sz="0" w:space="0" w:color="auto"/>
        <w:left w:val="none" w:sz="0" w:space="0" w:color="auto"/>
        <w:bottom w:val="none" w:sz="0" w:space="0" w:color="auto"/>
        <w:right w:val="none" w:sz="0" w:space="0" w:color="auto"/>
      </w:divBdr>
      <w:divsChild>
        <w:div w:id="1091857850">
          <w:marLeft w:val="540"/>
          <w:marRight w:val="0"/>
          <w:marTop w:val="0"/>
          <w:marBottom w:val="0"/>
          <w:divBdr>
            <w:top w:val="none" w:sz="0" w:space="0" w:color="auto"/>
            <w:left w:val="none" w:sz="0" w:space="0" w:color="auto"/>
            <w:bottom w:val="none" w:sz="0" w:space="0" w:color="auto"/>
            <w:right w:val="none" w:sz="0" w:space="0" w:color="auto"/>
          </w:divBdr>
        </w:div>
      </w:divsChild>
    </w:div>
    <w:div w:id="553349547">
      <w:marLeft w:val="0"/>
      <w:marRight w:val="0"/>
      <w:marTop w:val="0"/>
      <w:marBottom w:val="0"/>
      <w:divBdr>
        <w:top w:val="none" w:sz="0" w:space="0" w:color="auto"/>
        <w:left w:val="none" w:sz="0" w:space="0" w:color="auto"/>
        <w:bottom w:val="none" w:sz="0" w:space="0" w:color="auto"/>
        <w:right w:val="none" w:sz="0" w:space="0" w:color="auto"/>
      </w:divBdr>
      <w:divsChild>
        <w:div w:id="1985159635">
          <w:marLeft w:val="540"/>
          <w:marRight w:val="0"/>
          <w:marTop w:val="0"/>
          <w:marBottom w:val="0"/>
          <w:divBdr>
            <w:top w:val="none" w:sz="0" w:space="0" w:color="auto"/>
            <w:left w:val="none" w:sz="0" w:space="0" w:color="auto"/>
            <w:bottom w:val="none" w:sz="0" w:space="0" w:color="auto"/>
            <w:right w:val="none" w:sz="0" w:space="0" w:color="auto"/>
          </w:divBdr>
        </w:div>
      </w:divsChild>
    </w:div>
    <w:div w:id="753935529">
      <w:marLeft w:val="0"/>
      <w:marRight w:val="0"/>
      <w:marTop w:val="0"/>
      <w:marBottom w:val="0"/>
      <w:divBdr>
        <w:top w:val="none" w:sz="0" w:space="0" w:color="auto"/>
        <w:left w:val="none" w:sz="0" w:space="0" w:color="auto"/>
        <w:bottom w:val="none" w:sz="0" w:space="0" w:color="auto"/>
        <w:right w:val="none" w:sz="0" w:space="0" w:color="auto"/>
      </w:divBdr>
      <w:divsChild>
        <w:div w:id="413867802">
          <w:marLeft w:val="540"/>
          <w:marRight w:val="0"/>
          <w:marTop w:val="0"/>
          <w:marBottom w:val="0"/>
          <w:divBdr>
            <w:top w:val="none" w:sz="0" w:space="0" w:color="auto"/>
            <w:left w:val="none" w:sz="0" w:space="0" w:color="auto"/>
            <w:bottom w:val="none" w:sz="0" w:space="0" w:color="auto"/>
            <w:right w:val="none" w:sz="0" w:space="0" w:color="auto"/>
          </w:divBdr>
        </w:div>
      </w:divsChild>
    </w:div>
    <w:div w:id="941255885">
      <w:marLeft w:val="0"/>
      <w:marRight w:val="0"/>
      <w:marTop w:val="0"/>
      <w:marBottom w:val="0"/>
      <w:divBdr>
        <w:top w:val="none" w:sz="0" w:space="0" w:color="auto"/>
        <w:left w:val="none" w:sz="0" w:space="0" w:color="auto"/>
        <w:bottom w:val="none" w:sz="0" w:space="0" w:color="auto"/>
        <w:right w:val="none" w:sz="0" w:space="0" w:color="auto"/>
      </w:divBdr>
      <w:divsChild>
        <w:div w:id="960301031">
          <w:marLeft w:val="540"/>
          <w:marRight w:val="0"/>
          <w:marTop w:val="0"/>
          <w:marBottom w:val="0"/>
          <w:divBdr>
            <w:top w:val="none" w:sz="0" w:space="0" w:color="auto"/>
            <w:left w:val="none" w:sz="0" w:space="0" w:color="auto"/>
            <w:bottom w:val="none" w:sz="0" w:space="0" w:color="auto"/>
            <w:right w:val="none" w:sz="0" w:space="0" w:color="auto"/>
          </w:divBdr>
        </w:div>
      </w:divsChild>
    </w:div>
    <w:div w:id="1128276866">
      <w:marLeft w:val="0"/>
      <w:marRight w:val="0"/>
      <w:marTop w:val="0"/>
      <w:marBottom w:val="0"/>
      <w:divBdr>
        <w:top w:val="none" w:sz="0" w:space="0" w:color="auto"/>
        <w:left w:val="none" w:sz="0" w:space="0" w:color="auto"/>
        <w:bottom w:val="none" w:sz="0" w:space="0" w:color="auto"/>
        <w:right w:val="none" w:sz="0" w:space="0" w:color="auto"/>
      </w:divBdr>
      <w:divsChild>
        <w:div w:id="1537044820">
          <w:marLeft w:val="540"/>
          <w:marRight w:val="0"/>
          <w:marTop w:val="0"/>
          <w:marBottom w:val="0"/>
          <w:divBdr>
            <w:top w:val="none" w:sz="0" w:space="0" w:color="auto"/>
            <w:left w:val="none" w:sz="0" w:space="0" w:color="auto"/>
            <w:bottom w:val="none" w:sz="0" w:space="0" w:color="auto"/>
            <w:right w:val="none" w:sz="0" w:space="0" w:color="auto"/>
          </w:divBdr>
        </w:div>
      </w:divsChild>
    </w:div>
    <w:div w:id="1164050470">
      <w:marLeft w:val="0"/>
      <w:marRight w:val="0"/>
      <w:marTop w:val="0"/>
      <w:marBottom w:val="0"/>
      <w:divBdr>
        <w:top w:val="none" w:sz="0" w:space="0" w:color="auto"/>
        <w:left w:val="none" w:sz="0" w:space="0" w:color="auto"/>
        <w:bottom w:val="none" w:sz="0" w:space="0" w:color="auto"/>
        <w:right w:val="none" w:sz="0" w:space="0" w:color="auto"/>
      </w:divBdr>
      <w:divsChild>
        <w:div w:id="1329943096">
          <w:marLeft w:val="540"/>
          <w:marRight w:val="0"/>
          <w:marTop w:val="0"/>
          <w:marBottom w:val="0"/>
          <w:divBdr>
            <w:top w:val="none" w:sz="0" w:space="0" w:color="auto"/>
            <w:left w:val="none" w:sz="0" w:space="0" w:color="auto"/>
            <w:bottom w:val="none" w:sz="0" w:space="0" w:color="auto"/>
            <w:right w:val="none" w:sz="0" w:space="0" w:color="auto"/>
          </w:divBdr>
        </w:div>
      </w:divsChild>
    </w:div>
    <w:div w:id="1474909632">
      <w:marLeft w:val="0"/>
      <w:marRight w:val="0"/>
      <w:marTop w:val="0"/>
      <w:marBottom w:val="0"/>
      <w:divBdr>
        <w:top w:val="none" w:sz="0" w:space="0" w:color="auto"/>
        <w:left w:val="none" w:sz="0" w:space="0" w:color="auto"/>
        <w:bottom w:val="none" w:sz="0" w:space="0" w:color="auto"/>
        <w:right w:val="none" w:sz="0" w:space="0" w:color="auto"/>
      </w:divBdr>
      <w:divsChild>
        <w:div w:id="1912890968">
          <w:marLeft w:val="540"/>
          <w:marRight w:val="0"/>
          <w:marTop w:val="0"/>
          <w:marBottom w:val="0"/>
          <w:divBdr>
            <w:top w:val="none" w:sz="0" w:space="0" w:color="auto"/>
            <w:left w:val="none" w:sz="0" w:space="0" w:color="auto"/>
            <w:bottom w:val="none" w:sz="0" w:space="0" w:color="auto"/>
            <w:right w:val="none" w:sz="0" w:space="0" w:color="auto"/>
          </w:divBdr>
        </w:div>
      </w:divsChild>
    </w:div>
    <w:div w:id="1642610172">
      <w:marLeft w:val="0"/>
      <w:marRight w:val="0"/>
      <w:marTop w:val="0"/>
      <w:marBottom w:val="0"/>
      <w:divBdr>
        <w:top w:val="none" w:sz="0" w:space="0" w:color="auto"/>
        <w:left w:val="none" w:sz="0" w:space="0" w:color="auto"/>
        <w:bottom w:val="none" w:sz="0" w:space="0" w:color="auto"/>
        <w:right w:val="none" w:sz="0" w:space="0" w:color="auto"/>
      </w:divBdr>
      <w:divsChild>
        <w:div w:id="1224565496">
          <w:marLeft w:val="540"/>
          <w:marRight w:val="0"/>
          <w:marTop w:val="0"/>
          <w:marBottom w:val="0"/>
          <w:divBdr>
            <w:top w:val="none" w:sz="0" w:space="0" w:color="auto"/>
            <w:left w:val="none" w:sz="0" w:space="0" w:color="auto"/>
            <w:bottom w:val="none" w:sz="0" w:space="0" w:color="auto"/>
            <w:right w:val="none" w:sz="0" w:space="0" w:color="auto"/>
          </w:divBdr>
        </w:div>
      </w:divsChild>
    </w:div>
    <w:div w:id="1688016663">
      <w:marLeft w:val="0"/>
      <w:marRight w:val="0"/>
      <w:marTop w:val="0"/>
      <w:marBottom w:val="0"/>
      <w:divBdr>
        <w:top w:val="none" w:sz="0" w:space="0" w:color="auto"/>
        <w:left w:val="none" w:sz="0" w:space="0" w:color="auto"/>
        <w:bottom w:val="none" w:sz="0" w:space="0" w:color="auto"/>
        <w:right w:val="none" w:sz="0" w:space="0" w:color="auto"/>
      </w:divBdr>
      <w:divsChild>
        <w:div w:id="329064239">
          <w:marLeft w:val="540"/>
          <w:marRight w:val="0"/>
          <w:marTop w:val="0"/>
          <w:marBottom w:val="0"/>
          <w:divBdr>
            <w:top w:val="none" w:sz="0" w:space="0" w:color="auto"/>
            <w:left w:val="none" w:sz="0" w:space="0" w:color="auto"/>
            <w:bottom w:val="none" w:sz="0" w:space="0" w:color="auto"/>
            <w:right w:val="none" w:sz="0" w:space="0" w:color="auto"/>
          </w:divBdr>
        </w:div>
      </w:divsChild>
    </w:div>
    <w:div w:id="1691105750">
      <w:marLeft w:val="0"/>
      <w:marRight w:val="0"/>
      <w:marTop w:val="0"/>
      <w:marBottom w:val="0"/>
      <w:divBdr>
        <w:top w:val="none" w:sz="0" w:space="0" w:color="auto"/>
        <w:left w:val="none" w:sz="0" w:space="0" w:color="auto"/>
        <w:bottom w:val="none" w:sz="0" w:space="0" w:color="auto"/>
        <w:right w:val="none" w:sz="0" w:space="0" w:color="auto"/>
      </w:divBdr>
      <w:divsChild>
        <w:div w:id="597061015">
          <w:marLeft w:val="540"/>
          <w:marRight w:val="0"/>
          <w:marTop w:val="0"/>
          <w:marBottom w:val="0"/>
          <w:divBdr>
            <w:top w:val="none" w:sz="0" w:space="0" w:color="auto"/>
            <w:left w:val="none" w:sz="0" w:space="0" w:color="auto"/>
            <w:bottom w:val="none" w:sz="0" w:space="0" w:color="auto"/>
            <w:right w:val="none" w:sz="0" w:space="0" w:color="auto"/>
          </w:divBdr>
        </w:div>
      </w:divsChild>
    </w:div>
    <w:div w:id="1787776297">
      <w:marLeft w:val="0"/>
      <w:marRight w:val="0"/>
      <w:marTop w:val="0"/>
      <w:marBottom w:val="0"/>
      <w:divBdr>
        <w:top w:val="none" w:sz="0" w:space="0" w:color="auto"/>
        <w:left w:val="none" w:sz="0" w:space="0" w:color="auto"/>
        <w:bottom w:val="none" w:sz="0" w:space="0" w:color="auto"/>
        <w:right w:val="none" w:sz="0" w:space="0" w:color="auto"/>
      </w:divBdr>
      <w:divsChild>
        <w:div w:id="1771470429">
          <w:marLeft w:val="540"/>
          <w:marRight w:val="0"/>
          <w:marTop w:val="0"/>
          <w:marBottom w:val="0"/>
          <w:divBdr>
            <w:top w:val="none" w:sz="0" w:space="0" w:color="auto"/>
            <w:left w:val="none" w:sz="0" w:space="0" w:color="auto"/>
            <w:bottom w:val="none" w:sz="0" w:space="0" w:color="auto"/>
            <w:right w:val="none" w:sz="0" w:space="0" w:color="auto"/>
          </w:divBdr>
        </w:div>
      </w:divsChild>
    </w:div>
    <w:div w:id="1959483554">
      <w:marLeft w:val="0"/>
      <w:marRight w:val="0"/>
      <w:marTop w:val="0"/>
      <w:marBottom w:val="0"/>
      <w:divBdr>
        <w:top w:val="none" w:sz="0" w:space="0" w:color="auto"/>
        <w:left w:val="none" w:sz="0" w:space="0" w:color="auto"/>
        <w:bottom w:val="none" w:sz="0" w:space="0" w:color="auto"/>
        <w:right w:val="none" w:sz="0" w:space="0" w:color="auto"/>
      </w:divBdr>
      <w:divsChild>
        <w:div w:id="1366830203">
          <w:marLeft w:val="5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3299</Words>
  <Characters>18806</Characters>
  <Application>Microsoft Office Word</Application>
  <DocSecurity>0</DocSecurity>
  <Lines>156</Lines>
  <Paragraphs>44</Paragraphs>
  <ScaleCrop>false</ScaleCrop>
  <Company/>
  <LinksUpToDate>false</LinksUpToDate>
  <CharactersWithSpaces>22061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Medeiros</dc:creator>
  <cp:keywords/>
  <dc:description/>
  <cp:lastModifiedBy>Marina Medeiros</cp:lastModifiedBy>
  <cp:revision>2</cp:revision>
  <dcterms:created xsi:type="dcterms:W3CDTF">2023-08-26T09:16:00Z</dcterms:created>
  <dcterms:modified xsi:type="dcterms:W3CDTF">2023-08-26T09:16:00Z</dcterms:modified>
</cp:coreProperties>
</file>