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731031" w14:textId="77777777" w:rsidR="00803892" w:rsidRPr="00E667C8" w:rsidRDefault="00091DD8" w:rsidP="00E667C8">
      <w:pPr>
        <w:spacing w:line="360" w:lineRule="auto"/>
        <w:rPr>
          <w:rFonts w:ascii="Arial" w:hAnsi="Arial" w:cs="Arial"/>
        </w:rPr>
      </w:pPr>
      <w:r w:rsidRPr="00E667C8">
        <w:rPr>
          <w:rFonts w:ascii="Arial" w:hAnsi="Arial" w:cs="Arial"/>
        </w:rPr>
        <w:t>Student name: Saveta-Victoria Stefan</w:t>
      </w:r>
    </w:p>
    <w:p w14:paraId="3240F7FA" w14:textId="3A7DD5FA" w:rsidR="00091DD8" w:rsidRPr="00E667C8" w:rsidRDefault="00091DD8" w:rsidP="00E667C8">
      <w:pPr>
        <w:spacing w:line="360" w:lineRule="auto"/>
        <w:rPr>
          <w:rFonts w:ascii="Arial" w:hAnsi="Arial" w:cs="Arial"/>
        </w:rPr>
      </w:pPr>
      <w:r w:rsidRPr="00E667C8">
        <w:rPr>
          <w:rFonts w:ascii="Arial" w:hAnsi="Arial" w:cs="Arial"/>
        </w:rPr>
        <w:t>Student number:</w:t>
      </w:r>
      <w:r w:rsidR="00E667C8">
        <w:rPr>
          <w:rFonts w:ascii="Arial" w:hAnsi="Arial" w:cs="Arial"/>
        </w:rPr>
        <w:t xml:space="preserve"> 2216451</w:t>
      </w:r>
    </w:p>
    <w:p w14:paraId="0175F2F0" w14:textId="7A0AC7A0" w:rsidR="00091DD8" w:rsidRPr="00E667C8" w:rsidRDefault="00091DD8" w:rsidP="00E667C8">
      <w:pPr>
        <w:spacing w:line="360" w:lineRule="auto"/>
        <w:rPr>
          <w:rFonts w:ascii="Arial" w:hAnsi="Arial" w:cs="Arial"/>
        </w:rPr>
      </w:pPr>
      <w:r w:rsidRPr="00E667C8">
        <w:rPr>
          <w:rFonts w:ascii="Arial" w:hAnsi="Arial" w:cs="Arial"/>
        </w:rPr>
        <w:t>Course name:</w:t>
      </w:r>
      <w:r w:rsidR="00E667C8">
        <w:rPr>
          <w:rFonts w:ascii="Arial" w:hAnsi="Arial" w:cs="Arial"/>
        </w:rPr>
        <w:t xml:space="preserve"> LCBB4010_BIRM Global Business Environment</w:t>
      </w:r>
    </w:p>
    <w:p w14:paraId="24F58EBF" w14:textId="205756BD" w:rsidR="00091DD8" w:rsidRPr="00A07F2F" w:rsidRDefault="00A2416C" w:rsidP="00E667C8">
      <w:pPr>
        <w:spacing w:line="360" w:lineRule="auto"/>
        <w:rPr>
          <w:rFonts w:ascii="Arial" w:hAnsi="Arial" w:cs="Arial"/>
          <w:i/>
          <w:iCs/>
          <w:lang w:val="fr-FR"/>
        </w:rPr>
      </w:pPr>
      <w:r w:rsidRPr="00E667C8">
        <w:rPr>
          <w:rFonts w:ascii="Arial" w:hAnsi="Arial" w:cs="Arial"/>
          <w:lang w:val="fr-FR"/>
        </w:rPr>
        <w:t>Lecturer :</w:t>
      </w:r>
      <w:r w:rsidR="00E667C8" w:rsidRPr="00E667C8">
        <w:rPr>
          <w:rFonts w:ascii="Arial" w:hAnsi="Arial" w:cs="Arial"/>
          <w:lang w:val="fr-FR"/>
        </w:rPr>
        <w:t xml:space="preserve"> </w:t>
      </w:r>
      <w:r w:rsidR="00A07F2F" w:rsidRPr="00A07F2F">
        <w:rPr>
          <w:rStyle w:val="Emphasis"/>
          <w:rFonts w:ascii="Arial" w:hAnsi="Arial" w:cs="Arial"/>
          <w:i w:val="0"/>
          <w:iCs w:val="0"/>
          <w:color w:val="1D2125"/>
          <w:shd w:val="clear" w:color="auto" w:fill="FFFFFF"/>
        </w:rPr>
        <w:t>Abdi Rahman</w:t>
      </w:r>
    </w:p>
    <w:p w14:paraId="7B71F9A5" w14:textId="02225A05" w:rsidR="00091DD8" w:rsidRPr="00E667C8" w:rsidRDefault="00091DD8" w:rsidP="00E667C8">
      <w:pPr>
        <w:spacing w:line="360" w:lineRule="auto"/>
        <w:rPr>
          <w:rFonts w:ascii="Arial" w:hAnsi="Arial" w:cs="Arial"/>
          <w:b/>
          <w:bCs/>
          <w:lang w:val="fr-FR"/>
        </w:rPr>
      </w:pPr>
      <w:r w:rsidRPr="00E667C8">
        <w:rPr>
          <w:rFonts w:ascii="Arial" w:hAnsi="Arial" w:cs="Arial"/>
          <w:lang w:val="fr-FR"/>
        </w:rPr>
        <w:t xml:space="preserve">Submission </w:t>
      </w:r>
      <w:r w:rsidR="00A2416C" w:rsidRPr="00E667C8">
        <w:rPr>
          <w:rFonts w:ascii="Arial" w:hAnsi="Arial" w:cs="Arial"/>
          <w:lang w:val="fr-FR"/>
        </w:rPr>
        <w:t>date :</w:t>
      </w:r>
      <w:r w:rsidR="00E667C8" w:rsidRPr="00E667C8">
        <w:rPr>
          <w:rFonts w:ascii="Arial" w:hAnsi="Arial" w:cs="Arial"/>
          <w:lang w:val="fr-FR"/>
        </w:rPr>
        <w:t xml:space="preserve"> 1</w:t>
      </w:r>
      <w:r w:rsidR="00E667C8">
        <w:rPr>
          <w:rFonts w:ascii="Arial" w:hAnsi="Arial" w:cs="Arial"/>
          <w:lang w:val="fr-FR"/>
        </w:rPr>
        <w:t>7/07/2024</w:t>
      </w:r>
    </w:p>
    <w:p w14:paraId="5E83267D" w14:textId="77777777" w:rsidR="00803892" w:rsidRPr="00E667C8" w:rsidRDefault="00803892" w:rsidP="00E667C8">
      <w:pPr>
        <w:spacing w:line="360" w:lineRule="auto"/>
        <w:rPr>
          <w:rFonts w:ascii="Arial" w:hAnsi="Arial" w:cs="Arial"/>
          <w:b/>
          <w:bCs/>
          <w:lang w:val="fr-FR"/>
        </w:rPr>
      </w:pPr>
    </w:p>
    <w:p w14:paraId="68686F16" w14:textId="77777777" w:rsidR="00803892" w:rsidRPr="00E667C8" w:rsidRDefault="00803892" w:rsidP="00E667C8">
      <w:pPr>
        <w:spacing w:line="360" w:lineRule="auto"/>
        <w:rPr>
          <w:rFonts w:ascii="Arial" w:hAnsi="Arial" w:cs="Arial"/>
          <w:b/>
          <w:bCs/>
          <w:lang w:val="fr-FR"/>
        </w:rPr>
      </w:pPr>
    </w:p>
    <w:p w14:paraId="097A8B7E" w14:textId="77777777" w:rsidR="00803892" w:rsidRPr="00E667C8" w:rsidRDefault="00803892" w:rsidP="00E667C8">
      <w:pPr>
        <w:spacing w:line="360" w:lineRule="auto"/>
        <w:rPr>
          <w:rFonts w:ascii="Arial" w:hAnsi="Arial" w:cs="Arial"/>
          <w:b/>
          <w:bCs/>
          <w:lang w:val="fr-FR"/>
        </w:rPr>
      </w:pPr>
    </w:p>
    <w:p w14:paraId="3D4614D9" w14:textId="77777777" w:rsidR="00803892" w:rsidRPr="00E667C8" w:rsidRDefault="00803892" w:rsidP="00E667C8">
      <w:pPr>
        <w:spacing w:line="360" w:lineRule="auto"/>
        <w:rPr>
          <w:rFonts w:ascii="Arial" w:hAnsi="Arial" w:cs="Arial"/>
          <w:b/>
          <w:bCs/>
          <w:lang w:val="fr-FR"/>
        </w:rPr>
      </w:pPr>
    </w:p>
    <w:p w14:paraId="449AABE3" w14:textId="77777777" w:rsidR="00803892" w:rsidRPr="00E667C8" w:rsidRDefault="00803892" w:rsidP="00E667C8">
      <w:pPr>
        <w:spacing w:line="360" w:lineRule="auto"/>
        <w:rPr>
          <w:rFonts w:ascii="Arial" w:hAnsi="Arial" w:cs="Arial"/>
          <w:b/>
          <w:bCs/>
          <w:lang w:val="fr-FR"/>
        </w:rPr>
      </w:pPr>
    </w:p>
    <w:p w14:paraId="7CC1023F" w14:textId="77777777" w:rsidR="00803892" w:rsidRPr="00E667C8" w:rsidRDefault="00803892" w:rsidP="00E667C8">
      <w:pPr>
        <w:spacing w:line="360" w:lineRule="auto"/>
        <w:rPr>
          <w:rFonts w:ascii="Arial" w:hAnsi="Arial" w:cs="Arial"/>
          <w:b/>
          <w:bCs/>
          <w:lang w:val="fr-FR"/>
        </w:rPr>
      </w:pPr>
    </w:p>
    <w:p w14:paraId="1380227A" w14:textId="77777777" w:rsidR="00803892" w:rsidRPr="00E667C8" w:rsidRDefault="00803892" w:rsidP="00E667C8">
      <w:pPr>
        <w:spacing w:line="360" w:lineRule="auto"/>
        <w:rPr>
          <w:rFonts w:ascii="Arial" w:hAnsi="Arial" w:cs="Arial"/>
          <w:b/>
          <w:bCs/>
          <w:lang w:val="fr-FR"/>
        </w:rPr>
      </w:pPr>
    </w:p>
    <w:p w14:paraId="35B751E7" w14:textId="77777777" w:rsidR="00803892" w:rsidRPr="00E667C8" w:rsidRDefault="00803892" w:rsidP="00E667C8">
      <w:pPr>
        <w:spacing w:line="360" w:lineRule="auto"/>
        <w:rPr>
          <w:rFonts w:ascii="Arial" w:hAnsi="Arial" w:cs="Arial"/>
          <w:b/>
          <w:bCs/>
          <w:lang w:val="fr-FR"/>
        </w:rPr>
      </w:pPr>
    </w:p>
    <w:p w14:paraId="54CDCB81" w14:textId="77777777" w:rsidR="00803892" w:rsidRPr="00E667C8" w:rsidRDefault="00803892" w:rsidP="00E667C8">
      <w:pPr>
        <w:spacing w:line="360" w:lineRule="auto"/>
        <w:rPr>
          <w:rFonts w:ascii="Arial" w:hAnsi="Arial" w:cs="Arial"/>
          <w:b/>
          <w:bCs/>
          <w:lang w:val="fr-FR"/>
        </w:rPr>
      </w:pPr>
    </w:p>
    <w:p w14:paraId="760503BA" w14:textId="77777777" w:rsidR="00803892" w:rsidRPr="00E667C8" w:rsidRDefault="00803892" w:rsidP="00E667C8">
      <w:pPr>
        <w:spacing w:line="360" w:lineRule="auto"/>
        <w:rPr>
          <w:rFonts w:ascii="Arial" w:hAnsi="Arial" w:cs="Arial"/>
          <w:b/>
          <w:bCs/>
          <w:lang w:val="fr-FR"/>
        </w:rPr>
      </w:pPr>
    </w:p>
    <w:p w14:paraId="396CFE0B" w14:textId="77777777" w:rsidR="00803892" w:rsidRPr="00E667C8" w:rsidRDefault="00803892" w:rsidP="00E667C8">
      <w:pPr>
        <w:spacing w:line="360" w:lineRule="auto"/>
        <w:rPr>
          <w:rFonts w:ascii="Arial" w:hAnsi="Arial" w:cs="Arial"/>
          <w:b/>
          <w:bCs/>
          <w:lang w:val="fr-FR"/>
        </w:rPr>
      </w:pPr>
    </w:p>
    <w:p w14:paraId="255AAF0F" w14:textId="77777777" w:rsidR="00803892" w:rsidRPr="00E667C8" w:rsidRDefault="00803892" w:rsidP="00E667C8">
      <w:pPr>
        <w:spacing w:line="360" w:lineRule="auto"/>
        <w:rPr>
          <w:rFonts w:ascii="Arial" w:hAnsi="Arial" w:cs="Arial"/>
          <w:b/>
          <w:bCs/>
          <w:lang w:val="fr-FR"/>
        </w:rPr>
      </w:pPr>
    </w:p>
    <w:p w14:paraId="22FA9BBB" w14:textId="77777777" w:rsidR="00803892" w:rsidRPr="00E667C8" w:rsidRDefault="00803892" w:rsidP="00E667C8">
      <w:pPr>
        <w:spacing w:line="360" w:lineRule="auto"/>
        <w:rPr>
          <w:rFonts w:ascii="Arial" w:hAnsi="Arial" w:cs="Arial"/>
          <w:b/>
          <w:bCs/>
          <w:lang w:val="fr-FR"/>
        </w:rPr>
      </w:pPr>
    </w:p>
    <w:p w14:paraId="03352124" w14:textId="77777777" w:rsidR="00803892" w:rsidRPr="00E667C8" w:rsidRDefault="00803892" w:rsidP="00E667C8">
      <w:pPr>
        <w:spacing w:line="360" w:lineRule="auto"/>
        <w:rPr>
          <w:rFonts w:ascii="Arial" w:hAnsi="Arial" w:cs="Arial"/>
          <w:b/>
          <w:bCs/>
          <w:lang w:val="fr-FR"/>
        </w:rPr>
      </w:pPr>
    </w:p>
    <w:p w14:paraId="28450B24" w14:textId="77777777" w:rsidR="00803892" w:rsidRPr="00E667C8" w:rsidRDefault="00803892" w:rsidP="00E667C8">
      <w:pPr>
        <w:spacing w:line="360" w:lineRule="auto"/>
        <w:rPr>
          <w:rFonts w:ascii="Arial" w:hAnsi="Arial" w:cs="Arial"/>
          <w:b/>
          <w:bCs/>
          <w:lang w:val="fr-FR"/>
        </w:rPr>
      </w:pPr>
    </w:p>
    <w:p w14:paraId="7BC92C3C" w14:textId="77777777" w:rsidR="00803892" w:rsidRPr="00E667C8" w:rsidRDefault="00803892" w:rsidP="00E667C8">
      <w:pPr>
        <w:spacing w:line="360" w:lineRule="auto"/>
        <w:rPr>
          <w:rFonts w:ascii="Arial" w:hAnsi="Arial" w:cs="Arial"/>
          <w:b/>
          <w:bCs/>
          <w:lang w:val="fr-FR"/>
        </w:rPr>
      </w:pPr>
    </w:p>
    <w:p w14:paraId="6FB2E790" w14:textId="77777777" w:rsidR="00803892" w:rsidRPr="00E667C8" w:rsidRDefault="00803892" w:rsidP="00E667C8">
      <w:pPr>
        <w:spacing w:line="360" w:lineRule="auto"/>
        <w:rPr>
          <w:rFonts w:ascii="Arial" w:hAnsi="Arial" w:cs="Arial"/>
          <w:b/>
          <w:bCs/>
          <w:lang w:val="fr-FR"/>
        </w:rPr>
      </w:pPr>
    </w:p>
    <w:p w14:paraId="3D6A8390" w14:textId="77777777" w:rsidR="00803892" w:rsidRPr="00E667C8" w:rsidRDefault="00803892" w:rsidP="00E667C8">
      <w:pPr>
        <w:spacing w:line="360" w:lineRule="auto"/>
        <w:rPr>
          <w:rFonts w:ascii="Arial" w:hAnsi="Arial" w:cs="Arial"/>
          <w:b/>
          <w:bCs/>
          <w:lang w:val="fr-FR"/>
        </w:rPr>
      </w:pPr>
    </w:p>
    <w:p w14:paraId="3A45F5B8" w14:textId="77777777" w:rsidR="00803892" w:rsidRPr="00E667C8" w:rsidRDefault="00803892" w:rsidP="00E667C8">
      <w:pPr>
        <w:spacing w:line="360" w:lineRule="auto"/>
        <w:rPr>
          <w:rFonts w:ascii="Arial" w:hAnsi="Arial" w:cs="Arial"/>
          <w:b/>
          <w:bCs/>
          <w:lang w:val="fr-FR"/>
        </w:rPr>
      </w:pPr>
    </w:p>
    <w:p w14:paraId="28F0557C" w14:textId="77777777" w:rsidR="00803892" w:rsidRPr="00E667C8" w:rsidRDefault="00803892" w:rsidP="00E667C8">
      <w:pPr>
        <w:spacing w:line="360" w:lineRule="auto"/>
        <w:rPr>
          <w:rFonts w:ascii="Arial" w:hAnsi="Arial" w:cs="Arial"/>
          <w:b/>
          <w:bCs/>
          <w:lang w:val="fr-FR"/>
        </w:rPr>
      </w:pPr>
    </w:p>
    <w:sdt>
      <w:sdtPr>
        <w:id w:val="779619672"/>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en-GB"/>
          <w14:ligatures w14:val="standardContextual"/>
        </w:rPr>
      </w:sdtEndPr>
      <w:sdtContent>
        <w:p w14:paraId="7274AF0B" w14:textId="1ACF2148" w:rsidR="00E667C8" w:rsidRPr="00E667C8" w:rsidRDefault="00E667C8">
          <w:pPr>
            <w:pStyle w:val="TOCHeading"/>
            <w:rPr>
              <w:rFonts w:ascii="Arial" w:hAnsi="Arial" w:cs="Arial"/>
              <w:color w:val="auto"/>
              <w:sz w:val="24"/>
              <w:szCs w:val="24"/>
              <w:lang w:val="fr-FR"/>
            </w:rPr>
          </w:pPr>
          <w:r w:rsidRPr="00E667C8">
            <w:rPr>
              <w:rFonts w:ascii="Arial" w:hAnsi="Arial" w:cs="Arial"/>
              <w:color w:val="auto"/>
              <w:sz w:val="24"/>
              <w:szCs w:val="24"/>
              <w:lang w:val="fr-FR"/>
            </w:rPr>
            <w:t>Contents</w:t>
          </w:r>
        </w:p>
        <w:p w14:paraId="13DC399E" w14:textId="0433475E" w:rsidR="00A2416C" w:rsidRDefault="00E667C8">
          <w:pPr>
            <w:pStyle w:val="TOC1"/>
            <w:tabs>
              <w:tab w:val="right" w:leader="dot" w:pos="9016"/>
            </w:tabs>
            <w:rPr>
              <w:noProof/>
            </w:rPr>
          </w:pPr>
          <w:r w:rsidRPr="00E667C8">
            <w:rPr>
              <w:rFonts w:ascii="Arial" w:hAnsi="Arial" w:cs="Arial"/>
            </w:rPr>
            <w:fldChar w:fldCharType="begin"/>
          </w:r>
          <w:r w:rsidRPr="00E667C8">
            <w:rPr>
              <w:rFonts w:ascii="Arial" w:hAnsi="Arial" w:cs="Arial"/>
            </w:rPr>
            <w:instrText xml:space="preserve"> TOC \o "1-3" \h \z \u </w:instrText>
          </w:r>
          <w:r w:rsidRPr="00E667C8">
            <w:rPr>
              <w:rFonts w:ascii="Arial" w:hAnsi="Arial" w:cs="Arial"/>
            </w:rPr>
            <w:fldChar w:fldCharType="separate"/>
          </w:r>
          <w:hyperlink w:anchor="_Toc172146445" w:history="1">
            <w:r w:rsidR="00A2416C" w:rsidRPr="00243C85">
              <w:rPr>
                <w:rStyle w:val="Hyperlink"/>
                <w:rFonts w:ascii="Arial" w:hAnsi="Arial" w:cs="Arial"/>
                <w:b/>
                <w:bCs/>
                <w:noProof/>
              </w:rPr>
              <w:t>Introduction</w:t>
            </w:r>
            <w:r w:rsidR="00A2416C">
              <w:rPr>
                <w:noProof/>
                <w:webHidden/>
              </w:rPr>
              <w:tab/>
            </w:r>
            <w:r w:rsidR="00A2416C">
              <w:rPr>
                <w:noProof/>
                <w:webHidden/>
              </w:rPr>
              <w:fldChar w:fldCharType="begin"/>
            </w:r>
            <w:r w:rsidR="00A2416C">
              <w:rPr>
                <w:noProof/>
                <w:webHidden/>
              </w:rPr>
              <w:instrText xml:space="preserve"> PAGEREF _Toc172146445 \h </w:instrText>
            </w:r>
            <w:r w:rsidR="00A2416C">
              <w:rPr>
                <w:noProof/>
                <w:webHidden/>
              </w:rPr>
            </w:r>
            <w:r w:rsidR="00A2416C">
              <w:rPr>
                <w:noProof/>
                <w:webHidden/>
              </w:rPr>
              <w:fldChar w:fldCharType="separate"/>
            </w:r>
            <w:r w:rsidR="00A2416C">
              <w:rPr>
                <w:noProof/>
                <w:webHidden/>
              </w:rPr>
              <w:t>3</w:t>
            </w:r>
            <w:r w:rsidR="00A2416C">
              <w:rPr>
                <w:noProof/>
                <w:webHidden/>
              </w:rPr>
              <w:fldChar w:fldCharType="end"/>
            </w:r>
          </w:hyperlink>
        </w:p>
        <w:p w14:paraId="029B1C9F" w14:textId="57B0073B" w:rsidR="00A2416C" w:rsidRDefault="00A2416C">
          <w:pPr>
            <w:pStyle w:val="TOC2"/>
            <w:tabs>
              <w:tab w:val="right" w:leader="dot" w:pos="9016"/>
            </w:tabs>
            <w:rPr>
              <w:noProof/>
            </w:rPr>
          </w:pPr>
          <w:hyperlink w:anchor="_Toc172146446" w:history="1">
            <w:r w:rsidRPr="00243C85">
              <w:rPr>
                <w:rStyle w:val="Hyperlink"/>
                <w:rFonts w:ascii="Arial" w:hAnsi="Arial" w:cs="Arial"/>
                <w:b/>
                <w:bCs/>
                <w:noProof/>
              </w:rPr>
              <w:t>P – Political Analysis</w:t>
            </w:r>
            <w:r>
              <w:rPr>
                <w:noProof/>
                <w:webHidden/>
              </w:rPr>
              <w:tab/>
            </w:r>
            <w:r>
              <w:rPr>
                <w:noProof/>
                <w:webHidden/>
              </w:rPr>
              <w:fldChar w:fldCharType="begin"/>
            </w:r>
            <w:r>
              <w:rPr>
                <w:noProof/>
                <w:webHidden/>
              </w:rPr>
              <w:instrText xml:space="preserve"> PAGEREF _Toc172146446 \h </w:instrText>
            </w:r>
            <w:r>
              <w:rPr>
                <w:noProof/>
                <w:webHidden/>
              </w:rPr>
            </w:r>
            <w:r>
              <w:rPr>
                <w:noProof/>
                <w:webHidden/>
              </w:rPr>
              <w:fldChar w:fldCharType="separate"/>
            </w:r>
            <w:r>
              <w:rPr>
                <w:noProof/>
                <w:webHidden/>
              </w:rPr>
              <w:t>3</w:t>
            </w:r>
            <w:r>
              <w:rPr>
                <w:noProof/>
                <w:webHidden/>
              </w:rPr>
              <w:fldChar w:fldCharType="end"/>
            </w:r>
          </w:hyperlink>
        </w:p>
        <w:p w14:paraId="13A5B869" w14:textId="2FAF8478" w:rsidR="00A2416C" w:rsidRDefault="00A2416C">
          <w:pPr>
            <w:pStyle w:val="TOC2"/>
            <w:tabs>
              <w:tab w:val="right" w:leader="dot" w:pos="9016"/>
            </w:tabs>
            <w:rPr>
              <w:noProof/>
            </w:rPr>
          </w:pPr>
          <w:hyperlink w:anchor="_Toc172146447" w:history="1">
            <w:r w:rsidRPr="00243C85">
              <w:rPr>
                <w:rStyle w:val="Hyperlink"/>
                <w:rFonts w:ascii="Arial" w:hAnsi="Arial" w:cs="Arial"/>
                <w:b/>
                <w:bCs/>
                <w:noProof/>
              </w:rPr>
              <w:t>E – Economical Analysis</w:t>
            </w:r>
            <w:r>
              <w:rPr>
                <w:noProof/>
                <w:webHidden/>
              </w:rPr>
              <w:tab/>
            </w:r>
            <w:r>
              <w:rPr>
                <w:noProof/>
                <w:webHidden/>
              </w:rPr>
              <w:fldChar w:fldCharType="begin"/>
            </w:r>
            <w:r>
              <w:rPr>
                <w:noProof/>
                <w:webHidden/>
              </w:rPr>
              <w:instrText xml:space="preserve"> PAGEREF _Toc172146447 \h </w:instrText>
            </w:r>
            <w:r>
              <w:rPr>
                <w:noProof/>
                <w:webHidden/>
              </w:rPr>
            </w:r>
            <w:r>
              <w:rPr>
                <w:noProof/>
                <w:webHidden/>
              </w:rPr>
              <w:fldChar w:fldCharType="separate"/>
            </w:r>
            <w:r>
              <w:rPr>
                <w:noProof/>
                <w:webHidden/>
              </w:rPr>
              <w:t>4</w:t>
            </w:r>
            <w:r>
              <w:rPr>
                <w:noProof/>
                <w:webHidden/>
              </w:rPr>
              <w:fldChar w:fldCharType="end"/>
            </w:r>
          </w:hyperlink>
        </w:p>
        <w:p w14:paraId="57A053E9" w14:textId="77C1CC2D" w:rsidR="00A2416C" w:rsidRDefault="00A2416C">
          <w:pPr>
            <w:pStyle w:val="TOC2"/>
            <w:tabs>
              <w:tab w:val="right" w:leader="dot" w:pos="9016"/>
            </w:tabs>
            <w:rPr>
              <w:noProof/>
            </w:rPr>
          </w:pPr>
          <w:hyperlink w:anchor="_Toc172146448" w:history="1">
            <w:r w:rsidRPr="00243C85">
              <w:rPr>
                <w:rStyle w:val="Hyperlink"/>
                <w:rFonts w:ascii="Arial" w:hAnsi="Arial" w:cs="Arial"/>
                <w:b/>
                <w:bCs/>
                <w:noProof/>
              </w:rPr>
              <w:t>S - Sociocultural Analysis</w:t>
            </w:r>
            <w:r>
              <w:rPr>
                <w:noProof/>
                <w:webHidden/>
              </w:rPr>
              <w:tab/>
            </w:r>
            <w:r>
              <w:rPr>
                <w:noProof/>
                <w:webHidden/>
              </w:rPr>
              <w:fldChar w:fldCharType="begin"/>
            </w:r>
            <w:r>
              <w:rPr>
                <w:noProof/>
                <w:webHidden/>
              </w:rPr>
              <w:instrText xml:space="preserve"> PAGEREF _Toc172146448 \h </w:instrText>
            </w:r>
            <w:r>
              <w:rPr>
                <w:noProof/>
                <w:webHidden/>
              </w:rPr>
            </w:r>
            <w:r>
              <w:rPr>
                <w:noProof/>
                <w:webHidden/>
              </w:rPr>
              <w:fldChar w:fldCharType="separate"/>
            </w:r>
            <w:r>
              <w:rPr>
                <w:noProof/>
                <w:webHidden/>
              </w:rPr>
              <w:t>4</w:t>
            </w:r>
            <w:r>
              <w:rPr>
                <w:noProof/>
                <w:webHidden/>
              </w:rPr>
              <w:fldChar w:fldCharType="end"/>
            </w:r>
          </w:hyperlink>
        </w:p>
        <w:p w14:paraId="3CBFF23A" w14:textId="59360D7D" w:rsidR="00A2416C" w:rsidRDefault="00A2416C">
          <w:pPr>
            <w:pStyle w:val="TOC2"/>
            <w:tabs>
              <w:tab w:val="right" w:leader="dot" w:pos="9016"/>
            </w:tabs>
            <w:rPr>
              <w:noProof/>
            </w:rPr>
          </w:pPr>
          <w:hyperlink w:anchor="_Toc172146449" w:history="1">
            <w:r w:rsidRPr="00243C85">
              <w:rPr>
                <w:rStyle w:val="Hyperlink"/>
                <w:rFonts w:ascii="Arial" w:hAnsi="Arial" w:cs="Arial"/>
                <w:b/>
                <w:bCs/>
                <w:noProof/>
              </w:rPr>
              <w:t>T - Technology Analysis</w:t>
            </w:r>
            <w:r>
              <w:rPr>
                <w:noProof/>
                <w:webHidden/>
              </w:rPr>
              <w:tab/>
            </w:r>
            <w:r>
              <w:rPr>
                <w:noProof/>
                <w:webHidden/>
              </w:rPr>
              <w:fldChar w:fldCharType="begin"/>
            </w:r>
            <w:r>
              <w:rPr>
                <w:noProof/>
                <w:webHidden/>
              </w:rPr>
              <w:instrText xml:space="preserve"> PAGEREF _Toc172146449 \h </w:instrText>
            </w:r>
            <w:r>
              <w:rPr>
                <w:noProof/>
                <w:webHidden/>
              </w:rPr>
            </w:r>
            <w:r>
              <w:rPr>
                <w:noProof/>
                <w:webHidden/>
              </w:rPr>
              <w:fldChar w:fldCharType="separate"/>
            </w:r>
            <w:r>
              <w:rPr>
                <w:noProof/>
                <w:webHidden/>
              </w:rPr>
              <w:t>5</w:t>
            </w:r>
            <w:r>
              <w:rPr>
                <w:noProof/>
                <w:webHidden/>
              </w:rPr>
              <w:fldChar w:fldCharType="end"/>
            </w:r>
          </w:hyperlink>
        </w:p>
        <w:p w14:paraId="2ABC7A15" w14:textId="09A07BF8" w:rsidR="00A2416C" w:rsidRDefault="00A2416C">
          <w:pPr>
            <w:pStyle w:val="TOC2"/>
            <w:tabs>
              <w:tab w:val="right" w:leader="dot" w:pos="9016"/>
            </w:tabs>
            <w:rPr>
              <w:noProof/>
            </w:rPr>
          </w:pPr>
          <w:hyperlink w:anchor="_Toc172146450" w:history="1">
            <w:r w:rsidRPr="00243C85">
              <w:rPr>
                <w:rStyle w:val="Hyperlink"/>
                <w:rFonts w:ascii="Arial" w:hAnsi="Arial" w:cs="Arial"/>
                <w:b/>
                <w:bCs/>
                <w:noProof/>
              </w:rPr>
              <w:t>E - Environmental Analysis</w:t>
            </w:r>
            <w:r>
              <w:rPr>
                <w:noProof/>
                <w:webHidden/>
              </w:rPr>
              <w:tab/>
            </w:r>
            <w:r>
              <w:rPr>
                <w:noProof/>
                <w:webHidden/>
              </w:rPr>
              <w:fldChar w:fldCharType="begin"/>
            </w:r>
            <w:r>
              <w:rPr>
                <w:noProof/>
                <w:webHidden/>
              </w:rPr>
              <w:instrText xml:space="preserve"> PAGEREF _Toc172146450 \h </w:instrText>
            </w:r>
            <w:r>
              <w:rPr>
                <w:noProof/>
                <w:webHidden/>
              </w:rPr>
            </w:r>
            <w:r>
              <w:rPr>
                <w:noProof/>
                <w:webHidden/>
              </w:rPr>
              <w:fldChar w:fldCharType="separate"/>
            </w:r>
            <w:r>
              <w:rPr>
                <w:noProof/>
                <w:webHidden/>
              </w:rPr>
              <w:t>6</w:t>
            </w:r>
            <w:r>
              <w:rPr>
                <w:noProof/>
                <w:webHidden/>
              </w:rPr>
              <w:fldChar w:fldCharType="end"/>
            </w:r>
          </w:hyperlink>
        </w:p>
        <w:p w14:paraId="1BA43765" w14:textId="64289AC3" w:rsidR="00A2416C" w:rsidRDefault="00A2416C">
          <w:pPr>
            <w:pStyle w:val="TOC2"/>
            <w:tabs>
              <w:tab w:val="right" w:leader="dot" w:pos="9016"/>
            </w:tabs>
            <w:rPr>
              <w:noProof/>
            </w:rPr>
          </w:pPr>
          <w:hyperlink w:anchor="_Toc172146451" w:history="1">
            <w:r w:rsidRPr="00243C85">
              <w:rPr>
                <w:rStyle w:val="Hyperlink"/>
                <w:rFonts w:ascii="Arial" w:hAnsi="Arial" w:cs="Arial"/>
                <w:b/>
                <w:bCs/>
                <w:noProof/>
              </w:rPr>
              <w:t>L - Legal Analysis</w:t>
            </w:r>
            <w:r>
              <w:rPr>
                <w:noProof/>
                <w:webHidden/>
              </w:rPr>
              <w:tab/>
            </w:r>
            <w:r>
              <w:rPr>
                <w:noProof/>
                <w:webHidden/>
              </w:rPr>
              <w:fldChar w:fldCharType="begin"/>
            </w:r>
            <w:r>
              <w:rPr>
                <w:noProof/>
                <w:webHidden/>
              </w:rPr>
              <w:instrText xml:space="preserve"> PAGEREF _Toc172146451 \h </w:instrText>
            </w:r>
            <w:r>
              <w:rPr>
                <w:noProof/>
                <w:webHidden/>
              </w:rPr>
            </w:r>
            <w:r>
              <w:rPr>
                <w:noProof/>
                <w:webHidden/>
              </w:rPr>
              <w:fldChar w:fldCharType="separate"/>
            </w:r>
            <w:r>
              <w:rPr>
                <w:noProof/>
                <w:webHidden/>
              </w:rPr>
              <w:t>6</w:t>
            </w:r>
            <w:r>
              <w:rPr>
                <w:noProof/>
                <w:webHidden/>
              </w:rPr>
              <w:fldChar w:fldCharType="end"/>
            </w:r>
          </w:hyperlink>
        </w:p>
        <w:p w14:paraId="05EDE746" w14:textId="460EF422" w:rsidR="00A2416C" w:rsidRDefault="00A2416C">
          <w:pPr>
            <w:pStyle w:val="TOC3"/>
            <w:tabs>
              <w:tab w:val="right" w:leader="dot" w:pos="9016"/>
            </w:tabs>
            <w:rPr>
              <w:noProof/>
            </w:rPr>
          </w:pPr>
          <w:hyperlink w:anchor="_Toc172146452" w:history="1">
            <w:r w:rsidRPr="00243C8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_Toc172146452 \h </w:instrText>
            </w:r>
            <w:r>
              <w:rPr>
                <w:noProof/>
                <w:webHidden/>
              </w:rPr>
            </w:r>
            <w:r>
              <w:rPr>
                <w:noProof/>
                <w:webHidden/>
              </w:rPr>
              <w:fldChar w:fldCharType="separate"/>
            </w:r>
            <w:r>
              <w:rPr>
                <w:noProof/>
                <w:webHidden/>
              </w:rPr>
              <w:t>7</w:t>
            </w:r>
            <w:r>
              <w:rPr>
                <w:noProof/>
                <w:webHidden/>
              </w:rPr>
              <w:fldChar w:fldCharType="end"/>
            </w:r>
          </w:hyperlink>
        </w:p>
        <w:p w14:paraId="12CE2A25" w14:textId="6BF4E081" w:rsidR="00A2416C" w:rsidRDefault="00A2416C">
          <w:pPr>
            <w:pStyle w:val="TOC2"/>
            <w:tabs>
              <w:tab w:val="right" w:leader="dot" w:pos="9016"/>
            </w:tabs>
            <w:rPr>
              <w:noProof/>
            </w:rPr>
          </w:pPr>
          <w:hyperlink w:anchor="_Toc172146453" w:history="1">
            <w:r w:rsidRPr="00243C8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_Toc172146453 \h </w:instrText>
            </w:r>
            <w:r>
              <w:rPr>
                <w:noProof/>
                <w:webHidden/>
              </w:rPr>
            </w:r>
            <w:r>
              <w:rPr>
                <w:noProof/>
                <w:webHidden/>
              </w:rPr>
              <w:fldChar w:fldCharType="separate"/>
            </w:r>
            <w:r>
              <w:rPr>
                <w:noProof/>
                <w:webHidden/>
              </w:rPr>
              <w:t>9</w:t>
            </w:r>
            <w:r>
              <w:rPr>
                <w:noProof/>
                <w:webHidden/>
              </w:rPr>
              <w:fldChar w:fldCharType="end"/>
            </w:r>
          </w:hyperlink>
        </w:p>
        <w:p w14:paraId="016C3DC6" w14:textId="0A338C63" w:rsidR="00E667C8" w:rsidRDefault="00E667C8">
          <w:r w:rsidRPr="00E667C8">
            <w:rPr>
              <w:rFonts w:ascii="Arial" w:hAnsi="Arial" w:cs="Arial"/>
              <w:b/>
              <w:bCs/>
              <w:noProof/>
            </w:rPr>
            <w:fldChar w:fldCharType="end"/>
          </w:r>
        </w:p>
      </w:sdtContent>
    </w:sdt>
    <w:p w14:paraId="270C2E05" w14:textId="77777777" w:rsidR="00803892" w:rsidRPr="00E667C8" w:rsidRDefault="00803892" w:rsidP="00E667C8">
      <w:pPr>
        <w:spacing w:line="360" w:lineRule="auto"/>
        <w:rPr>
          <w:rFonts w:ascii="Arial" w:hAnsi="Arial" w:cs="Arial"/>
          <w:b/>
          <w:bCs/>
        </w:rPr>
      </w:pPr>
    </w:p>
    <w:p w14:paraId="194E4398" w14:textId="77777777" w:rsidR="00803892" w:rsidRPr="00E667C8" w:rsidRDefault="00803892" w:rsidP="00E667C8">
      <w:pPr>
        <w:spacing w:line="360" w:lineRule="auto"/>
        <w:rPr>
          <w:rFonts w:ascii="Arial" w:hAnsi="Arial" w:cs="Arial"/>
          <w:b/>
          <w:bCs/>
        </w:rPr>
      </w:pPr>
    </w:p>
    <w:p w14:paraId="6A83E686" w14:textId="77777777" w:rsidR="00803892" w:rsidRPr="00E667C8" w:rsidRDefault="00803892" w:rsidP="00E667C8">
      <w:pPr>
        <w:spacing w:line="360" w:lineRule="auto"/>
        <w:rPr>
          <w:rFonts w:ascii="Arial" w:hAnsi="Arial" w:cs="Arial"/>
          <w:b/>
          <w:bCs/>
        </w:rPr>
      </w:pPr>
    </w:p>
    <w:p w14:paraId="612F8762" w14:textId="77777777" w:rsidR="00803892" w:rsidRPr="00E667C8" w:rsidRDefault="00803892" w:rsidP="00E667C8">
      <w:pPr>
        <w:spacing w:line="360" w:lineRule="auto"/>
        <w:rPr>
          <w:rFonts w:ascii="Arial" w:hAnsi="Arial" w:cs="Arial"/>
          <w:b/>
          <w:bCs/>
        </w:rPr>
      </w:pPr>
    </w:p>
    <w:p w14:paraId="7769993C" w14:textId="77777777" w:rsidR="00803892" w:rsidRDefault="00803892" w:rsidP="00E667C8">
      <w:pPr>
        <w:spacing w:line="360" w:lineRule="auto"/>
        <w:rPr>
          <w:rFonts w:ascii="Arial" w:hAnsi="Arial" w:cs="Arial"/>
          <w:b/>
          <w:bCs/>
        </w:rPr>
      </w:pPr>
    </w:p>
    <w:p w14:paraId="48B23898" w14:textId="77777777" w:rsidR="00E667C8" w:rsidRDefault="00E667C8" w:rsidP="00E667C8">
      <w:pPr>
        <w:spacing w:line="360" w:lineRule="auto"/>
        <w:rPr>
          <w:rFonts w:ascii="Arial" w:hAnsi="Arial" w:cs="Arial"/>
          <w:b/>
          <w:bCs/>
        </w:rPr>
      </w:pPr>
    </w:p>
    <w:p w14:paraId="2E46BBFB" w14:textId="77777777" w:rsidR="00E667C8" w:rsidRDefault="00E667C8" w:rsidP="00E667C8">
      <w:pPr>
        <w:spacing w:line="360" w:lineRule="auto"/>
        <w:rPr>
          <w:rFonts w:ascii="Arial" w:hAnsi="Arial" w:cs="Arial"/>
          <w:b/>
          <w:bCs/>
        </w:rPr>
      </w:pPr>
    </w:p>
    <w:p w14:paraId="07B9BE80" w14:textId="77777777" w:rsidR="00E667C8" w:rsidRDefault="00E667C8" w:rsidP="00E667C8">
      <w:pPr>
        <w:spacing w:line="360" w:lineRule="auto"/>
        <w:rPr>
          <w:rFonts w:ascii="Arial" w:hAnsi="Arial" w:cs="Arial"/>
          <w:b/>
          <w:bCs/>
        </w:rPr>
      </w:pPr>
    </w:p>
    <w:p w14:paraId="2582B0E8" w14:textId="77777777" w:rsidR="00E667C8" w:rsidRDefault="00E667C8" w:rsidP="00E667C8">
      <w:pPr>
        <w:spacing w:line="360" w:lineRule="auto"/>
        <w:rPr>
          <w:rFonts w:ascii="Arial" w:hAnsi="Arial" w:cs="Arial"/>
          <w:b/>
          <w:bCs/>
        </w:rPr>
      </w:pPr>
    </w:p>
    <w:p w14:paraId="4B781747" w14:textId="77777777" w:rsidR="00E667C8" w:rsidRDefault="00E667C8" w:rsidP="00E667C8">
      <w:pPr>
        <w:spacing w:line="360" w:lineRule="auto"/>
        <w:rPr>
          <w:rFonts w:ascii="Arial" w:hAnsi="Arial" w:cs="Arial"/>
          <w:b/>
          <w:bCs/>
        </w:rPr>
      </w:pPr>
    </w:p>
    <w:p w14:paraId="05D929FD" w14:textId="77777777" w:rsidR="00E667C8" w:rsidRDefault="00E667C8" w:rsidP="00E667C8">
      <w:pPr>
        <w:spacing w:line="360" w:lineRule="auto"/>
        <w:rPr>
          <w:rFonts w:ascii="Arial" w:hAnsi="Arial" w:cs="Arial"/>
          <w:b/>
          <w:bCs/>
        </w:rPr>
      </w:pPr>
    </w:p>
    <w:p w14:paraId="01706331" w14:textId="77777777" w:rsidR="00E667C8" w:rsidRDefault="00E667C8" w:rsidP="00E667C8">
      <w:pPr>
        <w:spacing w:line="360" w:lineRule="auto"/>
        <w:rPr>
          <w:rFonts w:ascii="Arial" w:hAnsi="Arial" w:cs="Arial"/>
          <w:b/>
          <w:bCs/>
        </w:rPr>
      </w:pPr>
    </w:p>
    <w:p w14:paraId="63F41CD7" w14:textId="77777777" w:rsidR="00E667C8" w:rsidRDefault="00E667C8" w:rsidP="00E667C8">
      <w:pPr>
        <w:spacing w:line="360" w:lineRule="auto"/>
        <w:rPr>
          <w:rFonts w:ascii="Arial" w:hAnsi="Arial" w:cs="Arial"/>
          <w:b/>
          <w:bCs/>
        </w:rPr>
      </w:pPr>
    </w:p>
    <w:p w14:paraId="4720A866" w14:textId="77777777" w:rsidR="00E667C8" w:rsidRDefault="00E667C8" w:rsidP="00E667C8">
      <w:pPr>
        <w:spacing w:line="360" w:lineRule="auto"/>
        <w:rPr>
          <w:rFonts w:ascii="Arial" w:hAnsi="Arial" w:cs="Arial"/>
          <w:b/>
          <w:bCs/>
        </w:rPr>
      </w:pPr>
    </w:p>
    <w:p w14:paraId="6DFFC649" w14:textId="77777777" w:rsidR="00E667C8" w:rsidRDefault="00E667C8" w:rsidP="00E667C8">
      <w:pPr>
        <w:spacing w:line="360" w:lineRule="auto"/>
        <w:rPr>
          <w:rFonts w:ascii="Arial" w:hAnsi="Arial" w:cs="Arial"/>
          <w:b/>
          <w:bCs/>
        </w:rPr>
      </w:pPr>
    </w:p>
    <w:p w14:paraId="54C27E4E" w14:textId="77777777" w:rsidR="00E667C8" w:rsidRPr="00E667C8" w:rsidRDefault="00E667C8" w:rsidP="00E667C8">
      <w:pPr>
        <w:spacing w:line="360" w:lineRule="auto"/>
        <w:rPr>
          <w:rFonts w:ascii="Arial" w:hAnsi="Arial" w:cs="Arial"/>
          <w:b/>
          <w:bCs/>
        </w:rPr>
      </w:pPr>
    </w:p>
    <w:p w14:paraId="29287C73" w14:textId="77777777" w:rsidR="009A4B52" w:rsidRPr="00E667C8" w:rsidRDefault="009A4B52" w:rsidP="00E667C8">
      <w:pPr>
        <w:pStyle w:val="Heading1"/>
        <w:spacing w:line="360" w:lineRule="auto"/>
        <w:rPr>
          <w:rFonts w:ascii="Arial" w:hAnsi="Arial" w:cs="Arial"/>
          <w:b/>
          <w:bCs/>
          <w:color w:val="000000" w:themeColor="text1"/>
          <w:sz w:val="24"/>
          <w:szCs w:val="24"/>
        </w:rPr>
      </w:pPr>
      <w:bookmarkStart w:id="0" w:name="_Toc172146445"/>
      <w:r w:rsidRPr="00E667C8">
        <w:rPr>
          <w:rFonts w:ascii="Arial" w:hAnsi="Arial" w:cs="Arial"/>
          <w:b/>
          <w:bCs/>
          <w:color w:val="000000" w:themeColor="text1"/>
          <w:sz w:val="24"/>
          <w:szCs w:val="24"/>
        </w:rPr>
        <w:t>Introduction</w:t>
      </w:r>
      <w:bookmarkEnd w:id="0"/>
    </w:p>
    <w:p w14:paraId="113AFF9A" w14:textId="77777777" w:rsidR="003A2297" w:rsidRPr="00E667C8" w:rsidRDefault="009D1F38" w:rsidP="00E667C8">
      <w:pPr>
        <w:spacing w:line="360" w:lineRule="auto"/>
        <w:rPr>
          <w:rFonts w:ascii="Arial" w:hAnsi="Arial" w:cs="Arial"/>
        </w:rPr>
      </w:pPr>
      <w:r w:rsidRPr="00E667C8">
        <w:rPr>
          <w:rFonts w:ascii="Arial" w:eastAsia="Times New Roman" w:hAnsi="Arial" w:cs="Arial"/>
        </w:rPr>
        <w:t>The general environment has a significant effect on shaping competitive strategies businesses pursue. Even though companies do not have control over what happens in the political, economic, technological, social, environmental, and legal spheres of a country, the resulting forces create opportunities and threats. Consequently, strategic managers react to opportunities to create economic and stakeholder value. The essay paper explains important variables by considering how each component of PESTLE is important. Moreover, the paper contextualises the discussions to determine their impact on businesses. Porter’s Five forces model also explains the forces that helps companies develop strategy for competitive advantage.</w:t>
      </w:r>
    </w:p>
    <w:p w14:paraId="1F6C76C9" w14:textId="77777777" w:rsidR="003A2297" w:rsidRPr="00E667C8" w:rsidRDefault="00BA76F8" w:rsidP="00E667C8">
      <w:pPr>
        <w:spacing w:line="360" w:lineRule="auto"/>
        <w:rPr>
          <w:rFonts w:ascii="Arial" w:hAnsi="Arial" w:cs="Arial"/>
          <w:b/>
          <w:bCs/>
        </w:rPr>
      </w:pPr>
      <w:r w:rsidRPr="00E667C8">
        <w:rPr>
          <w:rFonts w:ascii="Arial" w:hAnsi="Arial" w:cs="Arial"/>
          <w:b/>
          <w:bCs/>
        </w:rPr>
        <w:t xml:space="preserve">PESTLE ANALYSIS </w:t>
      </w:r>
      <w:r w:rsidR="00ED1CF4" w:rsidRPr="00E667C8">
        <w:rPr>
          <w:rFonts w:ascii="Arial" w:hAnsi="Arial" w:cs="Arial"/>
          <w:b/>
          <w:bCs/>
        </w:rPr>
        <w:t>–</w:t>
      </w:r>
      <w:r w:rsidRPr="00E667C8">
        <w:rPr>
          <w:rFonts w:ascii="Arial" w:hAnsi="Arial" w:cs="Arial"/>
          <w:b/>
          <w:bCs/>
        </w:rPr>
        <w:t xml:space="preserve"> </w:t>
      </w:r>
      <w:r w:rsidR="00ED1CF4" w:rsidRPr="00E667C8">
        <w:rPr>
          <w:rFonts w:ascii="Arial" w:hAnsi="Arial" w:cs="Arial"/>
          <w:b/>
          <w:bCs/>
        </w:rPr>
        <w:t xml:space="preserve">External Business </w:t>
      </w:r>
      <w:r w:rsidR="00EB372F" w:rsidRPr="00E667C8">
        <w:rPr>
          <w:rFonts w:ascii="Arial" w:hAnsi="Arial" w:cs="Arial"/>
          <w:b/>
          <w:bCs/>
        </w:rPr>
        <w:t>Environment Variables</w:t>
      </w:r>
    </w:p>
    <w:p w14:paraId="1F15CD92" w14:textId="4F4F3294" w:rsidR="00EB372F" w:rsidRPr="00E667C8" w:rsidRDefault="001975F1" w:rsidP="00E667C8">
      <w:pPr>
        <w:pStyle w:val="Heading2"/>
        <w:spacing w:line="360" w:lineRule="auto"/>
        <w:rPr>
          <w:rFonts w:ascii="Arial" w:hAnsi="Arial" w:cs="Arial"/>
          <w:b/>
          <w:bCs/>
          <w:color w:val="000000" w:themeColor="text1"/>
          <w:sz w:val="24"/>
          <w:szCs w:val="24"/>
        </w:rPr>
      </w:pPr>
      <w:bookmarkStart w:id="1" w:name="_Toc172146446"/>
      <w:r w:rsidRPr="00E667C8">
        <w:rPr>
          <w:rFonts w:ascii="Arial" w:hAnsi="Arial" w:cs="Arial"/>
          <w:b/>
          <w:bCs/>
          <w:color w:val="000000" w:themeColor="text1"/>
          <w:sz w:val="24"/>
          <w:szCs w:val="24"/>
        </w:rPr>
        <w:t xml:space="preserve">P – </w:t>
      </w:r>
      <w:r w:rsidR="00E667C8">
        <w:rPr>
          <w:rFonts w:ascii="Arial" w:hAnsi="Arial" w:cs="Arial"/>
          <w:b/>
          <w:bCs/>
          <w:color w:val="000000" w:themeColor="text1"/>
          <w:sz w:val="24"/>
          <w:szCs w:val="24"/>
        </w:rPr>
        <w:t>Political Analysis</w:t>
      </w:r>
      <w:bookmarkEnd w:id="1"/>
    </w:p>
    <w:p w14:paraId="227C17A2" w14:textId="77777777" w:rsidR="00043BD3" w:rsidRPr="00E667C8" w:rsidRDefault="003146DA" w:rsidP="00E667C8">
      <w:pPr>
        <w:spacing w:line="360" w:lineRule="auto"/>
        <w:rPr>
          <w:rFonts w:ascii="Arial" w:eastAsia="Times New Roman" w:hAnsi="Arial" w:cs="Arial"/>
        </w:rPr>
      </w:pPr>
      <w:r w:rsidRPr="00E667C8">
        <w:rPr>
          <w:rFonts w:ascii="Arial" w:eastAsia="Times New Roman" w:hAnsi="Arial" w:cs="Arial"/>
        </w:rPr>
        <w:t>The political environment is shaped by policies government leaders implement to share the market and, eventually, business strategic choices (Hesterly and Barney, 2014). The political landscape in the UK remains democratic, with a stable governance system that support consistent policies. The MarketLine (2023) UK has effective governance, and political stability and ranks high against Europe average in government integrity with a score of 84.1 (achieved a free country) on political policies to support businesses. UK’s policy on corporate tax covers a standard value-added tax (VAT) of 20% for the majority of goods and services, 5% on a reduced rate for some goods and services including, home energy children car seats, and 0% for zero-rated goods and services for companies that manufacture children’s clothes (Government of UK 2024). Zero-rated and 5% on reduced rate, facilitated the formation of many companies. A similar case with Five Forces model, the threat of entry makes government policies facilitate the formation of companies by removing limitations in the market (Porter, 2008). As a result of this, many companies now have opportunities to increase production and employment rates.</w:t>
      </w:r>
    </w:p>
    <w:p w14:paraId="0DA3612B" w14:textId="77777777" w:rsidR="003A2297" w:rsidRDefault="00026D4D" w:rsidP="00E667C8">
      <w:pPr>
        <w:spacing w:line="360" w:lineRule="auto"/>
        <w:rPr>
          <w:rFonts w:ascii="Arial" w:hAnsi="Arial" w:cs="Arial"/>
        </w:rPr>
      </w:pPr>
      <w:r w:rsidRPr="00E667C8">
        <w:rPr>
          <w:rFonts w:ascii="Arial" w:eastAsia="Times New Roman" w:hAnsi="Arial" w:cs="Arial"/>
        </w:rPr>
        <w:t xml:space="preserve">When the UK left the European Union market on 31 December 2020, it succeeded in replacing numerous trade relations. In 2021, the UK formulated 36 UK Free Trade Agreements. Some of the agreements include the EU-UK Trade and the Corporation </w:t>
      </w:r>
      <w:r w:rsidRPr="00E667C8">
        <w:rPr>
          <w:rFonts w:ascii="Arial" w:eastAsia="Times New Roman" w:hAnsi="Arial" w:cs="Arial"/>
        </w:rPr>
        <w:lastRenderedPageBreak/>
        <w:t xml:space="preserve">Agreement (TCA) (Berg, 2024). The new FTAs have facilitated potential cost savings for all industrial exports from the UK. For example, companies that export to New Zealand, Australia, and Malaysia now save 1.7%, 2.6%, and 6.4%, respectively (Loannides, 2023). FTAs with the EU helped create an opportunity for a majority of companies in the UK to export their goods and services. Similarly, free trade attracted many companies to important products from EU markets (UK Government, 2024). As shown in Figure 1 below, many companies adjusted their initial strategies in 2019 in preparation for the UK exit from the EU. Besides, it took almost one year to adapt its strategy to the new trade agreements, leading to increased business exports and imports from 2021 to </w:t>
      </w:r>
      <w:r w:rsidR="00471FB0" w:rsidRPr="00E667C8">
        <w:rPr>
          <w:rFonts w:ascii="Arial" w:hAnsi="Arial" w:cs="Arial"/>
        </w:rPr>
        <w:t>date.</w:t>
      </w:r>
    </w:p>
    <w:p w14:paraId="77A20069" w14:textId="60D0B1DE" w:rsidR="00A07F2F" w:rsidRPr="00E667C8" w:rsidRDefault="00A07F2F" w:rsidP="00E667C8">
      <w:pPr>
        <w:spacing w:line="360" w:lineRule="auto"/>
        <w:rPr>
          <w:rFonts w:ascii="Arial" w:hAnsi="Arial" w:cs="Arial"/>
        </w:rPr>
      </w:pPr>
      <w:r>
        <w:rPr>
          <w:rFonts w:ascii="Arial" w:hAnsi="Arial" w:cs="Arial"/>
        </w:rPr>
        <w:t xml:space="preserve">(Figure 1 - </w:t>
      </w:r>
      <w:r w:rsidRPr="00A07F2F">
        <w:rPr>
          <w:rFonts w:ascii="Arial" w:hAnsi="Arial" w:cs="Arial"/>
        </w:rPr>
        <w:t>EU trade in goods and servi</w:t>
      </w:r>
      <w:r>
        <w:rPr>
          <w:rFonts w:ascii="Arial" w:hAnsi="Arial" w:cs="Arial"/>
        </w:rPr>
        <w:t>ces, p.8)</w:t>
      </w:r>
    </w:p>
    <w:p w14:paraId="7E32EA8C" w14:textId="77777777" w:rsidR="00EE2F77" w:rsidRPr="00A07F2F" w:rsidRDefault="00EE2F77" w:rsidP="00E667C8">
      <w:pPr>
        <w:pStyle w:val="Heading2"/>
        <w:spacing w:line="360" w:lineRule="auto"/>
        <w:rPr>
          <w:rFonts w:ascii="Arial" w:hAnsi="Arial" w:cs="Arial"/>
          <w:b/>
          <w:bCs/>
          <w:color w:val="000000" w:themeColor="text1"/>
          <w:sz w:val="24"/>
          <w:szCs w:val="24"/>
        </w:rPr>
      </w:pPr>
      <w:bookmarkStart w:id="2" w:name="_Toc172146447"/>
      <w:r w:rsidRPr="00A07F2F">
        <w:rPr>
          <w:rFonts w:ascii="Arial" w:hAnsi="Arial" w:cs="Arial"/>
          <w:b/>
          <w:bCs/>
          <w:color w:val="000000" w:themeColor="text1"/>
          <w:sz w:val="24"/>
          <w:szCs w:val="24"/>
        </w:rPr>
        <w:t>E – Economical Analysis</w:t>
      </w:r>
      <w:bookmarkEnd w:id="2"/>
    </w:p>
    <w:p w14:paraId="025D0648" w14:textId="77777777" w:rsidR="00471FB0" w:rsidRDefault="004D58AF" w:rsidP="00E667C8">
      <w:pPr>
        <w:spacing w:line="360" w:lineRule="auto"/>
        <w:rPr>
          <w:rFonts w:ascii="Arial" w:hAnsi="Arial" w:cs="Arial"/>
        </w:rPr>
      </w:pPr>
      <w:r w:rsidRPr="00E667C8">
        <w:rPr>
          <w:rFonts w:ascii="Arial" w:hAnsi="Arial" w:cs="Arial"/>
        </w:rPr>
        <w:t>Major economic factors</w:t>
      </w:r>
      <w:r w:rsidR="009B2C4A" w:rsidRPr="00E667C8">
        <w:rPr>
          <w:rFonts w:ascii="Arial" w:hAnsi="Arial" w:cs="Arial"/>
        </w:rPr>
        <w:t xml:space="preserve"> t</w:t>
      </w:r>
      <w:r w:rsidRPr="00E667C8">
        <w:rPr>
          <w:rFonts w:ascii="Arial" w:hAnsi="Arial" w:cs="Arial"/>
        </w:rPr>
        <w:t>hat affect business operations include</w:t>
      </w:r>
      <w:r w:rsidR="009B2C4A" w:rsidRPr="00E667C8">
        <w:rPr>
          <w:rFonts w:ascii="Arial" w:hAnsi="Arial" w:cs="Arial"/>
        </w:rPr>
        <w:t xml:space="preserve"> </w:t>
      </w:r>
      <w:r w:rsidRPr="00E667C8">
        <w:rPr>
          <w:rFonts w:ascii="Arial" w:hAnsi="Arial" w:cs="Arial"/>
        </w:rPr>
        <w:t>the country’s gross domestic product, government debts, economic growth, interest rates and inflation. Figure 2 below shows the UK experienced higher than four interest rates for the period between 1995 – 2009. Many companies passed inflation on buyers whose disposable income was lower already. According to Five Forces model, Porter argues that rivalry among competitors occurs based on pricing because of</w:t>
      </w:r>
      <w:r w:rsidR="00A62E1D" w:rsidRPr="00E667C8">
        <w:rPr>
          <w:rFonts w:ascii="Arial" w:hAnsi="Arial" w:cs="Arial"/>
        </w:rPr>
        <w:t xml:space="preserve"> e</w:t>
      </w:r>
      <w:r w:rsidRPr="00E667C8">
        <w:rPr>
          <w:rFonts w:ascii="Arial" w:hAnsi="Arial" w:cs="Arial"/>
        </w:rPr>
        <w:t xml:space="preserve">conomic measures such as interest rates, marginal costs, and other fixed costs from the economy. Hence, the recent policy to begin raising interest rates seeks to lower inflation. The policy created an opportunity for many companies to adopt lower cost strategies by lowering the pricing charged to products and services. Consequently, increased demand meant companies with lower capacity devised a strategic choice to recruit move employees to meet the ever-increasing demand. </w:t>
      </w:r>
    </w:p>
    <w:p w14:paraId="29089625" w14:textId="1D598B09" w:rsidR="00A07F2F" w:rsidRPr="00E667C8" w:rsidRDefault="00A07F2F" w:rsidP="00E667C8">
      <w:pPr>
        <w:spacing w:line="360" w:lineRule="auto"/>
        <w:rPr>
          <w:rFonts w:ascii="Arial" w:hAnsi="Arial" w:cs="Arial"/>
        </w:rPr>
      </w:pPr>
      <w:r>
        <w:rPr>
          <w:rFonts w:ascii="Arial" w:hAnsi="Arial" w:cs="Arial"/>
        </w:rPr>
        <w:t xml:space="preserve">(Figure 2 - </w:t>
      </w:r>
      <w:r w:rsidRPr="00A07F2F">
        <w:rPr>
          <w:rFonts w:ascii="Arial" w:hAnsi="Arial" w:cs="Arial"/>
        </w:rPr>
        <w:t>Historical performance of bank rates</w:t>
      </w:r>
      <w:r>
        <w:rPr>
          <w:rFonts w:ascii="Arial" w:hAnsi="Arial" w:cs="Arial"/>
        </w:rPr>
        <w:t>, p8)</w:t>
      </w:r>
    </w:p>
    <w:p w14:paraId="718D4CDA" w14:textId="77777777" w:rsidR="007216F5" w:rsidRPr="00E667C8" w:rsidRDefault="0036566E" w:rsidP="00E667C8">
      <w:pPr>
        <w:pStyle w:val="Heading2"/>
        <w:spacing w:line="360" w:lineRule="auto"/>
        <w:rPr>
          <w:rFonts w:ascii="Arial" w:hAnsi="Arial" w:cs="Arial"/>
          <w:b/>
          <w:bCs/>
          <w:color w:val="000000" w:themeColor="text1"/>
          <w:sz w:val="24"/>
          <w:szCs w:val="24"/>
        </w:rPr>
      </w:pPr>
      <w:bookmarkStart w:id="3" w:name="_Toc172146448"/>
      <w:r w:rsidRPr="00E667C8">
        <w:rPr>
          <w:rFonts w:ascii="Arial" w:hAnsi="Arial" w:cs="Arial"/>
          <w:b/>
          <w:bCs/>
          <w:color w:val="000000" w:themeColor="text1"/>
          <w:sz w:val="24"/>
          <w:szCs w:val="24"/>
        </w:rPr>
        <w:t xml:space="preserve">S - </w:t>
      </w:r>
      <w:r w:rsidR="00241CD2" w:rsidRPr="00E667C8">
        <w:rPr>
          <w:rFonts w:ascii="Arial" w:hAnsi="Arial" w:cs="Arial"/>
          <w:b/>
          <w:bCs/>
          <w:color w:val="000000" w:themeColor="text1"/>
          <w:sz w:val="24"/>
          <w:szCs w:val="24"/>
        </w:rPr>
        <w:t>Sociocultural Analysis</w:t>
      </w:r>
      <w:bookmarkEnd w:id="3"/>
    </w:p>
    <w:p w14:paraId="54CA4B71" w14:textId="106EEFFA" w:rsidR="00241CD2" w:rsidRPr="00E667C8" w:rsidRDefault="005629A9" w:rsidP="00E667C8">
      <w:pPr>
        <w:spacing w:after="0" w:line="360" w:lineRule="auto"/>
        <w:rPr>
          <w:rFonts w:ascii="Arial" w:hAnsi="Arial" w:cs="Arial"/>
          <w:b/>
          <w:bCs/>
        </w:rPr>
      </w:pPr>
      <w:r w:rsidRPr="00E667C8">
        <w:rPr>
          <w:rFonts w:ascii="Arial" w:hAnsi="Arial" w:cs="Arial"/>
        </w:rPr>
        <w:t xml:space="preserve">Hesterly and Barney (2014) define demographics as a general environment that covers the distribution of people in a society defined by their personal attributes like ethnicity, cone, marital status, age, and sex. These factors significantly determine buying behaviour. A firm that understands these factors can easily determine the appeal of its products. The life expectancy is estimated to be 80.42 years with women having more years at 82.68 while men had 78.26 years. Moreover, the ethnic </w:t>
      </w:r>
      <w:r w:rsidRPr="00E667C8">
        <w:rPr>
          <w:rFonts w:ascii="Arial" w:hAnsi="Arial" w:cs="Arial"/>
        </w:rPr>
        <w:lastRenderedPageBreak/>
        <w:t xml:space="preserve">composition of the country has a majority of people as white (87.2%), </w:t>
      </w:r>
      <w:r w:rsidR="00015101" w:rsidRPr="00E667C8">
        <w:rPr>
          <w:rFonts w:ascii="Arial" w:hAnsi="Arial" w:cs="Arial"/>
        </w:rPr>
        <w:t>Black</w:t>
      </w:r>
      <w:r w:rsidRPr="00E667C8">
        <w:rPr>
          <w:rFonts w:ascii="Arial" w:hAnsi="Arial" w:cs="Arial"/>
        </w:rPr>
        <w:t>/African/Black British/Caribbean at 3%, Asian/Asian British Indian at 2.3%, while Asian British from Pakistan account for 1.9%. The major religion comprises of Christians (59.5%), Muslims (4.4%), the unspecified accounts for around 7.2%. The UK also has one of the high-quality educational infrastructures and historically continues to attract students who come from across the world</w:t>
      </w:r>
      <w:r w:rsidRPr="00E667C8">
        <w:rPr>
          <w:rFonts w:ascii="Arial" w:hAnsi="Arial" w:cs="Arial"/>
          <w:b/>
          <w:bCs/>
        </w:rPr>
        <w:t xml:space="preserve">. </w:t>
      </w:r>
    </w:p>
    <w:p w14:paraId="6FBD1ED1" w14:textId="77777777" w:rsidR="0025053E" w:rsidRPr="00E667C8" w:rsidRDefault="0025053E" w:rsidP="00E667C8">
      <w:pPr>
        <w:spacing w:after="0" w:line="360" w:lineRule="auto"/>
        <w:rPr>
          <w:rFonts w:ascii="Arial" w:hAnsi="Arial" w:cs="Arial"/>
          <w:b/>
          <w:bCs/>
        </w:rPr>
      </w:pPr>
    </w:p>
    <w:p w14:paraId="45541FED" w14:textId="77777777" w:rsidR="003A2297" w:rsidRPr="00E667C8" w:rsidRDefault="0025053E" w:rsidP="00E667C8">
      <w:pPr>
        <w:spacing w:after="0" w:line="360" w:lineRule="auto"/>
        <w:rPr>
          <w:rFonts w:ascii="Arial" w:hAnsi="Arial" w:cs="Arial"/>
        </w:rPr>
      </w:pPr>
      <w:r w:rsidRPr="00E667C8">
        <w:rPr>
          <w:rFonts w:ascii="Arial" w:hAnsi="Arial" w:cs="Arial"/>
        </w:rPr>
        <w:t xml:space="preserve">With an aging population, the country’s population falls within the baby boom generations between over the period between 1946 and 1964. Many of them have adopted the “buy now, pay later attitude towards money. They are yet to save enough for their retirement. While Generation X have been found to be conservative when dealing with finances. They have aggressive behaviours when saving for their future. Businesses that manufacture products targeting Gen X are conscious of spending. Francis and Hoefel (2018) note that Gen Z are first generations with true digital natives. According to Five Forces Model, the power of buyers brings into focus different customers businesses serve. Customers are likely to have higher negotiating leverage in a case where they are few in number, the industry has standardized products, and face few switching costs. Young people in the UK value expression, avoid labels, mobilise for various causes, and believe in dialogue to solve conflicts affecting them (Bazzoni, 2023). Companies are now responding to this move through digital transformation to meet their needs. </w:t>
      </w:r>
    </w:p>
    <w:p w14:paraId="4759A56F" w14:textId="77777777" w:rsidR="00D1002C" w:rsidRPr="00E667C8" w:rsidRDefault="00D1002C" w:rsidP="00E667C8">
      <w:pPr>
        <w:spacing w:after="0" w:line="360" w:lineRule="auto"/>
        <w:rPr>
          <w:rFonts w:ascii="Arial" w:hAnsi="Arial" w:cs="Arial"/>
        </w:rPr>
      </w:pPr>
    </w:p>
    <w:p w14:paraId="552C6119" w14:textId="77777777" w:rsidR="00D1002C" w:rsidRPr="00E667C8" w:rsidRDefault="003C5009" w:rsidP="00E667C8">
      <w:pPr>
        <w:pStyle w:val="Heading2"/>
        <w:spacing w:line="360" w:lineRule="auto"/>
        <w:rPr>
          <w:rFonts w:ascii="Arial" w:hAnsi="Arial" w:cs="Arial"/>
          <w:b/>
          <w:bCs/>
          <w:color w:val="000000" w:themeColor="text1"/>
          <w:sz w:val="24"/>
          <w:szCs w:val="24"/>
        </w:rPr>
      </w:pPr>
      <w:bookmarkStart w:id="4" w:name="_Toc172146449"/>
      <w:r w:rsidRPr="00E667C8">
        <w:rPr>
          <w:rFonts w:ascii="Arial" w:hAnsi="Arial" w:cs="Arial"/>
          <w:b/>
          <w:bCs/>
          <w:color w:val="000000" w:themeColor="text1"/>
          <w:sz w:val="24"/>
          <w:szCs w:val="24"/>
        </w:rPr>
        <w:t xml:space="preserve">T - </w:t>
      </w:r>
      <w:r w:rsidR="001E250C" w:rsidRPr="00E667C8">
        <w:rPr>
          <w:rFonts w:ascii="Arial" w:hAnsi="Arial" w:cs="Arial"/>
          <w:b/>
          <w:bCs/>
          <w:color w:val="000000" w:themeColor="text1"/>
          <w:sz w:val="24"/>
          <w:szCs w:val="24"/>
        </w:rPr>
        <w:t>Technology Analysis</w:t>
      </w:r>
      <w:bookmarkEnd w:id="4"/>
    </w:p>
    <w:p w14:paraId="2295EAC1" w14:textId="77777777" w:rsidR="003A2297" w:rsidRPr="00E667C8" w:rsidRDefault="003A2297" w:rsidP="00E667C8">
      <w:pPr>
        <w:spacing w:line="360" w:lineRule="auto"/>
        <w:rPr>
          <w:rFonts w:ascii="Arial" w:hAnsi="Arial" w:cs="Arial"/>
        </w:rPr>
      </w:pPr>
    </w:p>
    <w:p w14:paraId="6C5BAC74" w14:textId="77777777" w:rsidR="00551F99" w:rsidRPr="00E667C8" w:rsidRDefault="004F4B8D" w:rsidP="00E667C8">
      <w:pPr>
        <w:spacing w:line="360" w:lineRule="auto"/>
        <w:rPr>
          <w:rFonts w:ascii="Arial" w:hAnsi="Arial" w:cs="Arial"/>
        </w:rPr>
      </w:pPr>
      <w:r w:rsidRPr="00E667C8">
        <w:rPr>
          <w:rFonts w:ascii="Arial" w:hAnsi="Arial" w:cs="Arial"/>
        </w:rPr>
        <w:t xml:space="preserve">The UK government has formulated policies supporting R&amp;D and property rights funding. The government has shown commitment towards R&amp;D with ambitious funding of over £20 billion annually by the end of 2025. The government seeks to boost that to hit £22 billion in 2030. Such objectives offer solid foundations to drive future innovation (MarketLine, 2023). According to the Five Forces framework, Porter argues that competing firms depend on technology as one of the factors when they want to create competitive advantage. Various forms include tax credits, funding programs, and grants. For example, the R&amp;D Tax Scheme implemented in 2000 remains significant in encouraging businesses to invest in innovation. In 2000, the </w:t>
      </w:r>
      <w:r w:rsidRPr="00E667C8">
        <w:rPr>
          <w:rFonts w:ascii="Arial" w:hAnsi="Arial" w:cs="Arial"/>
        </w:rPr>
        <w:lastRenderedPageBreak/>
        <w:t xml:space="preserve">government invested £61.8 billion in R&amp;D (UK Research and Innovation [UKRI], 2023). </w:t>
      </w:r>
    </w:p>
    <w:p w14:paraId="13F3BCC7" w14:textId="0179B11F" w:rsidR="00551F99" w:rsidRPr="00E667C8" w:rsidRDefault="00551F99" w:rsidP="00E667C8">
      <w:pPr>
        <w:spacing w:line="360" w:lineRule="auto"/>
        <w:rPr>
          <w:rFonts w:ascii="Arial" w:hAnsi="Arial" w:cs="Arial"/>
        </w:rPr>
      </w:pPr>
      <w:r w:rsidRPr="00E667C8">
        <w:rPr>
          <w:rFonts w:ascii="Arial" w:hAnsi="Arial" w:cs="Arial"/>
        </w:rPr>
        <w:t xml:space="preserve">The growth of technology in the UK has contributed towards many businesses adopting digital transformation efforts. The number of businesses on online platforms has more than doubled in the last three years. Consequently, most of the country’s population now use digital platforms whenever they want to buy their products. Statista (2023) states this number will </w:t>
      </w:r>
      <w:r w:rsidR="00015101" w:rsidRPr="00E667C8">
        <w:rPr>
          <w:rFonts w:ascii="Arial" w:hAnsi="Arial" w:cs="Arial"/>
        </w:rPr>
        <w:t>increase</w:t>
      </w:r>
      <w:r w:rsidRPr="00E667C8">
        <w:rPr>
          <w:rFonts w:ascii="Arial" w:hAnsi="Arial" w:cs="Arial"/>
        </w:rPr>
        <w:t xml:space="preserve"> with 80% of brick-and-mortar moving to digital platforms to offer innovative products. </w:t>
      </w:r>
    </w:p>
    <w:p w14:paraId="089DE1A8" w14:textId="77777777" w:rsidR="003A2297" w:rsidRPr="00E667C8" w:rsidRDefault="0013672C" w:rsidP="00E667C8">
      <w:pPr>
        <w:pStyle w:val="Heading2"/>
        <w:spacing w:line="360" w:lineRule="auto"/>
        <w:rPr>
          <w:rFonts w:ascii="Arial" w:hAnsi="Arial" w:cs="Arial"/>
          <w:b/>
          <w:bCs/>
          <w:color w:val="000000" w:themeColor="text1"/>
          <w:sz w:val="24"/>
          <w:szCs w:val="24"/>
        </w:rPr>
      </w:pPr>
      <w:bookmarkStart w:id="5" w:name="_Toc172146450"/>
      <w:r w:rsidRPr="00E667C8">
        <w:rPr>
          <w:rFonts w:ascii="Arial" w:hAnsi="Arial" w:cs="Arial"/>
          <w:b/>
          <w:bCs/>
          <w:color w:val="000000" w:themeColor="text1"/>
          <w:sz w:val="24"/>
          <w:szCs w:val="24"/>
        </w:rPr>
        <w:t>E - Environmental Analysis</w:t>
      </w:r>
      <w:bookmarkEnd w:id="5"/>
    </w:p>
    <w:p w14:paraId="2BE6A8D3" w14:textId="77777777" w:rsidR="00D97F19" w:rsidRPr="00E667C8" w:rsidRDefault="00D97F19" w:rsidP="00E667C8">
      <w:pPr>
        <w:spacing w:line="360" w:lineRule="auto"/>
        <w:rPr>
          <w:rFonts w:ascii="Arial" w:hAnsi="Arial" w:cs="Arial"/>
        </w:rPr>
      </w:pPr>
      <w:r w:rsidRPr="00E667C8">
        <w:rPr>
          <w:rFonts w:ascii="Arial" w:hAnsi="Arial" w:cs="Arial"/>
        </w:rPr>
        <w:t xml:space="preserve">The 2023 report done by the Climate Change Committee (2023) revealed the successes and failures of the UK government to achieve net zero across many industries. The core polluting industries in the country since 1990 to 2020 include agriculture, building, transport, waste disposal, F-gas, and power. However, the government has succeeded in influencing businesses to progress toward decarbonisation. However, emission reduction depends highly on the changes occurring in each sector. The 2016 Energy Act was formulated to help businesses invest in efficient business operations to reduce carbon emissions (Spragg and Evans, 2017; Climate Change Committee, 2023). </w:t>
      </w:r>
    </w:p>
    <w:p w14:paraId="4AE7625F" w14:textId="77777777" w:rsidR="00D97F19" w:rsidRPr="00E667C8" w:rsidRDefault="00803892" w:rsidP="00E667C8">
      <w:pPr>
        <w:spacing w:line="360" w:lineRule="auto"/>
        <w:rPr>
          <w:rFonts w:ascii="Arial" w:hAnsi="Arial" w:cs="Arial"/>
        </w:rPr>
      </w:pPr>
      <w:r w:rsidRPr="00E667C8">
        <w:rPr>
          <w:rFonts w:ascii="Arial" w:hAnsi="Arial" w:cs="Arial"/>
        </w:rPr>
        <w:t xml:space="preserve">Part of the country’s growth efforts includes the use of natural resources. The UK government works closely with businesses to identify effective practices for achieving Green Growth. For example, a majority of companies operating in the North and South have begun to tape the government assistance to achieve net zero by 2030. Compared to 1990, the government has successfully formulated a carbon budget up to 2016 (Burggraaf, 2023). The government’s policy has also shaped the desire of many businesses to adopt efficient practices. </w:t>
      </w:r>
    </w:p>
    <w:p w14:paraId="29B5A770" w14:textId="77777777" w:rsidR="002F23E8" w:rsidRPr="00E667C8" w:rsidRDefault="0013672C" w:rsidP="00E667C8">
      <w:pPr>
        <w:pStyle w:val="Heading2"/>
        <w:spacing w:line="360" w:lineRule="auto"/>
        <w:rPr>
          <w:rFonts w:ascii="Arial" w:hAnsi="Arial" w:cs="Arial"/>
          <w:b/>
          <w:bCs/>
          <w:color w:val="000000" w:themeColor="text1"/>
          <w:sz w:val="24"/>
          <w:szCs w:val="24"/>
        </w:rPr>
      </w:pPr>
      <w:bookmarkStart w:id="6" w:name="_Toc172146451"/>
      <w:r w:rsidRPr="00E667C8">
        <w:rPr>
          <w:rFonts w:ascii="Arial" w:hAnsi="Arial" w:cs="Arial"/>
          <w:b/>
          <w:bCs/>
          <w:color w:val="000000" w:themeColor="text1"/>
          <w:sz w:val="24"/>
          <w:szCs w:val="24"/>
        </w:rPr>
        <w:t>L - Legal Analysis</w:t>
      </w:r>
      <w:bookmarkEnd w:id="6"/>
    </w:p>
    <w:p w14:paraId="38E52DC2" w14:textId="77777777" w:rsidR="00891586" w:rsidRPr="00E667C8" w:rsidRDefault="00891586" w:rsidP="00E667C8">
      <w:pPr>
        <w:spacing w:line="360" w:lineRule="auto"/>
        <w:rPr>
          <w:rFonts w:ascii="Arial" w:hAnsi="Arial" w:cs="Arial"/>
        </w:rPr>
      </w:pPr>
    </w:p>
    <w:p w14:paraId="4B193C8C" w14:textId="6A991905" w:rsidR="00891586" w:rsidRPr="00E667C8" w:rsidRDefault="00891586" w:rsidP="00E667C8">
      <w:pPr>
        <w:spacing w:line="360" w:lineRule="auto"/>
        <w:rPr>
          <w:rFonts w:ascii="Arial" w:hAnsi="Arial" w:cs="Arial"/>
        </w:rPr>
      </w:pPr>
      <w:r w:rsidRPr="00E667C8">
        <w:rPr>
          <w:rFonts w:ascii="Arial" w:hAnsi="Arial" w:cs="Arial"/>
        </w:rPr>
        <w:t xml:space="preserve">The legal analysis for the UK depends on the overall freedom for foreigners and nationals to conduct business in the country. The UK scored 82.7, achieving the status of the most accessible country to conduct business globally. The freedom to do business comes from the formulation and implementation of laws that seek to </w:t>
      </w:r>
      <w:r w:rsidRPr="00E667C8">
        <w:rPr>
          <w:rFonts w:ascii="Arial" w:hAnsi="Arial" w:cs="Arial"/>
        </w:rPr>
        <w:lastRenderedPageBreak/>
        <w:t>benefit businesses (Heritage, 2024). This move has helped in attracting many domestic and foreign players to establish businesses in the country. For example, many of the multinational corporations that are located outside of Europe, like to have control of UK operations. The 2024 Index from Heritage Organisation revealed an overall score of 68.6 and a ranking at position 30. This places the country as the freest environment where investors can easily set up a business. The country ranks above the European average (67.2) and</w:t>
      </w:r>
      <w:r w:rsidR="00E667C8">
        <w:rPr>
          <w:rFonts w:ascii="Arial" w:hAnsi="Arial" w:cs="Arial"/>
        </w:rPr>
        <w:t xml:space="preserve"> </w:t>
      </w:r>
      <w:r w:rsidRPr="00E667C8">
        <w:rPr>
          <w:rFonts w:ascii="Arial" w:hAnsi="Arial" w:cs="Arial"/>
        </w:rPr>
        <w:t>a global average of 58.6. Some of the</w:t>
      </w:r>
      <w:r w:rsidR="00E667C8">
        <w:rPr>
          <w:rFonts w:ascii="Arial" w:hAnsi="Arial" w:cs="Arial"/>
        </w:rPr>
        <w:t xml:space="preserve"> </w:t>
      </w:r>
      <w:r w:rsidRPr="00E667C8">
        <w:rPr>
          <w:rFonts w:ascii="Arial" w:hAnsi="Arial" w:cs="Arial"/>
        </w:rPr>
        <w:t>factors that contribute to the freedom of conducting businesses include freedom to invest, financial freedom to access funding from banking institutions, trade, and monetary freedom. The government has tried to eliminate all factors contributing to economic challenges. Porters Five Forces model states governments use laws to ease the rate of market entry and doing business.</w:t>
      </w:r>
    </w:p>
    <w:p w14:paraId="2234B53B" w14:textId="77777777" w:rsidR="00891586" w:rsidRPr="00E667C8" w:rsidRDefault="00B226D7" w:rsidP="00E667C8">
      <w:pPr>
        <w:pStyle w:val="Heading3"/>
        <w:spacing w:line="360" w:lineRule="auto"/>
        <w:rPr>
          <w:rFonts w:ascii="Arial" w:hAnsi="Arial" w:cs="Arial"/>
          <w:b/>
          <w:bCs/>
          <w:color w:val="000000" w:themeColor="text1"/>
          <w:sz w:val="24"/>
          <w:szCs w:val="24"/>
        </w:rPr>
      </w:pPr>
      <w:bookmarkStart w:id="7" w:name="_Toc172146452"/>
      <w:r w:rsidRPr="00E667C8">
        <w:rPr>
          <w:rFonts w:ascii="Arial" w:hAnsi="Arial" w:cs="Arial"/>
          <w:b/>
          <w:bCs/>
          <w:color w:val="000000" w:themeColor="text1"/>
          <w:sz w:val="24"/>
          <w:szCs w:val="24"/>
        </w:rPr>
        <w:t>Conclusion</w:t>
      </w:r>
      <w:bookmarkEnd w:id="7"/>
    </w:p>
    <w:p w14:paraId="5B196143" w14:textId="77777777" w:rsidR="003A2297" w:rsidRPr="00E667C8" w:rsidRDefault="00360474" w:rsidP="00E667C8">
      <w:pPr>
        <w:spacing w:line="360" w:lineRule="auto"/>
        <w:rPr>
          <w:rFonts w:ascii="Arial" w:hAnsi="Arial" w:cs="Arial"/>
        </w:rPr>
      </w:pPr>
      <w:r w:rsidRPr="00E667C8">
        <w:rPr>
          <w:rFonts w:ascii="Arial" w:hAnsi="Arial" w:cs="Arial"/>
        </w:rPr>
        <w:t>The general environment where businesses operate defines opportunities and threats for businesses to thrive. Policies from local and central governments inform the general environment implement policies around economics, trade, technology, social, and legal to shape what companies can do. Similarly, Porter’s Five Forces framework allow businesses to understand the forces that are likely to affect them.</w:t>
      </w:r>
    </w:p>
    <w:p w14:paraId="77B53675" w14:textId="77777777" w:rsidR="003A2297" w:rsidRPr="00E667C8" w:rsidRDefault="003A2297" w:rsidP="00E667C8">
      <w:pPr>
        <w:spacing w:line="360" w:lineRule="auto"/>
        <w:rPr>
          <w:rFonts w:ascii="Arial" w:hAnsi="Arial" w:cs="Arial"/>
        </w:rPr>
      </w:pPr>
    </w:p>
    <w:p w14:paraId="7DF70EA7" w14:textId="77777777" w:rsidR="00B226D7" w:rsidRDefault="00B226D7">
      <w:pPr>
        <w:rPr>
          <w:rFonts w:ascii="Arial" w:hAnsi="Arial" w:cs="Arial"/>
        </w:rPr>
      </w:pPr>
    </w:p>
    <w:p w14:paraId="09FA08F1" w14:textId="77777777" w:rsidR="00B226D7" w:rsidRDefault="00B226D7">
      <w:pPr>
        <w:rPr>
          <w:rFonts w:ascii="Arial" w:hAnsi="Arial" w:cs="Arial"/>
        </w:rPr>
      </w:pPr>
    </w:p>
    <w:p w14:paraId="5835CB28" w14:textId="77777777" w:rsidR="00B226D7" w:rsidRDefault="00B226D7"/>
    <w:p w14:paraId="22BFB3EC" w14:textId="77777777" w:rsidR="002B2EB7" w:rsidRDefault="002B2EB7"/>
    <w:p w14:paraId="2F6617E9" w14:textId="77777777" w:rsidR="002B2EB7" w:rsidRDefault="002B2EB7"/>
    <w:p w14:paraId="7AB021CE" w14:textId="77777777" w:rsidR="002B2EB7" w:rsidRDefault="002B2EB7"/>
    <w:p w14:paraId="520DC5B5" w14:textId="77777777" w:rsidR="002B2EB7" w:rsidRDefault="002B2EB7"/>
    <w:p w14:paraId="7566A3EA" w14:textId="77777777" w:rsidR="002B2EB7" w:rsidRDefault="002B2EB7"/>
    <w:p w14:paraId="7DAB4F2D" w14:textId="77777777" w:rsidR="002B2EB7" w:rsidRDefault="002B2EB7"/>
    <w:p w14:paraId="30096543" w14:textId="77777777" w:rsidR="002B2EB7" w:rsidRDefault="002B2EB7"/>
    <w:p w14:paraId="737E952D" w14:textId="77777777" w:rsidR="002B2EB7" w:rsidRDefault="002B2EB7"/>
    <w:p w14:paraId="2BACA3FE" w14:textId="7F462872" w:rsidR="005E48F2" w:rsidRPr="00A07F2F" w:rsidRDefault="007E354A">
      <w:pPr>
        <w:rPr>
          <w:rFonts w:ascii="Arial" w:hAnsi="Arial" w:cs="Arial"/>
        </w:rPr>
      </w:pPr>
      <w:r w:rsidRPr="00A07F2F">
        <w:rPr>
          <w:rFonts w:ascii="Arial" w:eastAsia="Times New Roman" w:hAnsi="Arial" w:cs="Arial"/>
          <w:noProof/>
        </w:rPr>
        <w:lastRenderedPageBreak/>
        <w:drawing>
          <wp:anchor distT="0" distB="0" distL="114300" distR="114300" simplePos="0" relativeHeight="251658240" behindDoc="0" locked="0" layoutInCell="1" allowOverlap="1" wp14:anchorId="4D83665A" wp14:editId="58072B62">
            <wp:simplePos x="0" y="0"/>
            <wp:positionH relativeFrom="column">
              <wp:posOffset>-83820</wp:posOffset>
            </wp:positionH>
            <wp:positionV relativeFrom="page">
              <wp:posOffset>1181100</wp:posOffset>
            </wp:positionV>
            <wp:extent cx="3150870" cy="2480310"/>
            <wp:effectExtent l="0" t="0" r="0" b="0"/>
            <wp:wrapTopAndBottom/>
            <wp:docPr id="104324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0870" cy="2480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48F2" w:rsidRPr="00A07F2F">
        <w:rPr>
          <w:rFonts w:ascii="Arial" w:hAnsi="Arial" w:cs="Arial"/>
        </w:rPr>
        <w:t>Figure 1: UK – EU trade in goods and services for the period 2010 – 2022</w:t>
      </w:r>
    </w:p>
    <w:p w14:paraId="191C1580" w14:textId="26184238" w:rsidR="00B149AB" w:rsidRPr="00A07F2F" w:rsidRDefault="00B149AB">
      <w:pPr>
        <w:rPr>
          <w:rFonts w:ascii="Arial" w:hAnsi="Arial" w:cs="Arial"/>
        </w:rPr>
      </w:pPr>
      <w:r w:rsidRPr="00A07F2F">
        <w:rPr>
          <w:rFonts w:ascii="Arial" w:hAnsi="Arial" w:cs="Arial"/>
        </w:rPr>
        <w:t>Source: (Loannides, 2023, p. 35)</w:t>
      </w:r>
    </w:p>
    <w:p w14:paraId="65719B40" w14:textId="77777777" w:rsidR="00B149AB" w:rsidRDefault="00B149AB"/>
    <w:p w14:paraId="525DD897" w14:textId="1B0C8C98" w:rsidR="006C448B" w:rsidRPr="00A07F2F" w:rsidRDefault="00076102">
      <w:pPr>
        <w:rPr>
          <w:rFonts w:ascii="Arial" w:hAnsi="Arial" w:cs="Arial"/>
        </w:rPr>
      </w:pPr>
      <w:r w:rsidRPr="00A07F2F">
        <w:rPr>
          <w:rFonts w:ascii="Arial" w:eastAsia="Times New Roman" w:hAnsi="Arial" w:cs="Arial"/>
          <w:noProof/>
          <w:sz w:val="26"/>
          <w:szCs w:val="26"/>
        </w:rPr>
        <w:drawing>
          <wp:anchor distT="0" distB="0" distL="114300" distR="114300" simplePos="0" relativeHeight="251659264" behindDoc="0" locked="0" layoutInCell="1" allowOverlap="1" wp14:anchorId="587924B4" wp14:editId="3A81ED00">
            <wp:simplePos x="0" y="0"/>
            <wp:positionH relativeFrom="column">
              <wp:posOffset>-29845</wp:posOffset>
            </wp:positionH>
            <wp:positionV relativeFrom="paragraph">
              <wp:posOffset>520065</wp:posOffset>
            </wp:positionV>
            <wp:extent cx="4469130" cy="1912620"/>
            <wp:effectExtent l="0" t="0" r="7620" b="0"/>
            <wp:wrapTopAndBottom/>
            <wp:docPr id="1809517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9130" cy="1912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448B" w:rsidRPr="00A07F2F">
        <w:rPr>
          <w:rFonts w:ascii="Arial" w:hAnsi="Arial" w:cs="Arial"/>
        </w:rPr>
        <w:t>Figure 2: Historical performance of bank rates in the UK for the period between 1995</w:t>
      </w:r>
      <w:r w:rsidR="00015101">
        <w:rPr>
          <w:rFonts w:ascii="Arial" w:hAnsi="Arial" w:cs="Arial"/>
        </w:rPr>
        <w:t xml:space="preserve"> </w:t>
      </w:r>
      <w:r w:rsidR="006C448B" w:rsidRPr="00A07F2F">
        <w:rPr>
          <w:rFonts w:ascii="Arial" w:hAnsi="Arial" w:cs="Arial"/>
        </w:rPr>
        <w:t>– 2023</w:t>
      </w:r>
    </w:p>
    <w:p w14:paraId="754AF9BC" w14:textId="77777777" w:rsidR="00526A2A" w:rsidRPr="00A07F2F" w:rsidRDefault="00526A2A">
      <w:pPr>
        <w:rPr>
          <w:rFonts w:ascii="Arial" w:hAnsi="Arial" w:cs="Arial"/>
        </w:rPr>
      </w:pPr>
    </w:p>
    <w:p w14:paraId="585B9C2E" w14:textId="77777777" w:rsidR="00AA12DA" w:rsidRDefault="00093138">
      <w:pPr>
        <w:rPr>
          <w:rFonts w:ascii="Arial" w:hAnsi="Arial" w:cs="Arial"/>
        </w:rPr>
      </w:pPr>
      <w:r w:rsidRPr="00A07F2F">
        <w:rPr>
          <w:rFonts w:ascii="Arial" w:hAnsi="Arial" w:cs="Arial"/>
        </w:rPr>
        <w:t>Source: Author analysis</w:t>
      </w:r>
    </w:p>
    <w:p w14:paraId="27CD5504" w14:textId="77777777" w:rsidR="00A07F2F" w:rsidRDefault="00A07F2F">
      <w:pPr>
        <w:rPr>
          <w:rFonts w:ascii="Arial" w:hAnsi="Arial" w:cs="Arial"/>
        </w:rPr>
      </w:pPr>
    </w:p>
    <w:p w14:paraId="5A6B7D0B" w14:textId="77777777" w:rsidR="00A07F2F" w:rsidRDefault="00A07F2F">
      <w:pPr>
        <w:rPr>
          <w:rFonts w:ascii="Arial" w:hAnsi="Arial" w:cs="Arial"/>
        </w:rPr>
      </w:pPr>
    </w:p>
    <w:p w14:paraId="347A5A16" w14:textId="77777777" w:rsidR="00A07F2F" w:rsidRDefault="00A07F2F">
      <w:pPr>
        <w:rPr>
          <w:rFonts w:ascii="Arial" w:hAnsi="Arial" w:cs="Arial"/>
        </w:rPr>
      </w:pPr>
    </w:p>
    <w:p w14:paraId="01B4F2F4" w14:textId="77777777" w:rsidR="00A07F2F" w:rsidRDefault="00A07F2F">
      <w:pPr>
        <w:rPr>
          <w:rFonts w:ascii="Arial" w:hAnsi="Arial" w:cs="Arial"/>
        </w:rPr>
      </w:pPr>
    </w:p>
    <w:p w14:paraId="49B3B096" w14:textId="77777777" w:rsidR="00A07F2F" w:rsidRDefault="00A07F2F">
      <w:pPr>
        <w:rPr>
          <w:rFonts w:ascii="Arial" w:hAnsi="Arial" w:cs="Arial"/>
        </w:rPr>
      </w:pPr>
    </w:p>
    <w:p w14:paraId="0E4C4CF5" w14:textId="77777777" w:rsidR="00A07F2F" w:rsidRDefault="00A07F2F">
      <w:pPr>
        <w:rPr>
          <w:rFonts w:ascii="Arial" w:hAnsi="Arial" w:cs="Arial"/>
        </w:rPr>
      </w:pPr>
    </w:p>
    <w:p w14:paraId="141A4B20" w14:textId="77777777" w:rsidR="00A07F2F" w:rsidRDefault="00A07F2F">
      <w:pPr>
        <w:rPr>
          <w:rFonts w:ascii="Arial" w:hAnsi="Arial" w:cs="Arial"/>
        </w:rPr>
      </w:pPr>
    </w:p>
    <w:p w14:paraId="32074913" w14:textId="77777777" w:rsidR="00A07F2F" w:rsidRDefault="00A07F2F">
      <w:pPr>
        <w:rPr>
          <w:rFonts w:ascii="Arial" w:hAnsi="Arial" w:cs="Arial"/>
        </w:rPr>
      </w:pPr>
    </w:p>
    <w:p w14:paraId="6017D189" w14:textId="2BDB6485" w:rsidR="00A07F2F" w:rsidRPr="00A2416C" w:rsidRDefault="00A07F2F" w:rsidP="00A2416C">
      <w:pPr>
        <w:pStyle w:val="Heading2"/>
        <w:spacing w:line="360" w:lineRule="auto"/>
        <w:rPr>
          <w:rFonts w:ascii="Arial" w:hAnsi="Arial" w:cs="Arial"/>
          <w:b/>
          <w:bCs/>
          <w:color w:val="auto"/>
          <w:sz w:val="24"/>
          <w:szCs w:val="24"/>
        </w:rPr>
      </w:pPr>
      <w:bookmarkStart w:id="8" w:name="_Toc172146453"/>
      <w:r w:rsidRPr="00A2416C">
        <w:rPr>
          <w:rFonts w:ascii="Arial" w:hAnsi="Arial" w:cs="Arial"/>
          <w:b/>
          <w:bCs/>
          <w:color w:val="auto"/>
          <w:sz w:val="24"/>
          <w:szCs w:val="24"/>
        </w:rPr>
        <w:lastRenderedPageBreak/>
        <w:t>References</w:t>
      </w:r>
      <w:bookmarkEnd w:id="8"/>
    </w:p>
    <w:p w14:paraId="7AAEA323" w14:textId="25A4FE98" w:rsidR="005B0FA7" w:rsidRPr="00A2416C" w:rsidRDefault="005B0FA7" w:rsidP="00A2416C">
      <w:pPr>
        <w:spacing w:line="360" w:lineRule="auto"/>
        <w:rPr>
          <w:rFonts w:ascii="Arial" w:hAnsi="Arial" w:cs="Arial"/>
        </w:rPr>
      </w:pPr>
      <w:r w:rsidRPr="00A2416C">
        <w:rPr>
          <w:rFonts w:ascii="Arial" w:hAnsi="Arial" w:cs="Arial"/>
        </w:rPr>
        <w:t>Bank of England. 2024. Monetary Policy Report - May 2024. Retrieved from:</w:t>
      </w:r>
      <w:r w:rsidRPr="00A2416C">
        <w:rPr>
          <w:rFonts w:ascii="Arial" w:hAnsi="Arial" w:cs="Arial"/>
        </w:rPr>
        <w:t xml:space="preserve"> </w:t>
      </w:r>
      <w:hyperlink r:id="rId9" w:history="1">
        <w:r w:rsidRPr="00A2416C">
          <w:rPr>
            <w:rStyle w:val="Hyperlink"/>
            <w:rFonts w:ascii="Arial" w:hAnsi="Arial" w:cs="Arial"/>
          </w:rPr>
          <w:t>https://www.bankofengland.co.uk/monetary-policy-report/2024/may-2024#report-ma</w:t>
        </w:r>
        <w:r w:rsidRPr="00A2416C">
          <w:rPr>
            <w:rStyle w:val="Hyperlink"/>
            <w:rFonts w:ascii="Arial" w:hAnsi="Arial" w:cs="Arial"/>
          </w:rPr>
          <w:t>y</w:t>
        </w:r>
      </w:hyperlink>
      <w:r w:rsidRPr="00A2416C">
        <w:rPr>
          <w:rFonts w:ascii="Arial" w:hAnsi="Arial" w:cs="Arial"/>
        </w:rPr>
        <w:t xml:space="preserve"> </w:t>
      </w:r>
      <w:r w:rsidRPr="00A2416C">
        <w:rPr>
          <w:rFonts w:ascii="Arial" w:hAnsi="Arial" w:cs="Arial"/>
        </w:rPr>
        <w:t>(Date Accessed: 30</w:t>
      </w:r>
      <w:r w:rsidR="008B5F8F" w:rsidRPr="00A2416C">
        <w:rPr>
          <w:rFonts w:ascii="Arial" w:hAnsi="Arial" w:cs="Arial"/>
          <w:vertAlign w:val="superscript"/>
        </w:rPr>
        <w:t>th</w:t>
      </w:r>
      <w:r w:rsidR="008B5F8F" w:rsidRPr="00A2416C">
        <w:rPr>
          <w:rFonts w:ascii="Arial" w:hAnsi="Arial" w:cs="Arial"/>
        </w:rPr>
        <w:t xml:space="preserve"> </w:t>
      </w:r>
      <w:r w:rsidRPr="00A2416C">
        <w:rPr>
          <w:rFonts w:ascii="Arial" w:hAnsi="Arial" w:cs="Arial"/>
        </w:rPr>
        <w:t>June 2024)</w:t>
      </w:r>
    </w:p>
    <w:p w14:paraId="54C8EDD8" w14:textId="12F6003E" w:rsidR="005B0FA7" w:rsidRPr="00A2416C" w:rsidRDefault="005B0FA7" w:rsidP="00A2416C">
      <w:pPr>
        <w:spacing w:line="360" w:lineRule="auto"/>
        <w:rPr>
          <w:rFonts w:ascii="Arial" w:hAnsi="Arial" w:cs="Arial"/>
        </w:rPr>
      </w:pPr>
      <w:r w:rsidRPr="00A2416C">
        <w:rPr>
          <w:rFonts w:ascii="Arial" w:hAnsi="Arial" w:cs="Arial"/>
        </w:rPr>
        <w:t>Bazzoni, E. 2023. How current events are shaping UK consumer behaviour. Retrieved from:</w:t>
      </w:r>
      <w:r w:rsidRPr="00A2416C">
        <w:rPr>
          <w:rFonts w:ascii="Arial" w:hAnsi="Arial" w:cs="Arial"/>
        </w:rPr>
        <w:t xml:space="preserve"> </w:t>
      </w:r>
      <w:hyperlink r:id="rId10" w:history="1">
        <w:r w:rsidRPr="00A2416C">
          <w:rPr>
            <w:rStyle w:val="Hyperlink"/>
            <w:rFonts w:ascii="Arial" w:hAnsi="Arial" w:cs="Arial"/>
          </w:rPr>
          <w:t>https://www.mckinsey.com/capabilities/growth-marketing-and-sales/our-insights/survey-uk-consumer-sentiment-during-the-coronavirus-crisis</w:t>
        </w:r>
      </w:hyperlink>
      <w:r w:rsidRPr="00A2416C">
        <w:rPr>
          <w:rFonts w:ascii="Arial" w:hAnsi="Arial" w:cs="Arial"/>
        </w:rPr>
        <w:t xml:space="preserve"> </w:t>
      </w:r>
      <w:r w:rsidRPr="00A2416C">
        <w:rPr>
          <w:rFonts w:ascii="Arial" w:hAnsi="Arial" w:cs="Arial"/>
        </w:rPr>
        <w:t>(Date</w:t>
      </w:r>
      <w:r w:rsidRPr="00A2416C">
        <w:rPr>
          <w:rFonts w:ascii="Arial" w:hAnsi="Arial" w:cs="Arial"/>
        </w:rPr>
        <w:t xml:space="preserve"> </w:t>
      </w:r>
      <w:r w:rsidRPr="00A2416C">
        <w:rPr>
          <w:rFonts w:ascii="Arial" w:hAnsi="Arial" w:cs="Arial"/>
        </w:rPr>
        <w:t>Accessed: 3</w:t>
      </w:r>
      <w:r w:rsidR="008B5F8F" w:rsidRPr="00A2416C">
        <w:rPr>
          <w:rFonts w:ascii="Arial" w:hAnsi="Arial" w:cs="Arial"/>
        </w:rPr>
        <w:t xml:space="preserve">1st </w:t>
      </w:r>
      <w:r w:rsidRPr="00A2416C">
        <w:rPr>
          <w:rFonts w:ascii="Arial" w:hAnsi="Arial" w:cs="Arial"/>
        </w:rPr>
        <w:t>June 2024)</w:t>
      </w:r>
    </w:p>
    <w:p w14:paraId="41941EBD" w14:textId="109FC39B" w:rsidR="005B0FA7" w:rsidRPr="00A2416C" w:rsidRDefault="005B0FA7" w:rsidP="00A2416C">
      <w:pPr>
        <w:spacing w:line="360" w:lineRule="auto"/>
        <w:rPr>
          <w:rFonts w:ascii="Arial" w:hAnsi="Arial" w:cs="Arial"/>
        </w:rPr>
      </w:pPr>
      <w:r w:rsidRPr="00A2416C">
        <w:rPr>
          <w:rFonts w:ascii="Arial" w:hAnsi="Arial" w:cs="Arial"/>
        </w:rPr>
        <w:t>Berg, A. 2024. Weighted down by gravity: UK trade policy after Brexit. Retrieved from:</w:t>
      </w:r>
      <w:r w:rsidRPr="00A2416C">
        <w:rPr>
          <w:rFonts w:ascii="Arial" w:hAnsi="Arial" w:cs="Arial"/>
        </w:rPr>
        <w:t xml:space="preserve"> </w:t>
      </w:r>
      <w:hyperlink r:id="rId11" w:history="1">
        <w:r w:rsidRPr="00A2416C">
          <w:rPr>
            <w:rStyle w:val="Hyperlink"/>
            <w:rFonts w:ascii="Arial" w:hAnsi="Arial" w:cs="Arial"/>
          </w:rPr>
          <w:t>https://www.cer.eu/sites/default/files/insight_AB_trade_brexit_11.3.2.pd</w:t>
        </w:r>
        <w:r w:rsidRPr="00A2416C">
          <w:rPr>
            <w:rStyle w:val="Hyperlink"/>
            <w:rFonts w:ascii="Arial" w:hAnsi="Arial" w:cs="Arial"/>
          </w:rPr>
          <w:t>f</w:t>
        </w:r>
      </w:hyperlink>
      <w:r w:rsidRPr="00A2416C">
        <w:rPr>
          <w:rFonts w:ascii="Arial" w:hAnsi="Arial" w:cs="Arial"/>
        </w:rPr>
        <w:t xml:space="preserve"> </w:t>
      </w:r>
      <w:r w:rsidRPr="00A2416C">
        <w:rPr>
          <w:rFonts w:ascii="Arial" w:hAnsi="Arial" w:cs="Arial"/>
        </w:rPr>
        <w:t>(Date</w:t>
      </w:r>
      <w:r w:rsidRPr="00A2416C">
        <w:rPr>
          <w:rFonts w:ascii="Arial" w:hAnsi="Arial" w:cs="Arial"/>
        </w:rPr>
        <w:t xml:space="preserve"> </w:t>
      </w:r>
      <w:r w:rsidRPr="00A2416C">
        <w:rPr>
          <w:rFonts w:ascii="Arial" w:hAnsi="Arial" w:cs="Arial"/>
        </w:rPr>
        <w:t>Accessed: 30</w:t>
      </w:r>
      <w:r w:rsidR="008B5F8F" w:rsidRPr="00A2416C">
        <w:rPr>
          <w:rFonts w:ascii="Arial" w:hAnsi="Arial" w:cs="Arial"/>
        </w:rPr>
        <w:t xml:space="preserve">th </w:t>
      </w:r>
      <w:r w:rsidRPr="00A2416C">
        <w:rPr>
          <w:rFonts w:ascii="Arial" w:hAnsi="Arial" w:cs="Arial"/>
        </w:rPr>
        <w:t>June 2024)</w:t>
      </w:r>
    </w:p>
    <w:p w14:paraId="12AB5CD0" w14:textId="4AEF77A1" w:rsidR="005B0FA7" w:rsidRPr="00A2416C" w:rsidRDefault="005B0FA7" w:rsidP="00A2416C">
      <w:pPr>
        <w:spacing w:line="360" w:lineRule="auto"/>
        <w:rPr>
          <w:rFonts w:ascii="Arial" w:hAnsi="Arial" w:cs="Arial"/>
        </w:rPr>
      </w:pPr>
      <w:r w:rsidRPr="00A2416C">
        <w:rPr>
          <w:rFonts w:ascii="Arial" w:hAnsi="Arial" w:cs="Arial"/>
        </w:rPr>
        <w:t>Burggraaf, B. 2023. Empowering businesses to build green futures. Retrieved from:</w:t>
      </w:r>
      <w:r w:rsidRPr="00A2416C">
        <w:rPr>
          <w:rFonts w:ascii="Arial" w:hAnsi="Arial" w:cs="Arial"/>
        </w:rPr>
        <w:t xml:space="preserve"> </w:t>
      </w:r>
      <w:hyperlink r:id="rId12" w:history="1">
        <w:r w:rsidRPr="00A2416C">
          <w:rPr>
            <w:rStyle w:val="Hyperlink"/>
            <w:rFonts w:ascii="Arial" w:hAnsi="Arial" w:cs="Arial"/>
          </w:rPr>
          <w:t>https://business.senedd.wales/documents/s145231/Evidence%20paper%20-</w:t>
        </w:r>
      </w:hyperlink>
      <w:r w:rsidRPr="00A2416C">
        <w:rPr>
          <w:rFonts w:ascii="Arial" w:hAnsi="Arial" w:cs="Arial"/>
        </w:rPr>
        <w:t xml:space="preserve"> </w:t>
      </w:r>
      <w:r w:rsidRPr="00A2416C">
        <w:rPr>
          <w:rFonts w:ascii="Arial" w:hAnsi="Arial" w:cs="Arial"/>
        </w:rPr>
        <w:t>%20Net%20Zero%20Industry%20Wales.pdf (Date Accessed: 29</w:t>
      </w:r>
      <w:r w:rsidR="008B5F8F" w:rsidRPr="00A2416C">
        <w:rPr>
          <w:rFonts w:ascii="Arial" w:hAnsi="Arial" w:cs="Arial"/>
        </w:rPr>
        <w:t>th</w:t>
      </w:r>
      <w:r w:rsidRPr="00A2416C">
        <w:rPr>
          <w:rFonts w:ascii="Arial" w:hAnsi="Arial" w:cs="Arial"/>
        </w:rPr>
        <w:t xml:space="preserve"> June 2024)</w:t>
      </w:r>
    </w:p>
    <w:p w14:paraId="2F62A0C4" w14:textId="553F24A3" w:rsidR="005B0FA7" w:rsidRPr="00A2416C" w:rsidRDefault="005B0FA7" w:rsidP="00A2416C">
      <w:pPr>
        <w:spacing w:line="360" w:lineRule="auto"/>
        <w:rPr>
          <w:rFonts w:ascii="Arial" w:hAnsi="Arial" w:cs="Arial"/>
        </w:rPr>
      </w:pPr>
      <w:r w:rsidRPr="00A2416C">
        <w:rPr>
          <w:rFonts w:ascii="Arial" w:hAnsi="Arial" w:cs="Arial"/>
        </w:rPr>
        <w:t xml:space="preserve"> </w:t>
      </w:r>
      <w:r w:rsidRPr="00A2416C">
        <w:rPr>
          <w:rFonts w:ascii="Arial" w:hAnsi="Arial" w:cs="Arial"/>
        </w:rPr>
        <w:t>Climate Change Committee. 2023. Progress report: Reducing emissions in Wales. Retrieved</w:t>
      </w:r>
      <w:r w:rsidRPr="00A2416C">
        <w:rPr>
          <w:rFonts w:ascii="Arial" w:hAnsi="Arial" w:cs="Arial"/>
        </w:rPr>
        <w:t xml:space="preserve"> </w:t>
      </w:r>
      <w:r w:rsidRPr="00A2416C">
        <w:rPr>
          <w:rFonts w:ascii="Arial" w:hAnsi="Arial" w:cs="Arial"/>
        </w:rPr>
        <w:t xml:space="preserve">from: </w:t>
      </w:r>
      <w:hyperlink r:id="rId13" w:history="1">
        <w:r w:rsidRPr="00A2416C">
          <w:rPr>
            <w:rStyle w:val="Hyperlink"/>
            <w:rFonts w:ascii="Arial" w:hAnsi="Arial" w:cs="Arial"/>
          </w:rPr>
          <w:t>https://www.theccc.org.uk/wp-content/uploads/2023/06/Progress-Report-Reducing-emissions-in-Wales.pdf</w:t>
        </w:r>
      </w:hyperlink>
      <w:r w:rsidRPr="00A2416C">
        <w:rPr>
          <w:rFonts w:ascii="Arial" w:hAnsi="Arial" w:cs="Arial"/>
        </w:rPr>
        <w:t>(Date Accessed: 28</w:t>
      </w:r>
      <w:r w:rsidR="008B5F8F" w:rsidRPr="00A2416C">
        <w:rPr>
          <w:rFonts w:ascii="Arial" w:hAnsi="Arial" w:cs="Arial"/>
          <w:vertAlign w:val="superscript"/>
        </w:rPr>
        <w:t>th</w:t>
      </w:r>
      <w:r w:rsidR="008B5F8F" w:rsidRPr="00A2416C">
        <w:rPr>
          <w:rFonts w:ascii="Arial" w:hAnsi="Arial" w:cs="Arial"/>
        </w:rPr>
        <w:t xml:space="preserve"> </w:t>
      </w:r>
      <w:r w:rsidRPr="00A2416C">
        <w:rPr>
          <w:rFonts w:ascii="Arial" w:hAnsi="Arial" w:cs="Arial"/>
        </w:rPr>
        <w:t>June 2024)</w:t>
      </w:r>
      <w:r w:rsidRPr="00A2416C">
        <w:rPr>
          <w:rFonts w:ascii="Arial" w:hAnsi="Arial" w:cs="Arial"/>
        </w:rPr>
        <w:t xml:space="preserve"> </w:t>
      </w:r>
    </w:p>
    <w:p w14:paraId="594F0A41" w14:textId="3B1730B9" w:rsidR="005B0FA7" w:rsidRPr="00A2416C" w:rsidRDefault="005B0FA7" w:rsidP="00A2416C">
      <w:pPr>
        <w:spacing w:line="360" w:lineRule="auto"/>
        <w:rPr>
          <w:rFonts w:ascii="Arial" w:hAnsi="Arial" w:cs="Arial"/>
        </w:rPr>
      </w:pPr>
      <w:r w:rsidRPr="00A2416C">
        <w:rPr>
          <w:rFonts w:ascii="Arial" w:hAnsi="Arial" w:cs="Arial"/>
        </w:rPr>
        <w:t>Government of UK. 2024. Tax on shopping and services. Retrieved from:</w:t>
      </w:r>
      <w:r w:rsidRPr="00A2416C">
        <w:rPr>
          <w:rFonts w:ascii="Arial" w:hAnsi="Arial" w:cs="Arial"/>
        </w:rPr>
        <w:t xml:space="preserve"> </w:t>
      </w:r>
      <w:hyperlink r:id="rId14" w:history="1">
        <w:r w:rsidRPr="00A2416C">
          <w:rPr>
            <w:rStyle w:val="Hyperlink"/>
            <w:rFonts w:ascii="Arial" w:hAnsi="Arial" w:cs="Arial"/>
          </w:rPr>
          <w:t>https://www.gov.uk/tax-on-shopping</w:t>
        </w:r>
      </w:hyperlink>
      <w:r w:rsidRPr="00A2416C">
        <w:rPr>
          <w:rFonts w:ascii="Arial" w:hAnsi="Arial" w:cs="Arial"/>
        </w:rPr>
        <w:t xml:space="preserve"> </w:t>
      </w:r>
      <w:r w:rsidRPr="00A2416C">
        <w:rPr>
          <w:rFonts w:ascii="Arial" w:hAnsi="Arial" w:cs="Arial"/>
        </w:rPr>
        <w:t xml:space="preserve">(Date Accessed: </w:t>
      </w:r>
      <w:r w:rsidR="008B5F8F" w:rsidRPr="00A2416C">
        <w:rPr>
          <w:rFonts w:ascii="Arial" w:hAnsi="Arial" w:cs="Arial"/>
        </w:rPr>
        <w:t>10th July</w:t>
      </w:r>
      <w:r w:rsidRPr="00A2416C">
        <w:rPr>
          <w:rFonts w:ascii="Arial" w:hAnsi="Arial" w:cs="Arial"/>
        </w:rPr>
        <w:t xml:space="preserve"> 2024)</w:t>
      </w:r>
    </w:p>
    <w:p w14:paraId="0E74F6C0" w14:textId="70085FD4" w:rsidR="005B0FA7" w:rsidRPr="00A2416C" w:rsidRDefault="005B0FA7" w:rsidP="00A2416C">
      <w:pPr>
        <w:spacing w:line="360" w:lineRule="auto"/>
        <w:rPr>
          <w:rFonts w:ascii="Arial" w:hAnsi="Arial" w:cs="Arial"/>
        </w:rPr>
      </w:pPr>
      <w:r w:rsidRPr="00A2416C">
        <w:rPr>
          <w:rFonts w:ascii="Arial" w:hAnsi="Arial" w:cs="Arial"/>
        </w:rPr>
        <w:t>Heritage. 2024. Economic Freedom Country Profile: United Kingdom. Retrieved from:</w:t>
      </w:r>
      <w:r w:rsidR="008B5F8F" w:rsidRPr="00A2416C">
        <w:rPr>
          <w:rFonts w:ascii="Arial" w:hAnsi="Arial" w:cs="Arial"/>
        </w:rPr>
        <w:t xml:space="preserve"> </w:t>
      </w:r>
      <w:hyperlink r:id="rId15" w:history="1">
        <w:r w:rsidR="008B5F8F" w:rsidRPr="00A2416C">
          <w:rPr>
            <w:rStyle w:val="Hyperlink"/>
            <w:rFonts w:ascii="Arial" w:hAnsi="Arial" w:cs="Arial"/>
          </w:rPr>
          <w:t>https://www.heritage.org/index/pages/country-pages/united-kingdo</w:t>
        </w:r>
        <w:r w:rsidR="008B5F8F" w:rsidRPr="00A2416C">
          <w:rPr>
            <w:rStyle w:val="Hyperlink"/>
            <w:rFonts w:ascii="Arial" w:hAnsi="Arial" w:cs="Arial"/>
          </w:rPr>
          <w:t>m</w:t>
        </w:r>
      </w:hyperlink>
      <w:r w:rsidR="008B5F8F" w:rsidRPr="00A2416C">
        <w:rPr>
          <w:rFonts w:ascii="Arial" w:hAnsi="Arial" w:cs="Arial"/>
        </w:rPr>
        <w:t xml:space="preserve"> </w:t>
      </w:r>
      <w:r w:rsidRPr="00A2416C">
        <w:rPr>
          <w:rFonts w:ascii="Arial" w:hAnsi="Arial" w:cs="Arial"/>
        </w:rPr>
        <w:t>(Date Accessed:</w:t>
      </w:r>
      <w:r w:rsidRPr="00A2416C">
        <w:rPr>
          <w:rFonts w:ascii="Arial" w:hAnsi="Arial" w:cs="Arial"/>
        </w:rPr>
        <w:t xml:space="preserve"> </w:t>
      </w:r>
      <w:r w:rsidR="008B5F8F" w:rsidRPr="00A2416C">
        <w:rPr>
          <w:rFonts w:ascii="Arial" w:hAnsi="Arial" w:cs="Arial"/>
        </w:rPr>
        <w:t>10</w:t>
      </w:r>
      <w:r w:rsidR="008B5F8F" w:rsidRPr="00A2416C">
        <w:rPr>
          <w:rFonts w:ascii="Arial" w:hAnsi="Arial" w:cs="Arial"/>
          <w:vertAlign w:val="superscript"/>
        </w:rPr>
        <w:t>th</w:t>
      </w:r>
      <w:r w:rsidR="008B5F8F" w:rsidRPr="00A2416C">
        <w:rPr>
          <w:rFonts w:ascii="Arial" w:hAnsi="Arial" w:cs="Arial"/>
        </w:rPr>
        <w:t xml:space="preserve"> July</w:t>
      </w:r>
      <w:r w:rsidRPr="00A2416C">
        <w:rPr>
          <w:rFonts w:ascii="Arial" w:hAnsi="Arial" w:cs="Arial"/>
        </w:rPr>
        <w:t xml:space="preserve"> 2024)</w:t>
      </w:r>
    </w:p>
    <w:p w14:paraId="6DF84456" w14:textId="2485C47A" w:rsidR="005B0FA7" w:rsidRPr="00A2416C" w:rsidRDefault="005B0FA7" w:rsidP="00A2416C">
      <w:pPr>
        <w:spacing w:line="360" w:lineRule="auto"/>
        <w:rPr>
          <w:rFonts w:ascii="Arial" w:hAnsi="Arial" w:cs="Arial"/>
        </w:rPr>
      </w:pPr>
      <w:r w:rsidRPr="00A2416C">
        <w:rPr>
          <w:rFonts w:ascii="Arial" w:hAnsi="Arial" w:cs="Arial"/>
        </w:rPr>
        <w:t xml:space="preserve">Hesterly, W. and Barney, J., 2014. Strategic management and competitive </w:t>
      </w:r>
      <w:r w:rsidR="00A2416C" w:rsidRPr="00A2416C">
        <w:rPr>
          <w:rFonts w:ascii="Arial" w:hAnsi="Arial" w:cs="Arial"/>
        </w:rPr>
        <w:t>advantage. Pearson</w:t>
      </w:r>
      <w:r w:rsidRPr="00A2416C">
        <w:rPr>
          <w:rFonts w:ascii="Arial" w:hAnsi="Arial" w:cs="Arial"/>
        </w:rPr>
        <w:t>/Education. Retrieved from:</w:t>
      </w:r>
      <w:r w:rsidR="008B5F8F" w:rsidRPr="00A2416C">
        <w:rPr>
          <w:rFonts w:ascii="Arial" w:hAnsi="Arial" w:cs="Arial"/>
        </w:rPr>
        <w:t xml:space="preserve"> </w:t>
      </w:r>
      <w:hyperlink r:id="rId16" w:history="1">
        <w:r w:rsidR="008B5F8F" w:rsidRPr="00A2416C">
          <w:rPr>
            <w:rStyle w:val="Hyperlink"/>
            <w:rFonts w:ascii="Arial" w:hAnsi="Arial" w:cs="Arial"/>
          </w:rPr>
          <w:t>http://teaching.up.edu/BUS580/bps/Barney%20and%20Hesterly,%202008,%20ch3_VRIO%20internal%20analysis.pd</w:t>
        </w:r>
        <w:r w:rsidR="008B5F8F" w:rsidRPr="00A2416C">
          <w:rPr>
            <w:rStyle w:val="Hyperlink"/>
            <w:rFonts w:ascii="Arial" w:hAnsi="Arial" w:cs="Arial"/>
          </w:rPr>
          <w:t>f</w:t>
        </w:r>
      </w:hyperlink>
      <w:r w:rsidR="008B5F8F" w:rsidRPr="00A2416C">
        <w:rPr>
          <w:rFonts w:ascii="Arial" w:hAnsi="Arial" w:cs="Arial"/>
        </w:rPr>
        <w:t xml:space="preserve"> </w:t>
      </w:r>
      <w:r w:rsidRPr="00A2416C">
        <w:rPr>
          <w:rFonts w:ascii="Arial" w:hAnsi="Arial" w:cs="Arial"/>
        </w:rPr>
        <w:t>(Date Accessed: 30</w:t>
      </w:r>
      <w:r w:rsidR="008B5F8F" w:rsidRPr="00A2416C">
        <w:rPr>
          <w:rFonts w:ascii="Arial" w:hAnsi="Arial" w:cs="Arial"/>
        </w:rPr>
        <w:t>th</w:t>
      </w:r>
      <w:r w:rsidRPr="00A2416C">
        <w:rPr>
          <w:rFonts w:ascii="Arial" w:hAnsi="Arial" w:cs="Arial"/>
        </w:rPr>
        <w:t xml:space="preserve"> June 2024)</w:t>
      </w:r>
    </w:p>
    <w:p w14:paraId="1A05C19F" w14:textId="163EB53B" w:rsidR="005B0FA7" w:rsidRPr="00A2416C" w:rsidRDefault="005B0FA7" w:rsidP="00A2416C">
      <w:pPr>
        <w:spacing w:line="360" w:lineRule="auto"/>
        <w:rPr>
          <w:rFonts w:ascii="Arial" w:hAnsi="Arial" w:cs="Arial"/>
        </w:rPr>
      </w:pPr>
      <w:r w:rsidRPr="00A2416C">
        <w:rPr>
          <w:rFonts w:ascii="Arial" w:hAnsi="Arial" w:cs="Arial"/>
        </w:rPr>
        <w:t>Loannides, I. 2023. The EU-UK Trade and Cooperation Agreement two years on: Unpackin</w:t>
      </w:r>
      <w:r w:rsidRPr="00A2416C">
        <w:rPr>
          <w:rFonts w:ascii="Arial" w:hAnsi="Arial" w:cs="Arial"/>
        </w:rPr>
        <w:t xml:space="preserve">g </w:t>
      </w:r>
      <w:r w:rsidRPr="00A2416C">
        <w:rPr>
          <w:rFonts w:ascii="Arial" w:hAnsi="Arial" w:cs="Arial"/>
        </w:rPr>
        <w:t>early evidence. Retrieved from:</w:t>
      </w:r>
      <w:r w:rsidR="008B5F8F" w:rsidRPr="00A2416C">
        <w:rPr>
          <w:rFonts w:ascii="Arial" w:hAnsi="Arial" w:cs="Arial"/>
        </w:rPr>
        <w:t xml:space="preserve"> </w:t>
      </w:r>
      <w:hyperlink r:id="rId17" w:history="1">
        <w:r w:rsidR="008B5F8F" w:rsidRPr="00A2416C">
          <w:rPr>
            <w:rStyle w:val="Hyperlink"/>
            <w:rFonts w:ascii="Arial" w:hAnsi="Arial" w:cs="Arial"/>
          </w:rPr>
          <w:t>EPRS_STU(2023)747433_EN.pdf (europa.eu)</w:t>
        </w:r>
      </w:hyperlink>
      <w:r w:rsidR="008B5F8F" w:rsidRPr="00A2416C">
        <w:rPr>
          <w:rFonts w:ascii="Arial" w:hAnsi="Arial" w:cs="Arial"/>
        </w:rPr>
        <w:t xml:space="preserve"> </w:t>
      </w:r>
      <w:r w:rsidRPr="00A2416C">
        <w:rPr>
          <w:rFonts w:ascii="Arial" w:hAnsi="Arial" w:cs="Arial"/>
        </w:rPr>
        <w:t xml:space="preserve">(Date Accessed: </w:t>
      </w:r>
      <w:r w:rsidR="008B5F8F" w:rsidRPr="00A2416C">
        <w:rPr>
          <w:rFonts w:ascii="Arial" w:hAnsi="Arial" w:cs="Arial"/>
        </w:rPr>
        <w:t>14</w:t>
      </w:r>
      <w:r w:rsidR="008B5F8F" w:rsidRPr="00A2416C">
        <w:rPr>
          <w:rFonts w:ascii="Arial" w:hAnsi="Arial" w:cs="Arial"/>
          <w:vertAlign w:val="superscript"/>
        </w:rPr>
        <w:t>th</w:t>
      </w:r>
      <w:r w:rsidR="008B5F8F" w:rsidRPr="00A2416C">
        <w:rPr>
          <w:rFonts w:ascii="Arial" w:hAnsi="Arial" w:cs="Arial"/>
        </w:rPr>
        <w:t xml:space="preserve"> July</w:t>
      </w:r>
      <w:r w:rsidRPr="00A2416C">
        <w:rPr>
          <w:rFonts w:ascii="Arial" w:hAnsi="Arial" w:cs="Arial"/>
        </w:rPr>
        <w:t xml:space="preserve"> 2024)</w:t>
      </w:r>
    </w:p>
    <w:p w14:paraId="57776EBA" w14:textId="74B348B8" w:rsidR="005B0FA7" w:rsidRPr="00A2416C" w:rsidRDefault="005B0FA7" w:rsidP="00A2416C">
      <w:pPr>
        <w:spacing w:line="360" w:lineRule="auto"/>
        <w:rPr>
          <w:rFonts w:ascii="Arial" w:hAnsi="Arial" w:cs="Arial"/>
        </w:rPr>
      </w:pPr>
      <w:r w:rsidRPr="00A2416C">
        <w:rPr>
          <w:rFonts w:ascii="Arial" w:hAnsi="Arial" w:cs="Arial"/>
        </w:rPr>
        <w:lastRenderedPageBreak/>
        <w:t>MarketLine. 2023. Country Profile Series United Kingdom In-depth PESTLE insights.</w:t>
      </w:r>
      <w:r w:rsidR="008B5F8F" w:rsidRPr="00A2416C">
        <w:rPr>
          <w:rFonts w:ascii="Arial" w:hAnsi="Arial" w:cs="Arial"/>
        </w:rPr>
        <w:t xml:space="preserve"> </w:t>
      </w:r>
      <w:r w:rsidRPr="00A2416C">
        <w:rPr>
          <w:rFonts w:ascii="Arial" w:hAnsi="Arial" w:cs="Arial"/>
        </w:rPr>
        <w:t xml:space="preserve">Retrieved from: </w:t>
      </w:r>
      <w:hyperlink r:id="rId18" w:anchor=":~:text=This%20PESTLE%20country%20analysis%20report,data%20to%20support%20trend%20analysis" w:history="1">
        <w:r w:rsidR="008B5F8F" w:rsidRPr="00A2416C">
          <w:rPr>
            <w:rStyle w:val="Hyperlink"/>
            <w:rFonts w:ascii="Arial" w:hAnsi="Arial" w:cs="Arial"/>
          </w:rPr>
          <w:t>United Kingdom (UK) In-depth PESTLE Insights - Marketline</w:t>
        </w:r>
      </w:hyperlink>
      <w:r w:rsidRPr="00A2416C">
        <w:rPr>
          <w:rFonts w:ascii="Arial" w:hAnsi="Arial" w:cs="Arial"/>
        </w:rPr>
        <w:t xml:space="preserve"> (Date Accessed: </w:t>
      </w:r>
      <w:r w:rsidR="008B5F8F" w:rsidRPr="00A2416C">
        <w:rPr>
          <w:rFonts w:ascii="Arial" w:hAnsi="Arial" w:cs="Arial"/>
        </w:rPr>
        <w:t>4th</w:t>
      </w:r>
      <w:r w:rsidRPr="00A2416C">
        <w:rPr>
          <w:rFonts w:ascii="Arial" w:hAnsi="Arial" w:cs="Arial"/>
        </w:rPr>
        <w:t xml:space="preserve"> </w:t>
      </w:r>
      <w:r w:rsidR="008B5F8F" w:rsidRPr="00A2416C">
        <w:rPr>
          <w:rFonts w:ascii="Arial" w:hAnsi="Arial" w:cs="Arial"/>
        </w:rPr>
        <w:t>July</w:t>
      </w:r>
      <w:r w:rsidRPr="00A2416C">
        <w:rPr>
          <w:rFonts w:ascii="Arial" w:hAnsi="Arial" w:cs="Arial"/>
        </w:rPr>
        <w:t xml:space="preserve"> 2024)</w:t>
      </w:r>
    </w:p>
    <w:p w14:paraId="73753C36" w14:textId="411577C5" w:rsidR="00A2416C" w:rsidRPr="00A2416C" w:rsidRDefault="005B0FA7" w:rsidP="00A2416C">
      <w:pPr>
        <w:spacing w:line="360" w:lineRule="auto"/>
        <w:rPr>
          <w:rFonts w:ascii="Arial" w:hAnsi="Arial" w:cs="Arial"/>
        </w:rPr>
      </w:pPr>
      <w:r w:rsidRPr="00A2416C">
        <w:rPr>
          <w:rFonts w:ascii="Arial" w:hAnsi="Arial" w:cs="Arial"/>
        </w:rPr>
        <w:t>Porter, M.E., 2008. The five competitive forces that shape strategy. Harvard business review,</w:t>
      </w:r>
      <w:r w:rsidR="008B5F8F" w:rsidRPr="00A2416C">
        <w:rPr>
          <w:rFonts w:ascii="Arial" w:hAnsi="Arial" w:cs="Arial"/>
        </w:rPr>
        <w:t xml:space="preserve"> </w:t>
      </w:r>
      <w:r w:rsidRPr="00A2416C">
        <w:rPr>
          <w:rFonts w:ascii="Arial" w:hAnsi="Arial" w:cs="Arial"/>
        </w:rPr>
        <w:t>86(1), p.78. https://www.blueoceanstrategyaustralia.com.au/wp-</w:t>
      </w:r>
      <w:r w:rsidR="008B5F8F" w:rsidRPr="00A2416C">
        <w:rPr>
          <w:rFonts w:ascii="Arial" w:hAnsi="Arial" w:cs="Arial"/>
        </w:rPr>
        <w:t xml:space="preserve"> </w:t>
      </w:r>
      <w:r w:rsidRPr="00A2416C">
        <w:rPr>
          <w:rFonts w:ascii="Arial" w:hAnsi="Arial" w:cs="Arial"/>
        </w:rPr>
        <w:t>content/uploads/2023/08/HBRs-10-Must-Reads-on-Strategy.pdf#page=26</w:t>
      </w:r>
      <w:r w:rsidR="00A2416C" w:rsidRPr="00A2416C">
        <w:rPr>
          <w:rFonts w:ascii="Arial" w:hAnsi="Arial" w:cs="Arial"/>
        </w:rPr>
        <w:t xml:space="preserve"> (Date accessed 15th July 2024)</w:t>
      </w:r>
    </w:p>
    <w:p w14:paraId="248AAE21" w14:textId="35C1D934" w:rsidR="005B0FA7" w:rsidRPr="00A2416C" w:rsidRDefault="008B5F8F" w:rsidP="00A2416C">
      <w:pPr>
        <w:spacing w:line="360" w:lineRule="auto"/>
        <w:rPr>
          <w:rFonts w:ascii="Arial" w:hAnsi="Arial" w:cs="Arial"/>
        </w:rPr>
      </w:pPr>
      <w:r w:rsidRPr="00A2416C">
        <w:rPr>
          <w:rFonts w:ascii="Arial" w:hAnsi="Arial" w:cs="Arial"/>
        </w:rPr>
        <w:t xml:space="preserve"> </w:t>
      </w:r>
      <w:r w:rsidR="005B0FA7" w:rsidRPr="00A2416C">
        <w:rPr>
          <w:rFonts w:ascii="Arial" w:hAnsi="Arial" w:cs="Arial"/>
        </w:rPr>
        <w:t>Spragg, J., and Evans, S. 2017. The National Assembly for Wales is the democratically</w:t>
      </w:r>
      <w:r w:rsidR="00A2416C" w:rsidRPr="00A2416C">
        <w:rPr>
          <w:rFonts w:ascii="Arial" w:hAnsi="Arial" w:cs="Arial"/>
        </w:rPr>
        <w:t xml:space="preserve"> </w:t>
      </w:r>
      <w:r w:rsidR="005B0FA7" w:rsidRPr="00A2416C">
        <w:rPr>
          <w:rFonts w:ascii="Arial" w:hAnsi="Arial" w:cs="Arial"/>
        </w:rPr>
        <w:t>elected body that represents the interests of Wales and its people, makes laws for</w:t>
      </w:r>
      <w:r w:rsidR="00A2416C" w:rsidRPr="00A2416C">
        <w:rPr>
          <w:rFonts w:ascii="Arial" w:hAnsi="Arial" w:cs="Arial"/>
        </w:rPr>
        <w:t xml:space="preserve"> </w:t>
      </w:r>
      <w:r w:rsidR="005B0FA7" w:rsidRPr="00A2416C">
        <w:rPr>
          <w:rFonts w:ascii="Arial" w:hAnsi="Arial" w:cs="Arial"/>
        </w:rPr>
        <w:t xml:space="preserve">Wales, agrees Welsh </w:t>
      </w:r>
      <w:r w:rsidR="00015101" w:rsidRPr="00A2416C">
        <w:rPr>
          <w:rFonts w:ascii="Arial" w:hAnsi="Arial" w:cs="Arial"/>
        </w:rPr>
        <w:t>taxes,</w:t>
      </w:r>
      <w:r w:rsidR="005B0FA7" w:rsidRPr="00A2416C">
        <w:rPr>
          <w:rFonts w:ascii="Arial" w:hAnsi="Arial" w:cs="Arial"/>
        </w:rPr>
        <w:t xml:space="preserve"> and holds the Welsh Government to account. Retrieved</w:t>
      </w:r>
      <w:r w:rsidR="00A2416C" w:rsidRPr="00A2416C">
        <w:rPr>
          <w:rFonts w:ascii="Arial" w:hAnsi="Arial" w:cs="Arial"/>
        </w:rPr>
        <w:t xml:space="preserve"> </w:t>
      </w:r>
      <w:r w:rsidR="005B0FA7" w:rsidRPr="00A2416C">
        <w:rPr>
          <w:rFonts w:ascii="Arial" w:hAnsi="Arial" w:cs="Arial"/>
        </w:rPr>
        <w:t xml:space="preserve">from: </w:t>
      </w:r>
      <w:hyperlink r:id="rId19" w:history="1">
        <w:r w:rsidR="00A2416C" w:rsidRPr="00A2416C">
          <w:rPr>
            <w:rStyle w:val="Hyperlink"/>
            <w:rFonts w:ascii="Arial" w:hAnsi="Arial" w:cs="Arial"/>
          </w:rPr>
          <w:t>https://senedd.wales/Research%20Documents/17</w:t>
        </w:r>
        <w:r w:rsidR="00A2416C" w:rsidRPr="00A2416C">
          <w:rPr>
            <w:rStyle w:val="Hyperlink"/>
            <w:rFonts w:ascii="Arial" w:hAnsi="Arial" w:cs="Arial"/>
          </w:rPr>
          <w:t>-</w:t>
        </w:r>
        <w:r w:rsidR="00A2416C" w:rsidRPr="00A2416C">
          <w:rPr>
            <w:rStyle w:val="Hyperlink"/>
            <w:rFonts w:ascii="Arial" w:hAnsi="Arial" w:cs="Arial"/>
          </w:rPr>
          <w:t>010%20Low%20Carbon%20Energy%20in%20Wales/17-010-Web-English.pd</w:t>
        </w:r>
        <w:r w:rsidR="00A2416C" w:rsidRPr="00A2416C">
          <w:rPr>
            <w:rStyle w:val="Hyperlink"/>
            <w:rFonts w:ascii="Arial" w:hAnsi="Arial" w:cs="Arial"/>
          </w:rPr>
          <w:t>f</w:t>
        </w:r>
      </w:hyperlink>
      <w:r w:rsidR="00A2416C" w:rsidRPr="00A2416C">
        <w:rPr>
          <w:rFonts w:ascii="Arial" w:hAnsi="Arial" w:cs="Arial"/>
        </w:rPr>
        <w:t xml:space="preserve"> </w:t>
      </w:r>
      <w:r w:rsidR="005B0FA7" w:rsidRPr="00A2416C">
        <w:rPr>
          <w:rFonts w:ascii="Arial" w:hAnsi="Arial" w:cs="Arial"/>
        </w:rPr>
        <w:t>(Date</w:t>
      </w:r>
      <w:r w:rsidR="00A2416C" w:rsidRPr="00A2416C">
        <w:rPr>
          <w:rFonts w:ascii="Arial" w:hAnsi="Arial" w:cs="Arial"/>
        </w:rPr>
        <w:t xml:space="preserve"> </w:t>
      </w:r>
      <w:r w:rsidR="005B0FA7" w:rsidRPr="00A2416C">
        <w:rPr>
          <w:rFonts w:ascii="Arial" w:hAnsi="Arial" w:cs="Arial"/>
        </w:rPr>
        <w:t>Accessed: 29</w:t>
      </w:r>
      <w:r w:rsidR="00A2416C" w:rsidRPr="00A2416C">
        <w:rPr>
          <w:rFonts w:ascii="Arial" w:hAnsi="Arial" w:cs="Arial"/>
        </w:rPr>
        <w:t xml:space="preserve">th </w:t>
      </w:r>
      <w:r w:rsidR="005B0FA7" w:rsidRPr="00A2416C">
        <w:rPr>
          <w:rFonts w:ascii="Arial" w:hAnsi="Arial" w:cs="Arial"/>
        </w:rPr>
        <w:t xml:space="preserve"> June 2024)</w:t>
      </w:r>
    </w:p>
    <w:p w14:paraId="4EFD9328" w14:textId="46AE9C53" w:rsidR="005B0FA7" w:rsidRPr="00A2416C" w:rsidRDefault="005B0FA7" w:rsidP="00A2416C">
      <w:pPr>
        <w:spacing w:line="360" w:lineRule="auto"/>
        <w:rPr>
          <w:rFonts w:ascii="Arial" w:hAnsi="Arial" w:cs="Arial"/>
        </w:rPr>
      </w:pPr>
      <w:r w:rsidRPr="00A2416C">
        <w:rPr>
          <w:rFonts w:ascii="Arial" w:hAnsi="Arial" w:cs="Arial"/>
        </w:rPr>
        <w:t>UK Government. 2024. UK trade agreements in effect. Retrieved from</w:t>
      </w:r>
      <w:r w:rsidR="00A2416C" w:rsidRPr="00A2416C">
        <w:rPr>
          <w:rFonts w:ascii="Arial" w:hAnsi="Arial" w:cs="Arial"/>
        </w:rPr>
        <w:t xml:space="preserve">: </w:t>
      </w:r>
      <w:hyperlink r:id="rId20" w:history="1">
        <w:r w:rsidR="00A2416C" w:rsidRPr="00A2416C">
          <w:rPr>
            <w:rStyle w:val="Hyperlink"/>
            <w:rFonts w:ascii="Arial" w:hAnsi="Arial" w:cs="Arial"/>
          </w:rPr>
          <w:t>https://www.gov.uk/guidance/uk-trade-agreements-in-effec</w:t>
        </w:r>
        <w:r w:rsidR="00A2416C" w:rsidRPr="00A2416C">
          <w:rPr>
            <w:rStyle w:val="Hyperlink"/>
            <w:rFonts w:ascii="Arial" w:hAnsi="Arial" w:cs="Arial"/>
          </w:rPr>
          <w:t>t</w:t>
        </w:r>
      </w:hyperlink>
      <w:r w:rsidR="00A2416C" w:rsidRPr="00A2416C">
        <w:rPr>
          <w:rFonts w:ascii="Arial" w:hAnsi="Arial" w:cs="Arial"/>
        </w:rPr>
        <w:t xml:space="preserve"> </w:t>
      </w:r>
      <w:r w:rsidRPr="00A2416C">
        <w:rPr>
          <w:rFonts w:ascii="Arial" w:hAnsi="Arial" w:cs="Arial"/>
        </w:rPr>
        <w:t>(Date Accessed: 29</w:t>
      </w:r>
      <w:r w:rsidR="00A2416C" w:rsidRPr="00A2416C">
        <w:rPr>
          <w:rFonts w:ascii="Arial" w:hAnsi="Arial" w:cs="Arial"/>
        </w:rPr>
        <w:t>th</w:t>
      </w:r>
      <w:r w:rsidRPr="00A2416C">
        <w:rPr>
          <w:rFonts w:ascii="Arial" w:hAnsi="Arial" w:cs="Arial"/>
        </w:rPr>
        <w:t xml:space="preserve"> June</w:t>
      </w:r>
      <w:r w:rsidR="00A2416C" w:rsidRPr="00A2416C">
        <w:rPr>
          <w:rFonts w:ascii="Arial" w:hAnsi="Arial" w:cs="Arial"/>
        </w:rPr>
        <w:t xml:space="preserve"> </w:t>
      </w:r>
      <w:r w:rsidRPr="00A2416C">
        <w:rPr>
          <w:rFonts w:ascii="Arial" w:hAnsi="Arial" w:cs="Arial"/>
        </w:rPr>
        <w:t>2024)</w:t>
      </w:r>
    </w:p>
    <w:p w14:paraId="681097E8" w14:textId="2D35D08F" w:rsidR="00A2416C" w:rsidRPr="00A2416C" w:rsidRDefault="005B0FA7" w:rsidP="00A2416C">
      <w:pPr>
        <w:spacing w:line="360" w:lineRule="auto"/>
        <w:rPr>
          <w:rFonts w:ascii="Arial" w:hAnsi="Arial" w:cs="Arial"/>
        </w:rPr>
      </w:pPr>
      <w:r w:rsidRPr="00A2416C">
        <w:rPr>
          <w:rFonts w:ascii="Arial" w:hAnsi="Arial" w:cs="Arial"/>
        </w:rPr>
        <w:t>UK Research and Innovation. 2023. Research and development (R&amp;D) support in the UK.</w:t>
      </w:r>
      <w:r w:rsidR="00A2416C" w:rsidRPr="00A2416C">
        <w:rPr>
          <w:rFonts w:ascii="Arial" w:hAnsi="Arial" w:cs="Arial"/>
        </w:rPr>
        <w:t xml:space="preserve"> </w:t>
      </w:r>
      <w:r w:rsidRPr="00A2416C">
        <w:rPr>
          <w:rFonts w:ascii="Arial" w:hAnsi="Arial" w:cs="Arial"/>
        </w:rPr>
        <w:t xml:space="preserve">Retrieved from: </w:t>
      </w:r>
      <w:hyperlink r:id="rId21" w:history="1">
        <w:r w:rsidR="00A2416C" w:rsidRPr="00A2416C">
          <w:rPr>
            <w:rStyle w:val="Hyperlink"/>
            <w:rFonts w:ascii="Arial" w:hAnsi="Arial" w:cs="Arial"/>
          </w:rPr>
          <w:t>https://www.techuk.org/resource/navigating-the-complex-landscape-of-innovation</w:t>
        </w:r>
        <w:r w:rsidR="00A2416C" w:rsidRPr="00A2416C">
          <w:rPr>
            <w:rStyle w:val="Hyperlink"/>
            <w:rFonts w:ascii="Arial" w:hAnsi="Arial" w:cs="Arial"/>
          </w:rPr>
          <w:t>-</w:t>
        </w:r>
        <w:r w:rsidR="00A2416C" w:rsidRPr="00A2416C">
          <w:rPr>
            <w:rStyle w:val="Hyperlink"/>
            <w:rFonts w:ascii="Arial" w:hAnsi="Arial" w:cs="Arial"/>
          </w:rPr>
          <w:t>finance.html#:~:text=In%202020%20alone%2C%20an%20astounding,diverting%20funds%20towards%20unintended%20recipient</w:t>
        </w:r>
        <w:r w:rsidR="00A2416C" w:rsidRPr="00A2416C">
          <w:rPr>
            <w:rStyle w:val="Hyperlink"/>
            <w:rFonts w:ascii="Arial" w:hAnsi="Arial" w:cs="Arial"/>
          </w:rPr>
          <w:t>s</w:t>
        </w:r>
      </w:hyperlink>
    </w:p>
    <w:p w14:paraId="13AC8DC8" w14:textId="0B7ED701" w:rsidR="005B0FA7" w:rsidRPr="00A2416C" w:rsidRDefault="005B0FA7" w:rsidP="00A2416C">
      <w:pPr>
        <w:spacing w:line="360" w:lineRule="auto"/>
        <w:rPr>
          <w:rFonts w:ascii="Arial" w:hAnsi="Arial" w:cs="Arial"/>
        </w:rPr>
      </w:pPr>
      <w:r w:rsidRPr="00A2416C">
        <w:rPr>
          <w:rFonts w:ascii="Arial" w:hAnsi="Arial" w:cs="Arial"/>
        </w:rPr>
        <w:t xml:space="preserve"> (Date Accessed: 30</w:t>
      </w:r>
      <w:r w:rsidR="00A2416C" w:rsidRPr="00A2416C">
        <w:rPr>
          <w:rFonts w:ascii="Arial" w:hAnsi="Arial" w:cs="Arial"/>
        </w:rPr>
        <w:t>th</w:t>
      </w:r>
      <w:r w:rsidRPr="00A2416C">
        <w:rPr>
          <w:rFonts w:ascii="Arial" w:hAnsi="Arial" w:cs="Arial"/>
        </w:rPr>
        <w:t xml:space="preserve"> June 2024)</w:t>
      </w:r>
    </w:p>
    <w:p w14:paraId="2F7CBF60" w14:textId="77777777" w:rsidR="005B0FA7" w:rsidRPr="00A2416C" w:rsidRDefault="005B0FA7" w:rsidP="00A2416C">
      <w:pPr>
        <w:spacing w:line="360" w:lineRule="auto"/>
        <w:rPr>
          <w:rFonts w:ascii="Arial" w:hAnsi="Arial" w:cs="Arial"/>
        </w:rPr>
      </w:pPr>
    </w:p>
    <w:sectPr w:rsidR="005B0FA7" w:rsidRPr="00A2416C">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7C2FD" w14:textId="77777777" w:rsidR="00394B61" w:rsidRDefault="00394B61" w:rsidP="00E667C8">
      <w:pPr>
        <w:spacing w:after="0" w:line="240" w:lineRule="auto"/>
      </w:pPr>
      <w:r>
        <w:separator/>
      </w:r>
    </w:p>
  </w:endnote>
  <w:endnote w:type="continuationSeparator" w:id="0">
    <w:p w14:paraId="75A3D72E" w14:textId="77777777" w:rsidR="00394B61" w:rsidRDefault="00394B61" w:rsidP="00E66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73B18" w14:textId="77777777" w:rsidR="00394B61" w:rsidRDefault="00394B61" w:rsidP="00E667C8">
      <w:pPr>
        <w:spacing w:after="0" w:line="240" w:lineRule="auto"/>
      </w:pPr>
      <w:r>
        <w:separator/>
      </w:r>
    </w:p>
  </w:footnote>
  <w:footnote w:type="continuationSeparator" w:id="0">
    <w:p w14:paraId="199EB503" w14:textId="77777777" w:rsidR="00394B61" w:rsidRDefault="00394B61" w:rsidP="00E66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8500881"/>
      <w:docPartObj>
        <w:docPartGallery w:val="Page Numbers (Top of Page)"/>
        <w:docPartUnique/>
      </w:docPartObj>
    </w:sdtPr>
    <w:sdtEndPr>
      <w:rPr>
        <w:color w:val="7F7F7F" w:themeColor="background1" w:themeShade="7F"/>
        <w:spacing w:val="60"/>
      </w:rPr>
    </w:sdtEndPr>
    <w:sdtContent>
      <w:p w14:paraId="0480C562" w14:textId="1C098061" w:rsidR="00E667C8" w:rsidRDefault="00E667C8">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18EC4C4" w14:textId="77777777" w:rsidR="00E667C8" w:rsidRDefault="00E667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297"/>
    <w:rsid w:val="00015101"/>
    <w:rsid w:val="00026D4D"/>
    <w:rsid w:val="00043BD3"/>
    <w:rsid w:val="00076102"/>
    <w:rsid w:val="00091DD8"/>
    <w:rsid w:val="00093138"/>
    <w:rsid w:val="000F3188"/>
    <w:rsid w:val="0013672C"/>
    <w:rsid w:val="001975F1"/>
    <w:rsid w:val="001E250C"/>
    <w:rsid w:val="001F34C2"/>
    <w:rsid w:val="00241CD2"/>
    <w:rsid w:val="0025053E"/>
    <w:rsid w:val="002B2EB7"/>
    <w:rsid w:val="002C5B82"/>
    <w:rsid w:val="002F23E8"/>
    <w:rsid w:val="003146DA"/>
    <w:rsid w:val="00314E0A"/>
    <w:rsid w:val="00320368"/>
    <w:rsid w:val="00360474"/>
    <w:rsid w:val="0036566E"/>
    <w:rsid w:val="00394B61"/>
    <w:rsid w:val="003A2297"/>
    <w:rsid w:val="003B0655"/>
    <w:rsid w:val="003C5009"/>
    <w:rsid w:val="00432CEE"/>
    <w:rsid w:val="00444631"/>
    <w:rsid w:val="00471FB0"/>
    <w:rsid w:val="004946CD"/>
    <w:rsid w:val="004D55B5"/>
    <w:rsid w:val="004D58AF"/>
    <w:rsid w:val="004F4B8D"/>
    <w:rsid w:val="00500C90"/>
    <w:rsid w:val="00520158"/>
    <w:rsid w:val="00526A2A"/>
    <w:rsid w:val="00551F99"/>
    <w:rsid w:val="005629A9"/>
    <w:rsid w:val="005B0FA7"/>
    <w:rsid w:val="005E48F2"/>
    <w:rsid w:val="00622287"/>
    <w:rsid w:val="006229D0"/>
    <w:rsid w:val="00637698"/>
    <w:rsid w:val="00683339"/>
    <w:rsid w:val="006A03FC"/>
    <w:rsid w:val="006B2985"/>
    <w:rsid w:val="006C448B"/>
    <w:rsid w:val="007216F5"/>
    <w:rsid w:val="007867EE"/>
    <w:rsid w:val="007E354A"/>
    <w:rsid w:val="00803892"/>
    <w:rsid w:val="00803D5A"/>
    <w:rsid w:val="00806BE2"/>
    <w:rsid w:val="008105B6"/>
    <w:rsid w:val="0081204C"/>
    <w:rsid w:val="00891586"/>
    <w:rsid w:val="008B5F8F"/>
    <w:rsid w:val="0090301D"/>
    <w:rsid w:val="00913611"/>
    <w:rsid w:val="00945813"/>
    <w:rsid w:val="009A4B52"/>
    <w:rsid w:val="009B2C4A"/>
    <w:rsid w:val="009D1F38"/>
    <w:rsid w:val="009F66C6"/>
    <w:rsid w:val="00A035D6"/>
    <w:rsid w:val="00A07F2F"/>
    <w:rsid w:val="00A2416C"/>
    <w:rsid w:val="00A62E1D"/>
    <w:rsid w:val="00AA12DA"/>
    <w:rsid w:val="00B149AB"/>
    <w:rsid w:val="00B226D7"/>
    <w:rsid w:val="00BA76F8"/>
    <w:rsid w:val="00C91E8B"/>
    <w:rsid w:val="00D1002C"/>
    <w:rsid w:val="00D409C3"/>
    <w:rsid w:val="00D91F4F"/>
    <w:rsid w:val="00D97F19"/>
    <w:rsid w:val="00DA4A60"/>
    <w:rsid w:val="00DC7874"/>
    <w:rsid w:val="00DE5082"/>
    <w:rsid w:val="00E667C8"/>
    <w:rsid w:val="00E96C08"/>
    <w:rsid w:val="00EB372F"/>
    <w:rsid w:val="00ED1CF4"/>
    <w:rsid w:val="00EE2F77"/>
    <w:rsid w:val="00F57B1F"/>
    <w:rsid w:val="00FA7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1F75D"/>
  <w15:chartTrackingRefBased/>
  <w15:docId w15:val="{21410E6C-6413-C642-9946-848503BA6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22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22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22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2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22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22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2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2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2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2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22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22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2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22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22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2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2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297"/>
    <w:rPr>
      <w:rFonts w:eastAsiaTheme="majorEastAsia" w:cstheme="majorBidi"/>
      <w:color w:val="272727" w:themeColor="text1" w:themeTint="D8"/>
    </w:rPr>
  </w:style>
  <w:style w:type="paragraph" w:styleId="Title">
    <w:name w:val="Title"/>
    <w:basedOn w:val="Normal"/>
    <w:next w:val="Normal"/>
    <w:link w:val="TitleChar"/>
    <w:uiPriority w:val="10"/>
    <w:qFormat/>
    <w:rsid w:val="003A22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22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2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2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297"/>
    <w:pPr>
      <w:spacing w:before="160"/>
      <w:jc w:val="center"/>
    </w:pPr>
    <w:rPr>
      <w:i/>
      <w:iCs/>
      <w:color w:val="404040" w:themeColor="text1" w:themeTint="BF"/>
    </w:rPr>
  </w:style>
  <w:style w:type="character" w:customStyle="1" w:styleId="QuoteChar">
    <w:name w:val="Quote Char"/>
    <w:basedOn w:val="DefaultParagraphFont"/>
    <w:link w:val="Quote"/>
    <w:uiPriority w:val="29"/>
    <w:rsid w:val="003A2297"/>
    <w:rPr>
      <w:i/>
      <w:iCs/>
      <w:color w:val="404040" w:themeColor="text1" w:themeTint="BF"/>
    </w:rPr>
  </w:style>
  <w:style w:type="paragraph" w:styleId="ListParagraph">
    <w:name w:val="List Paragraph"/>
    <w:basedOn w:val="Normal"/>
    <w:uiPriority w:val="34"/>
    <w:qFormat/>
    <w:rsid w:val="003A2297"/>
    <w:pPr>
      <w:ind w:left="720"/>
      <w:contextualSpacing/>
    </w:pPr>
  </w:style>
  <w:style w:type="character" w:styleId="IntenseEmphasis">
    <w:name w:val="Intense Emphasis"/>
    <w:basedOn w:val="DefaultParagraphFont"/>
    <w:uiPriority w:val="21"/>
    <w:qFormat/>
    <w:rsid w:val="003A2297"/>
    <w:rPr>
      <w:i/>
      <w:iCs/>
      <w:color w:val="0F4761" w:themeColor="accent1" w:themeShade="BF"/>
    </w:rPr>
  </w:style>
  <w:style w:type="paragraph" w:styleId="IntenseQuote">
    <w:name w:val="Intense Quote"/>
    <w:basedOn w:val="Normal"/>
    <w:next w:val="Normal"/>
    <w:link w:val="IntenseQuoteChar"/>
    <w:uiPriority w:val="30"/>
    <w:qFormat/>
    <w:rsid w:val="003A22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2297"/>
    <w:rPr>
      <w:i/>
      <w:iCs/>
      <w:color w:val="0F4761" w:themeColor="accent1" w:themeShade="BF"/>
    </w:rPr>
  </w:style>
  <w:style w:type="character" w:styleId="IntenseReference">
    <w:name w:val="Intense Reference"/>
    <w:basedOn w:val="DefaultParagraphFont"/>
    <w:uiPriority w:val="32"/>
    <w:qFormat/>
    <w:rsid w:val="003A2297"/>
    <w:rPr>
      <w:b/>
      <w:bCs/>
      <w:smallCaps/>
      <w:color w:val="0F4761" w:themeColor="accent1" w:themeShade="BF"/>
      <w:spacing w:val="5"/>
    </w:rPr>
  </w:style>
  <w:style w:type="paragraph" w:styleId="Header">
    <w:name w:val="header"/>
    <w:basedOn w:val="Normal"/>
    <w:link w:val="HeaderChar"/>
    <w:uiPriority w:val="99"/>
    <w:unhideWhenUsed/>
    <w:rsid w:val="00E66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7C8"/>
  </w:style>
  <w:style w:type="paragraph" w:styleId="Footer">
    <w:name w:val="footer"/>
    <w:basedOn w:val="Normal"/>
    <w:link w:val="FooterChar"/>
    <w:uiPriority w:val="99"/>
    <w:unhideWhenUsed/>
    <w:rsid w:val="00E66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7C8"/>
  </w:style>
  <w:style w:type="paragraph" w:styleId="TOCHeading">
    <w:name w:val="TOC Heading"/>
    <w:basedOn w:val="Heading1"/>
    <w:next w:val="Normal"/>
    <w:uiPriority w:val="39"/>
    <w:unhideWhenUsed/>
    <w:qFormat/>
    <w:rsid w:val="00E667C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667C8"/>
    <w:pPr>
      <w:spacing w:after="100"/>
    </w:pPr>
  </w:style>
  <w:style w:type="paragraph" w:styleId="TOC2">
    <w:name w:val="toc 2"/>
    <w:basedOn w:val="Normal"/>
    <w:next w:val="Normal"/>
    <w:autoRedefine/>
    <w:uiPriority w:val="39"/>
    <w:unhideWhenUsed/>
    <w:rsid w:val="00E667C8"/>
    <w:pPr>
      <w:spacing w:after="100"/>
      <w:ind w:left="240"/>
    </w:pPr>
  </w:style>
  <w:style w:type="paragraph" w:styleId="TOC3">
    <w:name w:val="toc 3"/>
    <w:basedOn w:val="Normal"/>
    <w:next w:val="Normal"/>
    <w:autoRedefine/>
    <w:uiPriority w:val="39"/>
    <w:unhideWhenUsed/>
    <w:rsid w:val="00E667C8"/>
    <w:pPr>
      <w:spacing w:after="100"/>
      <w:ind w:left="480"/>
    </w:pPr>
  </w:style>
  <w:style w:type="character" w:styleId="Hyperlink">
    <w:name w:val="Hyperlink"/>
    <w:basedOn w:val="DefaultParagraphFont"/>
    <w:uiPriority w:val="99"/>
    <w:unhideWhenUsed/>
    <w:rsid w:val="00E667C8"/>
    <w:rPr>
      <w:color w:val="467886" w:themeColor="hyperlink"/>
      <w:u w:val="single"/>
    </w:rPr>
  </w:style>
  <w:style w:type="character" w:styleId="Emphasis">
    <w:name w:val="Emphasis"/>
    <w:basedOn w:val="DefaultParagraphFont"/>
    <w:uiPriority w:val="20"/>
    <w:qFormat/>
    <w:rsid w:val="00A07F2F"/>
    <w:rPr>
      <w:i/>
      <w:iCs/>
    </w:rPr>
  </w:style>
  <w:style w:type="character" w:styleId="UnresolvedMention">
    <w:name w:val="Unresolved Mention"/>
    <w:basedOn w:val="DefaultParagraphFont"/>
    <w:uiPriority w:val="99"/>
    <w:semiHidden/>
    <w:unhideWhenUsed/>
    <w:rsid w:val="005B0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ccc.org.uk/wp-content/uploads/2023/06/Progress-Report-Reducing-emissions-in-Wales.pdf" TargetMode="External"/><Relationship Id="rId18" Type="http://schemas.openxmlformats.org/officeDocument/2006/relationships/hyperlink" Target="https://store.marketline.com/report/uk-pestle-analysis/" TargetMode="External"/><Relationship Id="rId3" Type="http://schemas.openxmlformats.org/officeDocument/2006/relationships/settings" Target="settings.xml"/><Relationship Id="rId21" Type="http://schemas.openxmlformats.org/officeDocument/2006/relationships/hyperlink" Target="https://www.techuk.org/resource/navigating-the-complex-landscape-of-innovation-finance.html#:~:text=In%202020%20alone%2C%20an%20astounding,diverting%20funds%20towards%20unintended%20recipients" TargetMode="External"/><Relationship Id="rId7" Type="http://schemas.openxmlformats.org/officeDocument/2006/relationships/image" Target="media/image1.png"/><Relationship Id="rId12" Type="http://schemas.openxmlformats.org/officeDocument/2006/relationships/hyperlink" Target="https://business.senedd.wales/documents/s145231/Evidence%20paper%20-" TargetMode="External"/><Relationship Id="rId17" Type="http://schemas.openxmlformats.org/officeDocument/2006/relationships/hyperlink" Target="https://www.europarl.europa.eu/RegData/etudes/STUD/2023/747433/EPRS_STU(2023)747433_EN.pdf" TargetMode="External"/><Relationship Id="rId2" Type="http://schemas.openxmlformats.org/officeDocument/2006/relationships/styles" Target="styles.xml"/><Relationship Id="rId16" Type="http://schemas.openxmlformats.org/officeDocument/2006/relationships/hyperlink" Target="http://teaching.up.edu/BUS580/bps/Barney%20and%20Hesterly,%202008,%20ch3_VRIO%20internal%20analysis.pdf" TargetMode="External"/><Relationship Id="rId20" Type="http://schemas.openxmlformats.org/officeDocument/2006/relationships/hyperlink" Target="https://www.gov.uk/guidance/uk-trade-agreements-in-effec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er.eu/sites/default/files/insight_AB_trade_brexit_11.3.2.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eritage.org/index/pages/country-pages/united-kingdom" TargetMode="External"/><Relationship Id="rId23" Type="http://schemas.openxmlformats.org/officeDocument/2006/relationships/fontTable" Target="fontTable.xml"/><Relationship Id="rId10" Type="http://schemas.openxmlformats.org/officeDocument/2006/relationships/hyperlink" Target="https://www.mckinsey.com/capabilities/growth-marketing-and-sales/our-insights/survey-uk-consumer-sentiment-during-the-coronavirus-crisis" TargetMode="External"/><Relationship Id="rId19" Type="http://schemas.openxmlformats.org/officeDocument/2006/relationships/hyperlink" Target="https://senedd.wales/Research%20Documents/17-010%20Low%20Carbon%20Energy%20in%20Wales/17-010-Web-English.pdf" TargetMode="External"/><Relationship Id="rId4" Type="http://schemas.openxmlformats.org/officeDocument/2006/relationships/webSettings" Target="webSettings.xml"/><Relationship Id="rId9" Type="http://schemas.openxmlformats.org/officeDocument/2006/relationships/hyperlink" Target="https://www.bankofengland.co.uk/monetary-policy-report/2024/may-2024#report-may" TargetMode="External"/><Relationship Id="rId14" Type="http://schemas.openxmlformats.org/officeDocument/2006/relationships/hyperlink" Target="https://www.gov.uk/tax-on-shoppin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27120-96FE-45A7-8F95-F413C56E3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2435</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Stefan</dc:creator>
  <cp:keywords/>
  <dc:description/>
  <cp:lastModifiedBy>Saveta Victoria Stefan (2216451)</cp:lastModifiedBy>
  <cp:revision>2</cp:revision>
  <dcterms:created xsi:type="dcterms:W3CDTF">2024-07-17T21:13:00Z</dcterms:created>
  <dcterms:modified xsi:type="dcterms:W3CDTF">2024-07-17T21:13:00Z</dcterms:modified>
</cp:coreProperties>
</file>