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E0E4C" w14:textId="77777777" w:rsidR="00530314" w:rsidRDefault="00530314" w:rsidP="00530314">
      <w:r>
        <w:rPr>
          <w:noProof/>
        </w:rPr>
        <w:drawing>
          <wp:inline distT="0" distB="0" distL="0" distR="0" wp14:anchorId="12A92F0F" wp14:editId="7F7F0745">
            <wp:extent cx="5731510" cy="2660725"/>
            <wp:effectExtent l="0" t="0" r="0" b="635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660725"/>
                    </a:xfrm>
                    <a:prstGeom prst="rect">
                      <a:avLst/>
                    </a:prstGeom>
                    <a:noFill/>
                    <a:ln>
                      <a:noFill/>
                    </a:ln>
                  </pic:spPr>
                </pic:pic>
              </a:graphicData>
            </a:graphic>
          </wp:inline>
        </w:drawing>
      </w:r>
    </w:p>
    <w:p w14:paraId="1A57296B" w14:textId="77777777" w:rsidR="00530314" w:rsidRDefault="00530314" w:rsidP="00530314"/>
    <w:p w14:paraId="1CDC9D01" w14:textId="77777777" w:rsidR="00530314" w:rsidRDefault="00530314" w:rsidP="00530314"/>
    <w:p w14:paraId="567FEC81" w14:textId="77777777" w:rsidR="00530314" w:rsidRDefault="00530314" w:rsidP="00530314">
      <w:pPr>
        <w:rPr>
          <w:rFonts w:ascii="Arial" w:hAnsi="Arial" w:cs="Arial"/>
          <w:sz w:val="28"/>
          <w:szCs w:val="28"/>
        </w:rPr>
      </w:pPr>
    </w:p>
    <w:p w14:paraId="04A0F319" w14:textId="77777777" w:rsidR="00530314" w:rsidRPr="00D94322" w:rsidRDefault="00530314" w:rsidP="00530314">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2D9ABE94" w14:textId="77777777" w:rsidR="00530314" w:rsidRPr="00EF4DF5" w:rsidRDefault="00530314" w:rsidP="00530314">
      <w:pPr>
        <w:spacing w:line="360" w:lineRule="auto"/>
        <w:jc w:val="both"/>
        <w:rPr>
          <w:rFonts w:ascii="Arial" w:hAnsi="Arial" w:cs="Arial"/>
        </w:rPr>
      </w:pPr>
    </w:p>
    <w:p w14:paraId="248E0BF5" w14:textId="77777777" w:rsidR="00530314" w:rsidRPr="00EF4DF5" w:rsidRDefault="00530314" w:rsidP="00530314">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786D87D3" w14:textId="77777777" w:rsidR="00530314" w:rsidRPr="00EF4DF5" w:rsidRDefault="00530314" w:rsidP="00530314">
      <w:pPr>
        <w:spacing w:line="360" w:lineRule="auto"/>
        <w:jc w:val="both"/>
        <w:rPr>
          <w:rFonts w:ascii="Arial" w:hAnsi="Arial" w:cs="Arial"/>
        </w:rPr>
      </w:pPr>
    </w:p>
    <w:p w14:paraId="1D0090FB" w14:textId="2114AEFC" w:rsidR="00530314" w:rsidRPr="00EF4DF5" w:rsidRDefault="00530314" w:rsidP="00530314">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International Financial Management  </w:t>
      </w:r>
    </w:p>
    <w:p w14:paraId="39C6B33E" w14:textId="77777777" w:rsidR="00530314" w:rsidRPr="00EF4DF5" w:rsidRDefault="00530314" w:rsidP="00530314">
      <w:pPr>
        <w:spacing w:line="360" w:lineRule="auto"/>
        <w:jc w:val="both"/>
        <w:rPr>
          <w:rFonts w:ascii="Arial" w:hAnsi="Arial" w:cs="Arial"/>
        </w:rPr>
      </w:pPr>
    </w:p>
    <w:p w14:paraId="16D724FF" w14:textId="0BDEEC98" w:rsidR="00530314" w:rsidRPr="00EF4DF5" w:rsidRDefault="00530314" w:rsidP="00530314">
      <w:pPr>
        <w:spacing w:line="360" w:lineRule="auto"/>
        <w:jc w:val="both"/>
        <w:rPr>
          <w:rFonts w:ascii="Arial" w:hAnsi="Arial" w:cs="Arial"/>
        </w:rPr>
      </w:pPr>
      <w:r w:rsidRPr="00EF4DF5">
        <w:rPr>
          <w:rFonts w:ascii="Arial" w:hAnsi="Arial" w:cs="Arial"/>
        </w:rPr>
        <w:t xml:space="preserve">Module code: </w:t>
      </w:r>
      <w:r>
        <w:rPr>
          <w:rFonts w:ascii="Arial" w:hAnsi="Arial" w:cs="Arial"/>
        </w:rPr>
        <w:t xml:space="preserve"> LCBB6002</w:t>
      </w:r>
    </w:p>
    <w:p w14:paraId="56B30B73" w14:textId="77777777" w:rsidR="00530314" w:rsidRPr="00EF4DF5" w:rsidRDefault="00530314" w:rsidP="00530314">
      <w:pPr>
        <w:spacing w:line="360" w:lineRule="auto"/>
        <w:jc w:val="both"/>
        <w:rPr>
          <w:rFonts w:ascii="Arial" w:hAnsi="Arial" w:cs="Arial"/>
        </w:rPr>
      </w:pPr>
    </w:p>
    <w:p w14:paraId="2DCB1930" w14:textId="77777777" w:rsidR="00530314" w:rsidRPr="00EF4DF5" w:rsidRDefault="00530314" w:rsidP="00530314">
      <w:pPr>
        <w:spacing w:line="360" w:lineRule="auto"/>
        <w:jc w:val="both"/>
        <w:rPr>
          <w:rFonts w:ascii="Arial" w:hAnsi="Arial" w:cs="Arial"/>
        </w:rPr>
      </w:pPr>
      <w:r w:rsidRPr="00EF4DF5">
        <w:rPr>
          <w:rFonts w:ascii="Arial" w:hAnsi="Arial" w:cs="Arial"/>
        </w:rPr>
        <w:t xml:space="preserve">Assignment </w:t>
      </w:r>
      <w:r>
        <w:rPr>
          <w:rFonts w:ascii="Arial" w:hAnsi="Arial" w:cs="Arial"/>
        </w:rPr>
        <w:t>1</w:t>
      </w:r>
    </w:p>
    <w:p w14:paraId="63921B2E" w14:textId="77777777" w:rsidR="00530314" w:rsidRPr="00EF4DF5" w:rsidRDefault="00530314" w:rsidP="00530314">
      <w:pPr>
        <w:spacing w:line="360" w:lineRule="auto"/>
        <w:jc w:val="both"/>
        <w:rPr>
          <w:rFonts w:ascii="Arial" w:hAnsi="Arial" w:cs="Arial"/>
        </w:rPr>
      </w:pPr>
    </w:p>
    <w:p w14:paraId="77299E42" w14:textId="04D2AAD3" w:rsidR="00530314" w:rsidRPr="001877E8" w:rsidRDefault="00530314" w:rsidP="00530314">
      <w:pPr>
        <w:spacing w:line="360" w:lineRule="auto"/>
        <w:jc w:val="both"/>
        <w:rPr>
          <w:rFonts w:ascii="Arial" w:hAnsi="Arial" w:cs="Arial"/>
        </w:rPr>
      </w:pPr>
      <w:r w:rsidRPr="001877E8">
        <w:rPr>
          <w:rFonts w:ascii="Arial" w:hAnsi="Arial" w:cs="Arial"/>
        </w:rPr>
        <w:t xml:space="preserve">Lecturer:  </w:t>
      </w:r>
      <w:r w:rsidR="001877E8" w:rsidRPr="001877E8">
        <w:rPr>
          <w:rFonts w:ascii="Arial" w:hAnsi="Arial" w:cs="Arial"/>
          <w:color w:val="1D2125"/>
          <w:shd w:val="clear" w:color="auto" w:fill="F8F9FA"/>
        </w:rPr>
        <w:t>Ms Zainab Atta</w:t>
      </w:r>
    </w:p>
    <w:p w14:paraId="15786E24" w14:textId="77777777" w:rsidR="006E01A8" w:rsidRDefault="006E01A8" w:rsidP="00530314">
      <w:pPr>
        <w:spacing w:line="360" w:lineRule="auto"/>
        <w:jc w:val="both"/>
        <w:rPr>
          <w:rFonts w:ascii="Arial" w:hAnsi="Arial" w:cs="Arial"/>
        </w:rPr>
      </w:pPr>
    </w:p>
    <w:p w14:paraId="77FAA464" w14:textId="77777777" w:rsidR="006E01A8" w:rsidRDefault="006E01A8" w:rsidP="00530314">
      <w:pPr>
        <w:spacing w:line="360" w:lineRule="auto"/>
        <w:jc w:val="both"/>
        <w:rPr>
          <w:rFonts w:ascii="Arial" w:hAnsi="Arial" w:cs="Arial"/>
        </w:rPr>
      </w:pPr>
    </w:p>
    <w:p w14:paraId="365EC57B" w14:textId="77777777" w:rsidR="006E01A8" w:rsidRDefault="006E01A8" w:rsidP="00530314">
      <w:pPr>
        <w:spacing w:line="360" w:lineRule="auto"/>
        <w:jc w:val="both"/>
        <w:rPr>
          <w:rFonts w:ascii="Arial" w:hAnsi="Arial" w:cs="Arial"/>
        </w:rPr>
      </w:pPr>
    </w:p>
    <w:p w14:paraId="3DA0147F" w14:textId="77777777" w:rsidR="006E01A8" w:rsidRDefault="006E01A8" w:rsidP="00530314">
      <w:pPr>
        <w:spacing w:line="360" w:lineRule="auto"/>
        <w:jc w:val="both"/>
        <w:rPr>
          <w:rFonts w:ascii="Arial" w:hAnsi="Arial" w:cs="Arial"/>
        </w:rPr>
      </w:pPr>
    </w:p>
    <w:p w14:paraId="3055A5D6" w14:textId="77777777" w:rsidR="006E01A8" w:rsidRDefault="006E01A8" w:rsidP="00530314">
      <w:pPr>
        <w:spacing w:line="360" w:lineRule="auto"/>
        <w:jc w:val="both"/>
        <w:rPr>
          <w:rFonts w:ascii="Arial" w:hAnsi="Arial" w:cs="Arial"/>
        </w:rPr>
      </w:pPr>
    </w:p>
    <w:p w14:paraId="6C71E84D" w14:textId="77777777" w:rsidR="006E01A8" w:rsidRDefault="006E01A8" w:rsidP="00530314">
      <w:pPr>
        <w:spacing w:line="360" w:lineRule="auto"/>
        <w:jc w:val="both"/>
        <w:rPr>
          <w:rFonts w:ascii="Arial" w:hAnsi="Arial" w:cs="Arial"/>
        </w:rPr>
      </w:pPr>
    </w:p>
    <w:p w14:paraId="6B596F4D" w14:textId="77777777" w:rsidR="006E01A8" w:rsidRDefault="006E01A8" w:rsidP="00530314">
      <w:pPr>
        <w:spacing w:line="360" w:lineRule="auto"/>
        <w:jc w:val="both"/>
        <w:rPr>
          <w:rFonts w:ascii="Arial" w:hAnsi="Arial" w:cs="Arial"/>
        </w:rPr>
      </w:pPr>
    </w:p>
    <w:p w14:paraId="376B8744" w14:textId="77777777" w:rsidR="006E01A8" w:rsidRDefault="006E01A8" w:rsidP="00530314">
      <w:pPr>
        <w:spacing w:line="360" w:lineRule="auto"/>
        <w:jc w:val="both"/>
        <w:rPr>
          <w:rFonts w:ascii="Arial" w:hAnsi="Arial" w:cs="Arial"/>
        </w:rPr>
      </w:pPr>
    </w:p>
    <w:p w14:paraId="7D6D6328" w14:textId="77777777" w:rsidR="006E01A8" w:rsidRDefault="006E01A8" w:rsidP="00530314">
      <w:pPr>
        <w:spacing w:line="360" w:lineRule="auto"/>
        <w:jc w:val="both"/>
        <w:rPr>
          <w:rFonts w:ascii="Arial" w:hAnsi="Arial" w:cs="Arial"/>
        </w:rPr>
      </w:pPr>
    </w:p>
    <w:p w14:paraId="1C6F80FD" w14:textId="77777777" w:rsidR="006E01A8" w:rsidRDefault="006E01A8" w:rsidP="00530314">
      <w:pPr>
        <w:spacing w:line="360" w:lineRule="auto"/>
        <w:jc w:val="both"/>
        <w:rPr>
          <w:rFonts w:ascii="Arial" w:hAnsi="Arial" w:cs="Arial"/>
        </w:rPr>
      </w:pPr>
    </w:p>
    <w:p w14:paraId="290E2024" w14:textId="77777777" w:rsidR="006E01A8" w:rsidRDefault="006E01A8" w:rsidP="00530314">
      <w:pPr>
        <w:spacing w:line="360" w:lineRule="auto"/>
        <w:jc w:val="both"/>
        <w:rPr>
          <w:rFonts w:ascii="Arial" w:hAnsi="Arial" w:cs="Arial"/>
        </w:rPr>
      </w:pPr>
    </w:p>
    <w:p w14:paraId="2E0C8271" w14:textId="1855609D" w:rsidR="006E01A8" w:rsidRDefault="006E01A8" w:rsidP="00530314">
      <w:pPr>
        <w:spacing w:line="360" w:lineRule="auto"/>
        <w:jc w:val="both"/>
        <w:rPr>
          <w:rFonts w:ascii="Arial" w:hAnsi="Arial" w:cs="Arial"/>
        </w:rPr>
      </w:pPr>
      <w:r>
        <w:rPr>
          <w:rFonts w:ascii="Arial" w:hAnsi="Arial" w:cs="Arial"/>
        </w:rPr>
        <w:lastRenderedPageBreak/>
        <w:t xml:space="preserve">                                          TABLE OF CONTENTS</w:t>
      </w:r>
    </w:p>
    <w:p w14:paraId="1BD099A0" w14:textId="77777777" w:rsidR="006E01A8" w:rsidRDefault="006E01A8" w:rsidP="00530314">
      <w:pPr>
        <w:spacing w:line="360" w:lineRule="auto"/>
        <w:jc w:val="both"/>
        <w:rPr>
          <w:rFonts w:ascii="Arial" w:hAnsi="Arial" w:cs="Arial"/>
        </w:rPr>
      </w:pPr>
    </w:p>
    <w:p w14:paraId="03F0177B" w14:textId="77777777" w:rsidR="00EF3C14" w:rsidRDefault="00EF3C14" w:rsidP="00530314">
      <w:pPr>
        <w:spacing w:line="360" w:lineRule="auto"/>
        <w:jc w:val="both"/>
        <w:rPr>
          <w:rFonts w:ascii="Arial" w:hAnsi="Arial" w:cs="Arial"/>
        </w:rPr>
      </w:pPr>
    </w:p>
    <w:p w14:paraId="6E5A1F37" w14:textId="52A6CC1D" w:rsidR="00EF3C14" w:rsidRDefault="00EF3C14" w:rsidP="00EF3C14">
      <w:pPr>
        <w:pStyle w:val="ListParagraph"/>
        <w:numPr>
          <w:ilvl w:val="0"/>
          <w:numId w:val="4"/>
        </w:numPr>
        <w:spacing w:line="360" w:lineRule="auto"/>
        <w:jc w:val="both"/>
        <w:rPr>
          <w:rFonts w:ascii="Arial" w:hAnsi="Arial" w:cs="Arial"/>
        </w:rPr>
      </w:pPr>
      <w:r w:rsidRPr="00EF3C14">
        <w:rPr>
          <w:rFonts w:ascii="Arial" w:hAnsi="Arial" w:cs="Arial"/>
        </w:rPr>
        <w:t>INTRODUCTION ……………………………………………</w:t>
      </w:r>
      <w:proofErr w:type="gramStart"/>
      <w:r w:rsidRPr="00EF3C14">
        <w:rPr>
          <w:rFonts w:ascii="Arial" w:hAnsi="Arial" w:cs="Arial"/>
        </w:rPr>
        <w:t>….p.</w:t>
      </w:r>
      <w:proofErr w:type="gramEnd"/>
      <w:r w:rsidRPr="00EF3C14">
        <w:rPr>
          <w:rFonts w:ascii="Arial" w:hAnsi="Arial" w:cs="Arial"/>
        </w:rPr>
        <w:t xml:space="preserve"> 3</w:t>
      </w:r>
    </w:p>
    <w:p w14:paraId="5F7E453C" w14:textId="77777777" w:rsidR="00EF3C14" w:rsidRPr="00EF3C14" w:rsidRDefault="00EF3C14" w:rsidP="00EF3C14">
      <w:pPr>
        <w:spacing w:line="360" w:lineRule="auto"/>
        <w:jc w:val="both"/>
        <w:rPr>
          <w:rFonts w:ascii="Arial" w:hAnsi="Arial" w:cs="Arial"/>
        </w:rPr>
      </w:pPr>
    </w:p>
    <w:p w14:paraId="21252F7B" w14:textId="613994DA" w:rsidR="00EF3C14" w:rsidRDefault="00EF3C14" w:rsidP="00EF3C14">
      <w:pPr>
        <w:pStyle w:val="ListParagraph"/>
        <w:numPr>
          <w:ilvl w:val="0"/>
          <w:numId w:val="4"/>
        </w:numPr>
        <w:spacing w:line="360" w:lineRule="auto"/>
        <w:jc w:val="both"/>
        <w:rPr>
          <w:rFonts w:ascii="Arial" w:hAnsi="Arial" w:cs="Arial"/>
        </w:rPr>
      </w:pPr>
      <w:r>
        <w:rPr>
          <w:rFonts w:ascii="Arial" w:hAnsi="Arial" w:cs="Arial"/>
        </w:rPr>
        <w:t>MAIN BODY …………………………………………………</w:t>
      </w:r>
      <w:proofErr w:type="gramStart"/>
      <w:r>
        <w:rPr>
          <w:rFonts w:ascii="Arial" w:hAnsi="Arial" w:cs="Arial"/>
        </w:rPr>
        <w:t>….p.</w:t>
      </w:r>
      <w:proofErr w:type="gramEnd"/>
      <w:r>
        <w:rPr>
          <w:rFonts w:ascii="Arial" w:hAnsi="Arial" w:cs="Arial"/>
        </w:rPr>
        <w:t xml:space="preserve"> 3</w:t>
      </w:r>
    </w:p>
    <w:p w14:paraId="0472060B" w14:textId="5042F322" w:rsidR="00EF3C14" w:rsidRDefault="00EF3C14" w:rsidP="00EF3C14">
      <w:pPr>
        <w:pStyle w:val="ListParagraph"/>
        <w:numPr>
          <w:ilvl w:val="0"/>
          <w:numId w:val="5"/>
        </w:numPr>
        <w:spacing w:line="360" w:lineRule="auto"/>
        <w:jc w:val="both"/>
        <w:rPr>
          <w:rFonts w:ascii="Arial" w:hAnsi="Arial" w:cs="Arial"/>
        </w:rPr>
      </w:pPr>
      <w:r>
        <w:rPr>
          <w:rFonts w:ascii="Arial" w:hAnsi="Arial" w:cs="Arial"/>
        </w:rPr>
        <w:t>IFM THEORIES…………………………………………</w:t>
      </w:r>
      <w:proofErr w:type="gramStart"/>
      <w:r>
        <w:rPr>
          <w:rFonts w:ascii="Arial" w:hAnsi="Arial" w:cs="Arial"/>
        </w:rPr>
        <w:t>…..</w:t>
      </w:r>
      <w:proofErr w:type="gramEnd"/>
      <w:r>
        <w:rPr>
          <w:rFonts w:ascii="Arial" w:hAnsi="Arial" w:cs="Arial"/>
        </w:rPr>
        <w:t>p. 3</w:t>
      </w:r>
    </w:p>
    <w:p w14:paraId="600BBAD7" w14:textId="1FF67F3A" w:rsidR="00EF3C14" w:rsidRDefault="00EF3C14" w:rsidP="00EF3C14">
      <w:pPr>
        <w:pStyle w:val="ListParagraph"/>
        <w:numPr>
          <w:ilvl w:val="0"/>
          <w:numId w:val="5"/>
        </w:numPr>
        <w:spacing w:line="360" w:lineRule="auto"/>
        <w:jc w:val="both"/>
        <w:rPr>
          <w:rFonts w:ascii="Arial" w:hAnsi="Arial" w:cs="Arial"/>
        </w:rPr>
      </w:pPr>
      <w:r>
        <w:rPr>
          <w:rFonts w:ascii="Arial" w:hAnsi="Arial" w:cs="Arial"/>
        </w:rPr>
        <w:t>EXCHANGE RISK………………………………………</w:t>
      </w:r>
      <w:proofErr w:type="gramStart"/>
      <w:r>
        <w:rPr>
          <w:rFonts w:ascii="Arial" w:hAnsi="Arial" w:cs="Arial"/>
        </w:rPr>
        <w:t>…..</w:t>
      </w:r>
      <w:proofErr w:type="gramEnd"/>
      <w:r>
        <w:rPr>
          <w:rFonts w:ascii="Arial" w:hAnsi="Arial" w:cs="Arial"/>
        </w:rPr>
        <w:t>p.5</w:t>
      </w:r>
    </w:p>
    <w:p w14:paraId="74EEED50" w14:textId="4B25B486" w:rsidR="00EF3C14" w:rsidRDefault="00EF3C14" w:rsidP="00EF3C14">
      <w:pPr>
        <w:pStyle w:val="ListParagraph"/>
        <w:numPr>
          <w:ilvl w:val="0"/>
          <w:numId w:val="5"/>
        </w:numPr>
        <w:spacing w:line="360" w:lineRule="auto"/>
        <w:jc w:val="both"/>
        <w:rPr>
          <w:rFonts w:ascii="Arial" w:hAnsi="Arial" w:cs="Arial"/>
        </w:rPr>
      </w:pPr>
      <w:r>
        <w:rPr>
          <w:rFonts w:ascii="Arial" w:hAnsi="Arial" w:cs="Arial"/>
        </w:rPr>
        <w:t>HEDGING STRATEGIES………………………………</w:t>
      </w:r>
      <w:proofErr w:type="gramStart"/>
      <w:r>
        <w:rPr>
          <w:rFonts w:ascii="Arial" w:hAnsi="Arial" w:cs="Arial"/>
        </w:rPr>
        <w:t>…..</w:t>
      </w:r>
      <w:proofErr w:type="gramEnd"/>
      <w:r>
        <w:rPr>
          <w:rFonts w:ascii="Arial" w:hAnsi="Arial" w:cs="Arial"/>
        </w:rPr>
        <w:t>p.6</w:t>
      </w:r>
    </w:p>
    <w:p w14:paraId="7EF766CF" w14:textId="170F9DB3" w:rsidR="00EF3C14" w:rsidRDefault="00EF3C14" w:rsidP="00EF3C14">
      <w:pPr>
        <w:pStyle w:val="ListParagraph"/>
        <w:numPr>
          <w:ilvl w:val="0"/>
          <w:numId w:val="5"/>
        </w:numPr>
        <w:spacing w:line="360" w:lineRule="auto"/>
        <w:jc w:val="both"/>
        <w:rPr>
          <w:rFonts w:ascii="Arial" w:hAnsi="Arial" w:cs="Arial"/>
        </w:rPr>
      </w:pPr>
      <w:r>
        <w:rPr>
          <w:rFonts w:ascii="Arial" w:hAnsi="Arial" w:cs="Arial"/>
        </w:rPr>
        <w:t>EVALUATION……………………………………………</w:t>
      </w:r>
      <w:proofErr w:type="gramStart"/>
      <w:r>
        <w:rPr>
          <w:rFonts w:ascii="Arial" w:hAnsi="Arial" w:cs="Arial"/>
        </w:rPr>
        <w:t>…..</w:t>
      </w:r>
      <w:proofErr w:type="gramEnd"/>
      <w:r>
        <w:rPr>
          <w:rFonts w:ascii="Arial" w:hAnsi="Arial" w:cs="Arial"/>
        </w:rPr>
        <w:t>p.6</w:t>
      </w:r>
    </w:p>
    <w:p w14:paraId="0A46506A" w14:textId="77777777" w:rsidR="00EF3C14" w:rsidRPr="00EF3C14" w:rsidRDefault="00EF3C14" w:rsidP="00EF3C14">
      <w:pPr>
        <w:spacing w:line="360" w:lineRule="auto"/>
        <w:jc w:val="both"/>
        <w:rPr>
          <w:rFonts w:ascii="Arial" w:hAnsi="Arial" w:cs="Arial"/>
        </w:rPr>
      </w:pPr>
    </w:p>
    <w:p w14:paraId="1A9170A2" w14:textId="38AAF597" w:rsidR="00EF3C14" w:rsidRDefault="00EF3C14" w:rsidP="00EF3C14">
      <w:pPr>
        <w:pStyle w:val="ListParagraph"/>
        <w:numPr>
          <w:ilvl w:val="0"/>
          <w:numId w:val="4"/>
        </w:numPr>
        <w:spacing w:line="360" w:lineRule="auto"/>
        <w:jc w:val="both"/>
        <w:rPr>
          <w:rFonts w:ascii="Arial" w:hAnsi="Arial" w:cs="Arial"/>
        </w:rPr>
      </w:pPr>
      <w:r>
        <w:rPr>
          <w:rFonts w:ascii="Arial" w:hAnsi="Arial" w:cs="Arial"/>
        </w:rPr>
        <w:t>CONCLUSION………………………………………………</w:t>
      </w:r>
      <w:proofErr w:type="gramStart"/>
      <w:r>
        <w:rPr>
          <w:rFonts w:ascii="Arial" w:hAnsi="Arial" w:cs="Arial"/>
        </w:rPr>
        <w:t>…..</w:t>
      </w:r>
      <w:proofErr w:type="gramEnd"/>
      <w:r>
        <w:rPr>
          <w:rFonts w:ascii="Arial" w:hAnsi="Arial" w:cs="Arial"/>
        </w:rPr>
        <w:t>p.7</w:t>
      </w:r>
    </w:p>
    <w:p w14:paraId="37B01676" w14:textId="77777777" w:rsidR="00EF3C14" w:rsidRPr="00EF3C14" w:rsidRDefault="00EF3C14" w:rsidP="00EF3C14">
      <w:pPr>
        <w:spacing w:line="360" w:lineRule="auto"/>
        <w:ind w:left="360"/>
        <w:jc w:val="both"/>
        <w:rPr>
          <w:rFonts w:ascii="Arial" w:hAnsi="Arial" w:cs="Arial"/>
        </w:rPr>
      </w:pPr>
    </w:p>
    <w:p w14:paraId="40784DD3" w14:textId="258549B6" w:rsidR="00EF3C14" w:rsidRPr="00EF3C14" w:rsidRDefault="00EF3C14" w:rsidP="00EF3C14">
      <w:pPr>
        <w:pStyle w:val="ListParagraph"/>
        <w:numPr>
          <w:ilvl w:val="0"/>
          <w:numId w:val="4"/>
        </w:numPr>
        <w:spacing w:line="360" w:lineRule="auto"/>
        <w:jc w:val="both"/>
        <w:rPr>
          <w:rFonts w:ascii="Arial" w:hAnsi="Arial" w:cs="Arial"/>
        </w:rPr>
      </w:pPr>
      <w:r>
        <w:rPr>
          <w:rFonts w:ascii="Arial" w:hAnsi="Arial" w:cs="Arial"/>
        </w:rPr>
        <w:t>REFEERENCES…………………………………………………p.8</w:t>
      </w:r>
    </w:p>
    <w:p w14:paraId="24D16404" w14:textId="77777777" w:rsidR="00EF3C14" w:rsidRDefault="00EF3C14" w:rsidP="00EF3C14">
      <w:pPr>
        <w:spacing w:line="360" w:lineRule="auto"/>
        <w:jc w:val="both"/>
        <w:rPr>
          <w:rFonts w:ascii="Arial" w:hAnsi="Arial" w:cs="Arial"/>
        </w:rPr>
      </w:pPr>
    </w:p>
    <w:p w14:paraId="0EBAFA01" w14:textId="77777777" w:rsidR="00EF3C14" w:rsidRPr="00EF3C14" w:rsidRDefault="00EF3C14" w:rsidP="00EF3C14">
      <w:pPr>
        <w:spacing w:line="360" w:lineRule="auto"/>
        <w:jc w:val="both"/>
        <w:rPr>
          <w:rFonts w:ascii="Arial" w:hAnsi="Arial" w:cs="Arial"/>
        </w:rPr>
      </w:pPr>
    </w:p>
    <w:p w14:paraId="02BB59A5" w14:textId="00C765A3" w:rsidR="006E01A8" w:rsidRDefault="006E01A8" w:rsidP="00530314">
      <w:pPr>
        <w:spacing w:line="360" w:lineRule="auto"/>
        <w:jc w:val="both"/>
        <w:rPr>
          <w:rFonts w:ascii="Arial" w:hAnsi="Arial" w:cs="Arial"/>
        </w:rPr>
      </w:pPr>
    </w:p>
    <w:p w14:paraId="6283569D" w14:textId="1E28DB68" w:rsidR="006E01A8" w:rsidRDefault="006E01A8" w:rsidP="00530314">
      <w:pPr>
        <w:spacing w:line="360" w:lineRule="auto"/>
        <w:jc w:val="both"/>
        <w:rPr>
          <w:rFonts w:ascii="Arial" w:hAnsi="Arial" w:cs="Arial"/>
        </w:rPr>
      </w:pPr>
    </w:p>
    <w:p w14:paraId="2CD285D0" w14:textId="77777777" w:rsidR="006E01A8" w:rsidRDefault="006E01A8" w:rsidP="00530314">
      <w:pPr>
        <w:spacing w:line="360" w:lineRule="auto"/>
        <w:jc w:val="both"/>
        <w:rPr>
          <w:rFonts w:ascii="Arial" w:hAnsi="Arial" w:cs="Arial"/>
        </w:rPr>
      </w:pPr>
    </w:p>
    <w:p w14:paraId="56D892B1" w14:textId="63B9D05D" w:rsidR="006E01A8" w:rsidRDefault="006E01A8" w:rsidP="00530314">
      <w:pPr>
        <w:spacing w:line="360" w:lineRule="auto"/>
        <w:jc w:val="both"/>
        <w:rPr>
          <w:rFonts w:ascii="Arial" w:hAnsi="Arial" w:cs="Arial"/>
        </w:rPr>
      </w:pPr>
    </w:p>
    <w:p w14:paraId="6CE68889" w14:textId="77777777" w:rsidR="006E01A8" w:rsidRDefault="006E01A8" w:rsidP="00530314">
      <w:pPr>
        <w:spacing w:line="360" w:lineRule="auto"/>
        <w:jc w:val="both"/>
        <w:rPr>
          <w:rFonts w:ascii="Arial" w:hAnsi="Arial" w:cs="Arial"/>
        </w:rPr>
      </w:pPr>
    </w:p>
    <w:p w14:paraId="1882FB48" w14:textId="77777777" w:rsidR="006E01A8" w:rsidRDefault="006E01A8" w:rsidP="00530314">
      <w:pPr>
        <w:spacing w:line="360" w:lineRule="auto"/>
        <w:jc w:val="both"/>
        <w:rPr>
          <w:rFonts w:ascii="Arial" w:hAnsi="Arial" w:cs="Arial"/>
        </w:rPr>
      </w:pPr>
    </w:p>
    <w:p w14:paraId="2A4707A6" w14:textId="77777777" w:rsidR="006E01A8" w:rsidRDefault="006E01A8" w:rsidP="00530314">
      <w:pPr>
        <w:spacing w:line="360" w:lineRule="auto"/>
        <w:jc w:val="both"/>
        <w:rPr>
          <w:rFonts w:ascii="Arial" w:hAnsi="Arial" w:cs="Arial"/>
        </w:rPr>
      </w:pPr>
    </w:p>
    <w:p w14:paraId="6AAEC0FE" w14:textId="77777777" w:rsidR="006E01A8" w:rsidRDefault="006E01A8" w:rsidP="00530314">
      <w:pPr>
        <w:spacing w:line="360" w:lineRule="auto"/>
        <w:jc w:val="both"/>
        <w:rPr>
          <w:rFonts w:ascii="Arial" w:hAnsi="Arial" w:cs="Arial"/>
        </w:rPr>
      </w:pPr>
    </w:p>
    <w:p w14:paraId="161DD6BA" w14:textId="77777777" w:rsidR="006E01A8" w:rsidRDefault="006E01A8" w:rsidP="00530314">
      <w:pPr>
        <w:spacing w:line="360" w:lineRule="auto"/>
        <w:jc w:val="both"/>
        <w:rPr>
          <w:rFonts w:ascii="Arial" w:hAnsi="Arial" w:cs="Arial"/>
        </w:rPr>
      </w:pPr>
    </w:p>
    <w:p w14:paraId="0BE0F85B" w14:textId="77777777" w:rsidR="006E01A8" w:rsidRDefault="006E01A8" w:rsidP="00530314">
      <w:pPr>
        <w:spacing w:line="360" w:lineRule="auto"/>
        <w:jc w:val="both"/>
        <w:rPr>
          <w:rFonts w:ascii="Arial" w:hAnsi="Arial" w:cs="Arial"/>
        </w:rPr>
      </w:pPr>
    </w:p>
    <w:p w14:paraId="4F7EEBF3" w14:textId="77777777" w:rsidR="006E01A8" w:rsidRDefault="006E01A8" w:rsidP="00530314">
      <w:pPr>
        <w:spacing w:line="360" w:lineRule="auto"/>
        <w:jc w:val="both"/>
        <w:rPr>
          <w:rFonts w:ascii="Arial" w:hAnsi="Arial" w:cs="Arial"/>
        </w:rPr>
      </w:pPr>
    </w:p>
    <w:p w14:paraId="40B65F01" w14:textId="77777777" w:rsidR="00EF3C14" w:rsidRDefault="00EF3C14" w:rsidP="00530314">
      <w:pPr>
        <w:spacing w:line="360" w:lineRule="auto"/>
        <w:jc w:val="both"/>
        <w:rPr>
          <w:rFonts w:ascii="Arial" w:hAnsi="Arial" w:cs="Arial"/>
        </w:rPr>
      </w:pPr>
    </w:p>
    <w:p w14:paraId="30AE38BD" w14:textId="77777777" w:rsidR="00EF3C14" w:rsidRDefault="00EF3C14" w:rsidP="00530314">
      <w:pPr>
        <w:spacing w:line="360" w:lineRule="auto"/>
        <w:jc w:val="both"/>
        <w:rPr>
          <w:rFonts w:ascii="Arial" w:hAnsi="Arial" w:cs="Arial"/>
        </w:rPr>
      </w:pPr>
    </w:p>
    <w:p w14:paraId="0FBBFD24" w14:textId="77777777" w:rsidR="006E01A8" w:rsidRDefault="006E01A8" w:rsidP="00530314">
      <w:pPr>
        <w:spacing w:line="360" w:lineRule="auto"/>
        <w:jc w:val="both"/>
        <w:rPr>
          <w:rFonts w:ascii="Arial" w:hAnsi="Arial" w:cs="Arial"/>
        </w:rPr>
      </w:pPr>
    </w:p>
    <w:p w14:paraId="41F9E739" w14:textId="77777777" w:rsidR="00EF3C14" w:rsidRDefault="00EF3C14" w:rsidP="00530314">
      <w:pPr>
        <w:spacing w:line="360" w:lineRule="auto"/>
        <w:jc w:val="both"/>
        <w:rPr>
          <w:rFonts w:ascii="Arial" w:hAnsi="Arial" w:cs="Arial"/>
        </w:rPr>
      </w:pPr>
    </w:p>
    <w:p w14:paraId="4C43F93E" w14:textId="77777777" w:rsidR="006E01A8" w:rsidRDefault="006E01A8" w:rsidP="00530314">
      <w:pPr>
        <w:spacing w:line="360" w:lineRule="auto"/>
        <w:jc w:val="both"/>
        <w:rPr>
          <w:rFonts w:ascii="Arial" w:hAnsi="Arial" w:cs="Arial"/>
        </w:rPr>
      </w:pPr>
    </w:p>
    <w:p w14:paraId="11416704" w14:textId="2D3B3317" w:rsidR="006E01A8" w:rsidRDefault="006E01A8" w:rsidP="006E01A8">
      <w:pPr>
        <w:pStyle w:val="ListParagraph"/>
        <w:numPr>
          <w:ilvl w:val="0"/>
          <w:numId w:val="1"/>
        </w:numPr>
        <w:spacing w:line="360" w:lineRule="auto"/>
        <w:jc w:val="both"/>
        <w:rPr>
          <w:rFonts w:ascii="Arial" w:hAnsi="Arial" w:cs="Arial"/>
          <w:b/>
          <w:bCs/>
          <w:sz w:val="28"/>
          <w:szCs w:val="28"/>
        </w:rPr>
      </w:pPr>
      <w:r w:rsidRPr="006E01A8">
        <w:rPr>
          <w:rFonts w:ascii="Arial" w:hAnsi="Arial" w:cs="Arial"/>
          <w:b/>
          <w:bCs/>
          <w:sz w:val="28"/>
          <w:szCs w:val="28"/>
        </w:rPr>
        <w:lastRenderedPageBreak/>
        <w:t>INTRODUCTION</w:t>
      </w:r>
    </w:p>
    <w:p w14:paraId="1A08E672" w14:textId="77777777" w:rsidR="006E01A8" w:rsidRDefault="006E01A8" w:rsidP="006E01A8">
      <w:pPr>
        <w:spacing w:line="360" w:lineRule="auto"/>
        <w:jc w:val="both"/>
        <w:rPr>
          <w:rFonts w:ascii="Arial" w:hAnsi="Arial" w:cs="Arial"/>
          <w:b/>
          <w:bCs/>
          <w:sz w:val="28"/>
          <w:szCs w:val="28"/>
        </w:rPr>
      </w:pPr>
    </w:p>
    <w:p w14:paraId="4C261EEA" w14:textId="47ED3203" w:rsidR="00D975A7" w:rsidRPr="00D975A7" w:rsidRDefault="00CE7AC7" w:rsidP="006E01A8">
      <w:pPr>
        <w:spacing w:line="360" w:lineRule="auto"/>
        <w:jc w:val="both"/>
        <w:rPr>
          <w:rFonts w:ascii="Arial" w:hAnsi="Arial" w:cs="Arial"/>
        </w:rPr>
      </w:pPr>
      <w:r w:rsidRPr="00CE7AC7">
        <w:rPr>
          <w:rFonts w:ascii="Arial" w:hAnsi="Arial" w:cs="Arial"/>
        </w:rPr>
        <w:t xml:space="preserve">In the field of International Financial Management (IFM), multinational corporations (MNCs) face a complex terrain of hazards, with foreign exchange risk standing out as a major challenge. </w:t>
      </w:r>
      <w:r w:rsidR="0067572C" w:rsidRPr="0067572C">
        <w:rPr>
          <w:rFonts w:ascii="Arial" w:hAnsi="Arial" w:cs="Arial"/>
        </w:rPr>
        <w:t>Exchange rate variations can have a significant impact on multinational firms' financial performance, influencing revenues, costs, and profitability throughout their global operations. As a result, multinational corporations employ a variety of foreign currency risk management strategies based on IFM theories and practices.</w:t>
      </w:r>
      <w:r w:rsidR="0067572C" w:rsidRPr="0067572C">
        <w:rPr>
          <w:rFonts w:ascii="Arial" w:hAnsi="Arial" w:cs="Arial"/>
        </w:rPr>
        <w:br/>
        <w:t xml:space="preserve">Political parties' relationships have a significant impact on human decision-making. According to </w:t>
      </w:r>
      <w:proofErr w:type="spellStart"/>
      <w:r w:rsidR="0067572C" w:rsidRPr="0067572C">
        <w:rPr>
          <w:rFonts w:ascii="Arial" w:hAnsi="Arial" w:cs="Arial"/>
        </w:rPr>
        <w:t>Pompian</w:t>
      </w:r>
      <w:proofErr w:type="spellEnd"/>
      <w:r w:rsidR="0067572C" w:rsidRPr="0067572C">
        <w:rPr>
          <w:rFonts w:ascii="Arial" w:hAnsi="Arial" w:cs="Arial"/>
        </w:rPr>
        <w:t xml:space="preserve"> (2017), how investors think and feel effects their investment decisions, which are subconsciously influenced by previous experiences and personal views to the point that even knowledgeable investors deviate from logic and reason. </w:t>
      </w:r>
      <w:proofErr w:type="spellStart"/>
      <w:r w:rsidR="0067572C" w:rsidRPr="0067572C">
        <w:rPr>
          <w:rFonts w:ascii="Arial" w:hAnsi="Arial" w:cs="Arial"/>
        </w:rPr>
        <w:t>Bollen</w:t>
      </w:r>
      <w:proofErr w:type="spellEnd"/>
      <w:r w:rsidR="0067572C" w:rsidRPr="0067572C">
        <w:rPr>
          <w:rFonts w:ascii="Arial" w:hAnsi="Arial" w:cs="Arial"/>
        </w:rPr>
        <w:t xml:space="preserve"> et al. (2011) discovered that Twitter mood predicts future stock market movements. Gilbert and </w:t>
      </w:r>
      <w:proofErr w:type="spellStart"/>
      <w:r w:rsidR="0067572C" w:rsidRPr="0067572C">
        <w:rPr>
          <w:rFonts w:ascii="Arial" w:hAnsi="Arial" w:cs="Arial"/>
        </w:rPr>
        <w:t>Karahalios</w:t>
      </w:r>
      <w:proofErr w:type="spellEnd"/>
      <w:r w:rsidR="0067572C" w:rsidRPr="0067572C">
        <w:rPr>
          <w:rFonts w:ascii="Arial" w:hAnsi="Arial" w:cs="Arial"/>
        </w:rPr>
        <w:t xml:space="preserve"> (2010) discovered that the level of dread indicated in blog entries on the Live Journal predicts price </w:t>
      </w:r>
      <w:proofErr w:type="spellStart"/>
      <w:proofErr w:type="gramStart"/>
      <w:r w:rsidR="0067572C" w:rsidRPr="0067572C">
        <w:rPr>
          <w:rFonts w:ascii="Arial" w:hAnsi="Arial" w:cs="Arial"/>
        </w:rPr>
        <w:t>drops.</w:t>
      </w:r>
      <w:r w:rsidR="00D975A7" w:rsidRPr="00D975A7">
        <w:rPr>
          <w:rFonts w:ascii="Arial" w:hAnsi="Arial" w:cs="Arial"/>
        </w:rPr>
        <w:t>According</w:t>
      </w:r>
      <w:proofErr w:type="spellEnd"/>
      <w:proofErr w:type="gramEnd"/>
      <w:r w:rsidR="00D975A7" w:rsidRPr="00D975A7">
        <w:rPr>
          <w:rFonts w:ascii="Arial" w:hAnsi="Arial" w:cs="Arial"/>
        </w:rPr>
        <w:t xml:space="preserve"> to behavioural finance, various behavioural biases influence investment decision-making, causing investors to deviate from rationality and make irrational investments.</w:t>
      </w:r>
    </w:p>
    <w:p w14:paraId="06EE795D" w14:textId="1A4ECC98" w:rsidR="00EA4F59" w:rsidRDefault="00EA4F59" w:rsidP="006E01A8">
      <w:pPr>
        <w:spacing w:line="360" w:lineRule="auto"/>
        <w:jc w:val="both"/>
        <w:rPr>
          <w:rFonts w:ascii="Arial" w:hAnsi="Arial" w:cs="Arial"/>
        </w:rPr>
      </w:pPr>
      <w:r w:rsidRPr="00EA4F59">
        <w:rPr>
          <w:rFonts w:ascii="Arial" w:hAnsi="Arial" w:cs="Arial"/>
        </w:rPr>
        <w:t>The purpose of this essay is to assess the various tactics often used by multinational corporations to manage foreign exchange risk. By examining these tactics through the lens of IFM theories, we can obtain insight into their effectiveness, limitations, and applicability in various circumstances. Each option, from natural hedging to financial derivatives and treasury management techniques, has its own set of advantages and disadvantages, emphasising the complexities of managing foreign exchange risk in a globalised business environment.</w:t>
      </w:r>
    </w:p>
    <w:p w14:paraId="125B8684" w14:textId="77777777" w:rsidR="00121697" w:rsidRDefault="00121697" w:rsidP="006E01A8">
      <w:pPr>
        <w:spacing w:line="360" w:lineRule="auto"/>
        <w:jc w:val="both"/>
        <w:rPr>
          <w:rFonts w:ascii="Arial" w:hAnsi="Arial" w:cs="Arial"/>
        </w:rPr>
      </w:pPr>
    </w:p>
    <w:p w14:paraId="40C1F26E" w14:textId="5F70E23D" w:rsidR="00121697" w:rsidRDefault="00121697" w:rsidP="00121697">
      <w:pPr>
        <w:pStyle w:val="ListParagraph"/>
        <w:numPr>
          <w:ilvl w:val="0"/>
          <w:numId w:val="1"/>
        </w:numPr>
        <w:spacing w:line="360" w:lineRule="auto"/>
        <w:jc w:val="both"/>
        <w:rPr>
          <w:rFonts w:ascii="Arial" w:hAnsi="Arial" w:cs="Arial"/>
          <w:b/>
          <w:bCs/>
          <w:sz w:val="28"/>
          <w:szCs w:val="28"/>
        </w:rPr>
      </w:pPr>
      <w:r>
        <w:rPr>
          <w:rFonts w:ascii="Arial" w:hAnsi="Arial" w:cs="Arial"/>
          <w:b/>
          <w:bCs/>
          <w:sz w:val="28"/>
          <w:szCs w:val="28"/>
        </w:rPr>
        <w:t>MAIN BODY</w:t>
      </w:r>
    </w:p>
    <w:p w14:paraId="0AC6BD35" w14:textId="0FF4216D" w:rsidR="009D31D4" w:rsidRPr="009D31D4" w:rsidRDefault="009D31D4" w:rsidP="009D31D4">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IFM THEORIES</w:t>
      </w:r>
    </w:p>
    <w:p w14:paraId="1D0B0937" w14:textId="24385E0E" w:rsidR="00121697" w:rsidRDefault="009B42D1" w:rsidP="00121697">
      <w:pPr>
        <w:spacing w:line="360" w:lineRule="auto"/>
        <w:jc w:val="both"/>
        <w:rPr>
          <w:rFonts w:ascii="Arial" w:hAnsi="Arial" w:cs="Arial"/>
        </w:rPr>
      </w:pPr>
      <w:r w:rsidRPr="009B42D1">
        <w:rPr>
          <w:rFonts w:ascii="Arial" w:hAnsi="Arial" w:cs="Arial"/>
        </w:rPr>
        <w:t xml:space="preserve">International Financial Management (IFM) refers to the theories and principles that drive financial decisions in international commercial operations. These theories assist firms, investors, and financial managers in understanding and navigating the intricacies of global financial markets, currency exchange rates, and cross-border </w:t>
      </w:r>
      <w:r w:rsidRPr="009B42D1">
        <w:rPr>
          <w:rFonts w:ascii="Arial" w:hAnsi="Arial" w:cs="Arial"/>
        </w:rPr>
        <w:lastRenderedPageBreak/>
        <w:t>transactions.</w:t>
      </w:r>
      <w:r w:rsidR="00A52F12">
        <w:rPr>
          <w:rFonts w:ascii="Arial" w:hAnsi="Arial" w:cs="Arial"/>
        </w:rPr>
        <w:t xml:space="preserve"> </w:t>
      </w:r>
      <w:r w:rsidR="00A52F12" w:rsidRPr="00A52F12">
        <w:rPr>
          <w:rFonts w:ascii="Arial" w:hAnsi="Arial" w:cs="Arial"/>
        </w:rPr>
        <w:t xml:space="preserve">Exchange rate theories have evolved with the shift from fixed to variable rates. Traditional theories for fixed exchange rates focused on the real sector, such as the elasticity and absorption approaches. </w:t>
      </w:r>
      <w:r w:rsidR="00B86D2C" w:rsidRPr="00B86D2C">
        <w:rPr>
          <w:rFonts w:ascii="Arial" w:hAnsi="Arial" w:cs="Arial"/>
        </w:rPr>
        <w:t>Despite fluctuating exchange rates, the monetary system nevertheless has a substantial impact on exchange. A variety of things influence the currency rate. Various hypotheses have been established to predict currency exchange rates using these properties.</w:t>
      </w:r>
      <w:r w:rsidR="00B86D2C">
        <w:t xml:space="preserve"> </w:t>
      </w:r>
      <w:r w:rsidR="00A52F12" w:rsidRPr="00A52F12">
        <w:rPr>
          <w:rFonts w:ascii="Arial" w:hAnsi="Arial" w:cs="Arial"/>
        </w:rPr>
        <w:t>(Branson 2013)</w:t>
      </w:r>
      <w:r w:rsidR="00FC5DC9">
        <w:rPr>
          <w:rFonts w:ascii="Arial" w:hAnsi="Arial" w:cs="Arial"/>
        </w:rPr>
        <w:t>.</w:t>
      </w:r>
    </w:p>
    <w:p w14:paraId="4C8D8B19" w14:textId="5634721D" w:rsidR="009930B2" w:rsidRDefault="009930B2" w:rsidP="00121697">
      <w:pPr>
        <w:spacing w:line="360" w:lineRule="auto"/>
        <w:jc w:val="both"/>
        <w:rPr>
          <w:rFonts w:ascii="Arial" w:hAnsi="Arial" w:cs="Arial"/>
        </w:rPr>
      </w:pPr>
      <w:r w:rsidRPr="009930B2">
        <w:rPr>
          <w:rFonts w:ascii="Arial" w:hAnsi="Arial" w:cs="Arial"/>
        </w:rPr>
        <w:t>According to PPP theory, exchange rates across currencies should adjust over time to equalise their buying power. It indicates that variations in exchange rates reflect differences in relative price levels between countries. PPP theory has applications in projecting exchange rates and understanding inflation differentials</w:t>
      </w:r>
      <w:r w:rsidRPr="009930B2">
        <w:t xml:space="preserve"> </w:t>
      </w:r>
      <w:r w:rsidRPr="009930B2">
        <w:rPr>
          <w:rFonts w:ascii="Arial" w:hAnsi="Arial" w:cs="Arial"/>
        </w:rPr>
        <w:t>(Krugman and Obstfeld, 2009).</w:t>
      </w:r>
    </w:p>
    <w:p w14:paraId="2E6FF838" w14:textId="004D2FAA" w:rsidR="00C07EEA" w:rsidRDefault="00C07EEA" w:rsidP="00121697">
      <w:pPr>
        <w:spacing w:line="360" w:lineRule="auto"/>
        <w:jc w:val="both"/>
        <w:rPr>
          <w:rFonts w:ascii="Arial" w:hAnsi="Arial" w:cs="Arial"/>
        </w:rPr>
      </w:pPr>
      <w:r w:rsidRPr="00C07EEA">
        <w:rPr>
          <w:rFonts w:ascii="Arial" w:hAnsi="Arial" w:cs="Arial"/>
        </w:rPr>
        <w:t xml:space="preserve">Regarding the IRP theory, interest rate differentials across nations should equal the projected change in exchange rates over a particular </w:t>
      </w:r>
      <w:proofErr w:type="gramStart"/>
      <w:r w:rsidRPr="00C07EEA">
        <w:rPr>
          <w:rFonts w:ascii="Arial" w:hAnsi="Arial" w:cs="Arial"/>
        </w:rPr>
        <w:t>time period</w:t>
      </w:r>
      <w:proofErr w:type="gramEnd"/>
      <w:r w:rsidRPr="00C07EEA">
        <w:rPr>
          <w:rFonts w:ascii="Arial" w:hAnsi="Arial" w:cs="Arial"/>
        </w:rPr>
        <w:t>. It contributes to the understanding of the relationship between interest rates and exchange rates and guides decisions in the foreign exchange market, particularly in the context of forward contracts and interest rate swaps (Branson 2013)</w:t>
      </w:r>
      <w:r w:rsidR="00FC5DC9">
        <w:rPr>
          <w:rFonts w:ascii="Arial" w:hAnsi="Arial" w:cs="Arial"/>
        </w:rPr>
        <w:t>.</w:t>
      </w:r>
    </w:p>
    <w:p w14:paraId="526D7DF0" w14:textId="1885F63B" w:rsidR="00F126BF" w:rsidRPr="00F126BF" w:rsidRDefault="00F126BF" w:rsidP="00121697">
      <w:pPr>
        <w:spacing w:line="360" w:lineRule="auto"/>
        <w:jc w:val="both"/>
        <w:rPr>
          <w:rFonts w:ascii="Arial" w:hAnsi="Arial" w:cs="Arial"/>
        </w:rPr>
      </w:pPr>
      <w:r w:rsidRPr="00F126BF">
        <w:rPr>
          <w:rFonts w:ascii="Arial" w:hAnsi="Arial" w:cs="Arial"/>
        </w:rPr>
        <w:t>The IFE theory holds that nominal interest rate differences between nations are equivalent to the expected change in the spot exchange rate between respective currencies. It emphasises the role of nominal interest rates, real interest rates, and inflation rates in determining exchange rate changes</w:t>
      </w:r>
      <w:r w:rsidR="00FC5DC9">
        <w:rPr>
          <w:rFonts w:ascii="Arial" w:hAnsi="Arial" w:cs="Arial"/>
        </w:rPr>
        <w:t xml:space="preserve"> </w:t>
      </w:r>
      <w:r w:rsidR="00FC42BA" w:rsidRPr="00FC42BA">
        <w:rPr>
          <w:rFonts w:ascii="Arial" w:hAnsi="Arial" w:cs="Arial"/>
        </w:rPr>
        <w:t>(Coppock and Poitras, 2010)</w:t>
      </w:r>
      <w:r w:rsidR="00FC5DC9">
        <w:rPr>
          <w:rFonts w:ascii="Arial" w:hAnsi="Arial" w:cs="Arial"/>
        </w:rPr>
        <w:t>.</w:t>
      </w:r>
    </w:p>
    <w:p w14:paraId="0C5684E6" w14:textId="0838DACC" w:rsidR="00034F74" w:rsidRDefault="000D3853" w:rsidP="006E01A8">
      <w:pPr>
        <w:spacing w:line="360" w:lineRule="auto"/>
        <w:jc w:val="both"/>
        <w:rPr>
          <w:rFonts w:ascii="Arial" w:hAnsi="Arial" w:cs="Arial"/>
        </w:rPr>
      </w:pPr>
      <w:r w:rsidRPr="000D3853">
        <w:rPr>
          <w:rFonts w:ascii="Arial" w:hAnsi="Arial" w:cs="Arial"/>
        </w:rPr>
        <w:t xml:space="preserve">The international CAPM extends the traditional CAPM by accounting for currency risk in overseas investment choices. It adds exchange rate risk into asset pricing models, </w:t>
      </w:r>
      <w:proofErr w:type="gramStart"/>
      <w:r w:rsidRPr="000D3853">
        <w:rPr>
          <w:rFonts w:ascii="Arial" w:hAnsi="Arial" w:cs="Arial"/>
        </w:rPr>
        <w:t>taking into account</w:t>
      </w:r>
      <w:proofErr w:type="gramEnd"/>
      <w:r w:rsidRPr="000D3853">
        <w:rPr>
          <w:rFonts w:ascii="Arial" w:hAnsi="Arial" w:cs="Arial"/>
        </w:rPr>
        <w:t xml:space="preserve"> exchange rate volatility, nation risk premiums, and currency-asset correlations</w:t>
      </w:r>
      <w:r>
        <w:t>.</w:t>
      </w:r>
      <w:r w:rsidR="00ED4574">
        <w:rPr>
          <w:rFonts w:ascii="Arial" w:hAnsi="Arial" w:cs="Arial"/>
        </w:rPr>
        <w:t xml:space="preserve"> </w:t>
      </w:r>
      <w:r w:rsidR="00ED4574" w:rsidRPr="00ED4574">
        <w:rPr>
          <w:rFonts w:ascii="Arial" w:hAnsi="Arial" w:cs="Arial"/>
        </w:rPr>
        <w:t>(</w:t>
      </w:r>
      <w:proofErr w:type="spellStart"/>
      <w:r w:rsidR="00ED4574" w:rsidRPr="00ED4574">
        <w:rPr>
          <w:rFonts w:ascii="Arial" w:hAnsi="Arial" w:cs="Arial"/>
        </w:rPr>
        <w:t>Clower</w:t>
      </w:r>
      <w:proofErr w:type="spellEnd"/>
      <w:r w:rsidR="00ED4574" w:rsidRPr="00ED4574">
        <w:rPr>
          <w:rFonts w:ascii="Arial" w:hAnsi="Arial" w:cs="Arial"/>
        </w:rPr>
        <w:t xml:space="preserve"> et al, 2014)</w:t>
      </w:r>
      <w:r w:rsidR="00ED4574">
        <w:rPr>
          <w:rFonts w:ascii="Arial" w:hAnsi="Arial" w:cs="Arial"/>
        </w:rPr>
        <w:t>.</w:t>
      </w:r>
    </w:p>
    <w:p w14:paraId="35E18056" w14:textId="5E4CD49C" w:rsidR="00730E27" w:rsidRDefault="00730E27" w:rsidP="006E01A8">
      <w:pPr>
        <w:spacing w:line="360" w:lineRule="auto"/>
        <w:jc w:val="both"/>
        <w:rPr>
          <w:rFonts w:ascii="Arial" w:hAnsi="Arial" w:cs="Arial"/>
        </w:rPr>
      </w:pPr>
      <w:r w:rsidRPr="00342789">
        <w:rPr>
          <w:rFonts w:ascii="Arial" w:hAnsi="Arial" w:cs="Arial"/>
        </w:rPr>
        <w:t>The BOP theory investigates the relationship between a country's balance of payments and its currency rate. It examines how trade balances, capital flows, and official reserves influence exchange rate changes. BOP theory aids in determining the long-term sustainability of current account deficits or surpluses, as well as informing policy decisions on currency interventions and trade policies</w:t>
      </w:r>
      <w:r w:rsidR="00595E59">
        <w:rPr>
          <w:rFonts w:ascii="Arial" w:hAnsi="Arial" w:cs="Arial"/>
        </w:rPr>
        <w:t xml:space="preserve"> </w:t>
      </w:r>
      <w:r w:rsidR="00595E59" w:rsidRPr="00595E59">
        <w:rPr>
          <w:rFonts w:ascii="Arial" w:hAnsi="Arial" w:cs="Arial"/>
        </w:rPr>
        <w:t>(</w:t>
      </w:r>
      <w:proofErr w:type="spellStart"/>
      <w:r w:rsidR="00595E59" w:rsidRPr="00595E59">
        <w:rPr>
          <w:rFonts w:ascii="Arial" w:hAnsi="Arial" w:cs="Arial"/>
        </w:rPr>
        <w:t>Bigman</w:t>
      </w:r>
      <w:proofErr w:type="spellEnd"/>
      <w:r w:rsidR="00595E59" w:rsidRPr="00595E59">
        <w:rPr>
          <w:rFonts w:ascii="Arial" w:hAnsi="Arial" w:cs="Arial"/>
        </w:rPr>
        <w:t>, 2012).</w:t>
      </w:r>
    </w:p>
    <w:p w14:paraId="3BF7877D" w14:textId="5B082411" w:rsidR="00AD17AD" w:rsidRDefault="00AD17AD" w:rsidP="006E01A8">
      <w:pPr>
        <w:spacing w:line="360" w:lineRule="auto"/>
        <w:jc w:val="both"/>
        <w:rPr>
          <w:rFonts w:ascii="Arial" w:hAnsi="Arial" w:cs="Arial"/>
        </w:rPr>
      </w:pPr>
      <w:r w:rsidRPr="00AD17AD">
        <w:rPr>
          <w:rFonts w:ascii="Arial" w:hAnsi="Arial" w:cs="Arial"/>
        </w:rPr>
        <w:t>The Mundell-Fleming model combines monetary and fiscal policy with exchange rate dynamics in an open economy. It illustrates how changes in monetary, fiscal, and exchange rate regimes affect interest rates, output, and exchange rates on a global scale. The model sheds light on the usefulness of policy tools in managing macroeconomic variables in an interconnected society</w:t>
      </w:r>
      <w:r>
        <w:rPr>
          <w:rFonts w:ascii="Arial" w:hAnsi="Arial" w:cs="Arial"/>
        </w:rPr>
        <w:t xml:space="preserve"> </w:t>
      </w:r>
      <w:r w:rsidRPr="00C07EEA">
        <w:rPr>
          <w:rFonts w:ascii="Arial" w:hAnsi="Arial" w:cs="Arial"/>
        </w:rPr>
        <w:t>(Branson 2013)</w:t>
      </w:r>
      <w:r>
        <w:rPr>
          <w:rFonts w:ascii="Arial" w:hAnsi="Arial" w:cs="Arial"/>
        </w:rPr>
        <w:t>.</w:t>
      </w:r>
    </w:p>
    <w:p w14:paraId="4D6D4EC5" w14:textId="071EB95C" w:rsidR="00E328C1" w:rsidRDefault="00E328C1" w:rsidP="006E01A8">
      <w:pPr>
        <w:spacing w:line="360" w:lineRule="auto"/>
        <w:jc w:val="both"/>
        <w:rPr>
          <w:rFonts w:ascii="Arial" w:hAnsi="Arial" w:cs="Arial"/>
        </w:rPr>
      </w:pPr>
      <w:r w:rsidRPr="00E328C1">
        <w:rPr>
          <w:rFonts w:ascii="Arial" w:hAnsi="Arial" w:cs="Arial"/>
        </w:rPr>
        <w:lastRenderedPageBreak/>
        <w:t>These IFM theories give frameworks for analysing and understanding a wide range of international finance issues, such as exchange rate determination, capital flows, risk management, and corporate financing decisions. Businesses and financial practitioners can use these theories to make more informed decisions in an increasingly interconnected and dynamic global financial environment.</w:t>
      </w:r>
    </w:p>
    <w:p w14:paraId="08CB58F2" w14:textId="717D11FF" w:rsidR="00823C94" w:rsidRDefault="00823C94" w:rsidP="006E01A8">
      <w:pPr>
        <w:spacing w:line="360" w:lineRule="auto"/>
        <w:jc w:val="both"/>
        <w:rPr>
          <w:rFonts w:ascii="Arial" w:hAnsi="Arial" w:cs="Arial"/>
        </w:rPr>
      </w:pPr>
    </w:p>
    <w:p w14:paraId="0747A3D5" w14:textId="5C921F7B" w:rsidR="00034F74" w:rsidRPr="00417C49" w:rsidRDefault="00823C94" w:rsidP="006E01A8">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EXCHANGE RISK</w:t>
      </w:r>
    </w:p>
    <w:p w14:paraId="50B50C82" w14:textId="34F35ABB" w:rsidR="00034F74" w:rsidRDefault="00823C94" w:rsidP="006E01A8">
      <w:pPr>
        <w:spacing w:line="360" w:lineRule="auto"/>
        <w:jc w:val="both"/>
        <w:rPr>
          <w:rFonts w:ascii="Arial" w:hAnsi="Arial" w:cs="Arial"/>
        </w:rPr>
      </w:pPr>
      <w:r w:rsidRPr="00823C94">
        <w:rPr>
          <w:rFonts w:ascii="Arial" w:hAnsi="Arial" w:cs="Arial"/>
        </w:rPr>
        <w:t>Exchange rate risk is defined as the possible financial loss or gain resulting from currency exchange rate movements. It impacts businesses, investors, and individuals who conduct international transactions or make investments in foreign currencies. Understanding exchange rate risk is critical for managing financial exposures properly.</w:t>
      </w:r>
    </w:p>
    <w:p w14:paraId="4E0A1FFA" w14:textId="5CDF89CD" w:rsidR="00417C49" w:rsidRDefault="00417C49" w:rsidP="006E01A8">
      <w:pPr>
        <w:spacing w:line="360" w:lineRule="auto"/>
        <w:jc w:val="both"/>
        <w:rPr>
          <w:rFonts w:ascii="Arial" w:hAnsi="Arial" w:cs="Arial"/>
        </w:rPr>
      </w:pPr>
      <w:r w:rsidRPr="00417C49">
        <w:rPr>
          <w:rFonts w:ascii="Arial" w:hAnsi="Arial" w:cs="Arial"/>
        </w:rPr>
        <w:t>Exchange rate risk, also known as currency risk or foreign exchange risk, results from the volatility of exchange prices in the foreign exchange market. It has an influence on companies involved in cross-border commerce, investment, borrowing, or lending since exchange rate fluctuations can alter the value of assets, liabilities, revenues, and expenses denominated in foreign currencies</w:t>
      </w:r>
      <w:r>
        <w:rPr>
          <w:rFonts w:ascii="Arial" w:hAnsi="Arial" w:cs="Arial"/>
        </w:rPr>
        <w:t xml:space="preserve"> </w:t>
      </w:r>
      <w:r w:rsidRPr="00417C49">
        <w:rPr>
          <w:rFonts w:ascii="Arial" w:hAnsi="Arial" w:cs="Arial"/>
        </w:rPr>
        <w:t>(</w:t>
      </w:r>
      <w:proofErr w:type="spellStart"/>
      <w:r w:rsidRPr="00417C49">
        <w:rPr>
          <w:rFonts w:ascii="Arial" w:hAnsi="Arial" w:cs="Arial"/>
        </w:rPr>
        <w:t>Papaioannou</w:t>
      </w:r>
      <w:proofErr w:type="spellEnd"/>
      <w:r w:rsidRPr="00417C49">
        <w:rPr>
          <w:rFonts w:ascii="Arial" w:hAnsi="Arial" w:cs="Arial"/>
        </w:rPr>
        <w:t>, 2006).</w:t>
      </w:r>
    </w:p>
    <w:p w14:paraId="0F916F77" w14:textId="41DA6351" w:rsidR="002A79E4" w:rsidRDefault="002A79E4" w:rsidP="006E01A8">
      <w:pPr>
        <w:spacing w:line="360" w:lineRule="auto"/>
        <w:jc w:val="both"/>
        <w:rPr>
          <w:rFonts w:ascii="Arial" w:hAnsi="Arial" w:cs="Arial"/>
        </w:rPr>
      </w:pPr>
      <w:r w:rsidRPr="002A79E4">
        <w:rPr>
          <w:rFonts w:ascii="Arial" w:hAnsi="Arial" w:cs="Arial"/>
        </w:rPr>
        <w:t>Transaction risk derives from the impact of exchange rate variations on future cash flows associated with specific transactions denominated in foreign currencies. It has an impact on businesses who import, export, or offer services on a global scale.</w:t>
      </w:r>
    </w:p>
    <w:p w14:paraId="1DB34B9E" w14:textId="7C59D1BF" w:rsidR="008C7C20" w:rsidRPr="008C7C20" w:rsidRDefault="008C7C20" w:rsidP="006E01A8">
      <w:pPr>
        <w:spacing w:line="360" w:lineRule="auto"/>
        <w:jc w:val="both"/>
        <w:rPr>
          <w:rFonts w:ascii="Arial" w:hAnsi="Arial" w:cs="Arial"/>
        </w:rPr>
      </w:pPr>
      <w:r w:rsidRPr="008C7C20">
        <w:rPr>
          <w:rFonts w:ascii="Arial" w:hAnsi="Arial" w:cs="Arial"/>
        </w:rPr>
        <w:t xml:space="preserve">Translation risk, also known as accounting risk, arises from the consequences of exchange rate fluctuations on the financial statements of multinational corporations (MNCs) with international subsidiaries or operations. </w:t>
      </w:r>
      <w:r w:rsidRPr="008C7C20">
        <w:rPr>
          <w:rFonts w:ascii="Arial" w:hAnsi="Arial" w:cs="Arial"/>
        </w:rPr>
        <w:br/>
        <w:t>Economic exposure, also known as operating exposure, is the impact of exchange rate fluctuations on a company's competitiveness, cash flows, and market value. It assesses the long-term effects of exchange rate variations on a company's overall business operations and competitiveness.</w:t>
      </w:r>
    </w:p>
    <w:p w14:paraId="6F1C78E4" w14:textId="61DF02DF" w:rsidR="002A79E4" w:rsidRDefault="007A3EEA" w:rsidP="006E01A8">
      <w:pPr>
        <w:spacing w:line="360" w:lineRule="auto"/>
        <w:jc w:val="both"/>
        <w:rPr>
          <w:rFonts w:ascii="Arial" w:hAnsi="Arial" w:cs="Arial"/>
        </w:rPr>
      </w:pPr>
      <w:r w:rsidRPr="007A3EEA">
        <w:rPr>
          <w:rFonts w:ascii="Arial" w:hAnsi="Arial" w:cs="Arial"/>
        </w:rPr>
        <w:t>Contingent risk is defined as the exposure to future losses or benefits from foreign-currency-denominated liabilities or assets. It comprises options, forward contracts, and other financial products that have unpredictable outcomes based on future exchange rate fluctuations</w:t>
      </w:r>
      <w:r>
        <w:t xml:space="preserve"> </w:t>
      </w:r>
      <w:r w:rsidR="002A79E4" w:rsidRPr="00417C49">
        <w:rPr>
          <w:rFonts w:ascii="Arial" w:hAnsi="Arial" w:cs="Arial"/>
        </w:rPr>
        <w:t>(</w:t>
      </w:r>
      <w:proofErr w:type="spellStart"/>
      <w:r w:rsidR="002A79E4" w:rsidRPr="00417C49">
        <w:rPr>
          <w:rFonts w:ascii="Arial" w:hAnsi="Arial" w:cs="Arial"/>
        </w:rPr>
        <w:t>Papaioannou</w:t>
      </w:r>
      <w:proofErr w:type="spellEnd"/>
      <w:r w:rsidR="002A79E4" w:rsidRPr="00417C49">
        <w:rPr>
          <w:rFonts w:ascii="Arial" w:hAnsi="Arial" w:cs="Arial"/>
        </w:rPr>
        <w:t>, 2006).</w:t>
      </w:r>
    </w:p>
    <w:p w14:paraId="031D4AD4" w14:textId="7A7BA6E2" w:rsidR="007B2960" w:rsidRPr="007B2960" w:rsidRDefault="007B2960" w:rsidP="006E01A8">
      <w:pPr>
        <w:spacing w:line="360" w:lineRule="auto"/>
        <w:jc w:val="both"/>
        <w:rPr>
          <w:rFonts w:ascii="Arial" w:hAnsi="Arial" w:cs="Arial"/>
        </w:rPr>
      </w:pPr>
      <w:r w:rsidRPr="007B2960">
        <w:rPr>
          <w:rFonts w:ascii="Arial" w:hAnsi="Arial" w:cs="Arial"/>
        </w:rPr>
        <w:t xml:space="preserve">After identifying and evaluating exchange rate risks, enterprises must determine whether to hedge them. Hedging is a financial method that investors should understand and use because of the advantages it offers. As an investment, it protects </w:t>
      </w:r>
      <w:r w:rsidRPr="007B2960">
        <w:rPr>
          <w:rFonts w:ascii="Arial" w:hAnsi="Arial" w:cs="Arial"/>
        </w:rPr>
        <w:lastRenderedPageBreak/>
        <w:t>an individual's finances from being exposed to a risky situation that may result in a loss of value. However, hedging does not guarantee that the investments will not lose any value. Rather, if this occurs, the losses will be offset by gains from another investment (</w:t>
      </w:r>
      <w:proofErr w:type="spellStart"/>
      <w:r w:rsidRPr="007B2960">
        <w:rPr>
          <w:rFonts w:ascii="Arial" w:hAnsi="Arial" w:cs="Arial"/>
        </w:rPr>
        <w:t>Allayannis</w:t>
      </w:r>
      <w:proofErr w:type="spellEnd"/>
      <w:r w:rsidRPr="007B2960">
        <w:rPr>
          <w:rFonts w:ascii="Arial" w:hAnsi="Arial" w:cs="Arial"/>
        </w:rPr>
        <w:t xml:space="preserve">, G., </w:t>
      </w:r>
      <w:proofErr w:type="spellStart"/>
      <w:r w:rsidRPr="007B2960">
        <w:rPr>
          <w:rFonts w:ascii="Arial" w:hAnsi="Arial" w:cs="Arial"/>
        </w:rPr>
        <w:t>Ihrig</w:t>
      </w:r>
      <w:proofErr w:type="spellEnd"/>
      <w:r w:rsidRPr="007B2960">
        <w:rPr>
          <w:rFonts w:ascii="Arial" w:hAnsi="Arial" w:cs="Arial"/>
        </w:rPr>
        <w:t>, J., and Weston, J. 2001). Here are some common hedging tactics for managing currency risk.</w:t>
      </w:r>
    </w:p>
    <w:p w14:paraId="179BBB7A" w14:textId="6000040D" w:rsidR="00B15C3F" w:rsidRDefault="007122E2" w:rsidP="006E01A8">
      <w:pPr>
        <w:spacing w:line="360" w:lineRule="auto"/>
        <w:jc w:val="both"/>
        <w:rPr>
          <w:rFonts w:ascii="Arial" w:hAnsi="Arial" w:cs="Arial"/>
        </w:rPr>
      </w:pPr>
      <w:r w:rsidRPr="007122E2">
        <w:rPr>
          <w:rFonts w:ascii="Arial" w:hAnsi="Arial" w:cs="Arial"/>
        </w:rPr>
        <w:t>A forward contract is a financial instrument that enables parties to fix an exchange rate for a future transaction. In the context of foreign exchange risk management, corporations can utilise forward contracts to hedge against adverse currency fluctuations by agreeing to buy or sell a particular quantity of currency at a predetermined rate on a future date.</w:t>
      </w:r>
      <w:r w:rsidRPr="007122E2">
        <w:rPr>
          <w:rFonts w:ascii="Arial" w:hAnsi="Arial" w:cs="Arial"/>
        </w:rPr>
        <w:br/>
        <w:t>Options contracts give the holder the right, but not the responsibility, to buy (call option) or sell (put option) a certain amount of currency at a fixed price (strike price) within a set time frame (expiration date). Companies can utilise options to hedge against unfavourable currency rate changes while maintaining flexibility.</w:t>
      </w:r>
      <w:r w:rsidR="007327FE" w:rsidRPr="007327FE">
        <w:t xml:space="preserve"> </w:t>
      </w:r>
      <w:r w:rsidR="007327FE" w:rsidRPr="007327FE">
        <w:rPr>
          <w:rFonts w:ascii="Arial" w:hAnsi="Arial" w:cs="Arial"/>
        </w:rPr>
        <w:t>Natural hedging is matching foreign currency revenues and expenses to mitigate the impact of exchange rate volatility. Companies that conduct both export and import operations in the same currency might automatically hedge their risk by aligning cash flows. Portfolio diversification is having assets and liabilities in several currencies to mitigate foreign exchange risk. Companies can diversify their currency exposure by purchasing assets denominated in other currencies or utilising multicurrency financing arrangements.</w:t>
      </w:r>
    </w:p>
    <w:p w14:paraId="7FEF8BEE" w14:textId="0CCC9617" w:rsidR="002E2613" w:rsidRDefault="002E2613" w:rsidP="006E01A8">
      <w:pPr>
        <w:spacing w:line="360" w:lineRule="auto"/>
        <w:jc w:val="both"/>
        <w:rPr>
          <w:rFonts w:ascii="Arial" w:hAnsi="Arial" w:cs="Arial"/>
        </w:rPr>
      </w:pPr>
      <w:r w:rsidRPr="002E2613">
        <w:rPr>
          <w:rFonts w:ascii="Arial" w:hAnsi="Arial" w:cs="Arial"/>
        </w:rPr>
        <w:t>Companies can use these hedging measures to lessen the impact of exchange rate changes on their financial performance, reduce uncertainty, and protect themselves from potential losses caused by adverse movements in foreign exchange rates. Companies must carefully consider their exposure, risk tolerance, and market conditions before deciding on and implementing hedging methods. Furthermore, continuous monitoring and adjustment of hedging positions is required to ensure effectiveness and adaptability in the face of changing market conditions.</w:t>
      </w:r>
    </w:p>
    <w:p w14:paraId="0F2EA92E" w14:textId="77777777" w:rsidR="00572229" w:rsidRDefault="00572229" w:rsidP="006E01A8">
      <w:pPr>
        <w:spacing w:line="360" w:lineRule="auto"/>
        <w:jc w:val="both"/>
        <w:rPr>
          <w:rFonts w:ascii="Arial" w:hAnsi="Arial" w:cs="Arial"/>
          <w:b/>
          <w:bCs/>
          <w:sz w:val="28"/>
          <w:szCs w:val="28"/>
        </w:rPr>
      </w:pPr>
    </w:p>
    <w:p w14:paraId="4F8B2946" w14:textId="35BD788A" w:rsidR="00572229" w:rsidRPr="00A3556A" w:rsidRDefault="00572229" w:rsidP="00572229">
      <w:pPr>
        <w:pStyle w:val="ListParagraph"/>
        <w:numPr>
          <w:ilvl w:val="0"/>
          <w:numId w:val="2"/>
        </w:numPr>
        <w:spacing w:line="360" w:lineRule="auto"/>
        <w:jc w:val="both"/>
        <w:rPr>
          <w:rFonts w:ascii="Arial" w:hAnsi="Arial" w:cs="Arial"/>
          <w:b/>
          <w:bCs/>
          <w:sz w:val="28"/>
          <w:szCs w:val="28"/>
        </w:rPr>
      </w:pPr>
      <w:r>
        <w:rPr>
          <w:rFonts w:ascii="Arial" w:hAnsi="Arial" w:cs="Arial"/>
          <w:b/>
          <w:bCs/>
          <w:sz w:val="28"/>
          <w:szCs w:val="28"/>
        </w:rPr>
        <w:t xml:space="preserve">EVALUATION </w:t>
      </w:r>
    </w:p>
    <w:p w14:paraId="5F900C88" w14:textId="56F6ADD7" w:rsidR="00A3556A" w:rsidRPr="00A3556A" w:rsidRDefault="00A3556A" w:rsidP="00A3556A">
      <w:pPr>
        <w:spacing w:line="360" w:lineRule="auto"/>
        <w:jc w:val="both"/>
        <w:rPr>
          <w:rFonts w:ascii="Arial" w:hAnsi="Arial" w:cs="Arial"/>
        </w:rPr>
      </w:pPr>
      <w:r w:rsidRPr="00A3556A">
        <w:rPr>
          <w:rFonts w:ascii="Arial" w:hAnsi="Arial" w:cs="Arial"/>
        </w:rPr>
        <w:t>Exchange rate risk presents substantial obstacles and opportunities for organisations, investors, and individuals conducting foreign transactions or investments.</w:t>
      </w:r>
    </w:p>
    <w:p w14:paraId="3DA573E7" w14:textId="77777777" w:rsidR="00034F74" w:rsidRDefault="00034F74" w:rsidP="006E01A8">
      <w:pPr>
        <w:spacing w:line="360" w:lineRule="auto"/>
        <w:jc w:val="both"/>
        <w:rPr>
          <w:rFonts w:ascii="Arial" w:hAnsi="Arial" w:cs="Arial"/>
        </w:rPr>
      </w:pPr>
    </w:p>
    <w:p w14:paraId="5E0C0ABD" w14:textId="77777777" w:rsidR="00034F74" w:rsidRDefault="00034F74" w:rsidP="006E01A8">
      <w:pPr>
        <w:spacing w:line="360" w:lineRule="auto"/>
        <w:jc w:val="both"/>
        <w:rPr>
          <w:rFonts w:ascii="Arial" w:hAnsi="Arial" w:cs="Arial"/>
        </w:rPr>
      </w:pPr>
    </w:p>
    <w:p w14:paraId="46C9124B" w14:textId="77777777" w:rsidR="00034F74" w:rsidRDefault="00034F74" w:rsidP="006E01A8">
      <w:pPr>
        <w:spacing w:line="360" w:lineRule="auto"/>
        <w:jc w:val="both"/>
        <w:rPr>
          <w:rFonts w:ascii="Arial" w:hAnsi="Arial" w:cs="Arial"/>
        </w:rPr>
      </w:pPr>
    </w:p>
    <w:p w14:paraId="790AAA2E" w14:textId="77777777" w:rsidR="00034F74" w:rsidRDefault="00034F74" w:rsidP="006E01A8">
      <w:pPr>
        <w:spacing w:line="360" w:lineRule="auto"/>
        <w:jc w:val="both"/>
        <w:rPr>
          <w:rFonts w:ascii="Arial" w:hAnsi="Arial" w:cs="Arial"/>
        </w:rPr>
      </w:pPr>
    </w:p>
    <w:p w14:paraId="2370F8C6" w14:textId="123D2F4D" w:rsidR="00034F74" w:rsidRDefault="00251FA6" w:rsidP="006E01A8">
      <w:pPr>
        <w:spacing w:line="360" w:lineRule="auto"/>
        <w:jc w:val="both"/>
        <w:rPr>
          <w:rFonts w:ascii="Arial" w:hAnsi="Arial" w:cs="Arial"/>
        </w:rPr>
      </w:pPr>
      <w:r w:rsidRPr="00251FA6">
        <w:rPr>
          <w:rFonts w:ascii="Arial" w:hAnsi="Arial" w:cs="Arial"/>
        </w:rPr>
        <w:t>Exchange rate risk effects strategic decision-making in global marketplaces. Pricing strategies, sourcing decisions, investment planning, and capital allocation are all topics that must be carefully considered. Effective risk management solutions are critical for mitigating any negative consequences on business operations and financial results.</w:t>
      </w:r>
      <w:r w:rsidRPr="00251FA6">
        <w:t xml:space="preserve"> </w:t>
      </w:r>
      <w:r w:rsidRPr="00251FA6">
        <w:rPr>
          <w:rFonts w:ascii="Arial" w:hAnsi="Arial" w:cs="Arial"/>
        </w:rPr>
        <w:t>Businesses and investors use a variety of risk management measures to reduce the impact of exchange rate volatility. These solutions include hedging via financial derivatives (such as forward contracts, options, and swaps), diversifying currency exposures, natural hedging through operational adjustments, and centralised treasury management.</w:t>
      </w:r>
      <w:r w:rsidRPr="00251FA6">
        <w:t xml:space="preserve"> </w:t>
      </w:r>
      <w:r w:rsidRPr="00251FA6">
        <w:rPr>
          <w:rFonts w:ascii="Arial" w:hAnsi="Arial" w:cs="Arial"/>
        </w:rPr>
        <w:t>Changes in exchange rates can have an impact on global market competitiveness. Exchange rate fluctuations can have an impact on a company's pricing, cost structures, market share, and export/import competitiveness. Companies must adjust their strategy to maintain or improve their competitive positions in reaction to currency volatility.</w:t>
      </w:r>
      <w:r>
        <w:rPr>
          <w:rFonts w:ascii="Arial" w:hAnsi="Arial" w:cs="Arial"/>
        </w:rPr>
        <w:t xml:space="preserve"> </w:t>
      </w:r>
      <w:r w:rsidRPr="00251FA6">
        <w:rPr>
          <w:rFonts w:ascii="Arial" w:hAnsi="Arial" w:cs="Arial"/>
        </w:rPr>
        <w:t>Individuals and institutional investors who have exposure to overseas assets or investments must consider exchange rate risk when making investment decisions. Currency fluctuations can affect the returns and volatility of overseas investments, altering asset allocation, portfolio diversification, and risk-adjusted returns.</w:t>
      </w:r>
      <w:r w:rsidR="00BF7CED" w:rsidRPr="00BF7CED">
        <w:rPr>
          <w:rFonts w:ascii="Arial" w:hAnsi="Arial" w:cs="Arial"/>
        </w:rPr>
        <w:t xml:space="preserve"> </w:t>
      </w:r>
      <w:r w:rsidR="00BF7CED" w:rsidRPr="00417C49">
        <w:rPr>
          <w:rFonts w:ascii="Arial" w:hAnsi="Arial" w:cs="Arial"/>
        </w:rPr>
        <w:t>(</w:t>
      </w:r>
      <w:proofErr w:type="spellStart"/>
      <w:r w:rsidR="00BF7CED" w:rsidRPr="00417C49">
        <w:rPr>
          <w:rFonts w:ascii="Arial" w:hAnsi="Arial" w:cs="Arial"/>
        </w:rPr>
        <w:t>Papaioannou</w:t>
      </w:r>
      <w:proofErr w:type="spellEnd"/>
      <w:r w:rsidR="00BF7CED" w:rsidRPr="00417C49">
        <w:rPr>
          <w:rFonts w:ascii="Arial" w:hAnsi="Arial" w:cs="Arial"/>
        </w:rPr>
        <w:t>, 2006).</w:t>
      </w:r>
    </w:p>
    <w:p w14:paraId="54925A57" w14:textId="77777777" w:rsidR="00BF7CED" w:rsidRDefault="00BF7CED" w:rsidP="006E01A8">
      <w:pPr>
        <w:spacing w:line="360" w:lineRule="auto"/>
        <w:jc w:val="both"/>
        <w:rPr>
          <w:rFonts w:ascii="Arial" w:hAnsi="Arial" w:cs="Arial"/>
        </w:rPr>
      </w:pPr>
    </w:p>
    <w:p w14:paraId="71FEA661" w14:textId="77777777" w:rsidR="00BF7CED" w:rsidRDefault="00BF7CED" w:rsidP="00BF7CED">
      <w:pPr>
        <w:pStyle w:val="ListParagraph"/>
        <w:numPr>
          <w:ilvl w:val="0"/>
          <w:numId w:val="1"/>
        </w:numPr>
        <w:spacing w:line="360" w:lineRule="auto"/>
        <w:jc w:val="both"/>
        <w:rPr>
          <w:rFonts w:ascii="Arial" w:hAnsi="Arial" w:cs="Arial"/>
          <w:b/>
          <w:bCs/>
          <w:sz w:val="28"/>
          <w:szCs w:val="28"/>
        </w:rPr>
      </w:pPr>
      <w:r>
        <w:rPr>
          <w:rFonts w:ascii="Arial" w:hAnsi="Arial" w:cs="Arial"/>
          <w:b/>
          <w:bCs/>
          <w:sz w:val="28"/>
          <w:szCs w:val="28"/>
        </w:rPr>
        <w:t>CONCLUSION</w:t>
      </w:r>
    </w:p>
    <w:p w14:paraId="2BA3F386" w14:textId="31AF55BA" w:rsidR="00034F74" w:rsidRPr="00FC290E" w:rsidRDefault="00BF7CED" w:rsidP="006E01A8">
      <w:pPr>
        <w:spacing w:line="360" w:lineRule="auto"/>
        <w:jc w:val="both"/>
        <w:rPr>
          <w:rFonts w:ascii="Arial" w:hAnsi="Arial" w:cs="Arial"/>
          <w:b/>
          <w:bCs/>
          <w:sz w:val="28"/>
          <w:szCs w:val="28"/>
        </w:rPr>
      </w:pPr>
      <w:r w:rsidRPr="00BF7CED">
        <w:rPr>
          <w:rFonts w:ascii="Arial" w:hAnsi="Arial" w:cs="Arial"/>
        </w:rPr>
        <w:t>To summarise, managing exchange rate risk is an important component of financial management for enterprises, investors, and financial institutions functioning in the global market. Currency exchange rate fluctuations can have a substantial influence on financial performance, cash flows, and competitiveness, underscoring the need for efficient hedging methods.</w:t>
      </w:r>
      <w:r w:rsidR="00A929C8" w:rsidRPr="00A929C8">
        <w:t xml:space="preserve"> </w:t>
      </w:r>
      <w:r w:rsidR="00A929C8" w:rsidRPr="00A929C8">
        <w:rPr>
          <w:rFonts w:ascii="Arial" w:hAnsi="Arial" w:cs="Arial"/>
        </w:rPr>
        <w:t>As a result, effective exchange rate risk management necessitates a thorough awareness of the organization's exposure, a rigorous assessment of market conditions, and continuous monitoring and adjustment of hedging positions. By using a proactive and adaptable strategy to managing exchange rate risk, organisations may traverse the complexity of global finance more effectively and sustainably, ensuring long-term financial stability and success.</w:t>
      </w:r>
    </w:p>
    <w:p w14:paraId="0E94B82E" w14:textId="77777777" w:rsidR="00034F74" w:rsidRDefault="00034F74" w:rsidP="006E01A8">
      <w:pPr>
        <w:spacing w:line="360" w:lineRule="auto"/>
        <w:jc w:val="both"/>
        <w:rPr>
          <w:rFonts w:ascii="Arial" w:hAnsi="Arial" w:cs="Arial"/>
        </w:rPr>
      </w:pPr>
    </w:p>
    <w:p w14:paraId="64D3D3CA" w14:textId="77777777" w:rsidR="00FC290E" w:rsidRDefault="00FC290E" w:rsidP="006E01A8">
      <w:pPr>
        <w:spacing w:line="360" w:lineRule="auto"/>
        <w:jc w:val="both"/>
        <w:rPr>
          <w:rFonts w:ascii="Arial" w:hAnsi="Arial" w:cs="Arial"/>
        </w:rPr>
      </w:pPr>
    </w:p>
    <w:p w14:paraId="52DD29AA" w14:textId="77777777" w:rsidR="00034F74" w:rsidRDefault="00034F74" w:rsidP="006E01A8">
      <w:pPr>
        <w:spacing w:line="360" w:lineRule="auto"/>
        <w:jc w:val="both"/>
        <w:rPr>
          <w:rFonts w:ascii="Arial" w:hAnsi="Arial" w:cs="Arial"/>
        </w:rPr>
      </w:pPr>
    </w:p>
    <w:p w14:paraId="1709CEB9" w14:textId="3748A490" w:rsidR="00034F74" w:rsidRDefault="00034F74" w:rsidP="006E01A8">
      <w:pPr>
        <w:spacing w:line="360" w:lineRule="auto"/>
        <w:jc w:val="both"/>
        <w:rPr>
          <w:rFonts w:ascii="Arial" w:hAnsi="Arial" w:cs="Arial"/>
          <w:b/>
          <w:bCs/>
          <w:sz w:val="28"/>
          <w:szCs w:val="28"/>
        </w:rPr>
      </w:pPr>
      <w:r>
        <w:rPr>
          <w:rFonts w:ascii="Arial" w:hAnsi="Arial" w:cs="Arial"/>
          <w:b/>
          <w:bCs/>
          <w:sz w:val="28"/>
          <w:szCs w:val="28"/>
        </w:rPr>
        <w:t>REFERENCES:</w:t>
      </w:r>
    </w:p>
    <w:p w14:paraId="1F729835" w14:textId="77777777" w:rsidR="00BD1701" w:rsidRDefault="00BD1701" w:rsidP="006E01A8">
      <w:pPr>
        <w:spacing w:line="360" w:lineRule="auto"/>
        <w:jc w:val="both"/>
        <w:rPr>
          <w:rFonts w:ascii="Arial" w:hAnsi="Arial" w:cs="Arial"/>
          <w:b/>
          <w:bCs/>
          <w:sz w:val="28"/>
          <w:szCs w:val="28"/>
        </w:rPr>
      </w:pPr>
    </w:p>
    <w:p w14:paraId="1D829A37" w14:textId="063D607F" w:rsidR="00107A9E" w:rsidRPr="00107A9E" w:rsidRDefault="00107A9E" w:rsidP="006E01A8">
      <w:pPr>
        <w:spacing w:line="360" w:lineRule="auto"/>
        <w:jc w:val="both"/>
        <w:rPr>
          <w:rFonts w:ascii="Arial" w:hAnsi="Arial" w:cs="Arial"/>
          <w:b/>
          <w:bCs/>
        </w:rPr>
      </w:pPr>
      <w:proofErr w:type="spellStart"/>
      <w:r w:rsidRPr="00107A9E">
        <w:rPr>
          <w:rFonts w:ascii="Arial" w:hAnsi="Arial" w:cs="Arial"/>
          <w:color w:val="353C3F"/>
          <w:shd w:val="clear" w:color="auto" w:fill="FFFFFF"/>
        </w:rPr>
        <w:t>Allayannis</w:t>
      </w:r>
      <w:proofErr w:type="spellEnd"/>
      <w:r w:rsidRPr="00107A9E">
        <w:rPr>
          <w:rFonts w:ascii="Arial" w:hAnsi="Arial" w:cs="Arial"/>
          <w:color w:val="353C3F"/>
          <w:shd w:val="clear" w:color="auto" w:fill="FFFFFF"/>
        </w:rPr>
        <w:t>, G,</w:t>
      </w:r>
      <w:r>
        <w:rPr>
          <w:rFonts w:ascii="Arial" w:hAnsi="Arial" w:cs="Arial"/>
          <w:color w:val="353C3F"/>
          <w:shd w:val="clear" w:color="auto" w:fill="FFFFFF"/>
        </w:rPr>
        <w:t xml:space="preserve"> </w:t>
      </w:r>
      <w:proofErr w:type="spellStart"/>
      <w:r w:rsidRPr="00107A9E">
        <w:rPr>
          <w:rFonts w:ascii="Arial" w:hAnsi="Arial" w:cs="Arial"/>
          <w:color w:val="353C3F"/>
          <w:shd w:val="clear" w:color="auto" w:fill="FFFFFF"/>
        </w:rPr>
        <w:t>Ihrig</w:t>
      </w:r>
      <w:proofErr w:type="spellEnd"/>
      <w:r w:rsidRPr="00107A9E">
        <w:rPr>
          <w:rFonts w:ascii="Arial" w:hAnsi="Arial" w:cs="Arial"/>
          <w:color w:val="353C3F"/>
          <w:shd w:val="clear" w:color="auto" w:fill="FFFFFF"/>
        </w:rPr>
        <w:t xml:space="preserve">, </w:t>
      </w:r>
      <w:proofErr w:type="spellStart"/>
      <w:proofErr w:type="gramStart"/>
      <w:r>
        <w:rPr>
          <w:rFonts w:ascii="Arial" w:hAnsi="Arial" w:cs="Arial"/>
          <w:color w:val="353C3F"/>
          <w:shd w:val="clear" w:color="auto" w:fill="FFFFFF"/>
        </w:rPr>
        <w:t>J.,</w:t>
      </w:r>
      <w:r w:rsidRPr="00107A9E">
        <w:rPr>
          <w:rFonts w:ascii="Arial" w:hAnsi="Arial" w:cs="Arial"/>
          <w:color w:val="353C3F"/>
          <w:shd w:val="clear" w:color="auto" w:fill="FFFFFF"/>
        </w:rPr>
        <w:t>and</w:t>
      </w:r>
      <w:proofErr w:type="spellEnd"/>
      <w:proofErr w:type="gramEnd"/>
      <w:r w:rsidRPr="00107A9E">
        <w:rPr>
          <w:rFonts w:ascii="Arial" w:hAnsi="Arial" w:cs="Arial"/>
          <w:color w:val="353C3F"/>
          <w:shd w:val="clear" w:color="auto" w:fill="FFFFFF"/>
        </w:rPr>
        <w:t xml:space="preserve"> </w:t>
      </w:r>
      <w:proofErr w:type="spellStart"/>
      <w:r w:rsidRPr="00107A9E">
        <w:rPr>
          <w:rFonts w:ascii="Arial" w:hAnsi="Arial" w:cs="Arial"/>
          <w:color w:val="353C3F"/>
          <w:shd w:val="clear" w:color="auto" w:fill="FFFFFF"/>
        </w:rPr>
        <w:t>Weston</w:t>
      </w:r>
      <w:r>
        <w:rPr>
          <w:rFonts w:ascii="Arial" w:hAnsi="Arial" w:cs="Arial"/>
          <w:color w:val="353C3F"/>
          <w:shd w:val="clear" w:color="auto" w:fill="FFFFFF"/>
        </w:rPr>
        <w:t>,J</w:t>
      </w:r>
      <w:proofErr w:type="spellEnd"/>
      <w:r>
        <w:rPr>
          <w:rFonts w:ascii="Arial" w:hAnsi="Arial" w:cs="Arial"/>
          <w:color w:val="353C3F"/>
          <w:shd w:val="clear" w:color="auto" w:fill="FFFFFF"/>
        </w:rPr>
        <w:t>.(</w:t>
      </w:r>
      <w:r w:rsidRPr="00107A9E">
        <w:rPr>
          <w:rFonts w:ascii="Arial" w:hAnsi="Arial" w:cs="Arial"/>
          <w:color w:val="353C3F"/>
          <w:shd w:val="clear" w:color="auto" w:fill="FFFFFF"/>
        </w:rPr>
        <w:t> </w:t>
      </w:r>
      <w:r w:rsidRPr="00107A9E">
        <w:rPr>
          <w:rStyle w:val="year"/>
          <w:rFonts w:ascii="Arial" w:eastAsiaTheme="majorEastAsia" w:hAnsi="Arial" w:cs="Arial"/>
          <w:color w:val="353C3F"/>
          <w:bdr w:val="none" w:sz="0" w:space="0" w:color="auto" w:frame="1"/>
          <w:shd w:val="clear" w:color="auto" w:fill="FFFFFF"/>
        </w:rPr>
        <w:t>2001</w:t>
      </w:r>
      <w:r>
        <w:rPr>
          <w:rStyle w:val="year"/>
          <w:rFonts w:ascii="Arial" w:hAnsi="Arial" w:cs="Arial"/>
          <w:color w:val="353C3F"/>
          <w:bdr w:val="none" w:sz="0" w:space="0" w:color="auto" w:frame="1"/>
          <w:shd w:val="clear" w:color="auto" w:fill="FFFFFF"/>
        </w:rPr>
        <w:t>)</w:t>
      </w:r>
      <w:r w:rsidRPr="00107A9E">
        <w:rPr>
          <w:rStyle w:val="year"/>
          <w:rFonts w:ascii="Arial" w:eastAsiaTheme="majorEastAsia" w:hAnsi="Arial" w:cs="Arial"/>
          <w:color w:val="353C3F"/>
          <w:bdr w:val="none" w:sz="0" w:space="0" w:color="auto" w:frame="1"/>
          <w:shd w:val="clear" w:color="auto" w:fill="FFFFFF"/>
        </w:rPr>
        <w:t>.</w:t>
      </w:r>
      <w:r w:rsidRPr="00107A9E">
        <w:rPr>
          <w:rFonts w:ascii="Arial" w:hAnsi="Arial" w:cs="Arial"/>
          <w:color w:val="353C3F"/>
          <w:shd w:val="clear" w:color="auto" w:fill="FFFFFF"/>
        </w:rPr>
        <w:t> </w:t>
      </w:r>
      <w:r w:rsidRPr="00107A9E">
        <w:rPr>
          <w:rStyle w:val="Title1"/>
          <w:rFonts w:ascii="Arial" w:eastAsiaTheme="majorEastAsia" w:hAnsi="Arial" w:cs="Arial"/>
          <w:color w:val="353C3F"/>
          <w:bdr w:val="none" w:sz="0" w:space="0" w:color="auto" w:frame="1"/>
          <w:shd w:val="clear" w:color="auto" w:fill="FFFFFF"/>
        </w:rPr>
        <w:t>"Exchange-Rate Hedging: Financial versus Operational Strategies."</w:t>
      </w:r>
      <w:r w:rsidRPr="00107A9E">
        <w:rPr>
          <w:rFonts w:ascii="Arial" w:hAnsi="Arial" w:cs="Arial"/>
          <w:color w:val="353C3F"/>
          <w:shd w:val="clear" w:color="auto" w:fill="FFFFFF"/>
        </w:rPr>
        <w:t> </w:t>
      </w:r>
      <w:r w:rsidRPr="00107A9E">
        <w:rPr>
          <w:rStyle w:val="journal"/>
          <w:rFonts w:ascii="Arial" w:eastAsiaTheme="majorEastAsia" w:hAnsi="Arial" w:cs="Arial"/>
          <w:i/>
          <w:iCs/>
          <w:color w:val="353C3F"/>
          <w:bdr w:val="none" w:sz="0" w:space="0" w:color="auto" w:frame="1"/>
          <w:shd w:val="clear" w:color="auto" w:fill="FFFFFF"/>
        </w:rPr>
        <w:t>American Economic Review</w:t>
      </w:r>
      <w:r w:rsidRPr="00107A9E">
        <w:rPr>
          <w:rFonts w:ascii="Arial" w:hAnsi="Arial" w:cs="Arial"/>
          <w:color w:val="353C3F"/>
          <w:shd w:val="clear" w:color="auto" w:fill="FFFFFF"/>
        </w:rPr>
        <w:t>, </w:t>
      </w:r>
      <w:r w:rsidRPr="00107A9E">
        <w:rPr>
          <w:rStyle w:val="vol"/>
          <w:rFonts w:ascii="Arial" w:eastAsiaTheme="majorEastAsia" w:hAnsi="Arial" w:cs="Arial"/>
          <w:color w:val="353C3F"/>
          <w:bdr w:val="none" w:sz="0" w:space="0" w:color="auto" w:frame="1"/>
          <w:shd w:val="clear" w:color="auto" w:fill="FFFFFF"/>
        </w:rPr>
        <w:t>91 (2): 391-395</w:t>
      </w:r>
      <w:r w:rsidRPr="00107A9E">
        <w:rPr>
          <w:rStyle w:val="pages"/>
          <w:rFonts w:ascii="Arial" w:eastAsiaTheme="majorEastAsia" w:hAnsi="Arial" w:cs="Arial"/>
          <w:b/>
          <w:bCs/>
          <w:color w:val="668E9E"/>
          <w:bdr w:val="none" w:sz="0" w:space="0" w:color="auto" w:frame="1"/>
          <w:shd w:val="clear" w:color="auto" w:fill="FFFFFF"/>
        </w:rPr>
        <w:t>.</w:t>
      </w:r>
    </w:p>
    <w:p w14:paraId="3A709852" w14:textId="6778367A" w:rsidR="00955945" w:rsidRPr="00955945" w:rsidRDefault="00955945" w:rsidP="006E01A8">
      <w:pPr>
        <w:spacing w:line="360" w:lineRule="auto"/>
        <w:jc w:val="both"/>
        <w:rPr>
          <w:rFonts w:ascii="Arial" w:hAnsi="Arial" w:cs="Arial"/>
          <w:b/>
          <w:bCs/>
          <w:sz w:val="28"/>
          <w:szCs w:val="28"/>
        </w:rPr>
      </w:pPr>
      <w:proofErr w:type="spellStart"/>
      <w:r w:rsidRPr="00955945">
        <w:rPr>
          <w:rFonts w:ascii="Arial" w:hAnsi="Arial" w:cs="Arial"/>
        </w:rPr>
        <w:t>Bigman</w:t>
      </w:r>
      <w:proofErr w:type="spellEnd"/>
      <w:r w:rsidRPr="00955945">
        <w:rPr>
          <w:rFonts w:ascii="Arial" w:hAnsi="Arial" w:cs="Arial"/>
        </w:rPr>
        <w:t>. (2012). Exchange Rate Determination: Some Old Myths and New Paradigms. Applied Economics.</w:t>
      </w:r>
    </w:p>
    <w:p w14:paraId="61AE7BE0" w14:textId="0FD7FEFB" w:rsidR="00530314" w:rsidRDefault="00034F74">
      <w:pPr>
        <w:rPr>
          <w:rFonts w:ascii="Arial" w:hAnsi="Arial" w:cs="Arial"/>
          <w:color w:val="222222"/>
          <w:shd w:val="clear" w:color="auto" w:fill="FFFFFF"/>
        </w:rPr>
      </w:pPr>
      <w:proofErr w:type="spellStart"/>
      <w:r w:rsidRPr="00034F74">
        <w:rPr>
          <w:rFonts w:ascii="Arial" w:hAnsi="Arial" w:cs="Arial"/>
          <w:color w:val="222222"/>
          <w:shd w:val="clear" w:color="auto" w:fill="FFFFFF"/>
        </w:rPr>
        <w:t>Bollen</w:t>
      </w:r>
      <w:proofErr w:type="spellEnd"/>
      <w:r w:rsidRPr="00034F74">
        <w:rPr>
          <w:rFonts w:ascii="Arial" w:hAnsi="Arial" w:cs="Arial"/>
          <w:color w:val="222222"/>
          <w:shd w:val="clear" w:color="auto" w:fill="FFFFFF"/>
        </w:rPr>
        <w:t>, J., Mao, H., &amp; Zeng, X. (2011). Twitter mood predicts the stock market. </w:t>
      </w:r>
      <w:r w:rsidRPr="00034F74">
        <w:rPr>
          <w:rFonts w:ascii="Arial" w:hAnsi="Arial" w:cs="Arial"/>
          <w:i/>
          <w:iCs/>
          <w:color w:val="222222"/>
          <w:shd w:val="clear" w:color="auto" w:fill="FFFFFF"/>
        </w:rPr>
        <w:t>Journal of Computational Science,</w:t>
      </w:r>
      <w:r w:rsidRPr="00034F74">
        <w:rPr>
          <w:rFonts w:ascii="Arial" w:hAnsi="Arial" w:cs="Arial"/>
          <w:color w:val="222222"/>
          <w:shd w:val="clear" w:color="auto" w:fill="FFFFFF"/>
        </w:rPr>
        <w:t> </w:t>
      </w:r>
      <w:r w:rsidRPr="00034F74">
        <w:rPr>
          <w:rFonts w:ascii="Arial" w:hAnsi="Arial" w:cs="Arial"/>
          <w:i/>
          <w:iCs/>
          <w:color w:val="222222"/>
          <w:shd w:val="clear" w:color="auto" w:fill="FFFFFF"/>
        </w:rPr>
        <w:t>2,</w:t>
      </w:r>
      <w:r w:rsidRPr="00034F74">
        <w:rPr>
          <w:rFonts w:ascii="Arial" w:hAnsi="Arial" w:cs="Arial"/>
          <w:color w:val="222222"/>
          <w:shd w:val="clear" w:color="auto" w:fill="FFFFFF"/>
        </w:rPr>
        <w:t> 1–8.</w:t>
      </w:r>
    </w:p>
    <w:p w14:paraId="63C49940" w14:textId="77777777" w:rsidR="00955945" w:rsidRDefault="00955945">
      <w:pPr>
        <w:rPr>
          <w:rFonts w:ascii="Arial" w:hAnsi="Arial" w:cs="Arial"/>
          <w:color w:val="222222"/>
          <w:shd w:val="clear" w:color="auto" w:fill="FFFFFF"/>
        </w:rPr>
      </w:pPr>
    </w:p>
    <w:p w14:paraId="44FB1FF3" w14:textId="29926799" w:rsidR="00955945" w:rsidRDefault="00955945">
      <w:pPr>
        <w:rPr>
          <w:rFonts w:ascii="Arial" w:hAnsi="Arial" w:cs="Arial"/>
        </w:rPr>
      </w:pPr>
      <w:r w:rsidRPr="00955945">
        <w:rPr>
          <w:rFonts w:ascii="Arial" w:hAnsi="Arial" w:cs="Arial"/>
        </w:rPr>
        <w:t xml:space="preserve">Branson. (2013). Exchange Rate Dynamics and Monetary Policy. </w:t>
      </w:r>
      <w:proofErr w:type="spellStart"/>
      <w:r w:rsidRPr="00955945">
        <w:rPr>
          <w:rFonts w:ascii="Arial" w:hAnsi="Arial" w:cs="Arial"/>
        </w:rPr>
        <w:t>Ecconomics</w:t>
      </w:r>
      <w:proofErr w:type="spellEnd"/>
      <w:r w:rsidRPr="00955945">
        <w:rPr>
          <w:rFonts w:ascii="Arial" w:hAnsi="Arial" w:cs="Arial"/>
        </w:rPr>
        <w:t xml:space="preserve"> review.</w:t>
      </w:r>
    </w:p>
    <w:p w14:paraId="5EA499E3" w14:textId="77777777" w:rsidR="00580694" w:rsidRDefault="00580694">
      <w:pPr>
        <w:rPr>
          <w:rFonts w:ascii="Arial" w:hAnsi="Arial" w:cs="Arial"/>
        </w:rPr>
      </w:pPr>
    </w:p>
    <w:p w14:paraId="05CBD0D5" w14:textId="77777777" w:rsidR="00580694" w:rsidRDefault="00580694">
      <w:pPr>
        <w:rPr>
          <w:rFonts w:ascii="Arial" w:hAnsi="Arial" w:cs="Arial"/>
        </w:rPr>
      </w:pPr>
      <w:proofErr w:type="spellStart"/>
      <w:r w:rsidRPr="00580694">
        <w:rPr>
          <w:rFonts w:ascii="Arial" w:hAnsi="Arial" w:cs="Arial"/>
        </w:rPr>
        <w:t>Clower</w:t>
      </w:r>
      <w:proofErr w:type="spellEnd"/>
      <w:r w:rsidRPr="00580694">
        <w:rPr>
          <w:rFonts w:ascii="Arial" w:hAnsi="Arial" w:cs="Arial"/>
        </w:rPr>
        <w:t xml:space="preserve"> et al. (2014). Price Determination in a Stock-Flow Economy. Economic review. </w:t>
      </w:r>
    </w:p>
    <w:p w14:paraId="4F399B8F" w14:textId="77777777" w:rsidR="00580694" w:rsidRDefault="00580694">
      <w:pPr>
        <w:rPr>
          <w:rFonts w:ascii="Arial" w:hAnsi="Arial" w:cs="Arial"/>
        </w:rPr>
      </w:pPr>
    </w:p>
    <w:p w14:paraId="6B66C774" w14:textId="77172D81" w:rsidR="00580694" w:rsidRPr="00580694" w:rsidRDefault="00580694">
      <w:pPr>
        <w:rPr>
          <w:rFonts w:ascii="Arial" w:hAnsi="Arial" w:cs="Arial"/>
          <w:color w:val="222222"/>
          <w:shd w:val="clear" w:color="auto" w:fill="FFFFFF"/>
        </w:rPr>
      </w:pPr>
      <w:r w:rsidRPr="00580694">
        <w:rPr>
          <w:rFonts w:ascii="Arial" w:hAnsi="Arial" w:cs="Arial"/>
        </w:rPr>
        <w:t xml:space="preserve">Coppock and Poitras. (2010). Evaluating the Fisher Effect in the long-term </w:t>
      </w:r>
      <w:proofErr w:type="gramStart"/>
      <w:r w:rsidRPr="00580694">
        <w:rPr>
          <w:rFonts w:ascii="Arial" w:hAnsi="Arial" w:cs="Arial"/>
        </w:rPr>
        <w:t>cross country</w:t>
      </w:r>
      <w:proofErr w:type="gramEnd"/>
      <w:r w:rsidRPr="00580694">
        <w:rPr>
          <w:rFonts w:ascii="Arial" w:hAnsi="Arial" w:cs="Arial"/>
        </w:rPr>
        <w:t xml:space="preserve"> averages. International Review of Economics and Finance.</w:t>
      </w:r>
    </w:p>
    <w:p w14:paraId="166089A3" w14:textId="77777777" w:rsidR="00034F74" w:rsidRPr="00580694" w:rsidRDefault="00034F74">
      <w:pPr>
        <w:rPr>
          <w:rFonts w:ascii="Arial" w:hAnsi="Arial" w:cs="Arial"/>
          <w:color w:val="222222"/>
          <w:shd w:val="clear" w:color="auto" w:fill="FFFFFF"/>
        </w:rPr>
      </w:pPr>
    </w:p>
    <w:p w14:paraId="0CAA170E" w14:textId="27DE9139" w:rsidR="00034F74" w:rsidRDefault="00034F74">
      <w:pPr>
        <w:rPr>
          <w:rFonts w:ascii="Arial" w:hAnsi="Arial" w:cs="Arial"/>
          <w:color w:val="222222"/>
          <w:shd w:val="clear" w:color="auto" w:fill="FFFFFF"/>
        </w:rPr>
      </w:pPr>
      <w:r w:rsidRPr="00034F74">
        <w:rPr>
          <w:rFonts w:ascii="Arial" w:hAnsi="Arial" w:cs="Arial"/>
          <w:color w:val="222222"/>
          <w:shd w:val="clear" w:color="auto" w:fill="FFFFFF"/>
        </w:rPr>
        <w:t xml:space="preserve">Gilbert, E., &amp; </w:t>
      </w:r>
      <w:proofErr w:type="spellStart"/>
      <w:r w:rsidRPr="00034F74">
        <w:rPr>
          <w:rFonts w:ascii="Arial" w:hAnsi="Arial" w:cs="Arial"/>
          <w:color w:val="222222"/>
          <w:shd w:val="clear" w:color="auto" w:fill="FFFFFF"/>
        </w:rPr>
        <w:t>Karahalios</w:t>
      </w:r>
      <w:proofErr w:type="spellEnd"/>
      <w:r w:rsidRPr="00034F74">
        <w:rPr>
          <w:rFonts w:ascii="Arial" w:hAnsi="Arial" w:cs="Arial"/>
          <w:color w:val="222222"/>
          <w:shd w:val="clear" w:color="auto" w:fill="FFFFFF"/>
        </w:rPr>
        <w:t>, K. (2010). Widespread worry and the stock market. In </w:t>
      </w:r>
      <w:r w:rsidRPr="00034F74">
        <w:rPr>
          <w:rFonts w:ascii="Arial" w:hAnsi="Arial" w:cs="Arial"/>
          <w:i/>
          <w:iCs/>
          <w:color w:val="222222"/>
          <w:shd w:val="clear" w:color="auto" w:fill="FFFFFF"/>
        </w:rPr>
        <w:t>4th international AAAI conference on weblogs and social media</w:t>
      </w:r>
      <w:r w:rsidRPr="00034F74">
        <w:rPr>
          <w:rFonts w:ascii="Arial" w:hAnsi="Arial" w:cs="Arial"/>
          <w:color w:val="222222"/>
          <w:shd w:val="clear" w:color="auto" w:fill="FFFFFF"/>
        </w:rPr>
        <w:t>.</w:t>
      </w:r>
    </w:p>
    <w:p w14:paraId="0D178513" w14:textId="77777777" w:rsidR="00955945" w:rsidRDefault="00955945">
      <w:pPr>
        <w:rPr>
          <w:rFonts w:ascii="Arial" w:hAnsi="Arial" w:cs="Arial"/>
          <w:color w:val="222222"/>
          <w:shd w:val="clear" w:color="auto" w:fill="FFFFFF"/>
        </w:rPr>
      </w:pPr>
    </w:p>
    <w:p w14:paraId="6D1CBAAC" w14:textId="1A30774D" w:rsidR="00955945" w:rsidRPr="00955945" w:rsidRDefault="00955945">
      <w:pPr>
        <w:rPr>
          <w:rFonts w:ascii="Arial" w:hAnsi="Arial" w:cs="Arial"/>
          <w:color w:val="222222"/>
          <w:shd w:val="clear" w:color="auto" w:fill="FFFFFF"/>
        </w:rPr>
      </w:pPr>
      <w:r w:rsidRPr="00955945">
        <w:rPr>
          <w:rFonts w:ascii="Arial" w:hAnsi="Arial" w:cs="Arial"/>
        </w:rPr>
        <w:t>Krugman and Obstfeld. (2009). International Economics. Pearson Education, Inc.</w:t>
      </w:r>
    </w:p>
    <w:p w14:paraId="02493DC1" w14:textId="77777777" w:rsidR="00034F74" w:rsidRPr="00034F74" w:rsidRDefault="00034F74">
      <w:pPr>
        <w:rPr>
          <w:rFonts w:ascii="Arial" w:hAnsi="Arial" w:cs="Arial"/>
          <w:color w:val="222222"/>
          <w:shd w:val="clear" w:color="auto" w:fill="FFFFFF"/>
        </w:rPr>
      </w:pPr>
    </w:p>
    <w:p w14:paraId="0954844A" w14:textId="1FC9287C" w:rsidR="00034F74" w:rsidRPr="00034F74" w:rsidRDefault="00034F74">
      <w:pPr>
        <w:rPr>
          <w:rFonts w:ascii="Arial" w:hAnsi="Arial" w:cs="Arial"/>
          <w:color w:val="222222"/>
          <w:shd w:val="clear" w:color="auto" w:fill="FFFFFF"/>
        </w:rPr>
      </w:pPr>
      <w:r w:rsidRPr="00034F74">
        <w:rPr>
          <w:rFonts w:ascii="Arial" w:hAnsi="Arial" w:cs="Arial"/>
          <w:color w:val="222222"/>
          <w:shd w:val="clear" w:color="auto" w:fill="FFFFFF"/>
        </w:rPr>
        <w:t>Kumar, S., &amp; Goyal, N. (2015). Behavioural biases in investment decision making - a systematic literature review. </w:t>
      </w:r>
      <w:r w:rsidRPr="00034F74">
        <w:rPr>
          <w:rFonts w:ascii="Arial" w:hAnsi="Arial" w:cs="Arial"/>
          <w:i/>
          <w:iCs/>
          <w:color w:val="222222"/>
          <w:shd w:val="clear" w:color="auto" w:fill="FFFFFF"/>
        </w:rPr>
        <w:t>Qualitative Research in Financial Markets,</w:t>
      </w:r>
      <w:r w:rsidRPr="00034F74">
        <w:rPr>
          <w:rFonts w:ascii="Arial" w:hAnsi="Arial" w:cs="Arial"/>
          <w:color w:val="222222"/>
          <w:shd w:val="clear" w:color="auto" w:fill="FFFFFF"/>
        </w:rPr>
        <w:t> </w:t>
      </w:r>
      <w:r w:rsidRPr="00034F74">
        <w:rPr>
          <w:rFonts w:ascii="Arial" w:hAnsi="Arial" w:cs="Arial"/>
          <w:i/>
          <w:iCs/>
          <w:color w:val="222222"/>
          <w:shd w:val="clear" w:color="auto" w:fill="FFFFFF"/>
        </w:rPr>
        <w:t>7,</w:t>
      </w:r>
      <w:r w:rsidRPr="00034F74">
        <w:rPr>
          <w:rFonts w:ascii="Arial" w:hAnsi="Arial" w:cs="Arial"/>
          <w:color w:val="222222"/>
          <w:shd w:val="clear" w:color="auto" w:fill="FFFFFF"/>
        </w:rPr>
        <w:t> </w:t>
      </w:r>
      <w:r w:rsidR="00CB61AA">
        <w:rPr>
          <w:rFonts w:ascii="Arial" w:hAnsi="Arial" w:cs="Arial"/>
          <w:color w:val="222222"/>
          <w:shd w:val="clear" w:color="auto" w:fill="FFFFFF"/>
        </w:rPr>
        <w:t>p.</w:t>
      </w:r>
      <w:r w:rsidRPr="00034F74">
        <w:rPr>
          <w:rFonts w:ascii="Arial" w:hAnsi="Arial" w:cs="Arial"/>
          <w:color w:val="222222"/>
          <w:shd w:val="clear" w:color="auto" w:fill="FFFFFF"/>
        </w:rPr>
        <w:t>88–108.</w:t>
      </w:r>
    </w:p>
    <w:p w14:paraId="104A3A72" w14:textId="77777777" w:rsidR="00034F74" w:rsidRPr="00034F74" w:rsidRDefault="00034F74">
      <w:pPr>
        <w:rPr>
          <w:rFonts w:ascii="Arial" w:hAnsi="Arial" w:cs="Arial"/>
          <w:color w:val="222222"/>
          <w:shd w:val="clear" w:color="auto" w:fill="FFFFFF"/>
        </w:rPr>
      </w:pPr>
    </w:p>
    <w:p w14:paraId="3DC74EA1" w14:textId="7CDBE804" w:rsidR="00034F74" w:rsidRDefault="00034F74">
      <w:pPr>
        <w:rPr>
          <w:rFonts w:ascii="Arial" w:hAnsi="Arial" w:cs="Arial"/>
          <w:color w:val="222222"/>
          <w:shd w:val="clear" w:color="auto" w:fill="FFFFFF"/>
        </w:rPr>
      </w:pPr>
      <w:proofErr w:type="spellStart"/>
      <w:r w:rsidRPr="00034F74">
        <w:rPr>
          <w:rFonts w:ascii="Arial" w:hAnsi="Arial" w:cs="Arial"/>
          <w:color w:val="222222"/>
          <w:shd w:val="clear" w:color="auto" w:fill="FFFFFF"/>
        </w:rPr>
        <w:t>Pompian</w:t>
      </w:r>
      <w:proofErr w:type="spellEnd"/>
      <w:r w:rsidRPr="00034F74">
        <w:rPr>
          <w:rFonts w:ascii="Arial" w:hAnsi="Arial" w:cs="Arial"/>
          <w:color w:val="222222"/>
          <w:shd w:val="clear" w:color="auto" w:fill="FFFFFF"/>
        </w:rPr>
        <w:t>, M. (2017). </w:t>
      </w:r>
      <w:r w:rsidRPr="00034F74">
        <w:rPr>
          <w:rFonts w:ascii="Arial" w:hAnsi="Arial" w:cs="Arial"/>
          <w:i/>
          <w:iCs/>
          <w:color w:val="222222"/>
          <w:shd w:val="clear" w:color="auto" w:fill="FFFFFF"/>
        </w:rPr>
        <w:t xml:space="preserve">Risk tolerance and </w:t>
      </w:r>
      <w:proofErr w:type="spellStart"/>
      <w:r w:rsidRPr="00034F74">
        <w:rPr>
          <w:rFonts w:ascii="Arial" w:hAnsi="Arial" w:cs="Arial"/>
          <w:i/>
          <w:iCs/>
          <w:color w:val="222222"/>
          <w:shd w:val="clear" w:color="auto" w:fill="FFFFFF"/>
        </w:rPr>
        <w:t>behavioral</w:t>
      </w:r>
      <w:proofErr w:type="spellEnd"/>
      <w:r w:rsidRPr="00034F74">
        <w:rPr>
          <w:rFonts w:ascii="Arial" w:hAnsi="Arial" w:cs="Arial"/>
          <w:i/>
          <w:iCs/>
          <w:color w:val="222222"/>
          <w:shd w:val="clear" w:color="auto" w:fill="FFFFFF"/>
        </w:rPr>
        <w:t xml:space="preserve"> finance</w:t>
      </w:r>
      <w:r w:rsidRPr="00034F74">
        <w:rPr>
          <w:rFonts w:ascii="Arial" w:hAnsi="Arial" w:cs="Arial"/>
          <w:color w:val="222222"/>
          <w:shd w:val="clear" w:color="auto" w:fill="FFFFFF"/>
        </w:rPr>
        <w:t>. Advisor Perspectives, Inc., Lexington</w:t>
      </w:r>
    </w:p>
    <w:p w14:paraId="55B15A35" w14:textId="77777777" w:rsidR="00CB61AA" w:rsidRDefault="00CB61AA">
      <w:pPr>
        <w:rPr>
          <w:rFonts w:ascii="Arial" w:hAnsi="Arial" w:cs="Arial"/>
          <w:color w:val="222222"/>
          <w:shd w:val="clear" w:color="auto" w:fill="FFFFFF"/>
        </w:rPr>
      </w:pPr>
    </w:p>
    <w:p w14:paraId="68C4AD1C" w14:textId="3A94D943" w:rsidR="00CB61AA" w:rsidRPr="00CB61AA" w:rsidRDefault="00CB61AA">
      <w:pPr>
        <w:rPr>
          <w:rFonts w:ascii="Arial" w:hAnsi="Arial" w:cs="Arial"/>
          <w:i/>
          <w:iCs/>
        </w:rPr>
      </w:pPr>
      <w:proofErr w:type="spellStart"/>
      <w:r>
        <w:rPr>
          <w:rFonts w:ascii="Arial" w:hAnsi="Arial" w:cs="Arial"/>
          <w:color w:val="222222"/>
          <w:shd w:val="clear" w:color="auto" w:fill="FFFFFF"/>
        </w:rPr>
        <w:t>Papaioannou</w:t>
      </w:r>
      <w:proofErr w:type="spellEnd"/>
      <w:r>
        <w:rPr>
          <w:rFonts w:ascii="Arial" w:hAnsi="Arial" w:cs="Arial"/>
          <w:color w:val="222222"/>
          <w:shd w:val="clear" w:color="auto" w:fill="FFFFFF"/>
        </w:rPr>
        <w:t>, M. (2006).</w:t>
      </w:r>
      <w:r w:rsidRPr="00CB61AA">
        <w:t xml:space="preserve"> </w:t>
      </w:r>
      <w:r w:rsidRPr="00CB61AA">
        <w:rPr>
          <w:rFonts w:ascii="Arial" w:hAnsi="Arial" w:cs="Arial"/>
        </w:rPr>
        <w:t>Exchange Rate Risk Measurement and Management: Issues and Approaches for Firms</w:t>
      </w:r>
      <w:r>
        <w:rPr>
          <w:rFonts w:ascii="Arial" w:hAnsi="Arial" w:cs="Arial"/>
        </w:rPr>
        <w:t>.</w:t>
      </w:r>
      <w:r w:rsidRPr="00CB61AA">
        <w:rPr>
          <w:rFonts w:ascii="Arial" w:hAnsi="Arial" w:cs="Arial"/>
          <w:i/>
          <w:iCs/>
        </w:rPr>
        <w:t xml:space="preserve"> International Monetary </w:t>
      </w:r>
      <w:proofErr w:type="spellStart"/>
      <w:r w:rsidRPr="00CB61AA">
        <w:rPr>
          <w:rFonts w:ascii="Arial" w:hAnsi="Arial" w:cs="Arial"/>
          <w:i/>
          <w:iCs/>
        </w:rPr>
        <w:t>Fond</w:t>
      </w:r>
      <w:proofErr w:type="spellEnd"/>
      <w:r>
        <w:rPr>
          <w:rFonts w:ascii="Arial" w:hAnsi="Arial" w:cs="Arial"/>
          <w:i/>
          <w:iCs/>
        </w:rPr>
        <w:t xml:space="preserve"> </w:t>
      </w:r>
      <w:r w:rsidRPr="00CB61AA">
        <w:rPr>
          <w:rFonts w:ascii="Arial" w:hAnsi="Arial" w:cs="Arial"/>
          <w:i/>
          <w:iCs/>
        </w:rPr>
        <w:t xml:space="preserve">published by the </w:t>
      </w:r>
      <w:proofErr w:type="gramStart"/>
      <w:r w:rsidRPr="00CB61AA">
        <w:rPr>
          <w:rFonts w:ascii="Arial" w:hAnsi="Arial" w:cs="Arial"/>
          <w:i/>
          <w:iCs/>
        </w:rPr>
        <w:t>South Eastern</w:t>
      </w:r>
      <w:proofErr w:type="gramEnd"/>
      <w:r w:rsidRPr="00CB61AA">
        <w:rPr>
          <w:rFonts w:ascii="Arial" w:hAnsi="Arial" w:cs="Arial"/>
          <w:i/>
          <w:iCs/>
        </w:rPr>
        <w:t xml:space="preserve"> Europe Journal of Economics</w:t>
      </w:r>
      <w:r>
        <w:rPr>
          <w:rFonts w:ascii="Arial" w:hAnsi="Arial" w:cs="Arial"/>
          <w:i/>
          <w:iCs/>
        </w:rPr>
        <w:t xml:space="preserve">, </w:t>
      </w:r>
      <w:r w:rsidRPr="00CB61AA">
        <w:rPr>
          <w:rFonts w:ascii="Arial" w:hAnsi="Arial" w:cs="Arial"/>
        </w:rPr>
        <w:t>p.7-10</w:t>
      </w:r>
    </w:p>
    <w:sectPr w:rsidR="00CB61AA" w:rsidRPr="00CB6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B7A03"/>
    <w:multiLevelType w:val="hybridMultilevel"/>
    <w:tmpl w:val="12D6D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072892"/>
    <w:multiLevelType w:val="hybridMultilevel"/>
    <w:tmpl w:val="907434D8"/>
    <w:lvl w:ilvl="0" w:tplc="D378184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21C60FA"/>
    <w:multiLevelType w:val="hybridMultilevel"/>
    <w:tmpl w:val="B07C0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231D92"/>
    <w:multiLevelType w:val="hybridMultilevel"/>
    <w:tmpl w:val="A6C44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863258"/>
    <w:multiLevelType w:val="hybridMultilevel"/>
    <w:tmpl w:val="E54657E4"/>
    <w:lvl w:ilvl="0" w:tplc="39D2AD4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438730">
    <w:abstractNumId w:val="3"/>
  </w:num>
  <w:num w:numId="2" w16cid:durableId="460533563">
    <w:abstractNumId w:val="4"/>
  </w:num>
  <w:num w:numId="3" w16cid:durableId="1750888460">
    <w:abstractNumId w:val="2"/>
  </w:num>
  <w:num w:numId="4" w16cid:durableId="1935242047">
    <w:abstractNumId w:val="0"/>
  </w:num>
  <w:num w:numId="5" w16cid:durableId="824572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314"/>
    <w:rsid w:val="00034F74"/>
    <w:rsid w:val="000D3853"/>
    <w:rsid w:val="00107A9E"/>
    <w:rsid w:val="00121697"/>
    <w:rsid w:val="001877E8"/>
    <w:rsid w:val="00251FA6"/>
    <w:rsid w:val="002A79E4"/>
    <w:rsid w:val="002E2613"/>
    <w:rsid w:val="00342789"/>
    <w:rsid w:val="00417C49"/>
    <w:rsid w:val="00530314"/>
    <w:rsid w:val="00572229"/>
    <w:rsid w:val="00580694"/>
    <w:rsid w:val="00595E59"/>
    <w:rsid w:val="0067572C"/>
    <w:rsid w:val="006E01A8"/>
    <w:rsid w:val="007122E2"/>
    <w:rsid w:val="00730E27"/>
    <w:rsid w:val="007327FE"/>
    <w:rsid w:val="007A3EEA"/>
    <w:rsid w:val="007B2960"/>
    <w:rsid w:val="00823C94"/>
    <w:rsid w:val="008C7C20"/>
    <w:rsid w:val="00900C50"/>
    <w:rsid w:val="00955945"/>
    <w:rsid w:val="009930B2"/>
    <w:rsid w:val="009B42D1"/>
    <w:rsid w:val="009D31D4"/>
    <w:rsid w:val="00A3556A"/>
    <w:rsid w:val="00A52F12"/>
    <w:rsid w:val="00A929C8"/>
    <w:rsid w:val="00AD17AD"/>
    <w:rsid w:val="00B15C3F"/>
    <w:rsid w:val="00B86D2C"/>
    <w:rsid w:val="00B92EF6"/>
    <w:rsid w:val="00BD1701"/>
    <w:rsid w:val="00BF7CED"/>
    <w:rsid w:val="00C07EEA"/>
    <w:rsid w:val="00CB61AA"/>
    <w:rsid w:val="00CE7AC7"/>
    <w:rsid w:val="00D975A7"/>
    <w:rsid w:val="00E328C1"/>
    <w:rsid w:val="00E775EE"/>
    <w:rsid w:val="00EA4F59"/>
    <w:rsid w:val="00ED4574"/>
    <w:rsid w:val="00EF3C14"/>
    <w:rsid w:val="00F126BF"/>
    <w:rsid w:val="00FC290E"/>
    <w:rsid w:val="00FC42BA"/>
    <w:rsid w:val="00FC5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7CEBA9"/>
  <w15:chartTrackingRefBased/>
  <w15:docId w15:val="{633ABE6B-A624-FC47-BA16-1F6DEA2BD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CE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3031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3031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3031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3031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30314"/>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30314"/>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30314"/>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30314"/>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30314"/>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3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3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3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3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3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3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3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3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314"/>
    <w:rPr>
      <w:rFonts w:eastAsiaTheme="majorEastAsia" w:cstheme="majorBidi"/>
      <w:color w:val="272727" w:themeColor="text1" w:themeTint="D8"/>
    </w:rPr>
  </w:style>
  <w:style w:type="paragraph" w:styleId="Title">
    <w:name w:val="Title"/>
    <w:basedOn w:val="Normal"/>
    <w:next w:val="Normal"/>
    <w:link w:val="TitleChar"/>
    <w:uiPriority w:val="10"/>
    <w:qFormat/>
    <w:rsid w:val="0053031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303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31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303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31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30314"/>
    <w:rPr>
      <w:i/>
      <w:iCs/>
      <w:color w:val="404040" w:themeColor="text1" w:themeTint="BF"/>
    </w:rPr>
  </w:style>
  <w:style w:type="paragraph" w:styleId="ListParagraph">
    <w:name w:val="List Paragraph"/>
    <w:basedOn w:val="Normal"/>
    <w:uiPriority w:val="34"/>
    <w:qFormat/>
    <w:rsid w:val="00530314"/>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530314"/>
    <w:rPr>
      <w:i/>
      <w:iCs/>
      <w:color w:val="0F4761" w:themeColor="accent1" w:themeShade="BF"/>
    </w:rPr>
  </w:style>
  <w:style w:type="paragraph" w:styleId="IntenseQuote">
    <w:name w:val="Intense Quote"/>
    <w:basedOn w:val="Normal"/>
    <w:next w:val="Normal"/>
    <w:link w:val="IntenseQuoteChar"/>
    <w:uiPriority w:val="30"/>
    <w:qFormat/>
    <w:rsid w:val="0053031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30314"/>
    <w:rPr>
      <w:i/>
      <w:iCs/>
      <w:color w:val="0F4761" w:themeColor="accent1" w:themeShade="BF"/>
    </w:rPr>
  </w:style>
  <w:style w:type="character" w:styleId="IntenseReference">
    <w:name w:val="Intense Reference"/>
    <w:basedOn w:val="DefaultParagraphFont"/>
    <w:uiPriority w:val="32"/>
    <w:qFormat/>
    <w:rsid w:val="00530314"/>
    <w:rPr>
      <w:b/>
      <w:bCs/>
      <w:smallCaps/>
      <w:color w:val="0F4761" w:themeColor="accent1" w:themeShade="BF"/>
      <w:spacing w:val="5"/>
    </w:rPr>
  </w:style>
  <w:style w:type="character" w:customStyle="1" w:styleId="year">
    <w:name w:val="year"/>
    <w:basedOn w:val="DefaultParagraphFont"/>
    <w:rsid w:val="00107A9E"/>
  </w:style>
  <w:style w:type="character" w:customStyle="1" w:styleId="Title1">
    <w:name w:val="Title1"/>
    <w:basedOn w:val="DefaultParagraphFont"/>
    <w:rsid w:val="00107A9E"/>
  </w:style>
  <w:style w:type="character" w:customStyle="1" w:styleId="journal">
    <w:name w:val="journal"/>
    <w:basedOn w:val="DefaultParagraphFont"/>
    <w:rsid w:val="00107A9E"/>
  </w:style>
  <w:style w:type="character" w:customStyle="1" w:styleId="vol">
    <w:name w:val="vol"/>
    <w:basedOn w:val="DefaultParagraphFont"/>
    <w:rsid w:val="00107A9E"/>
  </w:style>
  <w:style w:type="character" w:customStyle="1" w:styleId="pages">
    <w:name w:val="pages"/>
    <w:basedOn w:val="DefaultParagraphFont"/>
    <w:rsid w:val="00107A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946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94</TotalTime>
  <Pages>8</Pages>
  <Words>2050</Words>
  <Characters>11687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48</cp:revision>
  <dcterms:created xsi:type="dcterms:W3CDTF">2024-03-28T17:46:00Z</dcterms:created>
  <dcterms:modified xsi:type="dcterms:W3CDTF">2024-03-31T18:03:00Z</dcterms:modified>
</cp:coreProperties>
</file>