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41D2B" w14:textId="4CEB4E2A" w:rsidR="0095467F" w:rsidRPr="00000470" w:rsidRDefault="0095467F" w:rsidP="0095467F">
      <w:pPr>
        <w:jc w:val="center"/>
        <w:rPr>
          <w:rFonts w:ascii="Arial" w:eastAsia="Times New Roman" w:hAnsi="Arial" w:cs="Arial"/>
          <w:color w:val="000000"/>
          <w:sz w:val="22"/>
          <w:lang w:eastAsia="en-GB"/>
        </w:rPr>
      </w:pPr>
      <w:r w:rsidRPr="00000470">
        <w:rPr>
          <w:rFonts w:ascii="Arial" w:eastAsia="Times New Roman" w:hAnsi="Arial" w:cs="Arial"/>
          <w:noProof/>
          <w:color w:val="000000"/>
          <w:sz w:val="22"/>
          <w:lang w:eastAsia="en-GB"/>
        </w:rPr>
        <w:drawing>
          <wp:inline distT="0" distB="0" distL="0" distR="0" wp14:anchorId="7A227F97" wp14:editId="1719097F">
            <wp:extent cx="2313016" cy="800100"/>
            <wp:effectExtent l="0" t="0" r="0" b="0"/>
            <wp:docPr id="1819842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42646" name=""/>
                    <pic:cNvPicPr/>
                  </pic:nvPicPr>
                  <pic:blipFill>
                    <a:blip r:embed="rId7"/>
                    <a:stretch>
                      <a:fillRect/>
                    </a:stretch>
                  </pic:blipFill>
                  <pic:spPr>
                    <a:xfrm>
                      <a:off x="0" y="0"/>
                      <a:ext cx="2333302" cy="807117"/>
                    </a:xfrm>
                    <a:prstGeom prst="rect">
                      <a:avLst/>
                    </a:prstGeom>
                  </pic:spPr>
                </pic:pic>
              </a:graphicData>
            </a:graphic>
          </wp:inline>
        </w:drawing>
      </w:r>
    </w:p>
    <w:p w14:paraId="000B1BC4" w14:textId="77777777" w:rsidR="0095467F" w:rsidRPr="00000470" w:rsidRDefault="0095467F" w:rsidP="0095467F">
      <w:pPr>
        <w:jc w:val="center"/>
        <w:rPr>
          <w:rFonts w:ascii="Arial" w:eastAsia="Times New Roman" w:hAnsi="Arial" w:cs="Arial"/>
          <w:color w:val="000000"/>
          <w:sz w:val="22"/>
          <w:lang w:eastAsia="en-GB"/>
        </w:rPr>
      </w:pPr>
    </w:p>
    <w:p w14:paraId="59F8C8E8" w14:textId="77777777" w:rsidR="00000470" w:rsidRPr="00000470" w:rsidRDefault="00000470" w:rsidP="0095467F">
      <w:pPr>
        <w:jc w:val="center"/>
        <w:rPr>
          <w:rFonts w:ascii="Arial" w:eastAsia="Times New Roman" w:hAnsi="Arial" w:cs="Arial"/>
          <w:color w:val="000000"/>
          <w:sz w:val="22"/>
          <w:lang w:eastAsia="en-GB"/>
        </w:rPr>
      </w:pPr>
    </w:p>
    <w:p w14:paraId="1797C4DD" w14:textId="77777777" w:rsidR="00000470" w:rsidRPr="00000470" w:rsidRDefault="00000470" w:rsidP="0095467F">
      <w:pPr>
        <w:jc w:val="center"/>
        <w:rPr>
          <w:rFonts w:ascii="Arial" w:eastAsia="Times New Roman" w:hAnsi="Arial" w:cs="Arial"/>
          <w:color w:val="000000"/>
          <w:sz w:val="22"/>
          <w:lang w:eastAsia="en-GB"/>
        </w:rPr>
      </w:pPr>
    </w:p>
    <w:p w14:paraId="70888FA7" w14:textId="474F8B77" w:rsidR="0095467F" w:rsidRPr="00000470" w:rsidRDefault="0095467F" w:rsidP="0095467F">
      <w:pPr>
        <w:jc w:val="center"/>
        <w:rPr>
          <w:rFonts w:ascii="Arial" w:eastAsia="Times New Roman" w:hAnsi="Arial" w:cs="Arial"/>
          <w:color w:val="000000"/>
          <w:sz w:val="28"/>
          <w:szCs w:val="28"/>
          <w:lang w:eastAsia="en-GB"/>
        </w:rPr>
      </w:pPr>
      <w:r w:rsidRPr="00000470">
        <w:rPr>
          <w:rFonts w:ascii="Arial" w:eastAsia="Times New Roman" w:hAnsi="Arial" w:cs="Arial"/>
          <w:b/>
          <w:bCs/>
          <w:color w:val="000000"/>
          <w:sz w:val="28"/>
          <w:szCs w:val="28"/>
          <w:lang w:eastAsia="en-GB"/>
        </w:rPr>
        <w:t>Report Title:</w:t>
      </w:r>
      <w:r w:rsidRPr="00000470">
        <w:rPr>
          <w:rFonts w:ascii="Arial" w:eastAsia="Times New Roman" w:hAnsi="Arial" w:cs="Arial"/>
          <w:color w:val="000000"/>
          <w:sz w:val="28"/>
          <w:szCs w:val="28"/>
          <w:lang w:eastAsia="en-GB"/>
        </w:rPr>
        <w:t xml:space="preserve"> Analysis on the Importance of Principles through Practical Examples and Self Reflection on the context of Health and Social Care</w:t>
      </w:r>
    </w:p>
    <w:p w14:paraId="7899E9C1" w14:textId="77777777" w:rsidR="0095467F" w:rsidRPr="00000470" w:rsidRDefault="0095467F" w:rsidP="0095467F">
      <w:pPr>
        <w:jc w:val="center"/>
        <w:rPr>
          <w:rFonts w:ascii="Arial" w:eastAsia="Times New Roman" w:hAnsi="Arial" w:cs="Arial"/>
          <w:color w:val="000000"/>
          <w:sz w:val="22"/>
          <w:lang w:eastAsia="en-GB"/>
        </w:rPr>
      </w:pPr>
    </w:p>
    <w:p w14:paraId="799BE372" w14:textId="77777777" w:rsidR="00000470" w:rsidRPr="00000470" w:rsidRDefault="00000470" w:rsidP="0095467F">
      <w:pPr>
        <w:jc w:val="center"/>
        <w:rPr>
          <w:rFonts w:ascii="Arial" w:eastAsia="Times New Roman" w:hAnsi="Arial" w:cs="Arial"/>
          <w:color w:val="000000"/>
          <w:sz w:val="22"/>
          <w:lang w:eastAsia="en-GB"/>
        </w:rPr>
      </w:pPr>
    </w:p>
    <w:p w14:paraId="5F82E101" w14:textId="54AF85FF" w:rsidR="0095467F" w:rsidRPr="00000470" w:rsidRDefault="0095467F" w:rsidP="00000470">
      <w:pPr>
        <w:jc w:val="center"/>
        <w:rPr>
          <w:rFonts w:ascii="Arial" w:eastAsia="Times New Roman" w:hAnsi="Arial" w:cs="Arial"/>
          <w:color w:val="000000"/>
          <w:sz w:val="28"/>
          <w:szCs w:val="28"/>
          <w:lang w:eastAsia="en-GB"/>
        </w:rPr>
      </w:pPr>
      <w:r w:rsidRPr="00000470">
        <w:rPr>
          <w:rFonts w:ascii="Arial" w:eastAsia="Times New Roman" w:hAnsi="Arial" w:cs="Arial"/>
          <w:b/>
          <w:bCs/>
          <w:color w:val="000000"/>
          <w:sz w:val="28"/>
          <w:szCs w:val="28"/>
          <w:lang w:eastAsia="en-GB"/>
        </w:rPr>
        <w:t>Student Name:</w:t>
      </w:r>
      <w:r w:rsidRPr="00000470">
        <w:rPr>
          <w:rFonts w:ascii="Arial" w:eastAsia="Times New Roman" w:hAnsi="Arial" w:cs="Arial"/>
          <w:color w:val="000000"/>
          <w:sz w:val="28"/>
          <w:szCs w:val="28"/>
          <w:lang w:eastAsia="en-GB"/>
        </w:rPr>
        <w:t xml:space="preserve"> Edwige Taty</w:t>
      </w:r>
      <w:r w:rsidR="001B47BA">
        <w:rPr>
          <w:rFonts w:ascii="Arial" w:eastAsia="Times New Roman" w:hAnsi="Arial" w:cs="Arial"/>
          <w:color w:val="000000"/>
          <w:sz w:val="28"/>
          <w:szCs w:val="28"/>
          <w:lang w:eastAsia="en-GB"/>
        </w:rPr>
        <w:t>-Bitemo</w:t>
      </w:r>
    </w:p>
    <w:p w14:paraId="5DD55C4F" w14:textId="25B7B846" w:rsidR="0095467F" w:rsidRPr="00000470" w:rsidRDefault="0095467F" w:rsidP="0095467F">
      <w:pPr>
        <w:jc w:val="center"/>
        <w:rPr>
          <w:rFonts w:ascii="Arial" w:eastAsia="Times New Roman" w:hAnsi="Arial" w:cs="Arial"/>
          <w:b/>
          <w:bCs/>
          <w:color w:val="000000"/>
          <w:sz w:val="28"/>
          <w:szCs w:val="28"/>
          <w:lang w:eastAsia="en-GB"/>
        </w:rPr>
      </w:pPr>
      <w:r w:rsidRPr="00000470">
        <w:rPr>
          <w:rFonts w:ascii="Arial" w:eastAsia="Times New Roman" w:hAnsi="Arial" w:cs="Arial"/>
          <w:b/>
          <w:bCs/>
          <w:color w:val="000000"/>
          <w:sz w:val="28"/>
          <w:szCs w:val="28"/>
          <w:lang w:eastAsia="en-GB"/>
        </w:rPr>
        <w:t>Student Number:</w:t>
      </w:r>
      <w:r w:rsidR="001B47BA">
        <w:rPr>
          <w:rFonts w:ascii="Arial" w:eastAsia="Times New Roman" w:hAnsi="Arial" w:cs="Arial"/>
          <w:b/>
          <w:bCs/>
          <w:color w:val="000000"/>
          <w:sz w:val="28"/>
          <w:szCs w:val="28"/>
          <w:lang w:eastAsia="en-GB"/>
        </w:rPr>
        <w:t xml:space="preserve"> 2511480</w:t>
      </w:r>
    </w:p>
    <w:p w14:paraId="748D9613" w14:textId="77777777" w:rsidR="0095467F" w:rsidRPr="00000470" w:rsidRDefault="0095467F" w:rsidP="0095467F">
      <w:pPr>
        <w:jc w:val="center"/>
        <w:rPr>
          <w:rFonts w:ascii="Arial" w:eastAsia="Times New Roman" w:hAnsi="Arial" w:cs="Arial"/>
          <w:color w:val="000000"/>
          <w:sz w:val="22"/>
          <w:lang w:eastAsia="en-GB"/>
        </w:rPr>
      </w:pPr>
    </w:p>
    <w:p w14:paraId="7241B8CF" w14:textId="17B1847F" w:rsidR="0095467F" w:rsidRPr="00000470" w:rsidRDefault="0095467F" w:rsidP="00000470">
      <w:pPr>
        <w:jc w:val="center"/>
        <w:rPr>
          <w:rFonts w:ascii="Arial" w:eastAsia="Times New Roman" w:hAnsi="Arial" w:cs="Arial"/>
          <w:color w:val="000000"/>
          <w:sz w:val="28"/>
          <w:szCs w:val="28"/>
          <w:lang w:eastAsia="en-GB"/>
        </w:rPr>
      </w:pPr>
      <w:r w:rsidRPr="00000470">
        <w:rPr>
          <w:rFonts w:ascii="Arial" w:eastAsia="Times New Roman" w:hAnsi="Arial" w:cs="Arial"/>
          <w:b/>
          <w:bCs/>
          <w:color w:val="000000"/>
          <w:sz w:val="28"/>
          <w:szCs w:val="28"/>
          <w:lang w:eastAsia="en-GB"/>
        </w:rPr>
        <w:t>Module Code:</w:t>
      </w:r>
      <w:r w:rsidRPr="00000470">
        <w:rPr>
          <w:rFonts w:ascii="Arial" w:eastAsia="Times New Roman" w:hAnsi="Arial" w:cs="Arial"/>
          <w:color w:val="000000"/>
          <w:sz w:val="28"/>
          <w:szCs w:val="28"/>
          <w:lang w:eastAsia="en-GB"/>
        </w:rPr>
        <w:t xml:space="preserve"> BMHP5016</w:t>
      </w:r>
    </w:p>
    <w:p w14:paraId="43E8E84E" w14:textId="7994A0D8" w:rsidR="0095467F" w:rsidRPr="00000470" w:rsidRDefault="0095467F" w:rsidP="0095467F">
      <w:pPr>
        <w:jc w:val="center"/>
        <w:rPr>
          <w:rFonts w:ascii="Arial" w:eastAsia="Times New Roman" w:hAnsi="Arial" w:cs="Arial"/>
          <w:color w:val="000000"/>
          <w:sz w:val="28"/>
          <w:szCs w:val="28"/>
          <w:lang w:eastAsia="en-GB"/>
        </w:rPr>
      </w:pPr>
      <w:r w:rsidRPr="00000470">
        <w:rPr>
          <w:rFonts w:ascii="Arial" w:eastAsia="Times New Roman" w:hAnsi="Arial" w:cs="Arial"/>
          <w:b/>
          <w:bCs/>
          <w:color w:val="000000"/>
          <w:sz w:val="28"/>
          <w:szCs w:val="28"/>
          <w:lang w:eastAsia="en-GB"/>
        </w:rPr>
        <w:t>Module Title:</w:t>
      </w:r>
      <w:r w:rsidRPr="00000470">
        <w:rPr>
          <w:rFonts w:ascii="Arial" w:eastAsia="Times New Roman" w:hAnsi="Arial" w:cs="Arial"/>
          <w:color w:val="000000"/>
          <w:sz w:val="28"/>
          <w:szCs w:val="28"/>
          <w:lang w:eastAsia="en-GB"/>
        </w:rPr>
        <w:t xml:space="preserve"> Principles of Health and Social Care Practice</w:t>
      </w:r>
    </w:p>
    <w:p w14:paraId="76A8229C" w14:textId="77777777" w:rsidR="0095467F" w:rsidRPr="00000470" w:rsidRDefault="0095467F" w:rsidP="0095467F">
      <w:pPr>
        <w:jc w:val="center"/>
        <w:rPr>
          <w:rFonts w:ascii="Arial" w:eastAsia="Times New Roman" w:hAnsi="Arial" w:cs="Arial"/>
          <w:color w:val="000000"/>
          <w:sz w:val="22"/>
          <w:lang w:eastAsia="en-GB"/>
        </w:rPr>
      </w:pPr>
    </w:p>
    <w:p w14:paraId="4F7E7480" w14:textId="77777777" w:rsidR="00000470" w:rsidRPr="00000470" w:rsidRDefault="00000470" w:rsidP="0095467F">
      <w:pPr>
        <w:jc w:val="center"/>
        <w:rPr>
          <w:rFonts w:ascii="Arial" w:eastAsia="Times New Roman" w:hAnsi="Arial" w:cs="Arial"/>
          <w:color w:val="000000"/>
          <w:sz w:val="22"/>
          <w:lang w:eastAsia="en-GB"/>
        </w:rPr>
      </w:pPr>
    </w:p>
    <w:p w14:paraId="176A4801" w14:textId="07034904" w:rsidR="0095467F" w:rsidRPr="00000470" w:rsidRDefault="0095467F" w:rsidP="00000470">
      <w:pPr>
        <w:pStyle w:val="Title"/>
        <w:rPr>
          <w:rFonts w:ascii="Arial" w:hAnsi="Arial" w:cs="Arial"/>
          <w:lang w:eastAsia="en-GB"/>
        </w:rPr>
      </w:pPr>
      <w:r w:rsidRPr="00000470">
        <w:rPr>
          <w:rFonts w:ascii="Arial" w:hAnsi="Arial" w:cs="Arial"/>
          <w:bCs/>
          <w:lang w:eastAsia="en-GB"/>
        </w:rPr>
        <w:t>Assignment Title:</w:t>
      </w:r>
      <w:r w:rsidRPr="00000470">
        <w:rPr>
          <w:rFonts w:ascii="Arial" w:hAnsi="Arial" w:cs="Arial"/>
          <w:lang w:eastAsia="en-GB"/>
        </w:rPr>
        <w:t xml:space="preserve"> Component 1: Written Assignment (Reflective Report)</w:t>
      </w:r>
    </w:p>
    <w:p w14:paraId="6A12967B" w14:textId="77777777" w:rsidR="0095467F" w:rsidRPr="00000470" w:rsidRDefault="0095467F" w:rsidP="0095467F">
      <w:pPr>
        <w:jc w:val="center"/>
        <w:rPr>
          <w:rFonts w:ascii="Arial" w:eastAsia="Times New Roman" w:hAnsi="Arial" w:cs="Arial"/>
          <w:color w:val="000000"/>
          <w:sz w:val="22"/>
          <w:lang w:eastAsia="en-GB"/>
        </w:rPr>
      </w:pPr>
    </w:p>
    <w:p w14:paraId="0A8903E2" w14:textId="77777777" w:rsidR="00000470" w:rsidRPr="00000470" w:rsidRDefault="00000470" w:rsidP="0095467F">
      <w:pPr>
        <w:jc w:val="center"/>
        <w:rPr>
          <w:rFonts w:ascii="Arial" w:eastAsia="Times New Roman" w:hAnsi="Arial" w:cs="Arial"/>
          <w:color w:val="000000"/>
          <w:sz w:val="22"/>
          <w:lang w:eastAsia="en-GB"/>
        </w:rPr>
      </w:pPr>
    </w:p>
    <w:p w14:paraId="0DA60FB8" w14:textId="77777777" w:rsidR="00000470" w:rsidRPr="00000470" w:rsidRDefault="00000470" w:rsidP="0095467F">
      <w:pPr>
        <w:jc w:val="center"/>
        <w:rPr>
          <w:rFonts w:ascii="Arial" w:eastAsia="Times New Roman" w:hAnsi="Arial" w:cs="Arial"/>
          <w:color w:val="000000"/>
          <w:sz w:val="22"/>
          <w:lang w:eastAsia="en-GB"/>
        </w:rPr>
      </w:pPr>
    </w:p>
    <w:p w14:paraId="73CA1983" w14:textId="77777777" w:rsidR="00000470" w:rsidRPr="00000470" w:rsidRDefault="00000470" w:rsidP="0095467F">
      <w:pPr>
        <w:jc w:val="center"/>
        <w:rPr>
          <w:rFonts w:ascii="Arial" w:eastAsia="Times New Roman" w:hAnsi="Arial" w:cs="Arial"/>
          <w:color w:val="000000"/>
          <w:sz w:val="22"/>
          <w:lang w:eastAsia="en-GB"/>
        </w:rPr>
      </w:pPr>
    </w:p>
    <w:p w14:paraId="1039FC16" w14:textId="77777777" w:rsidR="00000470" w:rsidRPr="00000470" w:rsidRDefault="00000470" w:rsidP="0095467F">
      <w:pPr>
        <w:jc w:val="center"/>
        <w:rPr>
          <w:rFonts w:ascii="Arial" w:eastAsia="Times New Roman" w:hAnsi="Arial" w:cs="Arial"/>
          <w:color w:val="000000"/>
          <w:sz w:val="22"/>
          <w:lang w:eastAsia="en-GB"/>
        </w:rPr>
      </w:pPr>
    </w:p>
    <w:p w14:paraId="61BCDC5B" w14:textId="77777777" w:rsidR="00000470" w:rsidRPr="00000470" w:rsidRDefault="00000470" w:rsidP="0095467F">
      <w:pPr>
        <w:jc w:val="center"/>
        <w:rPr>
          <w:rFonts w:ascii="Arial" w:eastAsia="Times New Roman" w:hAnsi="Arial" w:cs="Arial"/>
          <w:color w:val="000000"/>
          <w:sz w:val="22"/>
          <w:lang w:eastAsia="en-GB"/>
        </w:rPr>
      </w:pPr>
    </w:p>
    <w:p w14:paraId="703489DD" w14:textId="6650FDAB" w:rsidR="00723235" w:rsidRPr="00000470" w:rsidRDefault="0095467F" w:rsidP="0095467F">
      <w:pPr>
        <w:jc w:val="center"/>
        <w:rPr>
          <w:rFonts w:ascii="Arial" w:eastAsia="Times New Roman" w:hAnsi="Arial" w:cs="Arial"/>
          <w:color w:val="000000"/>
          <w:sz w:val="22"/>
          <w:lang w:eastAsia="en-GB"/>
        </w:rPr>
      </w:pPr>
      <w:r w:rsidRPr="00000470">
        <w:rPr>
          <w:rFonts w:ascii="Arial" w:eastAsia="Times New Roman" w:hAnsi="Arial" w:cs="Arial"/>
          <w:b/>
          <w:bCs/>
          <w:color w:val="000000"/>
          <w:sz w:val="22"/>
          <w:lang w:eastAsia="en-GB"/>
        </w:rPr>
        <w:t>Word Count:</w:t>
      </w:r>
      <w:r w:rsidRPr="00000470">
        <w:rPr>
          <w:rFonts w:ascii="Arial" w:eastAsia="Times New Roman" w:hAnsi="Arial" w:cs="Arial"/>
          <w:color w:val="000000"/>
          <w:sz w:val="22"/>
          <w:lang w:eastAsia="en-GB"/>
        </w:rPr>
        <w:t xml:space="preserve"> 2184</w:t>
      </w:r>
      <w:r w:rsidR="00723235" w:rsidRPr="00000470">
        <w:rPr>
          <w:rFonts w:ascii="Arial" w:eastAsia="Times New Roman" w:hAnsi="Arial" w:cs="Arial"/>
          <w:color w:val="000000"/>
          <w:sz w:val="22"/>
          <w:lang w:eastAsia="en-GB"/>
        </w:rPr>
        <w:br w:type="page"/>
      </w:r>
    </w:p>
    <w:sdt>
      <w:sdtPr>
        <w:rPr>
          <w:rFonts w:ascii="Arial" w:hAnsi="Arial" w:cs="Arial"/>
          <w:b/>
          <w:bCs/>
          <w:sz w:val="28"/>
          <w:szCs w:val="28"/>
        </w:rPr>
        <w:id w:val="-1302691216"/>
        <w:docPartObj>
          <w:docPartGallery w:val="Table of Contents"/>
          <w:docPartUnique/>
        </w:docPartObj>
      </w:sdtPr>
      <w:sdtEndPr>
        <w:rPr>
          <w:sz w:val="22"/>
          <w:szCs w:val="22"/>
        </w:rPr>
      </w:sdtEndPr>
      <w:sdtContent>
        <w:p w14:paraId="489EDAE7" w14:textId="226B0B7E" w:rsidR="00723235" w:rsidRPr="00000470" w:rsidRDefault="00723235" w:rsidP="00723235">
          <w:pPr>
            <w:jc w:val="center"/>
            <w:rPr>
              <w:rFonts w:ascii="Arial" w:hAnsi="Arial" w:cs="Arial"/>
              <w:b/>
              <w:bCs/>
              <w:sz w:val="28"/>
              <w:szCs w:val="28"/>
            </w:rPr>
          </w:pPr>
          <w:r w:rsidRPr="00000470">
            <w:rPr>
              <w:rFonts w:ascii="Arial" w:hAnsi="Arial" w:cs="Arial"/>
              <w:b/>
              <w:bCs/>
              <w:sz w:val="28"/>
              <w:szCs w:val="28"/>
            </w:rPr>
            <w:t>Table of Contents</w:t>
          </w:r>
        </w:p>
        <w:p w14:paraId="725752D5" w14:textId="5B17D847" w:rsidR="00723235" w:rsidRPr="00000470" w:rsidRDefault="00723235">
          <w:pPr>
            <w:pStyle w:val="TOC1"/>
            <w:tabs>
              <w:tab w:val="right" w:leader="dot" w:pos="9016"/>
            </w:tabs>
            <w:rPr>
              <w:rFonts w:ascii="Arial" w:hAnsi="Arial" w:cs="Arial"/>
              <w:noProof/>
              <w:sz w:val="22"/>
            </w:rPr>
          </w:pPr>
          <w:r w:rsidRPr="00000470">
            <w:rPr>
              <w:rFonts w:ascii="Arial" w:hAnsi="Arial" w:cs="Arial"/>
              <w:sz w:val="22"/>
            </w:rPr>
            <w:fldChar w:fldCharType="begin"/>
          </w:r>
          <w:r w:rsidRPr="00000470">
            <w:rPr>
              <w:rFonts w:ascii="Arial" w:hAnsi="Arial" w:cs="Arial"/>
              <w:sz w:val="22"/>
            </w:rPr>
            <w:instrText xml:space="preserve"> TOC \o "1-3" \h \z \u </w:instrText>
          </w:r>
          <w:r w:rsidRPr="00000470">
            <w:rPr>
              <w:rFonts w:ascii="Arial" w:hAnsi="Arial" w:cs="Arial"/>
              <w:sz w:val="22"/>
            </w:rPr>
            <w:fldChar w:fldCharType="separate"/>
          </w:r>
          <w:hyperlink w:anchor="_Toc240833506" w:history="1">
            <w:r w:rsidRPr="00000470">
              <w:rPr>
                <w:rStyle w:val="Hyperlink"/>
                <w:rFonts w:ascii="Arial" w:hAnsi="Arial" w:cs="Arial"/>
                <w:noProof/>
                <w:sz w:val="22"/>
                <w:lang w:eastAsia="en-GB"/>
              </w:rPr>
              <w:t>1. Introduction</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_Toc240833506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3</w:t>
            </w:r>
            <w:r w:rsidRPr="00000470">
              <w:rPr>
                <w:rFonts w:ascii="Arial" w:hAnsi="Arial" w:cs="Arial"/>
                <w:noProof/>
                <w:webHidden/>
                <w:sz w:val="22"/>
              </w:rPr>
              <w:fldChar w:fldCharType="end"/>
            </w:r>
          </w:hyperlink>
        </w:p>
        <w:p w14:paraId="1B11A21A" w14:textId="39CA9E3D" w:rsidR="00723235" w:rsidRPr="00000470" w:rsidRDefault="00723235">
          <w:pPr>
            <w:pStyle w:val="TOC1"/>
            <w:tabs>
              <w:tab w:val="right" w:leader="dot" w:pos="9016"/>
            </w:tabs>
            <w:rPr>
              <w:rFonts w:ascii="Arial" w:hAnsi="Arial" w:cs="Arial"/>
              <w:noProof/>
              <w:sz w:val="22"/>
            </w:rPr>
          </w:pPr>
          <w:hyperlink w:anchor="_Toc240833507" w:history="1">
            <w:r w:rsidRPr="00000470">
              <w:rPr>
                <w:rStyle w:val="Hyperlink"/>
                <w:rFonts w:ascii="Arial" w:hAnsi="Arial" w:cs="Arial"/>
                <w:noProof/>
                <w:sz w:val="22"/>
                <w:lang w:eastAsia="en-GB"/>
              </w:rPr>
              <w:t>2. Reflection on Importance of Principles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_Toc240833507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3</w:t>
            </w:r>
            <w:r w:rsidRPr="00000470">
              <w:rPr>
                <w:rFonts w:ascii="Arial" w:hAnsi="Arial" w:cs="Arial"/>
                <w:noProof/>
                <w:webHidden/>
                <w:sz w:val="22"/>
              </w:rPr>
              <w:fldChar w:fldCharType="end"/>
            </w:r>
          </w:hyperlink>
        </w:p>
        <w:p w14:paraId="0E848881" w14:textId="0A94B28D" w:rsidR="00723235" w:rsidRPr="00000470" w:rsidRDefault="00723235">
          <w:pPr>
            <w:pStyle w:val="TOC2"/>
            <w:tabs>
              <w:tab w:val="right" w:leader="dot" w:pos="9016"/>
            </w:tabs>
            <w:rPr>
              <w:rFonts w:ascii="Arial" w:hAnsi="Arial" w:cs="Arial"/>
              <w:noProof/>
              <w:sz w:val="22"/>
            </w:rPr>
          </w:pPr>
          <w:hyperlink w:anchor="_Toc240833508" w:history="1">
            <w:r w:rsidRPr="00000470">
              <w:rPr>
                <w:rStyle w:val="Hyperlink"/>
                <w:rFonts w:ascii="Arial" w:hAnsi="Arial" w:cs="Arial"/>
                <w:noProof/>
                <w:sz w:val="22"/>
                <w:lang w:eastAsia="en-GB"/>
              </w:rPr>
              <w:t>2.1 Explanation of three principles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_Toc240833508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3</w:t>
            </w:r>
            <w:r w:rsidRPr="00000470">
              <w:rPr>
                <w:rFonts w:ascii="Arial" w:hAnsi="Arial" w:cs="Arial"/>
                <w:noProof/>
                <w:webHidden/>
                <w:sz w:val="22"/>
              </w:rPr>
              <w:fldChar w:fldCharType="end"/>
            </w:r>
          </w:hyperlink>
        </w:p>
        <w:p w14:paraId="0D75742A" w14:textId="6197793D" w:rsidR="00723235" w:rsidRPr="00000470" w:rsidRDefault="00723235">
          <w:pPr>
            <w:pStyle w:val="TOC2"/>
            <w:tabs>
              <w:tab w:val="right" w:leader="dot" w:pos="9016"/>
            </w:tabs>
            <w:rPr>
              <w:rFonts w:ascii="Arial" w:hAnsi="Arial" w:cs="Arial"/>
              <w:noProof/>
              <w:sz w:val="22"/>
            </w:rPr>
          </w:pPr>
          <w:hyperlink w:anchor="_Toc240833509" w:history="1">
            <w:r w:rsidRPr="00000470">
              <w:rPr>
                <w:rStyle w:val="Hyperlink"/>
                <w:rFonts w:ascii="Arial" w:hAnsi="Arial" w:cs="Arial"/>
                <w:noProof/>
                <w:sz w:val="22"/>
                <w:lang w:eastAsia="en-GB"/>
              </w:rPr>
              <w:t>2.2 Significance to health and social care practice</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_Toc240833509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3</w:t>
            </w:r>
            <w:r w:rsidRPr="00000470">
              <w:rPr>
                <w:rFonts w:ascii="Arial" w:hAnsi="Arial" w:cs="Arial"/>
                <w:noProof/>
                <w:webHidden/>
                <w:sz w:val="22"/>
              </w:rPr>
              <w:fldChar w:fldCharType="end"/>
            </w:r>
          </w:hyperlink>
        </w:p>
        <w:p w14:paraId="6DF624AE" w14:textId="73CCD878" w:rsidR="00723235" w:rsidRPr="00000470" w:rsidRDefault="00723235">
          <w:pPr>
            <w:pStyle w:val="TOC2"/>
            <w:tabs>
              <w:tab w:val="right" w:leader="dot" w:pos="9016"/>
            </w:tabs>
            <w:rPr>
              <w:rFonts w:ascii="Arial" w:hAnsi="Arial" w:cs="Arial"/>
              <w:noProof/>
              <w:sz w:val="22"/>
            </w:rPr>
          </w:pPr>
          <w:hyperlink w:anchor="_Toc240833510" w:history="1">
            <w:r w:rsidRPr="00000470">
              <w:rPr>
                <w:rStyle w:val="Hyperlink"/>
                <w:rFonts w:ascii="Arial" w:hAnsi="Arial" w:cs="Arial"/>
                <w:noProof/>
                <w:sz w:val="22"/>
                <w:lang w:eastAsia="en-GB"/>
              </w:rPr>
              <w:t>2.3 Benefits and challenges in implementation</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_Toc240833510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4</w:t>
            </w:r>
            <w:r w:rsidRPr="00000470">
              <w:rPr>
                <w:rFonts w:ascii="Arial" w:hAnsi="Arial" w:cs="Arial"/>
                <w:noProof/>
                <w:webHidden/>
                <w:sz w:val="22"/>
              </w:rPr>
              <w:fldChar w:fldCharType="end"/>
            </w:r>
          </w:hyperlink>
        </w:p>
        <w:p w14:paraId="16EA149C" w14:textId="599DFD3D" w:rsidR="00723235" w:rsidRPr="00000470" w:rsidRDefault="00723235">
          <w:pPr>
            <w:pStyle w:val="TOC2"/>
            <w:tabs>
              <w:tab w:val="right" w:leader="dot" w:pos="9016"/>
            </w:tabs>
            <w:rPr>
              <w:rFonts w:ascii="Arial" w:hAnsi="Arial" w:cs="Arial"/>
              <w:noProof/>
              <w:sz w:val="22"/>
            </w:rPr>
          </w:pPr>
          <w:hyperlink w:anchor="_Toc240833511" w:history="1">
            <w:r w:rsidRPr="00000470">
              <w:rPr>
                <w:rStyle w:val="Hyperlink"/>
                <w:rFonts w:ascii="Arial" w:hAnsi="Arial" w:cs="Arial"/>
                <w:noProof/>
                <w:sz w:val="22"/>
                <w:lang w:eastAsia="en-GB"/>
              </w:rPr>
              <w:t>2.4 Alignment of the principles with the theories and policies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_Toc240833511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4</w:t>
            </w:r>
            <w:r w:rsidRPr="00000470">
              <w:rPr>
                <w:rFonts w:ascii="Arial" w:hAnsi="Arial" w:cs="Arial"/>
                <w:noProof/>
                <w:webHidden/>
                <w:sz w:val="22"/>
              </w:rPr>
              <w:fldChar w:fldCharType="end"/>
            </w:r>
          </w:hyperlink>
        </w:p>
        <w:p w14:paraId="2D255FA4" w14:textId="7A5ED37D" w:rsidR="00723235" w:rsidRPr="00000470" w:rsidRDefault="00723235">
          <w:pPr>
            <w:pStyle w:val="TOC1"/>
            <w:tabs>
              <w:tab w:val="right" w:leader="dot" w:pos="9016"/>
            </w:tabs>
            <w:rPr>
              <w:rFonts w:ascii="Arial" w:hAnsi="Arial" w:cs="Arial"/>
              <w:noProof/>
              <w:sz w:val="22"/>
            </w:rPr>
          </w:pPr>
          <w:hyperlink w:anchor="_Toc240833512" w:history="1">
            <w:r w:rsidRPr="00000470">
              <w:rPr>
                <w:rStyle w:val="Hyperlink"/>
                <w:rFonts w:ascii="Arial" w:hAnsi="Arial" w:cs="Arial"/>
                <w:noProof/>
                <w:sz w:val="22"/>
                <w:lang w:eastAsia="en-GB"/>
              </w:rPr>
              <w:t>3. Practical Example in Practice</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_Toc240833512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5</w:t>
            </w:r>
            <w:r w:rsidRPr="00000470">
              <w:rPr>
                <w:rFonts w:ascii="Arial" w:hAnsi="Arial" w:cs="Arial"/>
                <w:noProof/>
                <w:webHidden/>
                <w:sz w:val="22"/>
              </w:rPr>
              <w:fldChar w:fldCharType="end"/>
            </w:r>
          </w:hyperlink>
        </w:p>
        <w:p w14:paraId="0DD2EE8C" w14:textId="2AFBFD00" w:rsidR="00723235" w:rsidRPr="00000470" w:rsidRDefault="00723235">
          <w:pPr>
            <w:pStyle w:val="TOC2"/>
            <w:tabs>
              <w:tab w:val="right" w:leader="dot" w:pos="9016"/>
            </w:tabs>
            <w:rPr>
              <w:rFonts w:ascii="Arial" w:hAnsi="Arial" w:cs="Arial"/>
              <w:noProof/>
              <w:sz w:val="22"/>
            </w:rPr>
          </w:pPr>
          <w:hyperlink w:anchor="_Toc240833513" w:history="1">
            <w:r w:rsidRPr="00000470">
              <w:rPr>
                <w:rStyle w:val="Hyperlink"/>
                <w:rFonts w:ascii="Arial" w:hAnsi="Arial" w:cs="Arial"/>
                <w:noProof/>
                <w:sz w:val="22"/>
                <w:lang w:eastAsia="en-GB"/>
              </w:rPr>
              <w:t>3.1 Application of the principles on the case of Mrs. C</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_Toc240833513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5</w:t>
            </w:r>
            <w:r w:rsidRPr="00000470">
              <w:rPr>
                <w:rFonts w:ascii="Arial" w:hAnsi="Arial" w:cs="Arial"/>
                <w:noProof/>
                <w:webHidden/>
                <w:sz w:val="22"/>
              </w:rPr>
              <w:fldChar w:fldCharType="end"/>
            </w:r>
          </w:hyperlink>
        </w:p>
        <w:p w14:paraId="70162DC6" w14:textId="5E9A5E5C" w:rsidR="00723235" w:rsidRPr="00000470" w:rsidRDefault="00723235">
          <w:pPr>
            <w:pStyle w:val="TOC2"/>
            <w:tabs>
              <w:tab w:val="right" w:leader="dot" w:pos="9016"/>
            </w:tabs>
            <w:rPr>
              <w:rFonts w:ascii="Arial" w:hAnsi="Arial" w:cs="Arial"/>
              <w:noProof/>
              <w:sz w:val="22"/>
            </w:rPr>
          </w:pPr>
          <w:hyperlink w:anchor="_Toc240833514" w:history="1">
            <w:r w:rsidRPr="00000470">
              <w:rPr>
                <w:rStyle w:val="Hyperlink"/>
                <w:rFonts w:ascii="Arial" w:hAnsi="Arial" w:cs="Arial"/>
                <w:noProof/>
                <w:sz w:val="22"/>
                <w:lang w:eastAsia="en-GB"/>
              </w:rPr>
              <w:t>3.2 Impact of the principles on service users and professionals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_Toc240833514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5</w:t>
            </w:r>
            <w:r w:rsidRPr="00000470">
              <w:rPr>
                <w:rFonts w:ascii="Arial" w:hAnsi="Arial" w:cs="Arial"/>
                <w:noProof/>
                <w:webHidden/>
                <w:sz w:val="22"/>
              </w:rPr>
              <w:fldChar w:fldCharType="end"/>
            </w:r>
          </w:hyperlink>
        </w:p>
        <w:p w14:paraId="1DE6F89F" w14:textId="4C4D15F2" w:rsidR="00723235" w:rsidRPr="00000470" w:rsidRDefault="00723235">
          <w:pPr>
            <w:pStyle w:val="TOC2"/>
            <w:tabs>
              <w:tab w:val="right" w:leader="dot" w:pos="9016"/>
            </w:tabs>
            <w:rPr>
              <w:rFonts w:ascii="Arial" w:hAnsi="Arial" w:cs="Arial"/>
              <w:noProof/>
              <w:sz w:val="22"/>
            </w:rPr>
          </w:pPr>
          <w:hyperlink w:anchor="_Toc240833515" w:history="1">
            <w:r w:rsidRPr="00000470">
              <w:rPr>
                <w:rStyle w:val="Hyperlink"/>
                <w:rFonts w:ascii="Arial" w:hAnsi="Arial" w:cs="Arial"/>
                <w:noProof/>
                <w:sz w:val="22"/>
                <w:lang w:eastAsia="en-GB"/>
              </w:rPr>
              <w:t>3.3 Challenges and mitigation plan</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_Toc240833515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5</w:t>
            </w:r>
            <w:r w:rsidRPr="00000470">
              <w:rPr>
                <w:rFonts w:ascii="Arial" w:hAnsi="Arial" w:cs="Arial"/>
                <w:noProof/>
                <w:webHidden/>
                <w:sz w:val="22"/>
              </w:rPr>
              <w:fldChar w:fldCharType="end"/>
            </w:r>
          </w:hyperlink>
        </w:p>
        <w:p w14:paraId="40DCB09F" w14:textId="4394D56E" w:rsidR="00723235" w:rsidRPr="00000470" w:rsidRDefault="00723235">
          <w:pPr>
            <w:pStyle w:val="TOC2"/>
            <w:tabs>
              <w:tab w:val="right" w:leader="dot" w:pos="9016"/>
            </w:tabs>
            <w:rPr>
              <w:rFonts w:ascii="Arial" w:hAnsi="Arial" w:cs="Arial"/>
              <w:noProof/>
              <w:sz w:val="22"/>
            </w:rPr>
          </w:pPr>
          <w:hyperlink w:anchor="_Toc240833516" w:history="1">
            <w:r w:rsidRPr="00000470">
              <w:rPr>
                <w:rStyle w:val="Hyperlink"/>
                <w:rFonts w:ascii="Arial" w:hAnsi="Arial" w:cs="Arial"/>
                <w:noProof/>
                <w:sz w:val="22"/>
                <w:lang w:eastAsia="en-GB"/>
              </w:rPr>
              <w:t>3.4 Evidence of policies and guidelines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_Toc240833516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6</w:t>
            </w:r>
            <w:r w:rsidRPr="00000470">
              <w:rPr>
                <w:rFonts w:ascii="Arial" w:hAnsi="Arial" w:cs="Arial"/>
                <w:noProof/>
                <w:webHidden/>
                <w:sz w:val="22"/>
              </w:rPr>
              <w:fldChar w:fldCharType="end"/>
            </w:r>
          </w:hyperlink>
        </w:p>
        <w:p w14:paraId="6D709AD3" w14:textId="2BEC83E1" w:rsidR="00723235" w:rsidRPr="00000470" w:rsidRDefault="00723235">
          <w:pPr>
            <w:pStyle w:val="TOC1"/>
            <w:tabs>
              <w:tab w:val="right" w:leader="dot" w:pos="9016"/>
            </w:tabs>
            <w:rPr>
              <w:rFonts w:ascii="Arial" w:hAnsi="Arial" w:cs="Arial"/>
              <w:noProof/>
              <w:sz w:val="22"/>
            </w:rPr>
          </w:pPr>
          <w:hyperlink w:anchor="_Toc240833517" w:history="1">
            <w:r w:rsidRPr="00000470">
              <w:rPr>
                <w:rStyle w:val="Hyperlink"/>
                <w:rFonts w:ascii="Arial" w:hAnsi="Arial" w:cs="Arial"/>
                <w:noProof/>
                <w:sz w:val="22"/>
                <w:lang w:eastAsia="en-GB"/>
              </w:rPr>
              <w:t>4. Self-Reflection</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_Toc240833517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6</w:t>
            </w:r>
            <w:r w:rsidRPr="00000470">
              <w:rPr>
                <w:rFonts w:ascii="Arial" w:hAnsi="Arial" w:cs="Arial"/>
                <w:noProof/>
                <w:webHidden/>
                <w:sz w:val="22"/>
              </w:rPr>
              <w:fldChar w:fldCharType="end"/>
            </w:r>
          </w:hyperlink>
        </w:p>
        <w:p w14:paraId="13F09368" w14:textId="37CA4C4C" w:rsidR="00723235" w:rsidRPr="00000470" w:rsidRDefault="00723235">
          <w:pPr>
            <w:pStyle w:val="TOC2"/>
            <w:tabs>
              <w:tab w:val="right" w:leader="dot" w:pos="9016"/>
            </w:tabs>
            <w:rPr>
              <w:rFonts w:ascii="Arial" w:hAnsi="Arial" w:cs="Arial"/>
              <w:noProof/>
              <w:sz w:val="22"/>
            </w:rPr>
          </w:pPr>
          <w:hyperlink w:anchor="_Toc240833518" w:history="1">
            <w:r w:rsidRPr="00000470">
              <w:rPr>
                <w:rStyle w:val="Hyperlink"/>
                <w:rFonts w:ascii="Arial" w:hAnsi="Arial" w:cs="Arial"/>
                <w:noProof/>
                <w:sz w:val="22"/>
                <w:lang w:eastAsia="en-GB"/>
              </w:rPr>
              <w:t>4.1 Application of the principles in practice</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_Toc240833518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6</w:t>
            </w:r>
            <w:r w:rsidRPr="00000470">
              <w:rPr>
                <w:rFonts w:ascii="Arial" w:hAnsi="Arial" w:cs="Arial"/>
                <w:noProof/>
                <w:webHidden/>
                <w:sz w:val="22"/>
              </w:rPr>
              <w:fldChar w:fldCharType="end"/>
            </w:r>
          </w:hyperlink>
        </w:p>
        <w:p w14:paraId="0F53AEE9" w14:textId="65A45CB3" w:rsidR="00723235" w:rsidRPr="00000470" w:rsidRDefault="00723235">
          <w:pPr>
            <w:pStyle w:val="TOC2"/>
            <w:tabs>
              <w:tab w:val="right" w:leader="dot" w:pos="9016"/>
            </w:tabs>
            <w:rPr>
              <w:rFonts w:ascii="Arial" w:hAnsi="Arial" w:cs="Arial"/>
              <w:noProof/>
              <w:sz w:val="22"/>
            </w:rPr>
          </w:pPr>
          <w:hyperlink w:anchor="_Toc240833519" w:history="1">
            <w:r w:rsidRPr="00000470">
              <w:rPr>
                <w:rStyle w:val="Hyperlink"/>
                <w:rFonts w:ascii="Arial" w:hAnsi="Arial" w:cs="Arial"/>
                <w:noProof/>
                <w:sz w:val="22"/>
                <w:lang w:eastAsia="en-GB"/>
              </w:rPr>
              <w:t>4.2 Strengths and areas for improvement based on real work-based examples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_Toc240833519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7</w:t>
            </w:r>
            <w:r w:rsidRPr="00000470">
              <w:rPr>
                <w:rFonts w:ascii="Arial" w:hAnsi="Arial" w:cs="Arial"/>
                <w:noProof/>
                <w:webHidden/>
                <w:sz w:val="22"/>
              </w:rPr>
              <w:fldChar w:fldCharType="end"/>
            </w:r>
          </w:hyperlink>
        </w:p>
        <w:p w14:paraId="1869E7FB" w14:textId="2AA9B9B0" w:rsidR="00723235" w:rsidRPr="00000470" w:rsidRDefault="00723235">
          <w:pPr>
            <w:pStyle w:val="TOC2"/>
            <w:tabs>
              <w:tab w:val="right" w:leader="dot" w:pos="9016"/>
            </w:tabs>
            <w:rPr>
              <w:rFonts w:ascii="Arial" w:hAnsi="Arial" w:cs="Arial"/>
              <w:noProof/>
              <w:sz w:val="22"/>
            </w:rPr>
          </w:pPr>
          <w:hyperlink w:anchor="_Toc240833520" w:history="1">
            <w:r w:rsidRPr="00000470">
              <w:rPr>
                <w:rStyle w:val="Hyperlink"/>
                <w:rFonts w:ascii="Arial" w:hAnsi="Arial" w:cs="Arial"/>
                <w:noProof/>
                <w:sz w:val="22"/>
                <w:lang w:eastAsia="en-GB"/>
              </w:rPr>
              <w:t>4.3 Reflection on personal experiences demonstrating the principles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_Toc240833520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7</w:t>
            </w:r>
            <w:r w:rsidRPr="00000470">
              <w:rPr>
                <w:rFonts w:ascii="Arial" w:hAnsi="Arial" w:cs="Arial"/>
                <w:noProof/>
                <w:webHidden/>
                <w:sz w:val="22"/>
              </w:rPr>
              <w:fldChar w:fldCharType="end"/>
            </w:r>
          </w:hyperlink>
        </w:p>
        <w:p w14:paraId="31F538AA" w14:textId="1A848A56" w:rsidR="00723235" w:rsidRPr="00000470" w:rsidRDefault="00723235">
          <w:pPr>
            <w:pStyle w:val="TOC2"/>
            <w:tabs>
              <w:tab w:val="right" w:leader="dot" w:pos="9016"/>
            </w:tabs>
            <w:rPr>
              <w:rFonts w:ascii="Arial" w:hAnsi="Arial" w:cs="Arial"/>
              <w:noProof/>
              <w:sz w:val="22"/>
            </w:rPr>
          </w:pPr>
          <w:hyperlink w:anchor="_Toc240833521" w:history="1">
            <w:r w:rsidRPr="00000470">
              <w:rPr>
                <w:rStyle w:val="Hyperlink"/>
                <w:rFonts w:ascii="Arial" w:hAnsi="Arial" w:cs="Arial"/>
                <w:noProof/>
                <w:sz w:val="22"/>
                <w:lang w:eastAsia="en-GB"/>
              </w:rPr>
              <w:t>4.4 Gibbs reflection cycle for innate understanding</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_Toc240833521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8</w:t>
            </w:r>
            <w:r w:rsidRPr="00000470">
              <w:rPr>
                <w:rFonts w:ascii="Arial" w:hAnsi="Arial" w:cs="Arial"/>
                <w:noProof/>
                <w:webHidden/>
                <w:sz w:val="22"/>
              </w:rPr>
              <w:fldChar w:fldCharType="end"/>
            </w:r>
          </w:hyperlink>
        </w:p>
        <w:p w14:paraId="278B993E" w14:textId="629BB1A7" w:rsidR="00723235" w:rsidRPr="00000470" w:rsidRDefault="00723235">
          <w:pPr>
            <w:pStyle w:val="TOC1"/>
            <w:tabs>
              <w:tab w:val="right" w:leader="dot" w:pos="9016"/>
            </w:tabs>
            <w:rPr>
              <w:rFonts w:ascii="Arial" w:hAnsi="Arial" w:cs="Arial"/>
              <w:noProof/>
              <w:sz w:val="22"/>
            </w:rPr>
          </w:pPr>
          <w:hyperlink w:anchor="_Toc240833522" w:history="1">
            <w:r w:rsidRPr="00000470">
              <w:rPr>
                <w:rStyle w:val="Hyperlink"/>
                <w:rFonts w:ascii="Arial" w:hAnsi="Arial" w:cs="Arial"/>
                <w:noProof/>
                <w:sz w:val="22"/>
                <w:lang w:eastAsia="en-GB"/>
              </w:rPr>
              <w:t>5. Conclusion</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_Toc240833522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9</w:t>
            </w:r>
            <w:r w:rsidRPr="00000470">
              <w:rPr>
                <w:rFonts w:ascii="Arial" w:hAnsi="Arial" w:cs="Arial"/>
                <w:noProof/>
                <w:webHidden/>
                <w:sz w:val="22"/>
              </w:rPr>
              <w:fldChar w:fldCharType="end"/>
            </w:r>
          </w:hyperlink>
        </w:p>
        <w:p w14:paraId="31829DF1" w14:textId="03D9E83B" w:rsidR="00723235" w:rsidRPr="00000470" w:rsidRDefault="00723235">
          <w:pPr>
            <w:pStyle w:val="TOC1"/>
            <w:tabs>
              <w:tab w:val="right" w:leader="dot" w:pos="9016"/>
            </w:tabs>
            <w:rPr>
              <w:rFonts w:ascii="Arial" w:hAnsi="Arial" w:cs="Arial"/>
              <w:noProof/>
              <w:sz w:val="22"/>
            </w:rPr>
          </w:pPr>
          <w:hyperlink w:anchor="_Toc240833523" w:history="1">
            <w:r w:rsidRPr="00000470">
              <w:rPr>
                <w:rStyle w:val="Hyperlink"/>
                <w:rFonts w:ascii="Arial" w:hAnsi="Arial" w:cs="Arial"/>
                <w:noProof/>
                <w:sz w:val="22"/>
                <w:lang w:eastAsia="en-GB"/>
              </w:rPr>
              <w:t>References</w:t>
            </w:r>
            <w:r w:rsidRPr="00000470">
              <w:rPr>
                <w:rFonts w:ascii="Arial" w:hAnsi="Arial" w:cs="Arial"/>
                <w:noProof/>
                <w:webHidden/>
                <w:sz w:val="22"/>
              </w:rPr>
              <w:tab/>
            </w:r>
            <w:r w:rsidRPr="00000470">
              <w:rPr>
                <w:rFonts w:ascii="Arial" w:hAnsi="Arial" w:cs="Arial"/>
                <w:noProof/>
                <w:webHidden/>
                <w:sz w:val="22"/>
              </w:rPr>
              <w:fldChar w:fldCharType="begin"/>
            </w:r>
            <w:r w:rsidRPr="00000470">
              <w:rPr>
                <w:rFonts w:ascii="Arial" w:hAnsi="Arial" w:cs="Arial"/>
                <w:noProof/>
                <w:webHidden/>
                <w:sz w:val="22"/>
              </w:rPr>
              <w:instrText xml:space="preserve"> PAGEREF _Toc240833523 \h </w:instrText>
            </w:r>
            <w:r w:rsidRPr="00000470">
              <w:rPr>
                <w:rFonts w:ascii="Arial" w:hAnsi="Arial" w:cs="Arial"/>
                <w:noProof/>
                <w:webHidden/>
                <w:sz w:val="22"/>
              </w:rPr>
            </w:r>
            <w:r w:rsidRPr="00000470">
              <w:rPr>
                <w:rFonts w:ascii="Arial" w:hAnsi="Arial" w:cs="Arial"/>
                <w:noProof/>
                <w:webHidden/>
                <w:sz w:val="22"/>
              </w:rPr>
              <w:fldChar w:fldCharType="separate"/>
            </w:r>
            <w:r w:rsidRPr="00000470">
              <w:rPr>
                <w:rFonts w:ascii="Arial" w:hAnsi="Arial" w:cs="Arial"/>
                <w:noProof/>
                <w:webHidden/>
                <w:sz w:val="22"/>
              </w:rPr>
              <w:t>10</w:t>
            </w:r>
            <w:r w:rsidRPr="00000470">
              <w:rPr>
                <w:rFonts w:ascii="Arial" w:hAnsi="Arial" w:cs="Arial"/>
                <w:noProof/>
                <w:webHidden/>
                <w:sz w:val="22"/>
              </w:rPr>
              <w:fldChar w:fldCharType="end"/>
            </w:r>
          </w:hyperlink>
        </w:p>
        <w:p w14:paraId="11409B00" w14:textId="59AECFE9" w:rsidR="00723235" w:rsidRPr="00000470" w:rsidRDefault="00723235">
          <w:pPr>
            <w:rPr>
              <w:rFonts w:ascii="Arial" w:hAnsi="Arial" w:cs="Arial"/>
            </w:rPr>
          </w:pPr>
          <w:r w:rsidRPr="00000470">
            <w:rPr>
              <w:rFonts w:ascii="Arial" w:hAnsi="Arial" w:cs="Arial"/>
              <w:b/>
              <w:bCs/>
              <w:sz w:val="22"/>
            </w:rPr>
            <w:fldChar w:fldCharType="end"/>
          </w:r>
        </w:p>
      </w:sdtContent>
    </w:sdt>
    <w:p w14:paraId="69E4A4BF" w14:textId="77777777" w:rsidR="00723235" w:rsidRPr="00000470" w:rsidRDefault="00723235">
      <w:pPr>
        <w:rPr>
          <w:rFonts w:ascii="Arial" w:eastAsia="Times New Roman" w:hAnsi="Arial" w:cs="Arial"/>
          <w:color w:val="000000"/>
          <w:sz w:val="22"/>
          <w:lang w:eastAsia="en-GB"/>
        </w:rPr>
      </w:pPr>
      <w:r w:rsidRPr="00000470">
        <w:rPr>
          <w:rFonts w:ascii="Arial" w:eastAsia="Times New Roman" w:hAnsi="Arial" w:cs="Arial"/>
          <w:color w:val="000000"/>
          <w:sz w:val="22"/>
          <w:lang w:eastAsia="en-GB"/>
        </w:rPr>
        <w:br w:type="page"/>
      </w:r>
    </w:p>
    <w:p w14:paraId="755A7D25" w14:textId="62849A2F" w:rsidR="0095467F" w:rsidRPr="00000470" w:rsidRDefault="0095467F" w:rsidP="0095467F">
      <w:pPr>
        <w:jc w:val="center"/>
        <w:rPr>
          <w:rFonts w:ascii="Arial" w:hAnsi="Arial" w:cs="Arial"/>
          <w:b/>
          <w:bCs/>
          <w:i/>
          <w:iCs/>
          <w:sz w:val="28"/>
          <w:szCs w:val="24"/>
          <w:lang w:eastAsia="en-GB"/>
        </w:rPr>
      </w:pPr>
      <w:bookmarkStart w:id="0" w:name="_Toc240833506"/>
      <w:r w:rsidRPr="00000470">
        <w:rPr>
          <w:rFonts w:ascii="Arial" w:hAnsi="Arial" w:cs="Arial"/>
          <w:b/>
          <w:bCs/>
          <w:sz w:val="28"/>
          <w:szCs w:val="24"/>
          <w:lang w:eastAsia="en-GB"/>
        </w:rPr>
        <w:lastRenderedPageBreak/>
        <w:t xml:space="preserve">Report Title: </w:t>
      </w:r>
      <w:r w:rsidRPr="00000470">
        <w:rPr>
          <w:rFonts w:ascii="Arial" w:hAnsi="Arial" w:cs="Arial"/>
          <w:b/>
          <w:bCs/>
          <w:i/>
          <w:iCs/>
          <w:sz w:val="28"/>
          <w:szCs w:val="24"/>
          <w:lang w:eastAsia="en-GB"/>
        </w:rPr>
        <w:t>Analysis on the Importance of Principles through Practical Examples and Self Reflection on the context of Health and Social Care</w:t>
      </w:r>
    </w:p>
    <w:p w14:paraId="5F3F6443" w14:textId="7A284135" w:rsidR="00723235" w:rsidRPr="00000470" w:rsidRDefault="00723235" w:rsidP="00723235">
      <w:pPr>
        <w:pStyle w:val="Heading1"/>
        <w:rPr>
          <w:rFonts w:ascii="Arial" w:hAnsi="Arial" w:cs="Arial"/>
          <w:szCs w:val="24"/>
          <w:lang w:eastAsia="en-GB"/>
        </w:rPr>
      </w:pPr>
      <w:r w:rsidRPr="00000470">
        <w:rPr>
          <w:rFonts w:ascii="Arial" w:hAnsi="Arial" w:cs="Arial"/>
          <w:lang w:eastAsia="en-GB"/>
        </w:rPr>
        <w:t>1. Introduction</w:t>
      </w:r>
      <w:bookmarkEnd w:id="0"/>
    </w:p>
    <w:p w14:paraId="1DF644EB" w14:textId="6A04187D"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Principles of health and social care practice are designed to promote dignity, safety and choice. The principles include person-centred care, partnership working and ethical issues. In this report, the principles are described. It is important to explain the relevance of the principles, the application in theoretical and practical terms, and benefits and drawbacks of their implementation. Then, the principles are analysed in terms of the practice. For the second task, the case study of Mrs C by NHS England has been chosen. Mrs C is a widowed woman with a progressive and life-limiting illness who lives alone. Her case demonstrates a personalised approach in the UK. After that, it is necessary to analyse the implications for service users and professionals. </w:t>
      </w:r>
    </w:p>
    <w:p w14:paraId="0BBEB867" w14:textId="77777777" w:rsidR="00723235" w:rsidRPr="00000470" w:rsidRDefault="00723235" w:rsidP="00723235">
      <w:pPr>
        <w:pStyle w:val="Heading1"/>
        <w:rPr>
          <w:rFonts w:ascii="Arial" w:hAnsi="Arial" w:cs="Arial"/>
          <w:szCs w:val="24"/>
          <w:lang w:eastAsia="en-GB"/>
        </w:rPr>
      </w:pPr>
      <w:bookmarkStart w:id="1" w:name="_Toc240833507"/>
      <w:r w:rsidRPr="00000470">
        <w:rPr>
          <w:rFonts w:ascii="Arial" w:hAnsi="Arial" w:cs="Arial"/>
          <w:lang w:eastAsia="en-GB"/>
        </w:rPr>
        <w:t>2. Reflection on Importance of Principles</w:t>
      </w:r>
      <w:bookmarkEnd w:id="1"/>
    </w:p>
    <w:p w14:paraId="2EB4F068" w14:textId="77777777" w:rsidR="00723235" w:rsidRPr="00000470" w:rsidRDefault="00723235" w:rsidP="00723235">
      <w:pPr>
        <w:pStyle w:val="Heading2"/>
        <w:rPr>
          <w:rFonts w:ascii="Arial" w:hAnsi="Arial" w:cs="Arial"/>
          <w:szCs w:val="24"/>
          <w:lang w:eastAsia="en-GB"/>
        </w:rPr>
      </w:pPr>
      <w:bookmarkStart w:id="2" w:name="_Toc240833508"/>
      <w:r w:rsidRPr="00000470">
        <w:rPr>
          <w:rFonts w:ascii="Arial" w:hAnsi="Arial" w:cs="Arial"/>
          <w:lang w:eastAsia="en-GB"/>
        </w:rPr>
        <w:t>2.1 Explanation of three principles</w:t>
      </w:r>
      <w:bookmarkEnd w:id="2"/>
    </w:p>
    <w:p w14:paraId="6E7786F7"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Person-centred care </w:t>
      </w:r>
      <w:r w:rsidRPr="00000470">
        <w:rPr>
          <w:rFonts w:ascii="Arial" w:eastAsia="Times New Roman" w:hAnsi="Arial" w:cs="Arial"/>
          <w:color w:val="000000"/>
          <w:sz w:val="22"/>
          <w:lang w:eastAsia="en-GB"/>
        </w:rPr>
        <w:t>can be described as care which is based on individual preferences, needs, and values. The benefits of this model include better results and an annual saving of £3,100 per person for continuing healthcare budget holders (NHS England, 2026). Nevertheless, individualised planning is often limited by overload and lack of time. </w:t>
      </w:r>
    </w:p>
    <w:p w14:paraId="7A81B2FB"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Partner collaboration </w:t>
      </w:r>
      <w:r w:rsidRPr="00000470">
        <w:rPr>
          <w:rFonts w:ascii="Arial" w:eastAsia="Times New Roman" w:hAnsi="Arial" w:cs="Arial"/>
          <w:color w:val="000000"/>
          <w:sz w:val="22"/>
          <w:lang w:eastAsia="en-GB"/>
        </w:rPr>
        <w:t>can be understood as collaborative activities carried out by organisations and individuals for a common purpose. The care coordination is delivered via 42 integrated care systems operating in England with lessened gaps in services (Charles, 2022). However, the issue arises when there is imbalance in terms of power between NHS and social care organisations. </w:t>
      </w:r>
    </w:p>
    <w:p w14:paraId="5CBC2DC2"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Ethics </w:t>
      </w:r>
      <w:r w:rsidRPr="00000470">
        <w:rPr>
          <w:rFonts w:ascii="Arial" w:eastAsia="Times New Roman" w:hAnsi="Arial" w:cs="Arial"/>
          <w:color w:val="000000"/>
          <w:sz w:val="22"/>
          <w:lang w:eastAsia="en-GB"/>
        </w:rPr>
        <w:t>are described as standards that guide professional practice and decision-making. The trust of the public is built through HCPC standards that apply to 15 different regulated professions. However, ethics may sometimes contradict each other, like autonomy and safety, for example. </w:t>
      </w:r>
    </w:p>
    <w:p w14:paraId="3A345EF1" w14:textId="77777777" w:rsidR="00723235" w:rsidRPr="00000470" w:rsidRDefault="00723235" w:rsidP="00723235">
      <w:pPr>
        <w:pStyle w:val="Heading2"/>
        <w:rPr>
          <w:rFonts w:ascii="Arial" w:hAnsi="Arial" w:cs="Arial"/>
          <w:szCs w:val="24"/>
          <w:lang w:eastAsia="en-GB"/>
        </w:rPr>
      </w:pPr>
      <w:bookmarkStart w:id="3" w:name="_Toc240833509"/>
      <w:r w:rsidRPr="00000470">
        <w:rPr>
          <w:rFonts w:ascii="Arial" w:hAnsi="Arial" w:cs="Arial"/>
          <w:lang w:eastAsia="en-GB"/>
        </w:rPr>
        <w:t>2.2 Significance to health and social care practice</w:t>
      </w:r>
      <w:bookmarkEnd w:id="3"/>
    </w:p>
    <w:p w14:paraId="062B19DF"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Safe practice includes three major components such as patient-centric approach, partnership, and ethics. According to the CQC patient survey, 77% of the patients have stated that they were involved in the decision-making related to their treatment (CQC, 2025). It can be concluded that shared decision-making has been accomplished. However, the involvement of the families was not recorded in the case of 23% of the hospitalised children who had autism </w:t>
      </w:r>
      <w:r w:rsidRPr="00000470">
        <w:rPr>
          <w:rFonts w:ascii="Arial" w:eastAsia="Times New Roman" w:hAnsi="Arial" w:cs="Arial"/>
          <w:color w:val="000000"/>
          <w:sz w:val="22"/>
          <w:lang w:eastAsia="en-GB"/>
        </w:rPr>
        <w:lastRenderedPageBreak/>
        <w:t>and learning disability. Therefore, there have been inconsistencies in applying the principles. The four principles of ethics identified by Beauchamp and Childress include autonomy and justice.</w:t>
      </w:r>
    </w:p>
    <w:p w14:paraId="3E8C3D14" w14:textId="77777777" w:rsidR="00723235" w:rsidRPr="00000470" w:rsidRDefault="00723235" w:rsidP="00723235">
      <w:pPr>
        <w:pStyle w:val="Heading2"/>
        <w:rPr>
          <w:rFonts w:ascii="Arial" w:hAnsi="Arial" w:cs="Arial"/>
          <w:szCs w:val="24"/>
          <w:lang w:eastAsia="en-GB"/>
        </w:rPr>
      </w:pPr>
      <w:bookmarkStart w:id="4" w:name="_Toc240833510"/>
      <w:r w:rsidRPr="00000470">
        <w:rPr>
          <w:rFonts w:ascii="Arial" w:hAnsi="Arial" w:cs="Arial"/>
          <w:lang w:eastAsia="en-GB"/>
        </w:rPr>
        <w:t>2.3 Benefits and challenges in implementation</w:t>
      </w:r>
      <w:bookmarkEnd w:id="4"/>
    </w:p>
    <w:p w14:paraId="25100388"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The application of these principles can be said to be both good and difficult. The approach of using social prescribing, which involves personalisation, was shown to result in a 28% reduction in GP appointments (Moore </w:t>
      </w:r>
      <w:r w:rsidRPr="00000470">
        <w:rPr>
          <w:rFonts w:ascii="Arial" w:eastAsia="Times New Roman" w:hAnsi="Arial" w:cs="Arial"/>
          <w:i/>
          <w:iCs/>
          <w:color w:val="000000"/>
          <w:sz w:val="22"/>
          <w:lang w:eastAsia="en-GB"/>
        </w:rPr>
        <w:t>et al.</w:t>
      </w:r>
      <w:r w:rsidRPr="00000470">
        <w:rPr>
          <w:rFonts w:ascii="Arial" w:eastAsia="Times New Roman" w:hAnsi="Arial" w:cs="Arial"/>
          <w:color w:val="000000"/>
          <w:sz w:val="22"/>
          <w:lang w:eastAsia="en-GB"/>
        </w:rPr>
        <w:t>, 2022). This means that there can be less pressure on the system as well as increased confidence in the service user. The job satisfaction of the staff can be enhanced too. However, about 100,000 NHS jobs are currently vacant where little time can be available for shared decision making. </w:t>
      </w:r>
    </w:p>
    <w:p w14:paraId="72643505" w14:textId="77777777" w:rsidR="00723235" w:rsidRPr="00000470" w:rsidRDefault="00723235" w:rsidP="00723235">
      <w:pPr>
        <w:shd w:val="clear" w:color="auto" w:fill="FFFFFF"/>
        <w:jc w:val="center"/>
        <w:rPr>
          <w:rFonts w:ascii="Arial" w:eastAsia="Times New Roman" w:hAnsi="Arial" w:cs="Arial"/>
          <w:szCs w:val="24"/>
          <w:lang w:eastAsia="en-GB"/>
        </w:rPr>
      </w:pPr>
      <w:r w:rsidRPr="00000470">
        <w:rPr>
          <w:rFonts w:ascii="Arial" w:eastAsia="Times New Roman" w:hAnsi="Arial" w:cs="Arial"/>
          <w:noProof/>
          <w:color w:val="000000"/>
          <w:sz w:val="22"/>
          <w:lang w:eastAsia="en-GB"/>
        </w:rPr>
        <w:drawing>
          <wp:inline distT="0" distB="0" distL="0" distR="0" wp14:anchorId="50385166" wp14:editId="1B97967D">
            <wp:extent cx="5943600" cy="2773680"/>
            <wp:effectExtent l="0" t="0" r="0" b="762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773680"/>
                    </a:xfrm>
                    <a:prstGeom prst="rect">
                      <a:avLst/>
                    </a:prstGeom>
                    <a:noFill/>
                    <a:ln>
                      <a:noFill/>
                    </a:ln>
                  </pic:spPr>
                </pic:pic>
              </a:graphicData>
            </a:graphic>
          </wp:inline>
        </w:drawing>
      </w:r>
    </w:p>
    <w:p w14:paraId="0952FF00" w14:textId="61BF570A" w:rsidR="00723235" w:rsidRPr="00000470" w:rsidRDefault="00723235" w:rsidP="00723235">
      <w:pPr>
        <w:shd w:val="clear" w:color="auto" w:fill="FFFFFF"/>
        <w:jc w:val="center"/>
        <w:rPr>
          <w:rFonts w:ascii="Arial" w:eastAsia="Times New Roman" w:hAnsi="Arial" w:cs="Arial"/>
          <w:b/>
          <w:bCs/>
          <w:szCs w:val="24"/>
          <w:lang w:eastAsia="en-GB"/>
        </w:rPr>
      </w:pPr>
      <w:r w:rsidRPr="00000470">
        <w:rPr>
          <w:rFonts w:ascii="Arial" w:eastAsia="Times New Roman" w:hAnsi="Arial" w:cs="Arial"/>
          <w:b/>
          <w:bCs/>
          <w:color w:val="000000"/>
          <w:sz w:val="22"/>
          <w:lang w:eastAsia="en-GB"/>
        </w:rPr>
        <w:t>Figure: The increase in the wage of the care workers as well as the inflation</w:t>
      </w:r>
    </w:p>
    <w:p w14:paraId="500D51FB" w14:textId="77777777" w:rsidR="00723235" w:rsidRPr="00000470" w:rsidRDefault="00723235" w:rsidP="00723235">
      <w:pPr>
        <w:shd w:val="clear" w:color="auto" w:fill="FFFFFF"/>
        <w:jc w:val="center"/>
        <w:rPr>
          <w:rFonts w:ascii="Arial" w:eastAsia="Times New Roman" w:hAnsi="Arial" w:cs="Arial"/>
          <w:szCs w:val="24"/>
          <w:lang w:eastAsia="en-GB"/>
        </w:rPr>
      </w:pPr>
      <w:r w:rsidRPr="00000470">
        <w:rPr>
          <w:rFonts w:ascii="Arial" w:eastAsia="Times New Roman" w:hAnsi="Arial" w:cs="Arial"/>
          <w:color w:val="000000"/>
          <w:sz w:val="22"/>
          <w:lang w:eastAsia="en-GB"/>
        </w:rPr>
        <w:t>(Source: The King’s Fund, 2026)</w:t>
      </w:r>
    </w:p>
    <w:p w14:paraId="2A0EDFC1" w14:textId="77777777" w:rsidR="00723235" w:rsidRPr="00000470" w:rsidRDefault="00723235" w:rsidP="00723235">
      <w:pPr>
        <w:pStyle w:val="Heading2"/>
        <w:rPr>
          <w:rFonts w:ascii="Arial" w:hAnsi="Arial" w:cs="Arial"/>
          <w:szCs w:val="24"/>
          <w:lang w:eastAsia="en-GB"/>
        </w:rPr>
      </w:pPr>
      <w:bookmarkStart w:id="5" w:name="_Toc240833511"/>
      <w:r w:rsidRPr="00000470">
        <w:rPr>
          <w:rFonts w:ascii="Arial" w:hAnsi="Arial" w:cs="Arial"/>
          <w:lang w:eastAsia="en-GB"/>
        </w:rPr>
        <w:t>2.4 Alignment of the principles with the theories and policies</w:t>
      </w:r>
      <w:bookmarkEnd w:id="5"/>
    </w:p>
    <w:p w14:paraId="17AAB33A"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Theory: </w:t>
      </w:r>
      <w:r w:rsidRPr="00000470">
        <w:rPr>
          <w:rFonts w:ascii="Arial" w:eastAsia="Times New Roman" w:hAnsi="Arial" w:cs="Arial"/>
          <w:color w:val="000000"/>
          <w:sz w:val="22"/>
          <w:lang w:eastAsia="en-GB"/>
        </w:rPr>
        <w:t>These values are congruent with the hierarchy of needs as per Maslow and the ecological system as per Bronfenbrenner. Around 16% of adults above 70 years were found to feel lonely at times (World Health Organisation, 2025). However, Maslow’s hierarchy of needs lacks dynamism and is culturally biased. Similarly, the theory by Bronfenbrenner cannot be operationalised. For Mrs C, a lunch club and video calling will address the need for belongingness and relationships with the family (NHS, 2026).</w:t>
      </w:r>
    </w:p>
    <w:p w14:paraId="0AAA6FD2"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Policies: </w:t>
      </w:r>
      <w:r w:rsidRPr="00000470">
        <w:rPr>
          <w:rFonts w:ascii="Arial" w:eastAsia="Times New Roman" w:hAnsi="Arial" w:cs="Arial"/>
          <w:color w:val="000000"/>
          <w:sz w:val="22"/>
          <w:lang w:eastAsia="en-GB"/>
        </w:rPr>
        <w:t>According to the Care Act 2014, there are nine domains of well-being which can be considered (SCIE, 2024). Likewise, there are five statutory principles of the Mental Capacity Act 2005 which ensure autonomy. However, lack of resources can limit the implementation of such responsibilities. In the case of Mrs C, those acts provide her with a personal budget and her choice for care. </w:t>
      </w:r>
    </w:p>
    <w:p w14:paraId="47908429" w14:textId="77777777" w:rsidR="00723235" w:rsidRPr="00000470" w:rsidRDefault="00723235" w:rsidP="00723235">
      <w:pPr>
        <w:pStyle w:val="Heading1"/>
        <w:rPr>
          <w:rFonts w:ascii="Arial" w:hAnsi="Arial" w:cs="Arial"/>
          <w:szCs w:val="24"/>
          <w:lang w:eastAsia="en-GB"/>
        </w:rPr>
      </w:pPr>
      <w:bookmarkStart w:id="6" w:name="_Toc240833512"/>
      <w:r w:rsidRPr="00000470">
        <w:rPr>
          <w:rFonts w:ascii="Arial" w:hAnsi="Arial" w:cs="Arial"/>
          <w:lang w:eastAsia="en-GB"/>
        </w:rPr>
        <w:lastRenderedPageBreak/>
        <w:t>3. Practical Example in Practice</w:t>
      </w:r>
      <w:bookmarkEnd w:id="6"/>
    </w:p>
    <w:p w14:paraId="0E2AED91" w14:textId="77777777" w:rsidR="00723235" w:rsidRPr="00000470" w:rsidRDefault="00723235" w:rsidP="00723235">
      <w:pPr>
        <w:pStyle w:val="Heading2"/>
        <w:rPr>
          <w:rFonts w:ascii="Arial" w:hAnsi="Arial" w:cs="Arial"/>
          <w:szCs w:val="24"/>
          <w:lang w:eastAsia="en-GB"/>
        </w:rPr>
      </w:pPr>
      <w:bookmarkStart w:id="7" w:name="_Toc240833513"/>
      <w:r w:rsidRPr="00000470">
        <w:rPr>
          <w:rFonts w:ascii="Arial" w:hAnsi="Arial" w:cs="Arial"/>
          <w:lang w:eastAsia="en-GB"/>
        </w:rPr>
        <w:t>3.1 Application of the principles on the case of Mrs. C</w:t>
      </w:r>
      <w:bookmarkEnd w:id="7"/>
    </w:p>
    <w:p w14:paraId="1FE890E5" w14:textId="3814E18F"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Care that is person-centred: </w:t>
      </w:r>
      <w:r w:rsidRPr="00000470">
        <w:rPr>
          <w:rFonts w:ascii="Arial" w:eastAsia="Times New Roman" w:hAnsi="Arial" w:cs="Arial"/>
          <w:color w:val="000000"/>
          <w:sz w:val="22"/>
          <w:lang w:eastAsia="en-GB"/>
        </w:rPr>
        <w:t>The care that was person-centred was done using the method of holistic assessment and an individual care plan. Careers who were morning-only workers were selected after a number of meetings, despite the problems with agency carers. Therefore, a personal health budget was used. Patient Activation Measure (PAM) of her level 2 improved after three months of health issues coaching (Patients Know Best, 2025).</w:t>
      </w:r>
    </w:p>
    <w:p w14:paraId="380B6407"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Partnership working: </w:t>
      </w:r>
      <w:r w:rsidRPr="00000470">
        <w:rPr>
          <w:rFonts w:ascii="Arial" w:eastAsia="Times New Roman" w:hAnsi="Arial" w:cs="Arial"/>
          <w:color w:val="000000"/>
          <w:sz w:val="22"/>
          <w:lang w:eastAsia="en-GB"/>
        </w:rPr>
        <w:t>The concept of partnership working can be seen. Mrs. C experienced two hospitalisations during one year. As a result, her care plan was shared with her GP, community nurse, ambulance services and NHS 111 (NHS, 2026). Additionally, she was involved in weekly activities thanks to social prescribing.</w:t>
      </w:r>
    </w:p>
    <w:p w14:paraId="28093B48"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i/>
          <w:iCs/>
          <w:color w:val="000000"/>
          <w:sz w:val="22"/>
          <w:lang w:eastAsia="en-GB"/>
        </w:rPr>
        <w:t xml:space="preserve">Ethics: </w:t>
      </w:r>
      <w:r w:rsidRPr="00000470">
        <w:rPr>
          <w:rFonts w:ascii="Arial" w:eastAsia="Times New Roman" w:hAnsi="Arial" w:cs="Arial"/>
          <w:color w:val="000000"/>
          <w:sz w:val="22"/>
          <w:lang w:eastAsia="en-GB"/>
        </w:rPr>
        <w:t>Ethics was used in connection with autonomy in making decisions on treatment and care (Laureano et al., 2024). In total, there have been four instances of decision-making, including choices about palliative treatment and resuscitation. Consequently, her wishes were included in the care plan, which can be shared. However, deterioration of the state of Mrs. C’s illness will affect her decision-making ability.</w:t>
      </w:r>
    </w:p>
    <w:p w14:paraId="053411BA" w14:textId="77777777" w:rsidR="00723235" w:rsidRPr="00000470" w:rsidRDefault="00723235" w:rsidP="00723235">
      <w:pPr>
        <w:pStyle w:val="Heading2"/>
        <w:rPr>
          <w:rFonts w:ascii="Arial" w:hAnsi="Arial" w:cs="Arial"/>
          <w:szCs w:val="24"/>
          <w:lang w:eastAsia="en-GB"/>
        </w:rPr>
      </w:pPr>
      <w:bookmarkStart w:id="8" w:name="_Toc240833514"/>
      <w:r w:rsidRPr="00000470">
        <w:rPr>
          <w:rFonts w:ascii="Arial" w:hAnsi="Arial" w:cs="Arial"/>
          <w:lang w:eastAsia="en-GB"/>
        </w:rPr>
        <w:t>3.2 Impact of the principles on service users and professionals</w:t>
      </w:r>
      <w:bookmarkEnd w:id="8"/>
    </w:p>
    <w:p w14:paraId="3998B482"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The service users and the professionals were definitely affected by the implementation of these principles. With regard to the service users, there was a rise in confidence and independence. Mrs C was independent enough to take her bath and get dressed. Isolation was prevented through regular activities in the community. Nationally, 86% of people who held personal health budgets were able to achieve their objectives (NHS, 2026). As far as the professionals were concerned, the amount of work that they had was reduced since motivated clients visit the GP 18% less often.</w:t>
      </w:r>
    </w:p>
    <w:p w14:paraId="3251B1F3" w14:textId="77777777" w:rsidR="00723235" w:rsidRPr="00000470" w:rsidRDefault="00723235" w:rsidP="00723235">
      <w:pPr>
        <w:pStyle w:val="Heading2"/>
        <w:rPr>
          <w:rFonts w:ascii="Arial" w:hAnsi="Arial" w:cs="Arial"/>
          <w:szCs w:val="24"/>
          <w:lang w:eastAsia="en-GB"/>
        </w:rPr>
      </w:pPr>
      <w:bookmarkStart w:id="9" w:name="_Toc240833515"/>
      <w:r w:rsidRPr="00000470">
        <w:rPr>
          <w:rFonts w:ascii="Arial" w:hAnsi="Arial" w:cs="Arial"/>
          <w:lang w:eastAsia="en-GB"/>
        </w:rPr>
        <w:t>3.3 Challenges and mitigation plan</w:t>
      </w:r>
      <w:bookmarkEnd w:id="9"/>
    </w:p>
    <w:p w14:paraId="03247F23" w14:textId="77E3B418"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There are several challenges in caring for Mrs C, but these challenges were addressed to mitigate them. First, there is a challenge in poor home carers' quality. Vacancies in domiciliary care are 9.7% in 2024/25 that can lead to discontinuity (The King’s Fund, 2026). The mitigation includes personal health budgets where the money goes to a neighbour whom she trusts. The second challenge is low activation and isolation, and the mitigation includes health coaching and social prescribing. Activated people have 38% fewer emergency admissions (The Health Foundation, 2026). There is also a challenge in fragmentation of communication, and the mitigation includes having one single plan for all services. However, informal care is unregulated and unsafeguarded, thus requiring reviews regularly.</w:t>
      </w:r>
    </w:p>
    <w:p w14:paraId="2A2E1C9C" w14:textId="77777777" w:rsidR="00723235" w:rsidRPr="00000470" w:rsidRDefault="00723235" w:rsidP="00723235">
      <w:pPr>
        <w:pStyle w:val="Heading2"/>
        <w:rPr>
          <w:rFonts w:ascii="Arial" w:hAnsi="Arial" w:cs="Arial"/>
          <w:szCs w:val="24"/>
          <w:lang w:eastAsia="en-GB"/>
        </w:rPr>
      </w:pPr>
      <w:bookmarkStart w:id="10" w:name="_Toc240833516"/>
      <w:r w:rsidRPr="00000470">
        <w:rPr>
          <w:rFonts w:ascii="Arial" w:hAnsi="Arial" w:cs="Arial"/>
          <w:lang w:eastAsia="en-GB"/>
        </w:rPr>
        <w:lastRenderedPageBreak/>
        <w:t>3.4 Evidence of policies and guidelines</w:t>
      </w:r>
      <w:bookmarkEnd w:id="10"/>
    </w:p>
    <w:p w14:paraId="460C5DAC"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All the three values are respected in Mrs C’s care through law and regulation. The Health and Care Act 2022 came into force after it was granted Royal Assent on 28 April 2022. Integrated care partnerships have been put in place by statute for improved cooperation. Decisions can be made jointly as per the NICE guidance NG197 (2021) (NICE, 2021). In addition, advance care planning is promoted as per NICE guidance NG142 (2019). However, CQC observed that there has been a 50% decrease in the number of district nurses in relation to the ageing population of over 14 years. The 6Cs were introduced in 2012 under the NHS England framework for Compassion in Practice. Six principles are advocated: Care, Compassion, Competence, Communication, Courage and Commitment (Poudel </w:t>
      </w:r>
      <w:r w:rsidRPr="00000470">
        <w:rPr>
          <w:rFonts w:ascii="Arial" w:eastAsia="Times New Roman" w:hAnsi="Arial" w:cs="Arial"/>
          <w:i/>
          <w:iCs/>
          <w:color w:val="000000"/>
          <w:sz w:val="22"/>
          <w:lang w:eastAsia="en-GB"/>
        </w:rPr>
        <w:t>et al.</w:t>
      </w:r>
      <w:r w:rsidRPr="00000470">
        <w:rPr>
          <w:rFonts w:ascii="Arial" w:eastAsia="Times New Roman" w:hAnsi="Arial" w:cs="Arial"/>
          <w:color w:val="000000"/>
          <w:sz w:val="22"/>
          <w:lang w:eastAsia="en-GB"/>
        </w:rPr>
        <w:t xml:space="preserve">, 2025). Another framework that was introduced in July 2017 is the Person-Centred Approaches Framework, which has steps in conversations ranging from engagement through managing complexity (Brooks </w:t>
      </w:r>
      <w:r w:rsidRPr="00000470">
        <w:rPr>
          <w:rFonts w:ascii="Arial" w:eastAsia="Times New Roman" w:hAnsi="Arial" w:cs="Arial"/>
          <w:i/>
          <w:iCs/>
          <w:color w:val="000000"/>
          <w:sz w:val="22"/>
          <w:lang w:eastAsia="en-GB"/>
        </w:rPr>
        <w:t xml:space="preserve">et al., </w:t>
      </w:r>
      <w:r w:rsidRPr="00000470">
        <w:rPr>
          <w:rFonts w:ascii="Arial" w:eastAsia="Times New Roman" w:hAnsi="Arial" w:cs="Arial"/>
          <w:color w:val="000000"/>
          <w:sz w:val="22"/>
          <w:lang w:eastAsia="en-GB"/>
        </w:rPr>
        <w:t>2025). Nevertheless, such professional frameworks are not legally binding but dependent on workforce capacity.</w:t>
      </w:r>
    </w:p>
    <w:p w14:paraId="63726786" w14:textId="77777777" w:rsidR="00723235" w:rsidRPr="00000470" w:rsidRDefault="00723235" w:rsidP="00723235">
      <w:pPr>
        <w:pStyle w:val="Heading1"/>
        <w:rPr>
          <w:rFonts w:ascii="Arial" w:hAnsi="Arial" w:cs="Arial"/>
          <w:szCs w:val="24"/>
          <w:lang w:eastAsia="en-GB"/>
        </w:rPr>
      </w:pPr>
      <w:bookmarkStart w:id="11" w:name="_Toc240833517"/>
      <w:r w:rsidRPr="00000470">
        <w:rPr>
          <w:rFonts w:ascii="Arial" w:hAnsi="Arial" w:cs="Arial"/>
          <w:lang w:eastAsia="en-GB"/>
        </w:rPr>
        <w:t>4. Self-Reflection</w:t>
      </w:r>
      <w:bookmarkEnd w:id="11"/>
    </w:p>
    <w:p w14:paraId="36FA69EE" w14:textId="77777777" w:rsidR="00723235" w:rsidRPr="00000470" w:rsidRDefault="00723235" w:rsidP="00723235">
      <w:pPr>
        <w:pStyle w:val="Heading2"/>
        <w:rPr>
          <w:rFonts w:ascii="Arial" w:hAnsi="Arial" w:cs="Arial"/>
          <w:szCs w:val="24"/>
          <w:lang w:eastAsia="en-GB"/>
        </w:rPr>
      </w:pPr>
      <w:bookmarkStart w:id="12" w:name="_Toc240833518"/>
      <w:r w:rsidRPr="00000470">
        <w:rPr>
          <w:rFonts w:ascii="Arial" w:hAnsi="Arial" w:cs="Arial"/>
          <w:lang w:eastAsia="en-GB"/>
        </w:rPr>
        <w:t>4.1 Application of the principles in practice</w:t>
      </w:r>
      <w:bookmarkEnd w:id="12"/>
    </w:p>
    <w:p w14:paraId="3FBE98AB"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Person-centred approach, collaboration and ethics are what I am going to apply together. NHS England has a target of 2.5 million people receiving personalised care by 2023/24 (NICE, 2021). The process starts with asking what is important for each individual. Wishes need to be recorded and shared with colleagues. Collaboration with families, colleagues and community services can be transparent. Plain language is needed to ensure comprehension. Respect of consent, confidentiality and the right of making irrelevant choices is needed as well. However, I realise that time constraints may interfere with those discussions. Too much focus on choice may conceal dangers as well. Reflection-in-action of Schön will help me to adjust my actions. The Code of Conduct for Healthcare Support Workers and Adult Social Care Workers as well as HCPC guidelines need to be followed (Health and Care Professions Council, 2024). Regular reflection on my practice and seeking supervision are also needed. Therefore, the example of Mrs C demonstrates the way of doing this.</w:t>
      </w:r>
    </w:p>
    <w:p w14:paraId="0DF39D5C" w14:textId="77777777" w:rsidR="00723235" w:rsidRPr="00000470" w:rsidRDefault="00723235" w:rsidP="00723235">
      <w:pPr>
        <w:pStyle w:val="Heading2"/>
        <w:rPr>
          <w:rFonts w:ascii="Arial" w:hAnsi="Arial" w:cs="Arial"/>
          <w:szCs w:val="24"/>
          <w:lang w:eastAsia="en-GB"/>
        </w:rPr>
      </w:pPr>
      <w:bookmarkStart w:id="13" w:name="_Toc240833519"/>
      <w:r w:rsidRPr="00000470">
        <w:rPr>
          <w:rFonts w:ascii="Arial" w:hAnsi="Arial" w:cs="Arial"/>
          <w:lang w:eastAsia="en-GB"/>
        </w:rPr>
        <w:lastRenderedPageBreak/>
        <w:t>4.2 Strengths and areas for improvement based on real work-based examples</w:t>
      </w:r>
      <w:bookmarkEnd w:id="13"/>
    </w:p>
    <w:p w14:paraId="55E87F9A" w14:textId="77777777" w:rsidR="00723235" w:rsidRPr="00000470" w:rsidRDefault="00723235" w:rsidP="00723235">
      <w:pPr>
        <w:shd w:val="clear" w:color="auto" w:fill="FFFFFF"/>
        <w:jc w:val="center"/>
        <w:rPr>
          <w:rFonts w:ascii="Arial" w:eastAsia="Times New Roman" w:hAnsi="Arial" w:cs="Arial"/>
          <w:szCs w:val="24"/>
          <w:lang w:eastAsia="en-GB"/>
        </w:rPr>
      </w:pPr>
      <w:r w:rsidRPr="00000470">
        <w:rPr>
          <w:rFonts w:ascii="Arial" w:eastAsia="Times New Roman" w:hAnsi="Arial" w:cs="Arial"/>
          <w:noProof/>
          <w:color w:val="000000"/>
          <w:sz w:val="22"/>
          <w:lang w:eastAsia="en-GB"/>
        </w:rPr>
        <w:drawing>
          <wp:inline distT="0" distB="0" distL="0" distR="0" wp14:anchorId="21750A7C" wp14:editId="221FFF0E">
            <wp:extent cx="5943600" cy="3589020"/>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589020"/>
                    </a:xfrm>
                    <a:prstGeom prst="rect">
                      <a:avLst/>
                    </a:prstGeom>
                    <a:noFill/>
                    <a:ln>
                      <a:noFill/>
                    </a:ln>
                  </pic:spPr>
                </pic:pic>
              </a:graphicData>
            </a:graphic>
          </wp:inline>
        </w:drawing>
      </w:r>
    </w:p>
    <w:p w14:paraId="53742517" w14:textId="77777777" w:rsidR="00723235" w:rsidRPr="00000470" w:rsidRDefault="00723235" w:rsidP="00723235">
      <w:pPr>
        <w:shd w:val="clear" w:color="auto" w:fill="FFFFFF"/>
        <w:jc w:val="center"/>
        <w:rPr>
          <w:rFonts w:ascii="Arial" w:eastAsia="Times New Roman" w:hAnsi="Arial" w:cs="Arial"/>
          <w:b/>
          <w:bCs/>
          <w:szCs w:val="24"/>
          <w:lang w:eastAsia="en-GB"/>
        </w:rPr>
      </w:pPr>
      <w:r w:rsidRPr="00000470">
        <w:rPr>
          <w:rFonts w:ascii="Arial" w:eastAsia="Times New Roman" w:hAnsi="Arial" w:cs="Arial"/>
          <w:b/>
          <w:bCs/>
          <w:color w:val="000000"/>
          <w:sz w:val="22"/>
          <w:lang w:eastAsia="en-GB"/>
        </w:rPr>
        <w:t>Figure: Strengths and areas of improvement</w:t>
      </w:r>
    </w:p>
    <w:p w14:paraId="29BFBDA5" w14:textId="77777777" w:rsidR="00723235" w:rsidRPr="00000470" w:rsidRDefault="00723235" w:rsidP="00723235">
      <w:pPr>
        <w:shd w:val="clear" w:color="auto" w:fill="FFFFFF"/>
        <w:jc w:val="center"/>
        <w:rPr>
          <w:rFonts w:ascii="Arial" w:eastAsia="Times New Roman" w:hAnsi="Arial" w:cs="Arial"/>
          <w:szCs w:val="24"/>
          <w:lang w:eastAsia="en-GB"/>
        </w:rPr>
      </w:pPr>
      <w:r w:rsidRPr="00000470">
        <w:rPr>
          <w:rFonts w:ascii="Arial" w:eastAsia="Times New Roman" w:hAnsi="Arial" w:cs="Arial"/>
          <w:color w:val="000000"/>
          <w:sz w:val="22"/>
          <w:lang w:eastAsia="en-GB"/>
        </w:rPr>
        <w:t>(Source: Author)</w:t>
      </w:r>
    </w:p>
    <w:p w14:paraId="3BDB380F"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On analysing the case of Mrs C, there were strengths as well as things that needed improvement. One of my strengths in this case was knowing what was important to each individual. On a national level, 62% of in-patients believed that they could speak about their concerns and fears with the staff. It indicates that being a listener is possible (CQC, 2026). But only 29% of them felt that the staff involved their families and/or caregivers in discharge discussions to a great extent. Thus, one of my major weaknesses was family involvement and information sharing. I also required better risk assessment while providing informal care. This will be based on Kolb's experiential learning cycle.</w:t>
      </w:r>
    </w:p>
    <w:p w14:paraId="64027E79" w14:textId="77777777" w:rsidR="00723235" w:rsidRPr="00000470" w:rsidRDefault="00723235" w:rsidP="00723235">
      <w:pPr>
        <w:pStyle w:val="Heading2"/>
        <w:rPr>
          <w:rFonts w:ascii="Arial" w:hAnsi="Arial" w:cs="Arial"/>
          <w:szCs w:val="24"/>
          <w:lang w:eastAsia="en-GB"/>
        </w:rPr>
      </w:pPr>
      <w:bookmarkStart w:id="14" w:name="_Toc240833520"/>
      <w:r w:rsidRPr="00000470">
        <w:rPr>
          <w:rFonts w:ascii="Arial" w:hAnsi="Arial" w:cs="Arial"/>
          <w:lang w:eastAsia="en-GB"/>
        </w:rPr>
        <w:t>4.3 Reflection on personal experiences demonstrating the principles</w:t>
      </w:r>
      <w:bookmarkEnd w:id="14"/>
    </w:p>
    <w:p w14:paraId="4EBADECB"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I will ensure that person-centred care, partnership and ethics become integral part of my practice. According to the statistics of 2021, there are 5.0 million unpaid carers in England and Wales. Evidently, families play an essential role in the provision of care (ONS, 2023). Thus, it will be necessary to know what each individual values and involve family members in the process in a proper way. At the same time, I will need to seek consent before disclosing the information. Nevertheless, I realise that the limited amount of time may not provide an opportunity for productive dialogue. Excessive involvement of family members may undermine </w:t>
      </w:r>
      <w:r w:rsidRPr="00000470">
        <w:rPr>
          <w:rFonts w:ascii="Arial" w:eastAsia="Times New Roman" w:hAnsi="Arial" w:cs="Arial"/>
          <w:color w:val="000000"/>
          <w:sz w:val="22"/>
          <w:lang w:eastAsia="en-GB"/>
        </w:rPr>
        <w:lastRenderedPageBreak/>
        <w:t>autonomy and confidentiality. The use of Gibbs' reflective cycle will allow analysing such situations objectively.</w:t>
      </w:r>
    </w:p>
    <w:p w14:paraId="7201EEBB" w14:textId="77777777" w:rsidR="00723235" w:rsidRPr="00000470" w:rsidRDefault="00723235" w:rsidP="00723235">
      <w:pPr>
        <w:pStyle w:val="Heading2"/>
        <w:rPr>
          <w:rFonts w:ascii="Arial" w:hAnsi="Arial" w:cs="Arial"/>
          <w:szCs w:val="24"/>
          <w:lang w:eastAsia="en-GB"/>
        </w:rPr>
      </w:pPr>
      <w:bookmarkStart w:id="15" w:name="_Toc240833521"/>
      <w:r w:rsidRPr="00000470">
        <w:rPr>
          <w:rFonts w:ascii="Arial" w:hAnsi="Arial" w:cs="Arial"/>
          <w:lang w:eastAsia="en-GB"/>
        </w:rPr>
        <w:t>4.4 Gibbs reflection cycle for innate understanding</w:t>
      </w:r>
      <w:bookmarkEnd w:id="15"/>
    </w:p>
    <w:p w14:paraId="4F3065BB"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Description</w:t>
      </w:r>
    </w:p>
    <w:p w14:paraId="0EBBA30F"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I have done an analysis of the case of Mrs C to explain the application of the three principles. Mrs C is a widow who has COPD and lung cancer and is living alone (NHS, 2026). The care Mrs C received involved shared decision making, social prescribing, and personal health budget. I have analysed the application of each of these principles and areas of challenges faced.</w:t>
      </w:r>
    </w:p>
    <w:p w14:paraId="4F6B2E0C"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Emotions</w:t>
      </w:r>
    </w:p>
    <w:p w14:paraId="5DD253A8" w14:textId="102C1549"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I was inspired by her ability to make decisions on her own. However, I was worried due to her vulnerability. Living alone and having a progressive condition seemed to be a huge emotional challenge (Chan </w:t>
      </w:r>
      <w:r w:rsidRPr="00000470">
        <w:rPr>
          <w:rFonts w:ascii="Arial" w:eastAsia="Times New Roman" w:hAnsi="Arial" w:cs="Arial"/>
          <w:i/>
          <w:iCs/>
          <w:color w:val="000000"/>
          <w:sz w:val="22"/>
          <w:lang w:eastAsia="en-GB"/>
        </w:rPr>
        <w:t>et al.</w:t>
      </w:r>
      <w:r w:rsidRPr="00000470">
        <w:rPr>
          <w:rFonts w:ascii="Arial" w:eastAsia="Times New Roman" w:hAnsi="Arial" w:cs="Arial"/>
          <w:color w:val="000000"/>
          <w:sz w:val="22"/>
          <w:lang w:eastAsia="en-GB"/>
        </w:rPr>
        <w:t>, 2026). I was doubtful of the safety of neighbour assistance.</w:t>
      </w:r>
    </w:p>
    <w:p w14:paraId="68E030F1"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Evaluation</w:t>
      </w:r>
    </w:p>
    <w:p w14:paraId="7BC27061"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There are some advantages that can be identified. Her choices were consistent with her values. At the national level, 54,143 personal health budgets had been allocated up to March 2019 (NHS, 2026). This implies that choice and control seem to become more realistic. However, her discontent with agency care means that the quality of service provision is not always adequate.</w:t>
      </w:r>
    </w:p>
    <w:p w14:paraId="6D5E297A"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Analysis</w:t>
      </w:r>
    </w:p>
    <w:p w14:paraId="506A316B"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The Hierarchy of Needs theory by Maslow will be useful in explaining the need for belongingness and security that she has (Gardner, 2024). The theory by Bronfenbrenner will be very useful as it emphasises the role of family members, neighbours and community services on her life. According to the GP Patient Survey 2025, 53% of patients felt it was easy to get in touch with their GP on the phone (NHS, 2025). In Mrs C’s case, it is difficult for her to make use of the phone as she feels out of breath.</w:t>
      </w:r>
    </w:p>
    <w:p w14:paraId="14F6B8B4"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Conclusion</w:t>
      </w:r>
    </w:p>
    <w:p w14:paraId="58189B45" w14:textId="4E340D76"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The conclusion reached was that the three principals were interdependent. The person-centred care approach was enhanced through partnership working and autonomy. However, there is a potential risk to safety because of the pressure on the workforce as well as the unregulated informal care.</w:t>
      </w:r>
    </w:p>
    <w:p w14:paraId="430983A7" w14:textId="77777777" w:rsidR="00723235" w:rsidRPr="00000470" w:rsidRDefault="00723235" w:rsidP="00723235">
      <w:pPr>
        <w:shd w:val="clear" w:color="auto" w:fill="FFFFFF"/>
        <w:spacing w:after="240"/>
        <w:rPr>
          <w:rFonts w:ascii="Arial" w:eastAsia="Times New Roman" w:hAnsi="Arial" w:cs="Arial"/>
          <w:szCs w:val="24"/>
          <w:lang w:eastAsia="en-GB"/>
        </w:rPr>
      </w:pPr>
      <w:r w:rsidRPr="00000470">
        <w:rPr>
          <w:rFonts w:ascii="Arial" w:eastAsia="Times New Roman" w:hAnsi="Arial" w:cs="Arial"/>
          <w:b/>
          <w:bCs/>
          <w:color w:val="000000"/>
          <w:sz w:val="22"/>
          <w:lang w:eastAsia="en-GB"/>
        </w:rPr>
        <w:t>Action plan</w:t>
      </w:r>
    </w:p>
    <w:tbl>
      <w:tblPr>
        <w:tblW w:w="0" w:type="auto"/>
        <w:tblCellMar>
          <w:top w:w="15" w:type="dxa"/>
          <w:left w:w="15" w:type="dxa"/>
          <w:bottom w:w="15" w:type="dxa"/>
          <w:right w:w="15" w:type="dxa"/>
        </w:tblCellMar>
        <w:tblLook w:val="04A0" w:firstRow="1" w:lastRow="0" w:firstColumn="1" w:lastColumn="0" w:noHBand="0" w:noVBand="1"/>
      </w:tblPr>
      <w:tblGrid>
        <w:gridCol w:w="1730"/>
        <w:gridCol w:w="3106"/>
        <w:gridCol w:w="2779"/>
        <w:gridCol w:w="1391"/>
      </w:tblGrid>
      <w:tr w:rsidR="00723235" w:rsidRPr="00000470" w14:paraId="62C48FDA" w14:textId="77777777">
        <w:trPr>
          <w:trHeight w:val="5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0C727C"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90F08F"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69A546"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623B5"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b/>
                <w:bCs/>
                <w:color w:val="000000"/>
                <w:sz w:val="22"/>
                <w:lang w:eastAsia="en-GB"/>
              </w:rPr>
              <w:t>Time</w:t>
            </w:r>
          </w:p>
        </w:tc>
      </w:tr>
      <w:tr w:rsidR="00723235" w:rsidRPr="00000470" w14:paraId="3AC521E4" w14:textId="77777777">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F7869"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lastRenderedPageBreak/>
              <w:t>Gain practical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4B224C"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Apply for a support work or placement 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F8265"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University career services; NHS and care organisations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EA2CCB"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6 months</w:t>
            </w:r>
          </w:p>
        </w:tc>
      </w:tr>
      <w:tr w:rsidR="00723235" w:rsidRPr="00000470" w14:paraId="2B1F4773" w14:textId="77777777">
        <w:trPr>
          <w:trHeight w:val="10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B1FFDF"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Build community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1D1E6"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Work as a volunteer for local care or community organisations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E2DC3"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Voluntary sector bodies; social prescribing organisations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E5714"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3 months, then weekly</w:t>
            </w:r>
          </w:p>
        </w:tc>
      </w:tr>
      <w:tr w:rsidR="00723235" w:rsidRPr="00000470" w14:paraId="1A0481C4" w14:textId="77777777">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4CE8E"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Seek mentorship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751E3D"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Seek out a mentor and conduct supervision sessions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15DF48"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Placement supervisor; university mentor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38DD2"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Monthly, from month 1</w:t>
            </w:r>
          </w:p>
        </w:tc>
      </w:tr>
      <w:tr w:rsidR="00723235" w:rsidRPr="00000470" w14:paraId="613C5340" w14:textId="77777777">
        <w:trPr>
          <w:trHeight w:val="10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F2F2D4"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Complete CPD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5A7274"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Complete free personalised care training programs and the Care Certificate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591E7"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Personalised Care Institute; NHS Learning Hub; Skills for Care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B0285" w14:textId="77777777"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6 months</w:t>
            </w:r>
          </w:p>
        </w:tc>
      </w:tr>
    </w:tbl>
    <w:p w14:paraId="6252A6A9" w14:textId="77777777" w:rsidR="00723235" w:rsidRPr="00000470" w:rsidRDefault="00723235" w:rsidP="00723235">
      <w:pPr>
        <w:shd w:val="clear" w:color="auto" w:fill="FFFFFF"/>
        <w:jc w:val="center"/>
        <w:rPr>
          <w:rFonts w:ascii="Arial" w:eastAsia="Times New Roman" w:hAnsi="Arial" w:cs="Arial"/>
          <w:szCs w:val="24"/>
          <w:lang w:eastAsia="en-GB"/>
        </w:rPr>
      </w:pPr>
      <w:r w:rsidRPr="00000470">
        <w:rPr>
          <w:rFonts w:ascii="Arial" w:eastAsia="Times New Roman" w:hAnsi="Arial" w:cs="Arial"/>
          <w:b/>
          <w:bCs/>
          <w:color w:val="000000"/>
          <w:sz w:val="22"/>
          <w:lang w:eastAsia="en-GB"/>
        </w:rPr>
        <w:t>Table: Action Plan</w:t>
      </w:r>
    </w:p>
    <w:p w14:paraId="17D07BE9" w14:textId="77777777" w:rsidR="00723235" w:rsidRPr="00000470" w:rsidRDefault="00723235" w:rsidP="00723235">
      <w:pPr>
        <w:shd w:val="clear" w:color="auto" w:fill="FFFFFF"/>
        <w:jc w:val="center"/>
        <w:rPr>
          <w:rFonts w:ascii="Arial" w:eastAsia="Times New Roman" w:hAnsi="Arial" w:cs="Arial"/>
          <w:szCs w:val="24"/>
          <w:lang w:eastAsia="en-GB"/>
        </w:rPr>
      </w:pPr>
      <w:r w:rsidRPr="00000470">
        <w:rPr>
          <w:rFonts w:ascii="Arial" w:eastAsia="Times New Roman" w:hAnsi="Arial" w:cs="Arial"/>
          <w:color w:val="000000"/>
          <w:sz w:val="22"/>
          <w:lang w:eastAsia="en-GB"/>
        </w:rPr>
        <w:t>(Source: Author)</w:t>
      </w:r>
    </w:p>
    <w:p w14:paraId="342E5D4E" w14:textId="77777777" w:rsidR="00723235" w:rsidRPr="00000470" w:rsidRDefault="00723235" w:rsidP="00723235">
      <w:pPr>
        <w:pStyle w:val="Heading1"/>
        <w:rPr>
          <w:rFonts w:ascii="Arial" w:hAnsi="Arial" w:cs="Arial"/>
          <w:szCs w:val="24"/>
          <w:lang w:eastAsia="en-GB"/>
        </w:rPr>
      </w:pPr>
      <w:bookmarkStart w:id="16" w:name="_Toc240833522"/>
      <w:r w:rsidRPr="00000470">
        <w:rPr>
          <w:rFonts w:ascii="Arial" w:hAnsi="Arial" w:cs="Arial"/>
          <w:lang w:eastAsia="en-GB"/>
        </w:rPr>
        <w:t>5. Conclusion</w:t>
      </w:r>
      <w:bookmarkEnd w:id="16"/>
    </w:p>
    <w:p w14:paraId="71BE53FF" w14:textId="3A2C74F6" w:rsidR="00723235" w:rsidRPr="00000470" w:rsidRDefault="00723235" w:rsidP="00723235">
      <w:pPr>
        <w:shd w:val="clear" w:color="auto" w:fill="FFFFFF"/>
        <w:rPr>
          <w:rFonts w:ascii="Arial" w:eastAsia="Times New Roman" w:hAnsi="Arial" w:cs="Arial"/>
          <w:szCs w:val="24"/>
          <w:lang w:eastAsia="en-GB"/>
        </w:rPr>
      </w:pPr>
      <w:r w:rsidRPr="00000470">
        <w:rPr>
          <w:rFonts w:ascii="Arial" w:eastAsia="Times New Roman" w:hAnsi="Arial" w:cs="Arial"/>
          <w:color w:val="000000"/>
          <w:sz w:val="22"/>
          <w:lang w:eastAsia="en-GB"/>
        </w:rPr>
        <w:t xml:space="preserve">The principles of person-centred care, partnership working and ethics have been proven to be crucial to providing quality care. The case of Mrs C showed how choice, coordination and autonomy can be realised. Advantages were highlighted for both users and professionals. Nevertheless, workforce issues, poor communication and lack of regulation in informal care were considered as potential dangers. In this context, theories of Maslow, Bronfenbrenner, the Care Act 2014 and the Mental Capacity Act 2005 could be applied. Additionally, self-reflection through Gibbs' model helped me to develop professionally. </w:t>
      </w:r>
    </w:p>
    <w:p w14:paraId="414F4A75" w14:textId="77777777" w:rsidR="00723235" w:rsidRPr="00000470" w:rsidRDefault="00723235" w:rsidP="00723235">
      <w:pPr>
        <w:rPr>
          <w:rFonts w:ascii="Arial" w:eastAsia="Times New Roman" w:hAnsi="Arial" w:cs="Arial"/>
          <w:b/>
          <w:bCs/>
          <w:color w:val="000000"/>
          <w:sz w:val="22"/>
          <w:lang w:eastAsia="en-GB"/>
        </w:rPr>
      </w:pPr>
      <w:r w:rsidRPr="00000470">
        <w:rPr>
          <w:rFonts w:ascii="Arial" w:eastAsia="Times New Roman" w:hAnsi="Arial" w:cs="Arial"/>
          <w:b/>
          <w:bCs/>
          <w:color w:val="000000"/>
          <w:sz w:val="22"/>
          <w:lang w:eastAsia="en-GB"/>
        </w:rPr>
        <w:br w:type="page"/>
      </w:r>
    </w:p>
    <w:p w14:paraId="2DA95599" w14:textId="2828D3BA" w:rsidR="00723235" w:rsidRPr="00000470" w:rsidRDefault="00723235" w:rsidP="00723235">
      <w:pPr>
        <w:pStyle w:val="Heading1"/>
        <w:rPr>
          <w:rFonts w:ascii="Arial" w:hAnsi="Arial" w:cs="Arial"/>
          <w:szCs w:val="24"/>
          <w:lang w:eastAsia="en-GB"/>
        </w:rPr>
      </w:pPr>
      <w:bookmarkStart w:id="17" w:name="_Toc240833523"/>
      <w:r w:rsidRPr="00000470">
        <w:rPr>
          <w:rFonts w:ascii="Arial" w:hAnsi="Arial" w:cs="Arial"/>
          <w:lang w:eastAsia="en-GB"/>
        </w:rPr>
        <w:lastRenderedPageBreak/>
        <w:t>References</w:t>
      </w:r>
      <w:bookmarkEnd w:id="17"/>
    </w:p>
    <w:p w14:paraId="5445A114"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Brooks, C., Sunkel, C. and Stewart, H.L.N. (2025) “Dignity in mental healthcare: Service user perspectives,” </w:t>
      </w:r>
      <w:r w:rsidRPr="00000470">
        <w:rPr>
          <w:rFonts w:ascii="Arial" w:eastAsia="Times New Roman" w:hAnsi="Arial" w:cs="Arial"/>
          <w:i/>
          <w:iCs/>
          <w:color w:val="000000"/>
          <w:sz w:val="22"/>
          <w:lang w:eastAsia="en-GB"/>
        </w:rPr>
        <w:t>Academia Mental Health and Well-Being</w:t>
      </w:r>
      <w:r w:rsidRPr="00000470">
        <w:rPr>
          <w:rFonts w:ascii="Arial" w:eastAsia="Times New Roman" w:hAnsi="Arial" w:cs="Arial"/>
          <w:color w:val="000000"/>
          <w:sz w:val="22"/>
          <w:lang w:eastAsia="en-GB"/>
        </w:rPr>
        <w:t>, 2(1). Available at: https://doi.org/10.20935/mhealthwellb7523.</w:t>
      </w:r>
    </w:p>
    <w:p w14:paraId="0E415595"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Chan, Y., Creer, S., Mere, J., Griffiths, A.W., Wright, C., Hobson, E.V., McDermott, C.J. and Mayberry, E.J. (2026) “The emotional experiences of healthcare professionals working in amyotrophic lateral sclerosis: A systematic review,” </w:t>
      </w:r>
      <w:r w:rsidRPr="00000470">
        <w:rPr>
          <w:rFonts w:ascii="Arial" w:eastAsia="Times New Roman" w:hAnsi="Arial" w:cs="Arial"/>
          <w:i/>
          <w:iCs/>
          <w:color w:val="000000"/>
          <w:sz w:val="22"/>
          <w:lang w:eastAsia="en-GB"/>
        </w:rPr>
        <w:t>Muscle &amp; Nerve</w:t>
      </w:r>
      <w:r w:rsidRPr="00000470">
        <w:rPr>
          <w:rFonts w:ascii="Arial" w:eastAsia="Times New Roman" w:hAnsi="Arial" w:cs="Arial"/>
          <w:color w:val="000000"/>
          <w:sz w:val="22"/>
          <w:lang w:eastAsia="en-GB"/>
        </w:rPr>
        <w:t>, 74(3), pp. 517–529. Available at: https://doi.org/10.1002/mus.70309.</w:t>
      </w:r>
    </w:p>
    <w:p w14:paraId="7B7CFC62"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Charles, A. (2022) </w:t>
      </w:r>
      <w:r w:rsidRPr="00000470">
        <w:rPr>
          <w:rFonts w:ascii="Arial" w:eastAsia="Times New Roman" w:hAnsi="Arial" w:cs="Arial"/>
          <w:i/>
          <w:iCs/>
          <w:color w:val="000000"/>
          <w:sz w:val="22"/>
          <w:lang w:eastAsia="en-GB"/>
        </w:rPr>
        <w:t>Integrated Care Systems explained</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The King’s Fund</w:t>
      </w:r>
      <w:r w:rsidRPr="00000470">
        <w:rPr>
          <w:rFonts w:ascii="Arial" w:eastAsia="Times New Roman" w:hAnsi="Arial" w:cs="Arial"/>
          <w:color w:val="000000"/>
          <w:sz w:val="22"/>
          <w:lang w:eastAsia="en-GB"/>
        </w:rPr>
        <w:t>. The King’s Fund. Available at: https://www.kingsfund.org.uk/insight-and-analysis/long-reads/integrated-care-systems-explained (Accessed: September 19, 2026).</w:t>
      </w:r>
    </w:p>
    <w:p w14:paraId="04EB31D8"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CQC (2025) </w:t>
      </w:r>
      <w:r w:rsidRPr="00000470">
        <w:rPr>
          <w:rFonts w:ascii="Arial" w:eastAsia="Times New Roman" w:hAnsi="Arial" w:cs="Arial"/>
          <w:i/>
          <w:iCs/>
          <w:color w:val="000000"/>
          <w:sz w:val="22"/>
          <w:lang w:eastAsia="en-GB"/>
        </w:rPr>
        <w:t>National survey shows some improvement in maternity care experiences, but that further work is needed to ensure safe high-quality care for all - care quality commission</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Cqc.org.uk</w:t>
      </w:r>
      <w:r w:rsidRPr="00000470">
        <w:rPr>
          <w:rFonts w:ascii="Arial" w:eastAsia="Times New Roman" w:hAnsi="Arial" w:cs="Arial"/>
          <w:color w:val="000000"/>
          <w:sz w:val="22"/>
          <w:lang w:eastAsia="en-GB"/>
        </w:rPr>
        <w:t>. Available at: https://www.cqc.org.uk/press-release/national-survey-shows-some-improvement-maternity-care-experiences-further-work-needed (Accessed: September 19, 2026).</w:t>
      </w:r>
    </w:p>
    <w:p w14:paraId="4DE3D0DC"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CQC (2026) </w:t>
      </w:r>
      <w:r w:rsidRPr="00000470">
        <w:rPr>
          <w:rFonts w:ascii="Arial" w:eastAsia="Times New Roman" w:hAnsi="Arial" w:cs="Arial"/>
          <w:i/>
          <w:iCs/>
          <w:color w:val="000000"/>
          <w:sz w:val="22"/>
          <w:lang w:eastAsia="en-GB"/>
        </w:rPr>
        <w:t>National Survey shows improvements in people’s hospital experiences, although concerns remain around discharge arrangements - care quality commission</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Cqc.org.uk</w:t>
      </w:r>
      <w:r w:rsidRPr="00000470">
        <w:rPr>
          <w:rFonts w:ascii="Arial" w:eastAsia="Times New Roman" w:hAnsi="Arial" w:cs="Arial"/>
          <w:color w:val="000000"/>
          <w:sz w:val="22"/>
          <w:lang w:eastAsia="en-GB"/>
        </w:rPr>
        <w:t>. Available at: https://www.cqc.org.uk/press-release/national-survey-shows-improvements-peoples-hospital-experiences-although-concerns (Accessed: September 19, 2026).</w:t>
      </w:r>
    </w:p>
    <w:p w14:paraId="37D053E6"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Gardner, H. (2024) “A review of Maslow’s hierarchy of needs in students during the COVID-19 pandemic,” </w:t>
      </w:r>
      <w:r w:rsidRPr="00000470">
        <w:rPr>
          <w:rFonts w:ascii="Arial" w:eastAsia="Times New Roman" w:hAnsi="Arial" w:cs="Arial"/>
          <w:i/>
          <w:iCs/>
          <w:color w:val="000000"/>
          <w:sz w:val="22"/>
          <w:lang w:eastAsia="en-GB"/>
        </w:rPr>
        <w:t>ALL - Honors Theses</w:t>
      </w:r>
      <w:r w:rsidRPr="00000470">
        <w:rPr>
          <w:rFonts w:ascii="Arial" w:eastAsia="Times New Roman" w:hAnsi="Arial" w:cs="Arial"/>
          <w:color w:val="000000"/>
          <w:sz w:val="22"/>
          <w:lang w:eastAsia="en-GB"/>
        </w:rPr>
        <w:t xml:space="preserve"> [Preprint]. Available at: https://scholarsarchive.library.albany.edu/all_honors/7/ (Accessed: September 19, 2026).</w:t>
      </w:r>
    </w:p>
    <w:p w14:paraId="4E2F7F70"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Health and Care Professions Council (2024) </w:t>
      </w:r>
      <w:r w:rsidRPr="00000470">
        <w:rPr>
          <w:rFonts w:ascii="Arial" w:eastAsia="Times New Roman" w:hAnsi="Arial" w:cs="Arial"/>
          <w:i/>
          <w:iCs/>
          <w:color w:val="000000"/>
          <w:sz w:val="22"/>
          <w:lang w:eastAsia="en-GB"/>
        </w:rPr>
        <w:t>Standards of Conduct, Performance and Ethics</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Health and Care Professions Council</w:t>
      </w:r>
      <w:r w:rsidRPr="00000470">
        <w:rPr>
          <w:rFonts w:ascii="Arial" w:eastAsia="Times New Roman" w:hAnsi="Arial" w:cs="Arial"/>
          <w:color w:val="000000"/>
          <w:sz w:val="22"/>
          <w:lang w:eastAsia="en-GB"/>
        </w:rPr>
        <w:t>. Available at: https://www.hcpc-uk.org/standards/standards-of-conduct-performance-and-ethics/ (Accessed: September 19, 2026).</w:t>
      </w:r>
    </w:p>
    <w:p w14:paraId="0F38C036"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Laureano, C., Laranjeira, C., Querido, A., </w:t>
      </w:r>
      <w:proofErr w:type="spellStart"/>
      <w:r w:rsidRPr="00000470">
        <w:rPr>
          <w:rFonts w:ascii="Arial" w:eastAsia="Times New Roman" w:hAnsi="Arial" w:cs="Arial"/>
          <w:color w:val="000000"/>
          <w:sz w:val="22"/>
          <w:lang w:eastAsia="en-GB"/>
        </w:rPr>
        <w:t>Dixe</w:t>
      </w:r>
      <w:proofErr w:type="spellEnd"/>
      <w:r w:rsidRPr="00000470">
        <w:rPr>
          <w:rFonts w:ascii="Arial" w:eastAsia="Times New Roman" w:hAnsi="Arial" w:cs="Arial"/>
          <w:color w:val="000000"/>
          <w:sz w:val="22"/>
          <w:lang w:eastAsia="en-GB"/>
        </w:rPr>
        <w:t xml:space="preserve">, M.A. and Rego, F. (2024) “Ethical issues in clinical decision-making about involuntary psychiatric treatment: A scoping review,” </w:t>
      </w:r>
      <w:r w:rsidRPr="00000470">
        <w:rPr>
          <w:rFonts w:ascii="Arial" w:eastAsia="Times New Roman" w:hAnsi="Arial" w:cs="Arial"/>
          <w:i/>
          <w:iCs/>
          <w:color w:val="000000"/>
          <w:sz w:val="22"/>
          <w:lang w:eastAsia="en-GB"/>
        </w:rPr>
        <w:t>Healthcare</w:t>
      </w:r>
      <w:r w:rsidRPr="00000470">
        <w:rPr>
          <w:rFonts w:ascii="Arial" w:eastAsia="Times New Roman" w:hAnsi="Arial" w:cs="Arial"/>
          <w:color w:val="000000"/>
          <w:sz w:val="22"/>
          <w:lang w:eastAsia="en-GB"/>
        </w:rPr>
        <w:t>, 12(4), pp. 1–22. Available at: https://doi.org/10.3390/healthcare12040445.</w:t>
      </w:r>
    </w:p>
    <w:p w14:paraId="0F3286E6"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lastRenderedPageBreak/>
        <w:t xml:space="preserve">Moore, C., Unwin, P., Evans, N. and Howie, F. (2022) “Social prescribing: Exploring general practitioners’ and healthcare professionals’ perceptions of, and engagement with, the NHS model,” </w:t>
      </w:r>
      <w:r w:rsidRPr="00000470">
        <w:rPr>
          <w:rFonts w:ascii="Arial" w:eastAsia="Times New Roman" w:hAnsi="Arial" w:cs="Arial"/>
          <w:i/>
          <w:iCs/>
          <w:color w:val="000000"/>
          <w:sz w:val="22"/>
          <w:lang w:eastAsia="en-GB"/>
        </w:rPr>
        <w:t>Health &amp; Social Care in the Community</w:t>
      </w:r>
      <w:r w:rsidRPr="00000470">
        <w:rPr>
          <w:rFonts w:ascii="Arial" w:eastAsia="Times New Roman" w:hAnsi="Arial" w:cs="Arial"/>
          <w:color w:val="000000"/>
          <w:sz w:val="22"/>
          <w:lang w:eastAsia="en-GB"/>
        </w:rPr>
        <w:t>, 30(6). Available at: https://doi.org/10.1111/hsc.13935.</w:t>
      </w:r>
    </w:p>
    <w:p w14:paraId="206DF0A3"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NHS (2025) </w:t>
      </w:r>
      <w:r w:rsidRPr="00000470">
        <w:rPr>
          <w:rFonts w:ascii="Arial" w:eastAsia="Times New Roman" w:hAnsi="Arial" w:cs="Arial"/>
          <w:i/>
          <w:iCs/>
          <w:color w:val="000000"/>
          <w:sz w:val="22"/>
          <w:lang w:eastAsia="en-GB"/>
        </w:rPr>
        <w:t>NHS England » millions more GP appointments delivered in record year</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England.nhs.uk</w:t>
      </w:r>
      <w:r w:rsidRPr="00000470">
        <w:rPr>
          <w:rFonts w:ascii="Arial" w:eastAsia="Times New Roman" w:hAnsi="Arial" w:cs="Arial"/>
          <w:color w:val="000000"/>
          <w:sz w:val="22"/>
          <w:lang w:eastAsia="en-GB"/>
        </w:rPr>
        <w:t>. Available at: https://www.england.nhs.uk/2025/07/millions-more-gp-appointments-delivered-in-record-year/ (Accessed: September 19, 2026).</w:t>
      </w:r>
    </w:p>
    <w:p w14:paraId="34B550D7"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NHS (2026a) </w:t>
      </w:r>
      <w:r w:rsidRPr="00000470">
        <w:rPr>
          <w:rFonts w:ascii="Arial" w:eastAsia="Times New Roman" w:hAnsi="Arial" w:cs="Arial"/>
          <w:i/>
          <w:iCs/>
          <w:color w:val="000000"/>
          <w:sz w:val="22"/>
          <w:lang w:eastAsia="en-GB"/>
        </w:rPr>
        <w:t>Equalities impact assessment: 10 Year health plan for England - GOV.UK</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Www.gov.uk</w:t>
      </w:r>
      <w:r w:rsidRPr="00000470">
        <w:rPr>
          <w:rFonts w:ascii="Arial" w:eastAsia="Times New Roman" w:hAnsi="Arial" w:cs="Arial"/>
          <w:color w:val="000000"/>
          <w:sz w:val="22"/>
          <w:lang w:eastAsia="en-GB"/>
        </w:rPr>
        <w:t>. Available at: https://www.gov.uk/government/publications/equalities-impact-assessment-10-year-health-plan-for-england/equalities-impact-assessment-10-year-health-plan-for-england (Accessed: September 19, 2026).</w:t>
      </w:r>
    </w:p>
    <w:p w14:paraId="2AEB27B7"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NHS (2026b) </w:t>
      </w:r>
      <w:r w:rsidRPr="00000470">
        <w:rPr>
          <w:rFonts w:ascii="Arial" w:eastAsia="Times New Roman" w:hAnsi="Arial" w:cs="Arial"/>
          <w:i/>
          <w:iCs/>
          <w:color w:val="000000"/>
          <w:sz w:val="22"/>
          <w:lang w:eastAsia="en-GB"/>
        </w:rPr>
        <w:t xml:space="preserve">NHS England » </w:t>
      </w:r>
      <w:proofErr w:type="spellStart"/>
      <w:r w:rsidRPr="00000470">
        <w:rPr>
          <w:rFonts w:ascii="Arial" w:eastAsia="Times New Roman" w:hAnsi="Arial" w:cs="Arial"/>
          <w:i/>
          <w:iCs/>
          <w:color w:val="000000"/>
          <w:sz w:val="22"/>
          <w:lang w:eastAsia="en-GB"/>
        </w:rPr>
        <w:t>mrs</w:t>
      </w:r>
      <w:proofErr w:type="spellEnd"/>
      <w:r w:rsidRPr="00000470">
        <w:rPr>
          <w:rFonts w:ascii="Arial" w:eastAsia="Times New Roman" w:hAnsi="Arial" w:cs="Arial"/>
          <w:i/>
          <w:iCs/>
          <w:color w:val="000000"/>
          <w:sz w:val="22"/>
          <w:lang w:eastAsia="en-GB"/>
        </w:rPr>
        <w:t xml:space="preserve"> C’s story</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www.england.nhs.uk</w:t>
      </w:r>
      <w:r w:rsidRPr="00000470">
        <w:rPr>
          <w:rFonts w:ascii="Arial" w:eastAsia="Times New Roman" w:hAnsi="Arial" w:cs="Arial"/>
          <w:color w:val="000000"/>
          <w:sz w:val="22"/>
          <w:lang w:eastAsia="en-GB"/>
        </w:rPr>
        <w:t>. Available at: https://www.england.nhs.uk/personalisedcare/comprehensive-model/case-studies/mrs-cs-story/ (Accessed: September 19, 2026).</w:t>
      </w:r>
    </w:p>
    <w:p w14:paraId="1A5F68A1"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NHS (2026c) </w:t>
      </w:r>
      <w:r w:rsidRPr="00000470">
        <w:rPr>
          <w:rFonts w:ascii="Arial" w:eastAsia="Times New Roman" w:hAnsi="Arial" w:cs="Arial"/>
          <w:i/>
          <w:iCs/>
          <w:color w:val="000000"/>
          <w:sz w:val="22"/>
          <w:lang w:eastAsia="en-GB"/>
        </w:rPr>
        <w:t>Performance report</w:t>
      </w:r>
      <w:r w:rsidRPr="00000470">
        <w:rPr>
          <w:rFonts w:ascii="Arial" w:eastAsia="Times New Roman" w:hAnsi="Arial" w:cs="Arial"/>
          <w:color w:val="000000"/>
          <w:sz w:val="22"/>
          <w:lang w:eastAsia="en-GB"/>
        </w:rPr>
        <w:t>. Available at: https://www.england.nhs.uk/wp-content/uploads/2019/07/performance-report-201819.pdf (Accessed: September 19, 2026).</w:t>
      </w:r>
    </w:p>
    <w:p w14:paraId="593DB776"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NHS England (2026a) </w:t>
      </w:r>
      <w:r w:rsidRPr="00000470">
        <w:rPr>
          <w:rFonts w:ascii="Arial" w:eastAsia="Times New Roman" w:hAnsi="Arial" w:cs="Arial"/>
          <w:i/>
          <w:iCs/>
          <w:color w:val="000000"/>
          <w:sz w:val="22"/>
          <w:lang w:eastAsia="en-GB"/>
        </w:rPr>
        <w:t>NHS England » Evidence and case studies</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www.england.nhs.uk</w:t>
      </w:r>
      <w:r w:rsidRPr="00000470">
        <w:rPr>
          <w:rFonts w:ascii="Arial" w:eastAsia="Times New Roman" w:hAnsi="Arial" w:cs="Arial"/>
          <w:color w:val="000000"/>
          <w:sz w:val="22"/>
          <w:lang w:eastAsia="en-GB"/>
        </w:rPr>
        <w:t>. Available at: https://www.england.nhs.uk/personalisedcare/evidence-and-case-studies/ (Accessed: September 19, 2026).</w:t>
      </w:r>
    </w:p>
    <w:p w14:paraId="2FB414F1"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NHS England (2026b) </w:t>
      </w:r>
      <w:r w:rsidRPr="00000470">
        <w:rPr>
          <w:rFonts w:ascii="Arial" w:eastAsia="Times New Roman" w:hAnsi="Arial" w:cs="Arial"/>
          <w:i/>
          <w:iCs/>
          <w:color w:val="000000"/>
          <w:sz w:val="22"/>
          <w:lang w:eastAsia="en-GB"/>
        </w:rPr>
        <w:t xml:space="preserve">What is personalised </w:t>
      </w:r>
      <w:proofErr w:type="gramStart"/>
      <w:r w:rsidRPr="00000470">
        <w:rPr>
          <w:rFonts w:ascii="Arial" w:eastAsia="Times New Roman" w:hAnsi="Arial" w:cs="Arial"/>
          <w:i/>
          <w:iCs/>
          <w:color w:val="000000"/>
          <w:sz w:val="22"/>
          <w:lang w:eastAsia="en-GB"/>
        </w:rPr>
        <w:t>care?</w:t>
      </w:r>
      <w:r w:rsidRPr="00000470">
        <w:rPr>
          <w:rFonts w:ascii="Arial" w:eastAsia="Times New Roman" w:hAnsi="Arial" w:cs="Arial"/>
          <w:color w:val="000000"/>
          <w:sz w:val="22"/>
          <w:lang w:eastAsia="en-GB"/>
        </w:rPr>
        <w:t>,</w:t>
      </w:r>
      <w:proofErr w:type="gramEnd"/>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NHS ENGLAND</w:t>
      </w:r>
      <w:r w:rsidRPr="00000470">
        <w:rPr>
          <w:rFonts w:ascii="Arial" w:eastAsia="Times New Roman" w:hAnsi="Arial" w:cs="Arial"/>
          <w:color w:val="000000"/>
          <w:sz w:val="22"/>
          <w:lang w:eastAsia="en-GB"/>
        </w:rPr>
        <w:t>. NHS England. Available at: https://www.england.nhs.uk/personalisedcare/what-is-personalised-care/ (Accessed: September 19, 2026).</w:t>
      </w:r>
    </w:p>
    <w:p w14:paraId="2A942AAF"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NICE (2021) </w:t>
      </w:r>
      <w:r w:rsidRPr="00000470">
        <w:rPr>
          <w:rFonts w:ascii="Arial" w:eastAsia="Times New Roman" w:hAnsi="Arial" w:cs="Arial"/>
          <w:i/>
          <w:iCs/>
          <w:color w:val="000000"/>
          <w:sz w:val="22"/>
          <w:lang w:eastAsia="en-GB"/>
        </w:rPr>
        <w:t>Overview | shared decision making | guidance | NICE</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www.nice.org.uk</w:t>
      </w:r>
      <w:r w:rsidRPr="00000470">
        <w:rPr>
          <w:rFonts w:ascii="Arial" w:eastAsia="Times New Roman" w:hAnsi="Arial" w:cs="Arial"/>
          <w:color w:val="000000"/>
          <w:sz w:val="22"/>
          <w:lang w:eastAsia="en-GB"/>
        </w:rPr>
        <w:t>. Available at: https://www.nice.org.uk/guidance/ng197 (Accessed: September 19, 2026).</w:t>
      </w:r>
    </w:p>
    <w:p w14:paraId="113639D8"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ONS (2023) </w:t>
      </w:r>
      <w:r w:rsidRPr="00000470">
        <w:rPr>
          <w:rFonts w:ascii="Arial" w:eastAsia="Times New Roman" w:hAnsi="Arial" w:cs="Arial"/>
          <w:i/>
          <w:iCs/>
          <w:color w:val="000000"/>
          <w:sz w:val="22"/>
          <w:lang w:eastAsia="en-GB"/>
        </w:rPr>
        <w:t>Unpaid care, England and Wales - office for national statistics</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www.ons.gov.uk</w:t>
      </w:r>
      <w:r w:rsidRPr="00000470">
        <w:rPr>
          <w:rFonts w:ascii="Arial" w:eastAsia="Times New Roman" w:hAnsi="Arial" w:cs="Arial"/>
          <w:color w:val="000000"/>
          <w:sz w:val="22"/>
          <w:lang w:eastAsia="en-GB"/>
        </w:rPr>
        <w:t>. Available at: https://www.ons.gov.uk/peoplepopulationandcommunity/healthandsocialcare/healthandwellbeing/bulletins/unpaidcareenglandandwales/census2021 (Accessed: September 19, 2026).</w:t>
      </w:r>
    </w:p>
    <w:p w14:paraId="6855C4C5"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Patients Know Best (2025) </w:t>
      </w:r>
      <w:r w:rsidRPr="00000470">
        <w:rPr>
          <w:rFonts w:ascii="Arial" w:eastAsia="Times New Roman" w:hAnsi="Arial" w:cs="Arial"/>
          <w:i/>
          <w:iCs/>
          <w:color w:val="000000"/>
          <w:sz w:val="22"/>
          <w:lang w:eastAsia="en-GB"/>
        </w:rPr>
        <w:t>Patient activation measure ( PAM)</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Patientsknowbest.com</w:t>
      </w:r>
      <w:r w:rsidRPr="00000470">
        <w:rPr>
          <w:rFonts w:ascii="Arial" w:eastAsia="Times New Roman" w:hAnsi="Arial" w:cs="Arial"/>
          <w:color w:val="000000"/>
          <w:sz w:val="22"/>
          <w:lang w:eastAsia="en-GB"/>
        </w:rPr>
        <w:t xml:space="preserve">. Available at: </w:t>
      </w:r>
      <w:r w:rsidRPr="00000470">
        <w:rPr>
          <w:rFonts w:ascii="Arial" w:eastAsia="Times New Roman" w:hAnsi="Arial" w:cs="Arial"/>
          <w:color w:val="000000"/>
          <w:sz w:val="22"/>
          <w:lang w:eastAsia="en-GB"/>
        </w:rPr>
        <w:lastRenderedPageBreak/>
        <w:t>https://wiki.patientsknowbest.com/space/RESEARCH/3538354462/Patient+Activation+Measure+(+PAM) (Accessed: September 19, 2026).</w:t>
      </w:r>
    </w:p>
    <w:p w14:paraId="3D6AA756"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Poudel, D., </w:t>
      </w:r>
      <w:proofErr w:type="spellStart"/>
      <w:r w:rsidRPr="00000470">
        <w:rPr>
          <w:rFonts w:ascii="Arial" w:eastAsia="Times New Roman" w:hAnsi="Arial" w:cs="Arial"/>
          <w:color w:val="000000"/>
          <w:sz w:val="22"/>
          <w:lang w:eastAsia="en-GB"/>
        </w:rPr>
        <w:t>Aledeh</w:t>
      </w:r>
      <w:proofErr w:type="spellEnd"/>
      <w:r w:rsidRPr="00000470">
        <w:rPr>
          <w:rFonts w:ascii="Arial" w:eastAsia="Times New Roman" w:hAnsi="Arial" w:cs="Arial"/>
          <w:color w:val="000000"/>
          <w:sz w:val="22"/>
          <w:lang w:eastAsia="en-GB"/>
        </w:rPr>
        <w:t xml:space="preserve">, M., Parveen, N., Ishfaq, M., </w:t>
      </w:r>
      <w:proofErr w:type="spellStart"/>
      <w:r w:rsidRPr="00000470">
        <w:rPr>
          <w:rFonts w:ascii="Arial" w:eastAsia="Times New Roman" w:hAnsi="Arial" w:cs="Arial"/>
          <w:color w:val="000000"/>
          <w:sz w:val="22"/>
          <w:lang w:eastAsia="en-GB"/>
        </w:rPr>
        <w:t>Golbourn</w:t>
      </w:r>
      <w:proofErr w:type="spellEnd"/>
      <w:r w:rsidRPr="00000470">
        <w:rPr>
          <w:rFonts w:ascii="Arial" w:eastAsia="Times New Roman" w:hAnsi="Arial" w:cs="Arial"/>
          <w:color w:val="000000"/>
          <w:sz w:val="22"/>
          <w:lang w:eastAsia="en-GB"/>
        </w:rPr>
        <w:t xml:space="preserve">, L.-M., Ali, Y., Lazzari, C. and Kotera, Y. (2025) “Compassion in healthcare: A narrative review of cross-cultural perspectives,” </w:t>
      </w:r>
      <w:r w:rsidRPr="00000470">
        <w:rPr>
          <w:rFonts w:ascii="Arial" w:eastAsia="Times New Roman" w:hAnsi="Arial" w:cs="Arial"/>
          <w:i/>
          <w:iCs/>
          <w:color w:val="000000"/>
          <w:sz w:val="22"/>
          <w:lang w:eastAsia="en-GB"/>
        </w:rPr>
        <w:t>Journal of Healthcare Leadership</w:t>
      </w:r>
      <w:r w:rsidRPr="00000470">
        <w:rPr>
          <w:rFonts w:ascii="Arial" w:eastAsia="Times New Roman" w:hAnsi="Arial" w:cs="Arial"/>
          <w:color w:val="000000"/>
          <w:sz w:val="22"/>
          <w:lang w:eastAsia="en-GB"/>
        </w:rPr>
        <w:t>, Volume 17, pp. 665–680. Available at: https://doi.org/10.2147/jhl.s555896.</w:t>
      </w:r>
    </w:p>
    <w:p w14:paraId="3FA26C0E"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SCIE (2024) </w:t>
      </w:r>
      <w:r w:rsidRPr="00000470">
        <w:rPr>
          <w:rFonts w:ascii="Arial" w:eastAsia="Times New Roman" w:hAnsi="Arial" w:cs="Arial"/>
          <w:i/>
          <w:iCs/>
          <w:color w:val="000000"/>
          <w:sz w:val="22"/>
          <w:lang w:eastAsia="en-GB"/>
        </w:rPr>
        <w:t>Assessment of needs</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SCIE</w:t>
      </w:r>
      <w:r w:rsidRPr="00000470">
        <w:rPr>
          <w:rFonts w:ascii="Arial" w:eastAsia="Times New Roman" w:hAnsi="Arial" w:cs="Arial"/>
          <w:color w:val="000000"/>
          <w:sz w:val="22"/>
          <w:lang w:eastAsia="en-GB"/>
        </w:rPr>
        <w:t>. Available at: https://www.scie.org.uk/assessment-and-eligibility/assessment-of-needs-under-the-care-act-2014/ (Accessed: September 19, 2026).</w:t>
      </w:r>
    </w:p>
    <w:p w14:paraId="55181872"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The Health Foundation (2026) </w:t>
      </w:r>
      <w:r w:rsidRPr="00000470">
        <w:rPr>
          <w:rFonts w:ascii="Arial" w:eastAsia="Times New Roman" w:hAnsi="Arial" w:cs="Arial"/>
          <w:i/>
          <w:iCs/>
          <w:color w:val="000000"/>
          <w:sz w:val="22"/>
          <w:lang w:eastAsia="en-GB"/>
        </w:rPr>
        <w:t>Reducing emergency admissions</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The Health Foundation</w:t>
      </w:r>
      <w:r w:rsidRPr="00000470">
        <w:rPr>
          <w:rFonts w:ascii="Arial" w:eastAsia="Times New Roman" w:hAnsi="Arial" w:cs="Arial"/>
          <w:color w:val="000000"/>
          <w:sz w:val="22"/>
          <w:lang w:eastAsia="en-GB"/>
        </w:rPr>
        <w:t>. Available at: https://www.health.org.uk/reports-and-analysis/briefings/reducing-emergency-admissions (Accessed: September 19, 2026).</w:t>
      </w:r>
    </w:p>
    <w:p w14:paraId="186EB292"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The King’s Fund (2026) </w:t>
      </w:r>
      <w:r w:rsidRPr="00000470">
        <w:rPr>
          <w:rFonts w:ascii="Arial" w:eastAsia="Times New Roman" w:hAnsi="Arial" w:cs="Arial"/>
          <w:i/>
          <w:iCs/>
          <w:color w:val="000000"/>
          <w:sz w:val="22"/>
          <w:lang w:eastAsia="en-GB"/>
        </w:rPr>
        <w:t>Social care 360: Workforce and carers</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The King’s Fund</w:t>
      </w:r>
      <w:r w:rsidRPr="00000470">
        <w:rPr>
          <w:rFonts w:ascii="Arial" w:eastAsia="Times New Roman" w:hAnsi="Arial" w:cs="Arial"/>
          <w:color w:val="000000"/>
          <w:sz w:val="22"/>
          <w:lang w:eastAsia="en-GB"/>
        </w:rPr>
        <w:t>. Available at: https://www.kingsfund.org.uk/insight-and-analysis/long-reads/social-care-360-workforce-carers (Accessed: September 19, 2026).</w:t>
      </w:r>
    </w:p>
    <w:p w14:paraId="69C546C1" w14:textId="77777777" w:rsidR="00723235" w:rsidRPr="00000470" w:rsidRDefault="00723235" w:rsidP="00723235">
      <w:pPr>
        <w:shd w:val="clear" w:color="auto" w:fill="FFFFFF"/>
        <w:spacing w:before="240" w:after="240"/>
        <w:rPr>
          <w:rFonts w:ascii="Arial" w:eastAsia="Times New Roman" w:hAnsi="Arial" w:cs="Arial"/>
          <w:szCs w:val="24"/>
          <w:lang w:eastAsia="en-GB"/>
        </w:rPr>
      </w:pPr>
      <w:r w:rsidRPr="00000470">
        <w:rPr>
          <w:rFonts w:ascii="Arial" w:eastAsia="Times New Roman" w:hAnsi="Arial" w:cs="Arial"/>
          <w:color w:val="000000"/>
          <w:sz w:val="22"/>
          <w:lang w:eastAsia="en-GB"/>
        </w:rPr>
        <w:t xml:space="preserve">World Health Organisation (2025) </w:t>
      </w:r>
      <w:r w:rsidRPr="00000470">
        <w:rPr>
          <w:rFonts w:ascii="Arial" w:eastAsia="Times New Roman" w:hAnsi="Arial" w:cs="Arial"/>
          <w:i/>
          <w:iCs/>
          <w:color w:val="000000"/>
          <w:sz w:val="22"/>
          <w:lang w:eastAsia="en-GB"/>
        </w:rPr>
        <w:t>Reducing social isolation and loneliness among older people</w:t>
      </w:r>
      <w:r w:rsidRPr="00000470">
        <w:rPr>
          <w:rFonts w:ascii="Arial" w:eastAsia="Times New Roman" w:hAnsi="Arial" w:cs="Arial"/>
          <w:color w:val="000000"/>
          <w:sz w:val="22"/>
          <w:lang w:eastAsia="en-GB"/>
        </w:rPr>
        <w:t xml:space="preserve">, </w:t>
      </w:r>
      <w:r w:rsidRPr="00000470">
        <w:rPr>
          <w:rFonts w:ascii="Arial" w:eastAsia="Times New Roman" w:hAnsi="Arial" w:cs="Arial"/>
          <w:i/>
          <w:iCs/>
          <w:color w:val="000000"/>
          <w:sz w:val="22"/>
          <w:lang w:eastAsia="en-GB"/>
        </w:rPr>
        <w:t>www.who.int</w:t>
      </w:r>
      <w:r w:rsidRPr="00000470">
        <w:rPr>
          <w:rFonts w:ascii="Arial" w:eastAsia="Times New Roman" w:hAnsi="Arial" w:cs="Arial"/>
          <w:color w:val="000000"/>
          <w:sz w:val="22"/>
          <w:lang w:eastAsia="en-GB"/>
        </w:rPr>
        <w:t>. Available at: https://www.who.int/activities/reducing-social-isolation-and-loneliness-among-older-people (Accessed: September 19, 2026).</w:t>
      </w:r>
    </w:p>
    <w:p w14:paraId="4D9FD29E" w14:textId="77777777" w:rsidR="0018111A" w:rsidRPr="00000470" w:rsidRDefault="0018111A" w:rsidP="00723235">
      <w:pPr>
        <w:rPr>
          <w:rFonts w:ascii="Arial" w:hAnsi="Arial" w:cs="Arial"/>
        </w:rPr>
      </w:pPr>
    </w:p>
    <w:sectPr w:rsidR="0018111A" w:rsidRPr="00000470" w:rsidSect="0072323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EF091" w14:textId="77777777" w:rsidR="0090462C" w:rsidRDefault="0090462C" w:rsidP="00723235">
      <w:pPr>
        <w:spacing w:line="240" w:lineRule="auto"/>
      </w:pPr>
      <w:r>
        <w:separator/>
      </w:r>
    </w:p>
  </w:endnote>
  <w:endnote w:type="continuationSeparator" w:id="0">
    <w:p w14:paraId="46A9DD25" w14:textId="77777777" w:rsidR="0090462C" w:rsidRDefault="0090462C" w:rsidP="007232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7643454"/>
      <w:docPartObj>
        <w:docPartGallery w:val="Page Numbers (Bottom of Page)"/>
        <w:docPartUnique/>
      </w:docPartObj>
    </w:sdtPr>
    <w:sdtEndPr>
      <w:rPr>
        <w:color w:val="7F7F7F" w:themeColor="background1" w:themeShade="7F"/>
        <w:spacing w:val="60"/>
      </w:rPr>
    </w:sdtEndPr>
    <w:sdtContent>
      <w:p w14:paraId="028C6B5B" w14:textId="7125DEB4" w:rsidR="00723235" w:rsidRDefault="00723235" w:rsidP="00723235">
        <w:pPr>
          <w:pStyle w:val="Footer"/>
          <w:pBdr>
            <w:top w:val="single" w:sz="4" w:space="1" w:color="D9D9D9" w:themeColor="background1" w:themeShade="D9"/>
          </w:pBdr>
          <w:jc w:val="right"/>
        </w:pPr>
        <w:r w:rsidRPr="00000470">
          <w:rPr>
            <w:rFonts w:ascii="Arial" w:hAnsi="Arial" w:cs="Arial"/>
            <w:sz w:val="18"/>
            <w:szCs w:val="16"/>
          </w:rPr>
          <w:fldChar w:fldCharType="begin"/>
        </w:r>
        <w:r w:rsidRPr="00000470">
          <w:rPr>
            <w:rFonts w:ascii="Arial" w:hAnsi="Arial" w:cs="Arial"/>
            <w:sz w:val="18"/>
            <w:szCs w:val="16"/>
          </w:rPr>
          <w:instrText>PAGE   \* MERGEFORMAT</w:instrText>
        </w:r>
        <w:r w:rsidRPr="00000470">
          <w:rPr>
            <w:rFonts w:ascii="Arial" w:hAnsi="Arial" w:cs="Arial"/>
            <w:sz w:val="18"/>
            <w:szCs w:val="16"/>
          </w:rPr>
          <w:fldChar w:fldCharType="separate"/>
        </w:r>
        <w:r w:rsidRPr="00000470">
          <w:rPr>
            <w:rFonts w:ascii="Arial" w:hAnsi="Arial" w:cs="Arial"/>
            <w:sz w:val="18"/>
            <w:szCs w:val="16"/>
          </w:rPr>
          <w:t>2</w:t>
        </w:r>
        <w:r w:rsidRPr="00000470">
          <w:rPr>
            <w:rFonts w:ascii="Arial" w:hAnsi="Arial" w:cs="Arial"/>
            <w:sz w:val="18"/>
            <w:szCs w:val="16"/>
          </w:rPr>
          <w:fldChar w:fldCharType="end"/>
        </w:r>
        <w:r w:rsidRPr="00000470">
          <w:rPr>
            <w:rFonts w:ascii="Arial" w:hAnsi="Arial" w:cs="Arial"/>
            <w:sz w:val="18"/>
            <w:szCs w:val="16"/>
          </w:rPr>
          <w:t xml:space="preserve"> | </w:t>
        </w:r>
        <w:r w:rsidRPr="00000470">
          <w:rPr>
            <w:rFonts w:ascii="Arial" w:hAnsi="Arial" w:cs="Arial"/>
            <w:color w:val="7F7F7F" w:themeColor="background1" w:themeShade="7F"/>
            <w:spacing w:val="60"/>
            <w:sz w:val="18"/>
            <w:szCs w:val="16"/>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B797D6" w14:textId="77777777" w:rsidR="0090462C" w:rsidRDefault="0090462C" w:rsidP="00723235">
      <w:pPr>
        <w:spacing w:line="240" w:lineRule="auto"/>
      </w:pPr>
      <w:r>
        <w:separator/>
      </w:r>
    </w:p>
  </w:footnote>
  <w:footnote w:type="continuationSeparator" w:id="0">
    <w:p w14:paraId="2786A1D4" w14:textId="77777777" w:rsidR="0090462C" w:rsidRDefault="0090462C" w:rsidP="0072323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235"/>
    <w:rsid w:val="00000470"/>
    <w:rsid w:val="000435D6"/>
    <w:rsid w:val="0018111A"/>
    <w:rsid w:val="00194CC4"/>
    <w:rsid w:val="001A644E"/>
    <w:rsid w:val="001B47BA"/>
    <w:rsid w:val="003131E9"/>
    <w:rsid w:val="00352234"/>
    <w:rsid w:val="004B5842"/>
    <w:rsid w:val="00550DF4"/>
    <w:rsid w:val="00553229"/>
    <w:rsid w:val="00723235"/>
    <w:rsid w:val="00796DD8"/>
    <w:rsid w:val="007B734C"/>
    <w:rsid w:val="008570D6"/>
    <w:rsid w:val="008B42D6"/>
    <w:rsid w:val="008D5FD7"/>
    <w:rsid w:val="008E1796"/>
    <w:rsid w:val="0090462C"/>
    <w:rsid w:val="009078FD"/>
    <w:rsid w:val="009422F0"/>
    <w:rsid w:val="0095467F"/>
    <w:rsid w:val="00964D51"/>
    <w:rsid w:val="009A3769"/>
    <w:rsid w:val="009B2B5E"/>
    <w:rsid w:val="009D3303"/>
    <w:rsid w:val="00A2635E"/>
    <w:rsid w:val="00A3178F"/>
    <w:rsid w:val="00B4311D"/>
    <w:rsid w:val="00BB7E3D"/>
    <w:rsid w:val="00C17D42"/>
    <w:rsid w:val="00C2067F"/>
    <w:rsid w:val="00C326D6"/>
    <w:rsid w:val="00CB53A3"/>
    <w:rsid w:val="00CD5711"/>
    <w:rsid w:val="00DA3E7F"/>
    <w:rsid w:val="00DF2F48"/>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79FE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5D6"/>
  </w:style>
  <w:style w:type="paragraph" w:styleId="Heading1">
    <w:name w:val="heading 1"/>
    <w:basedOn w:val="Normal"/>
    <w:next w:val="Normal"/>
    <w:link w:val="Heading1Char"/>
    <w:autoRedefine/>
    <w:uiPriority w:val="9"/>
    <w:qFormat/>
    <w:rsid w:val="004B5842"/>
    <w:pPr>
      <w:keepNext/>
      <w:keepLines/>
      <w:spacing w:before="120" w:after="120"/>
      <w:outlineLvl w:val="0"/>
    </w:pPr>
    <w:rPr>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0435D6"/>
    <w:pPr>
      <w:keepNext/>
      <w:keepLines/>
      <w:outlineLvl w:val="1"/>
    </w:pPr>
    <w:rPr>
      <w:b/>
      <w:sz w:val="26"/>
      <w:szCs w:val="32"/>
    </w:rPr>
  </w:style>
  <w:style w:type="paragraph" w:styleId="Heading3">
    <w:name w:val="heading 3"/>
    <w:basedOn w:val="Normal"/>
    <w:next w:val="Normal"/>
    <w:link w:val="Heading3Char"/>
    <w:uiPriority w:val="9"/>
    <w:semiHidden/>
    <w:unhideWhenUsed/>
    <w:qFormat/>
    <w:rsid w:val="0072323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323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2323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2323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2323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2323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2323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842"/>
    <w:rPr>
      <w:b/>
      <w:sz w:val="28"/>
      <w:szCs w:val="40"/>
    </w:rPr>
  </w:style>
  <w:style w:type="character" w:customStyle="1" w:styleId="Heading2Char">
    <w:name w:val="Heading 2 Char"/>
    <w:basedOn w:val="DefaultParagraphFont"/>
    <w:link w:val="Heading2"/>
    <w:uiPriority w:val="9"/>
    <w:rsid w:val="000435D6"/>
    <w:rPr>
      <w:b/>
      <w:color w:val="auto"/>
      <w:kern w:val="0"/>
      <w:sz w:val="26"/>
      <w:szCs w:val="32"/>
      <w:lang w:val="en" w:eastAsia="en-IN"/>
      <w14:ligatures w14:val="none"/>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723235"/>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3235"/>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723235"/>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72323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2323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2323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23235"/>
    <w:rPr>
      <w:rFonts w:asciiTheme="minorHAnsi" w:eastAsiaTheme="majorEastAsia" w:hAnsiTheme="minorHAnsi" w:cstheme="majorBidi"/>
      <w:color w:val="272727" w:themeColor="text1" w:themeTint="D8"/>
    </w:rPr>
  </w:style>
  <w:style w:type="paragraph" w:styleId="Subtitle">
    <w:name w:val="Subtitle"/>
    <w:basedOn w:val="Normal"/>
    <w:next w:val="Normal"/>
    <w:link w:val="SubtitleChar"/>
    <w:uiPriority w:val="11"/>
    <w:qFormat/>
    <w:rsid w:val="0072323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323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2323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3235"/>
    <w:rPr>
      <w:i/>
      <w:iCs/>
      <w:color w:val="404040" w:themeColor="text1" w:themeTint="BF"/>
    </w:rPr>
  </w:style>
  <w:style w:type="paragraph" w:styleId="ListParagraph">
    <w:name w:val="List Paragraph"/>
    <w:basedOn w:val="Normal"/>
    <w:uiPriority w:val="34"/>
    <w:qFormat/>
    <w:rsid w:val="00723235"/>
    <w:pPr>
      <w:ind w:left="720"/>
      <w:contextualSpacing/>
    </w:pPr>
  </w:style>
  <w:style w:type="character" w:styleId="IntenseEmphasis">
    <w:name w:val="Intense Emphasis"/>
    <w:basedOn w:val="DefaultParagraphFont"/>
    <w:uiPriority w:val="21"/>
    <w:qFormat/>
    <w:rsid w:val="00723235"/>
    <w:rPr>
      <w:i/>
      <w:iCs/>
      <w:color w:val="2F5496" w:themeColor="accent1" w:themeShade="BF"/>
    </w:rPr>
  </w:style>
  <w:style w:type="paragraph" w:styleId="IntenseQuote">
    <w:name w:val="Intense Quote"/>
    <w:basedOn w:val="Normal"/>
    <w:next w:val="Normal"/>
    <w:link w:val="IntenseQuoteChar"/>
    <w:uiPriority w:val="30"/>
    <w:qFormat/>
    <w:rsid w:val="007232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3235"/>
    <w:rPr>
      <w:i/>
      <w:iCs/>
      <w:color w:val="2F5496" w:themeColor="accent1" w:themeShade="BF"/>
    </w:rPr>
  </w:style>
  <w:style w:type="character" w:styleId="IntenseReference">
    <w:name w:val="Intense Reference"/>
    <w:basedOn w:val="DefaultParagraphFont"/>
    <w:uiPriority w:val="32"/>
    <w:qFormat/>
    <w:rsid w:val="00723235"/>
    <w:rPr>
      <w:b/>
      <w:bCs/>
      <w:smallCaps/>
      <w:color w:val="2F5496" w:themeColor="accent1" w:themeShade="BF"/>
      <w:spacing w:val="5"/>
    </w:rPr>
  </w:style>
  <w:style w:type="paragraph" w:styleId="TOCHeading">
    <w:name w:val="TOC Heading"/>
    <w:basedOn w:val="Heading1"/>
    <w:next w:val="Normal"/>
    <w:uiPriority w:val="39"/>
    <w:unhideWhenUsed/>
    <w:qFormat/>
    <w:rsid w:val="00723235"/>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723235"/>
  </w:style>
  <w:style w:type="paragraph" w:styleId="TOC2">
    <w:name w:val="toc 2"/>
    <w:basedOn w:val="Normal"/>
    <w:next w:val="Normal"/>
    <w:autoRedefine/>
    <w:uiPriority w:val="39"/>
    <w:unhideWhenUsed/>
    <w:rsid w:val="00723235"/>
    <w:pPr>
      <w:ind w:left="240"/>
    </w:pPr>
  </w:style>
  <w:style w:type="character" w:styleId="Hyperlink">
    <w:name w:val="Hyperlink"/>
    <w:basedOn w:val="DefaultParagraphFont"/>
    <w:uiPriority w:val="99"/>
    <w:unhideWhenUsed/>
    <w:rsid w:val="00723235"/>
    <w:rPr>
      <w:color w:val="0563C1" w:themeColor="hyperlink"/>
      <w:u w:val="single"/>
    </w:rPr>
  </w:style>
  <w:style w:type="paragraph" w:styleId="Header">
    <w:name w:val="header"/>
    <w:basedOn w:val="Normal"/>
    <w:link w:val="HeaderChar"/>
    <w:uiPriority w:val="99"/>
    <w:unhideWhenUsed/>
    <w:rsid w:val="00723235"/>
    <w:pPr>
      <w:tabs>
        <w:tab w:val="center" w:pos="4513"/>
        <w:tab w:val="right" w:pos="9026"/>
      </w:tabs>
      <w:spacing w:line="240" w:lineRule="auto"/>
    </w:pPr>
  </w:style>
  <w:style w:type="character" w:customStyle="1" w:styleId="HeaderChar">
    <w:name w:val="Header Char"/>
    <w:basedOn w:val="DefaultParagraphFont"/>
    <w:link w:val="Header"/>
    <w:uiPriority w:val="99"/>
    <w:rsid w:val="00723235"/>
  </w:style>
  <w:style w:type="paragraph" w:styleId="Footer">
    <w:name w:val="footer"/>
    <w:basedOn w:val="Normal"/>
    <w:link w:val="FooterChar"/>
    <w:uiPriority w:val="99"/>
    <w:unhideWhenUsed/>
    <w:rsid w:val="00723235"/>
    <w:pPr>
      <w:tabs>
        <w:tab w:val="center" w:pos="4513"/>
        <w:tab w:val="right" w:pos="9026"/>
      </w:tabs>
      <w:spacing w:line="240" w:lineRule="auto"/>
    </w:pPr>
  </w:style>
  <w:style w:type="character" w:customStyle="1" w:styleId="FooterChar">
    <w:name w:val="Footer Char"/>
    <w:basedOn w:val="DefaultParagraphFont"/>
    <w:link w:val="Footer"/>
    <w:uiPriority w:val="99"/>
    <w:rsid w:val="007232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370EA4-2DF4-48BA-803A-7F6870672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3314</Words>
  <Characters>18891</Characters>
  <Application>Microsoft Office Word</Application>
  <DocSecurity>0</DocSecurity>
  <Lines>157</Lines>
  <Paragraphs>44</Paragraphs>
  <ScaleCrop>false</ScaleCrop>
  <Company/>
  <LinksUpToDate>false</LinksUpToDate>
  <CharactersWithSpaces>22161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2026-10-20T15:29:00Z</dcterms:created>
  <dcterms:modified xsi:type="dcterms:W3CDTF">2026-10-20T15:29:00Z</dcterms:modified>
</cp:coreProperties>
</file>