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0DAF3" w14:textId="77777777" w:rsidR="005809A6" w:rsidRPr="00C861BC" w:rsidRDefault="005809A6" w:rsidP="003E445C">
      <w:r w:rsidRPr="00C861BC">
        <w:t>Student Name: Louise Rimmer</w:t>
      </w:r>
      <w:r w:rsidRPr="00C861BC">
        <w:br/>
        <w:t>Student Number: 2306111</w:t>
      </w:r>
      <w:r w:rsidRPr="00C861BC">
        <w:br/>
        <w:t>Programme of Study: Design Craft: Glass Ceramics and Jewellery</w:t>
      </w:r>
      <w:r w:rsidRPr="00C861BC">
        <w:br/>
        <w:t>Module: ADAD5004 Research in Practice</w:t>
      </w:r>
      <w:r w:rsidRPr="00C861BC">
        <w:br/>
        <w:t>Word Count:</w:t>
      </w:r>
      <w:r w:rsidRPr="00C861BC">
        <w:br/>
        <w:t>Tutor Name: Julia Lockheart</w:t>
      </w:r>
      <w:r w:rsidRPr="00C861BC">
        <w:br/>
        <w:t>Three Keywords: Transparency, Fragility, Fire</w:t>
      </w:r>
    </w:p>
    <w:p w14:paraId="5183DDFE" w14:textId="77777777" w:rsidR="0043777B" w:rsidRDefault="0043777B" w:rsidP="0043777B">
      <w:pPr>
        <w:rPr>
          <w:rFonts w:cs="Arial"/>
          <w:bCs/>
        </w:rPr>
      </w:pPr>
      <w:r>
        <w:rPr>
          <w:rFonts w:cs="Arial"/>
          <w:bCs/>
        </w:rPr>
        <w:t>When something is describes as fragile is related to something being easily broken or destroyed</w:t>
      </w:r>
      <w:sdt>
        <w:sdtPr>
          <w:rPr>
            <w:rFonts w:cs="Arial"/>
            <w:bCs/>
          </w:rPr>
          <w:id w:val="574551017"/>
          <w:citation/>
        </w:sdtPr>
        <w:sdtContent>
          <w:r>
            <w:rPr>
              <w:rFonts w:cs="Arial"/>
              <w:bCs/>
            </w:rPr>
            <w:fldChar w:fldCharType="begin"/>
          </w:r>
          <w:r>
            <w:rPr>
              <w:rFonts w:cs="Arial"/>
              <w:bCs/>
              <w:lang w:val="en-US"/>
            </w:rPr>
            <w:instrText xml:space="preserve"> CITATION Cam1 \l 1033 </w:instrText>
          </w:r>
          <w:r>
            <w:rPr>
              <w:rFonts w:cs="Arial"/>
              <w:bCs/>
            </w:rPr>
            <w:fldChar w:fldCharType="separate"/>
          </w:r>
          <w:r>
            <w:rPr>
              <w:rFonts w:cs="Arial"/>
              <w:bCs/>
              <w:noProof/>
              <w:lang w:val="en-US"/>
            </w:rPr>
            <w:t xml:space="preserve"> </w:t>
          </w:r>
          <w:r w:rsidRPr="00F721C8">
            <w:rPr>
              <w:rFonts w:cs="Arial"/>
              <w:noProof/>
              <w:lang w:val="en-US"/>
            </w:rPr>
            <w:t>(Press, n.d.)</w:t>
          </w:r>
          <w:r>
            <w:rPr>
              <w:rFonts w:cs="Arial"/>
              <w:bCs/>
            </w:rPr>
            <w:fldChar w:fldCharType="end"/>
          </w:r>
        </w:sdtContent>
      </w:sdt>
      <w:r>
        <w:rPr>
          <w:rFonts w:cs="Arial"/>
          <w:bCs/>
        </w:rPr>
        <w:t xml:space="preserve"> , going further by relating it to the concept of something lacking in physical or emotional strength. Fragility is one of the defining qualities of glass; it is difficult to work with as it is </w:t>
      </w:r>
      <w:proofErr w:type="spellStart"/>
      <w:r>
        <w:rPr>
          <w:rFonts w:cs="Arial"/>
          <w:bCs/>
        </w:rPr>
        <w:t>renound</w:t>
      </w:r>
      <w:proofErr w:type="spellEnd"/>
      <w:r>
        <w:rPr>
          <w:rFonts w:cs="Arial"/>
          <w:bCs/>
        </w:rPr>
        <w:t xml:space="preserve"> for being easily broken and can take a wrong turn with even the </w:t>
      </w:r>
      <w:proofErr w:type="spellStart"/>
      <w:r>
        <w:rPr>
          <w:rFonts w:cs="Arial"/>
          <w:bCs/>
        </w:rPr>
        <w:t>smalled</w:t>
      </w:r>
      <w:proofErr w:type="spellEnd"/>
      <w:r>
        <w:rPr>
          <w:rFonts w:cs="Arial"/>
          <w:bCs/>
        </w:rPr>
        <w:t xml:space="preserve"> of changes to the process. However, this is what makes it so alluring to artists, the fact that something so easily broken can create such delicate and complex artwork. However conceptually, </w:t>
      </w:r>
      <w:r w:rsidRPr="003D6CDD">
        <w:rPr>
          <w:rFonts w:cs="Arial"/>
          <w:bCs/>
        </w:rPr>
        <w:t>it opens a powerful space for</w:t>
      </w:r>
      <w:r>
        <w:rPr>
          <w:rFonts w:cs="Arial"/>
          <w:bCs/>
        </w:rPr>
        <w:t xml:space="preserve"> artists to</w:t>
      </w:r>
      <w:r w:rsidRPr="003D6CDD">
        <w:rPr>
          <w:rFonts w:cs="Arial"/>
          <w:bCs/>
        </w:rPr>
        <w:t xml:space="preserve"> explor</w:t>
      </w:r>
      <w:r>
        <w:rPr>
          <w:rFonts w:cs="Arial"/>
          <w:bCs/>
        </w:rPr>
        <w:t xml:space="preserve">e </w:t>
      </w:r>
      <w:r w:rsidRPr="003D6CDD">
        <w:rPr>
          <w:rFonts w:cs="Arial"/>
          <w:bCs/>
        </w:rPr>
        <w:t>human emotion</w:t>
      </w:r>
      <w:r>
        <w:rPr>
          <w:rFonts w:cs="Arial"/>
          <w:bCs/>
        </w:rPr>
        <w:t xml:space="preserve"> and their own fine line between strength and vulnerability, allowing them to express themselves freely. </w:t>
      </w:r>
      <w:proofErr w:type="spellStart"/>
      <w:r>
        <w:rPr>
          <w:rFonts w:cs="Arial"/>
          <w:bCs/>
        </w:rPr>
        <w:t>Djikic</w:t>
      </w:r>
      <w:proofErr w:type="spellEnd"/>
      <w:r>
        <w:rPr>
          <w:rFonts w:cs="Arial"/>
          <w:bCs/>
        </w:rPr>
        <w:t xml:space="preserve"> and Oakley call this urge an ‘a</w:t>
      </w:r>
      <w:r w:rsidRPr="00F8713D">
        <w:rPr>
          <w:rFonts w:cs="Arial"/>
          <w:bCs/>
        </w:rPr>
        <w:t>rtist</w:t>
      </w:r>
      <w:r>
        <w:rPr>
          <w:rFonts w:cs="Arial"/>
          <w:bCs/>
        </w:rPr>
        <w:t>’s</w:t>
      </w:r>
      <w:r w:rsidRPr="00F8713D">
        <w:rPr>
          <w:rFonts w:cs="Arial"/>
          <w:bCs/>
        </w:rPr>
        <w:t xml:space="preserve"> compulsion</w:t>
      </w:r>
      <w:r>
        <w:rPr>
          <w:rFonts w:cs="Arial"/>
          <w:bCs/>
        </w:rPr>
        <w:t>’:</w:t>
      </w:r>
      <w:r w:rsidRPr="00F8713D">
        <w:rPr>
          <w:rFonts w:cs="Arial"/>
          <w:bCs/>
        </w:rPr>
        <w:t xml:space="preserve"> the emotion-impelled compulsion to create and thus explore “issues” through a given artistic medium</w:t>
      </w:r>
      <w:r>
        <w:rPr>
          <w:rFonts w:cs="Arial"/>
          <w:bCs/>
        </w:rPr>
        <w:t>’</w:t>
      </w:r>
      <w:sdt>
        <w:sdtPr>
          <w:rPr>
            <w:rFonts w:cs="Arial"/>
            <w:bCs/>
          </w:rPr>
          <w:id w:val="-288275031"/>
          <w:citation/>
        </w:sdtPr>
        <w:sdtContent>
          <w:r>
            <w:rPr>
              <w:rFonts w:cs="Arial"/>
              <w:bCs/>
            </w:rPr>
            <w:fldChar w:fldCharType="begin"/>
          </w:r>
          <w:r>
            <w:rPr>
              <w:rFonts w:cs="Arial"/>
              <w:bCs/>
              <w:lang w:val="en-US"/>
            </w:rPr>
            <w:instrText xml:space="preserve">CITATION Dji \l 1033 </w:instrText>
          </w:r>
          <w:r>
            <w:rPr>
              <w:rFonts w:cs="Arial"/>
              <w:bCs/>
            </w:rPr>
            <w:fldChar w:fldCharType="separate"/>
          </w:r>
          <w:r>
            <w:rPr>
              <w:rFonts w:cs="Arial"/>
              <w:bCs/>
              <w:noProof/>
              <w:lang w:val="en-US"/>
            </w:rPr>
            <w:t xml:space="preserve"> </w:t>
          </w:r>
          <w:r w:rsidRPr="00F721C8">
            <w:rPr>
              <w:rFonts w:cs="Arial"/>
              <w:noProof/>
              <w:lang w:val="en-US"/>
            </w:rPr>
            <w:t>(Djicik &amp; Oatley, 2014)</w:t>
          </w:r>
          <w:r>
            <w:rPr>
              <w:rFonts w:cs="Arial"/>
              <w:bCs/>
            </w:rPr>
            <w:fldChar w:fldCharType="end"/>
          </w:r>
        </w:sdtContent>
      </w:sdt>
      <w:r>
        <w:rPr>
          <w:rFonts w:cs="Arial"/>
          <w:bCs/>
        </w:rPr>
        <w:t>. This can be further explored through the work of Nancy Cohen, a multimedia artist who often uses glass and other materials such as wire, ceramics, rubber and handmade paper</w:t>
      </w:r>
      <w:r w:rsidRPr="00152C50">
        <w:rPr>
          <w:rFonts w:cs="Arial"/>
          <w:bCs/>
        </w:rPr>
        <w:t xml:space="preserve">. </w:t>
      </w:r>
      <w:r>
        <w:rPr>
          <w:rFonts w:cs="Arial"/>
          <w:bCs/>
        </w:rPr>
        <w:t xml:space="preserve">When being interviewed about her meaning of ‘narrative’ with her work, she explained that “My work is abstract with specific references. </w:t>
      </w:r>
      <w:r w:rsidRPr="00152C50">
        <w:rPr>
          <w:rFonts w:cs="Arial"/>
          <w:bCs/>
        </w:rPr>
        <w:t>In material, concept and form I am trying to balance a line between fragility and strength, survival and collaps</w:t>
      </w:r>
      <w:r>
        <w:rPr>
          <w:rFonts w:cs="Arial"/>
          <w:bCs/>
        </w:rPr>
        <w:t>e”</w:t>
      </w:r>
      <w:sdt>
        <w:sdtPr>
          <w:rPr>
            <w:rFonts w:cs="Arial"/>
            <w:bCs/>
          </w:rPr>
          <w:id w:val="1574858446"/>
          <w:citation/>
        </w:sdtPr>
        <w:sdtContent>
          <w:r>
            <w:rPr>
              <w:rFonts w:cs="Arial"/>
              <w:bCs/>
            </w:rPr>
            <w:fldChar w:fldCharType="begin"/>
          </w:r>
          <w:r>
            <w:rPr>
              <w:rFonts w:cs="Arial"/>
              <w:bCs/>
              <w:lang w:val="en-US"/>
            </w:rPr>
            <w:instrText xml:space="preserve"> CITATION Coh18 \l 1033 </w:instrText>
          </w:r>
          <w:r>
            <w:rPr>
              <w:rFonts w:cs="Arial"/>
              <w:bCs/>
            </w:rPr>
            <w:fldChar w:fldCharType="separate"/>
          </w:r>
          <w:r>
            <w:rPr>
              <w:rFonts w:cs="Arial"/>
              <w:bCs/>
              <w:noProof/>
              <w:lang w:val="en-US"/>
            </w:rPr>
            <w:t xml:space="preserve"> </w:t>
          </w:r>
          <w:r w:rsidRPr="00F721C8">
            <w:rPr>
              <w:rFonts w:cs="Arial"/>
              <w:noProof/>
              <w:lang w:val="en-US"/>
            </w:rPr>
            <w:t>(Cohen, 2018)</w:t>
          </w:r>
          <w:r>
            <w:rPr>
              <w:rFonts w:cs="Arial"/>
              <w:bCs/>
            </w:rPr>
            <w:fldChar w:fldCharType="end"/>
          </w:r>
        </w:sdtContent>
      </w:sdt>
      <w:r>
        <w:rPr>
          <w:rFonts w:cs="Arial"/>
          <w:bCs/>
        </w:rPr>
        <w:t xml:space="preserve">. The physical fragility of her work is a reflection of the fragility in areas she is communicating through her work, such as ecological </w:t>
      </w:r>
      <w:r>
        <w:rPr>
          <w:rFonts w:cs="Arial"/>
          <w:bCs/>
        </w:rPr>
        <w:lastRenderedPageBreak/>
        <w:t xml:space="preserve">breakdown and fragility in her works such as Hackensack Dreaming. An artists inner fragility can also refer to more personal connections. </w:t>
      </w:r>
      <w:r w:rsidRPr="008F7F13">
        <w:rPr>
          <w:rFonts w:cs="Arial"/>
          <w:bCs/>
        </w:rPr>
        <w:t>In the hands of an artist, glass becomes a symbol of hidden vulnerability</w:t>
      </w:r>
      <w:r>
        <w:rPr>
          <w:rFonts w:cs="Arial"/>
          <w:bCs/>
        </w:rPr>
        <w:t xml:space="preserve">, </w:t>
      </w:r>
      <w:r w:rsidRPr="008F7F13">
        <w:rPr>
          <w:rFonts w:cs="Arial"/>
          <w:bCs/>
        </w:rPr>
        <w:t xml:space="preserve">whether emotional, physical, or cultural. Jean Baudrillard </w:t>
      </w:r>
      <w:r>
        <w:rPr>
          <w:rFonts w:cs="Arial"/>
          <w:bCs/>
        </w:rPr>
        <w:t>goes deeper into these ideals, referring to glass as a symbolism of access to a secondary state of consciousness</w:t>
      </w:r>
      <w:sdt>
        <w:sdtPr>
          <w:rPr>
            <w:rFonts w:cs="Arial"/>
            <w:bCs/>
          </w:rPr>
          <w:id w:val="-1611425502"/>
          <w:citation/>
        </w:sdtPr>
        <w:sdtContent>
          <w:r>
            <w:rPr>
              <w:rFonts w:cs="Arial"/>
              <w:bCs/>
            </w:rPr>
            <w:fldChar w:fldCharType="begin"/>
          </w:r>
          <w:r>
            <w:rPr>
              <w:rFonts w:cs="Arial"/>
              <w:bCs/>
              <w:lang w:val="en-US"/>
            </w:rPr>
            <w:instrText xml:space="preserve">CITATION Bau96 \l 1033 </w:instrText>
          </w:r>
          <w:r>
            <w:rPr>
              <w:rFonts w:cs="Arial"/>
              <w:bCs/>
            </w:rPr>
            <w:fldChar w:fldCharType="separate"/>
          </w:r>
          <w:r>
            <w:rPr>
              <w:rFonts w:cs="Arial"/>
              <w:bCs/>
              <w:noProof/>
              <w:lang w:val="en-US"/>
            </w:rPr>
            <w:t xml:space="preserve"> </w:t>
          </w:r>
          <w:r w:rsidRPr="00F721C8">
            <w:rPr>
              <w:rFonts w:cs="Arial"/>
              <w:noProof/>
              <w:lang w:val="en-US"/>
            </w:rPr>
            <w:t>(Baudrillard, 1996)</w:t>
          </w:r>
          <w:r>
            <w:rPr>
              <w:rFonts w:cs="Arial"/>
              <w:bCs/>
            </w:rPr>
            <w:fldChar w:fldCharType="end"/>
          </w:r>
        </w:sdtContent>
      </w:sdt>
      <w:r>
        <w:rPr>
          <w:rFonts w:cs="Arial"/>
          <w:bCs/>
        </w:rPr>
        <w:t xml:space="preserve">. While Baudrillard was not specifically referring to the state of fragility within glass, the principal can still applied when considering the ‘secondary state of consciousness, as the concept of emotional vulnerability and fragility that an artist brings forward through working with glass. However, fragility can not only be used to refer to exposing negative emotions or experiences, it can also represent care and intimacy in a way that forces us to slow down, be considerate and gentle when handling glass or putting emotion into it. McKenzie Sue explains this when relating her glassblowing work to her relationship with religion </w:t>
      </w:r>
      <w:r w:rsidRPr="00CA04D4">
        <w:rPr>
          <w:rFonts w:cs="Arial"/>
          <w:bCs/>
        </w:rPr>
        <w:t> </w:t>
      </w:r>
      <w:r>
        <w:rPr>
          <w:rFonts w:cs="Arial"/>
          <w:bCs/>
        </w:rPr>
        <w:t>“</w:t>
      </w:r>
      <w:r w:rsidRPr="00CA04D4">
        <w:rPr>
          <w:rFonts w:cs="Arial"/>
          <w:bCs/>
          <w:i/>
          <w:iCs/>
        </w:rPr>
        <w:t>I</w:t>
      </w:r>
      <w:r w:rsidRPr="00CA04D4">
        <w:rPr>
          <w:rFonts w:cs="Arial"/>
          <w:bCs/>
        </w:rPr>
        <w:t> am that hot mess of a blob I love everything about glassblowing and I think the connection it has to God might be why. </w:t>
      </w:r>
      <w:r w:rsidRPr="00CA04D4">
        <w:rPr>
          <w:rFonts w:cs="Arial"/>
          <w:bCs/>
          <w:i/>
          <w:iCs/>
        </w:rPr>
        <w:t>I</w:t>
      </w:r>
      <w:r w:rsidRPr="00CA04D4">
        <w:rPr>
          <w:rFonts w:cs="Arial"/>
          <w:bCs/>
        </w:rPr>
        <w:t> am that hot mess of a blob at the end of a pole. </w:t>
      </w:r>
      <w:r w:rsidRPr="00CA04D4">
        <w:rPr>
          <w:rFonts w:cs="Arial"/>
          <w:bCs/>
          <w:i/>
          <w:iCs/>
        </w:rPr>
        <w:t>We</w:t>
      </w:r>
      <w:r w:rsidRPr="00CA04D4">
        <w:rPr>
          <w:rFonts w:cs="Arial"/>
          <w:bCs/>
        </w:rPr>
        <w:t> are this fragile, beautiful matter in the hands of God, our Master Artist, you could say.</w:t>
      </w:r>
      <w:r>
        <w:rPr>
          <w:rFonts w:cs="Arial"/>
          <w:bCs/>
        </w:rPr>
        <w:t>”</w:t>
      </w:r>
      <w:sdt>
        <w:sdtPr>
          <w:rPr>
            <w:rFonts w:cs="Arial"/>
            <w:bCs/>
          </w:rPr>
          <w:id w:val="-710723338"/>
          <w:citation/>
        </w:sdtPr>
        <w:sdtContent>
          <w:r>
            <w:rPr>
              <w:rFonts w:cs="Arial"/>
              <w:bCs/>
            </w:rPr>
            <w:fldChar w:fldCharType="begin"/>
          </w:r>
          <w:r>
            <w:rPr>
              <w:rFonts w:cs="Arial"/>
              <w:bCs/>
              <w:lang w:val="en-US"/>
            </w:rPr>
            <w:instrText xml:space="preserve">CITATION Sue \l 1033 </w:instrText>
          </w:r>
          <w:r>
            <w:rPr>
              <w:rFonts w:cs="Arial"/>
              <w:bCs/>
            </w:rPr>
            <w:fldChar w:fldCharType="separate"/>
          </w:r>
          <w:r>
            <w:rPr>
              <w:rFonts w:cs="Arial"/>
              <w:bCs/>
              <w:noProof/>
              <w:lang w:val="en-US"/>
            </w:rPr>
            <w:t xml:space="preserve"> </w:t>
          </w:r>
          <w:r w:rsidRPr="00F721C8">
            <w:rPr>
              <w:rFonts w:cs="Arial"/>
              <w:noProof/>
              <w:lang w:val="en-US"/>
            </w:rPr>
            <w:t>(Sue, 2021)</w:t>
          </w:r>
          <w:r>
            <w:rPr>
              <w:rFonts w:cs="Arial"/>
              <w:bCs/>
            </w:rPr>
            <w:fldChar w:fldCharType="end"/>
          </w:r>
        </w:sdtContent>
      </w:sdt>
      <w:r>
        <w:rPr>
          <w:rFonts w:cs="Arial"/>
          <w:bCs/>
        </w:rPr>
        <w:t xml:space="preserve">. By linking her glass work to her religion and relationship with God, Sue shows how fragility within glass and also within the artist themselves does not have to have necessarily negative connotations; it just reveals a different side to the creative process, one that revolves around care, precision and pride, both in self and art. </w:t>
      </w:r>
    </w:p>
    <w:p w14:paraId="4AE84B77" w14:textId="77777777" w:rsidR="0043777B" w:rsidRDefault="0043777B" w:rsidP="0043777B">
      <w:pPr>
        <w:rPr>
          <w:rFonts w:cs="Arial"/>
          <w:bCs/>
        </w:rPr>
      </w:pPr>
    </w:p>
    <w:p w14:paraId="4CA3E72D" w14:textId="77777777" w:rsidR="0043777B" w:rsidRPr="00366338" w:rsidRDefault="0043777B" w:rsidP="0043777B">
      <w:pPr>
        <w:rPr>
          <w:rFonts w:cs="Arial"/>
          <w:bCs/>
          <w:i/>
          <w:iCs/>
        </w:rPr>
      </w:pPr>
      <w:r>
        <w:rPr>
          <w:noProof/>
        </w:rPr>
        <w:lastRenderedPageBreak/>
        <w:drawing>
          <wp:inline distT="0" distB="0" distL="0" distR="0" wp14:anchorId="616DB510" wp14:editId="48C81F4C">
            <wp:extent cx="5731510" cy="4429125"/>
            <wp:effectExtent l="0" t="0" r="2540" b="9525"/>
            <wp:docPr id="1471090383" name="Picture 3" descr="Nancy Cohen: Hackensack Dreaming by NEW JERSEY CITY UNIVERSITY - Issu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Nancy Cohen: Hackensack Dreaming by NEW JERSEY CITY UNIVERSITY - Issuu"/>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429125"/>
                    </a:xfrm>
                    <a:prstGeom prst="rect">
                      <a:avLst/>
                    </a:prstGeom>
                    <a:noFill/>
                    <a:ln>
                      <a:noFill/>
                    </a:ln>
                  </pic:spPr>
                </pic:pic>
              </a:graphicData>
            </a:graphic>
          </wp:inline>
        </w:drawing>
      </w:r>
    </w:p>
    <w:p w14:paraId="46E8861C" w14:textId="77777777" w:rsidR="0043777B" w:rsidRPr="00C861BC" w:rsidRDefault="0043777B" w:rsidP="0043777B">
      <w:pPr>
        <w:numPr>
          <w:ilvl w:val="0"/>
          <w:numId w:val="1"/>
        </w:numPr>
        <w:spacing w:line="278" w:lineRule="auto"/>
        <w:rPr>
          <w:rFonts w:cs="Arial"/>
        </w:rPr>
      </w:pPr>
      <w:r w:rsidRPr="00C861BC">
        <w:rPr>
          <w:rFonts w:cs="Arial"/>
        </w:rPr>
        <w:t>Deconstruct and define keyword</w:t>
      </w:r>
    </w:p>
    <w:p w14:paraId="060DDFC6" w14:textId="77777777" w:rsidR="005809A6" w:rsidRDefault="005809A6"/>
    <w:sectPr w:rsidR="005809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A71FC0"/>
    <w:multiLevelType w:val="hybridMultilevel"/>
    <w:tmpl w:val="99E09D0A"/>
    <w:lvl w:ilvl="0" w:tplc="24AC32AE">
      <w:numFmt w:val="bullet"/>
      <w:lvlText w:val="•"/>
      <w:lvlJc w:val="left"/>
      <w:pPr>
        <w:ind w:left="830" w:hanging="360"/>
      </w:pPr>
      <w:rPr>
        <w:rFonts w:ascii="Symbol" w:eastAsia="Symbol" w:hAnsi="Symbol" w:cs="Symbol" w:hint="default"/>
        <w:spacing w:val="-1"/>
        <w:w w:val="100"/>
        <w:sz w:val="24"/>
        <w:szCs w:val="24"/>
      </w:rPr>
    </w:lvl>
    <w:lvl w:ilvl="1" w:tplc="949A63FE">
      <w:numFmt w:val="bullet"/>
      <w:lvlText w:val="•"/>
      <w:lvlJc w:val="left"/>
      <w:pPr>
        <w:ind w:left="1676" w:hanging="360"/>
      </w:pPr>
    </w:lvl>
    <w:lvl w:ilvl="2" w:tplc="A40CD9DE">
      <w:numFmt w:val="bullet"/>
      <w:lvlText w:val="•"/>
      <w:lvlJc w:val="left"/>
      <w:pPr>
        <w:ind w:left="2513" w:hanging="360"/>
      </w:pPr>
    </w:lvl>
    <w:lvl w:ilvl="3" w:tplc="97F05CC6">
      <w:numFmt w:val="bullet"/>
      <w:lvlText w:val="•"/>
      <w:lvlJc w:val="left"/>
      <w:pPr>
        <w:ind w:left="3349" w:hanging="360"/>
      </w:pPr>
    </w:lvl>
    <w:lvl w:ilvl="4" w:tplc="A5926684">
      <w:numFmt w:val="bullet"/>
      <w:lvlText w:val="•"/>
      <w:lvlJc w:val="left"/>
      <w:pPr>
        <w:ind w:left="4186" w:hanging="360"/>
      </w:pPr>
    </w:lvl>
    <w:lvl w:ilvl="5" w:tplc="4C4A073E">
      <w:numFmt w:val="bullet"/>
      <w:lvlText w:val="•"/>
      <w:lvlJc w:val="left"/>
      <w:pPr>
        <w:ind w:left="5022" w:hanging="360"/>
      </w:pPr>
    </w:lvl>
    <w:lvl w:ilvl="6" w:tplc="3F4EFCDC">
      <w:numFmt w:val="bullet"/>
      <w:lvlText w:val="•"/>
      <w:lvlJc w:val="left"/>
      <w:pPr>
        <w:ind w:left="5859" w:hanging="360"/>
      </w:pPr>
    </w:lvl>
    <w:lvl w:ilvl="7" w:tplc="367487C0">
      <w:numFmt w:val="bullet"/>
      <w:lvlText w:val="•"/>
      <w:lvlJc w:val="left"/>
      <w:pPr>
        <w:ind w:left="6695" w:hanging="360"/>
      </w:pPr>
    </w:lvl>
    <w:lvl w:ilvl="8" w:tplc="64F8E8DA">
      <w:numFmt w:val="bullet"/>
      <w:lvlText w:val="•"/>
      <w:lvlJc w:val="left"/>
      <w:pPr>
        <w:ind w:left="7532" w:hanging="360"/>
      </w:pPr>
    </w:lvl>
  </w:abstractNum>
  <w:num w:numId="1" w16cid:durableId="15904600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2E4"/>
    <w:rsid w:val="000A544C"/>
    <w:rsid w:val="001B52E4"/>
    <w:rsid w:val="003E445C"/>
    <w:rsid w:val="0043777B"/>
    <w:rsid w:val="005809A6"/>
    <w:rsid w:val="00AE77D9"/>
    <w:rsid w:val="00F107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43B69"/>
  <w15:chartTrackingRefBased/>
  <w15:docId w15:val="{67C42A1F-C357-4E06-A203-193442F37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445C"/>
    <w:pPr>
      <w:spacing w:line="480" w:lineRule="auto"/>
    </w:pPr>
    <w:rPr>
      <w:rFonts w:ascii="Arial" w:hAnsi="Arial"/>
    </w:rPr>
  </w:style>
  <w:style w:type="paragraph" w:styleId="Heading1">
    <w:name w:val="heading 1"/>
    <w:basedOn w:val="Normal"/>
    <w:next w:val="Normal"/>
    <w:link w:val="Heading1Char"/>
    <w:uiPriority w:val="9"/>
    <w:qFormat/>
    <w:rsid w:val="001B52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52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52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52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52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52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52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52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52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2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52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52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52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52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52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52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52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52E4"/>
    <w:rPr>
      <w:rFonts w:eastAsiaTheme="majorEastAsia" w:cstheme="majorBidi"/>
      <w:color w:val="272727" w:themeColor="text1" w:themeTint="D8"/>
    </w:rPr>
  </w:style>
  <w:style w:type="paragraph" w:styleId="Title">
    <w:name w:val="Title"/>
    <w:basedOn w:val="Normal"/>
    <w:next w:val="Normal"/>
    <w:link w:val="TitleChar"/>
    <w:uiPriority w:val="10"/>
    <w:qFormat/>
    <w:rsid w:val="001B52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52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52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52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52E4"/>
    <w:pPr>
      <w:spacing w:before="160"/>
      <w:jc w:val="center"/>
    </w:pPr>
    <w:rPr>
      <w:i/>
      <w:iCs/>
      <w:color w:val="404040" w:themeColor="text1" w:themeTint="BF"/>
    </w:rPr>
  </w:style>
  <w:style w:type="character" w:customStyle="1" w:styleId="QuoteChar">
    <w:name w:val="Quote Char"/>
    <w:basedOn w:val="DefaultParagraphFont"/>
    <w:link w:val="Quote"/>
    <w:uiPriority w:val="29"/>
    <w:rsid w:val="001B52E4"/>
    <w:rPr>
      <w:i/>
      <w:iCs/>
      <w:color w:val="404040" w:themeColor="text1" w:themeTint="BF"/>
    </w:rPr>
  </w:style>
  <w:style w:type="paragraph" w:styleId="ListParagraph">
    <w:name w:val="List Paragraph"/>
    <w:basedOn w:val="Normal"/>
    <w:uiPriority w:val="34"/>
    <w:qFormat/>
    <w:rsid w:val="001B52E4"/>
    <w:pPr>
      <w:ind w:left="720"/>
      <w:contextualSpacing/>
    </w:pPr>
  </w:style>
  <w:style w:type="character" w:styleId="IntenseEmphasis">
    <w:name w:val="Intense Emphasis"/>
    <w:basedOn w:val="DefaultParagraphFont"/>
    <w:uiPriority w:val="21"/>
    <w:qFormat/>
    <w:rsid w:val="001B52E4"/>
    <w:rPr>
      <w:i/>
      <w:iCs/>
      <w:color w:val="0F4761" w:themeColor="accent1" w:themeShade="BF"/>
    </w:rPr>
  </w:style>
  <w:style w:type="paragraph" w:styleId="IntenseQuote">
    <w:name w:val="Intense Quote"/>
    <w:basedOn w:val="Normal"/>
    <w:next w:val="Normal"/>
    <w:link w:val="IntenseQuoteChar"/>
    <w:uiPriority w:val="30"/>
    <w:qFormat/>
    <w:rsid w:val="001B52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52E4"/>
    <w:rPr>
      <w:i/>
      <w:iCs/>
      <w:color w:val="0F4761" w:themeColor="accent1" w:themeShade="BF"/>
    </w:rPr>
  </w:style>
  <w:style w:type="character" w:styleId="IntenseReference">
    <w:name w:val="Intense Reference"/>
    <w:basedOn w:val="DefaultParagraphFont"/>
    <w:uiPriority w:val="32"/>
    <w:qFormat/>
    <w:rsid w:val="001B52E4"/>
    <w:rPr>
      <w:b/>
      <w:bCs/>
      <w:smallCaps/>
      <w:color w:val="0F4761" w:themeColor="accent1" w:themeShade="BF"/>
      <w:spacing w:val="5"/>
    </w:rPr>
  </w:style>
  <w:style w:type="paragraph" w:styleId="NoSpacing">
    <w:name w:val="No Spacing"/>
    <w:uiPriority w:val="1"/>
    <w:qFormat/>
    <w:rsid w:val="003E445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22eadf790a10b31342fab00d8e76e99">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452fd3ee37473762b7e807458745d0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Cam1</b:Tag>
    <b:SourceType>InternetSite</b:SourceType>
    <b:Guid>{532880EA-05E7-46AB-909E-D24A835F338B}</b:Guid>
    <b:Title>Cambridge Dictionary</b:Title>
    <b:Author>
      <b:Author>
        <b:NameList>
          <b:Person>
            <b:Last>Press</b:Last>
            <b:First>Cambridge</b:First>
            <b:Middle>University</b:Middle>
          </b:Person>
        </b:NameList>
      </b:Author>
    </b:Author>
    <b:URL>https://dictionary.cambridge.org/dictionary/english/fragility</b:URL>
    <b:RefOrder>1</b:RefOrder>
  </b:Source>
  <b:Source>
    <b:Tag>Dji</b:Tag>
    <b:SourceType>Book</b:SourceType>
    <b:Guid>{E0A13047-E23D-4E9D-A6A7-DC8A4AC2D1DE}</b:Guid>
    <b:Title>Creativity and Mental Illness</b:Title>
    <b:Author>
      <b:Author>
        <b:NameList>
          <b:Person>
            <b:Last>Djicik </b:Last>
            <b:First>M</b:First>
          </b:Person>
          <b:Person>
            <b:Last>Oatley</b:Last>
            <b:First>K</b:First>
          </b:Person>
        </b:NameList>
      </b:Author>
    </b:Author>
    <b:Year>2014</b:Year>
    <b:RefOrder>2</b:RefOrder>
  </b:Source>
  <b:Source>
    <b:Tag>Coh18</b:Tag>
    <b:SourceType>Interview</b:SourceType>
    <b:Guid>{96221892-F599-4D11-B90C-A68E92C49839}</b:Guid>
    <b:Title>One Substance from the start</b:Title>
    <b:Year>2018</b:Year>
    <b:Author>
      <b:Interviewee>
        <b:NameList>
          <b:Person>
            <b:Last>Cohen</b:Last>
            <b:First>Nancy</b:First>
          </b:Person>
        </b:NameList>
      </b:Interviewee>
      <b:Interviewer>
        <b:NameList>
          <b:Person>
            <b:Last>Yaniv</b:Last>
            <b:First>Etty</b:First>
          </b:Person>
        </b:NameList>
      </b:Interviewer>
    </b:Author>
    <b:Month>October</b:Month>
    <b:Day>8</b:Day>
    <b:URL>https://artspiel.org/nancy-cohen-one-substance-from-the-start/</b:URL>
    <b:RefOrder>3</b:RefOrder>
  </b:Source>
  <b:Source>
    <b:Tag>Bau96</b:Tag>
    <b:SourceType>Book</b:SourceType>
    <b:Guid>{3EEE09F9-9458-4D51-A028-091F5CDA33A7}</b:Guid>
    <b:Title>The System of Objects</b:Title>
    <b:Year>1996</b:Year>
    <b:Author>
      <b:Author>
        <b:NameList>
          <b:Person>
            <b:Last>Baudrillard</b:Last>
            <b:First>Jean</b:First>
          </b:Person>
        </b:NameList>
      </b:Author>
    </b:Author>
    <b:Pages>41</b:Pages>
    <b:RefOrder>4</b:RefOrder>
  </b:Source>
  <b:Source>
    <b:Tag>Sue</b:Tag>
    <b:SourceType>InternetSite</b:SourceType>
    <b:Guid>{3212563B-9E6E-46EF-AC10-DAAFA1BFEB58}</b:Guid>
    <b:Title>McKenzie Sue Makes</b:Title>
    <b:Author>
      <b:Author>
        <b:NameList>
          <b:Person>
            <b:Last>Sue</b:Last>
            <b:First>McKenzie</b:First>
          </b:Person>
        </b:NameList>
      </b:Author>
    </b:Author>
    <b:URL>https://www.mckenziesuemakes.com/the-glassblowers-refiners-fire/#:~:text=I%20am%20that%20hot%20mess%20of%20a%20blob%20I%20love%20everything%20about%20glassblowing%20and%20I%20think%20the%20connection%20it%20has%20to%20God%20might%20be%20why.%20I%20am%20th</b:URL>
    <b:Year>2021</b:Year>
    <b:RefOrder>5</b:RefOrder>
  </b:Source>
</b:Sources>
</file>

<file path=customXml/itemProps1.xml><?xml version="1.0" encoding="utf-8"?>
<ds:datastoreItem xmlns:ds="http://schemas.openxmlformats.org/officeDocument/2006/customXml" ds:itemID="{D9483A89-207C-4604-8595-2D9D077EC7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7E2515-DC6A-468A-B547-F506251956B9}">
  <ds:schemaRefs>
    <ds:schemaRef ds:uri="http://schemas.microsoft.com/sharepoint/v3/contenttype/forms"/>
  </ds:schemaRefs>
</ds:datastoreItem>
</file>

<file path=customXml/itemProps3.xml><?xml version="1.0" encoding="utf-8"?>
<ds:datastoreItem xmlns:ds="http://schemas.openxmlformats.org/officeDocument/2006/customXml" ds:itemID="{B1DDA593-92E1-4A8F-9804-FF48530AA146}">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0AF350C7-C3F9-4434-853A-E3892532B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532</Words>
  <Characters>3037</Characters>
  <Application>Microsoft Office Word</Application>
  <DocSecurity>0</DocSecurity>
  <Lines>25</Lines>
  <Paragraphs>7</Paragraphs>
  <ScaleCrop>false</ScaleCrop>
  <Company/>
  <LinksUpToDate>false</LinksUpToDate>
  <CharactersWithSpaces>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Rimmer</dc:creator>
  <cp:keywords/>
  <dc:description/>
  <cp:lastModifiedBy>Louise Rimmer</cp:lastModifiedBy>
  <cp:revision>4</cp:revision>
  <dcterms:created xsi:type="dcterms:W3CDTF">2025-05-15T04:28:00Z</dcterms:created>
  <dcterms:modified xsi:type="dcterms:W3CDTF">2025-05-15T04:34:00Z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