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0F728" w14:textId="77777777" w:rsidR="00590DB9" w:rsidRDefault="00590DB9" w:rsidP="00590DB9">
      <w:pPr>
        <w:spacing w:line="360" w:lineRule="auto"/>
        <w:jc w:val="both"/>
        <w:rPr>
          <w:rFonts w:ascii="Arial" w:hAnsi="Arial" w:cs="Arial"/>
          <w:sz w:val="24"/>
          <w:szCs w:val="24"/>
        </w:rPr>
      </w:pPr>
    </w:p>
    <w:p w14:paraId="72238158" w14:textId="77777777" w:rsidR="003338E3" w:rsidRPr="003338E3" w:rsidRDefault="003338E3" w:rsidP="003338E3">
      <w:pPr>
        <w:jc w:val="center"/>
        <w:rPr>
          <w:rFonts w:ascii="Arial" w:eastAsia="Calibri" w:hAnsi="Arial" w:cs="Arial"/>
          <w:b/>
          <w:bCs/>
          <w:color w:val="000000"/>
          <w:kern w:val="0"/>
          <w:sz w:val="36"/>
          <w:szCs w:val="36"/>
          <w:shd w:val="clear" w:color="auto" w:fill="FFFFFF"/>
          <w14:ligatures w14:val="none"/>
        </w:rPr>
      </w:pPr>
      <w:r w:rsidRPr="003338E3">
        <w:rPr>
          <w:rFonts w:ascii="Arial" w:eastAsia="Calibri" w:hAnsi="Arial" w:cs="Arial"/>
          <w:b/>
          <w:bCs/>
          <w:color w:val="000000"/>
          <w:kern w:val="0"/>
          <w:sz w:val="36"/>
          <w:szCs w:val="36"/>
          <w:shd w:val="clear" w:color="auto" w:fill="FFFFFF"/>
          <w14:ligatures w14:val="none"/>
        </w:rPr>
        <w:t>Revised Report: Analysis of Hilton Hotels &amp; Resort</w:t>
      </w:r>
    </w:p>
    <w:p w14:paraId="150EA9B5" w14:textId="10D2B8FB" w:rsidR="00A40582" w:rsidRDefault="00A40582" w:rsidP="00A40582">
      <w:pPr>
        <w:jc w:val="center"/>
        <w:rPr>
          <w:rFonts w:ascii="Arial" w:eastAsia="Calibri" w:hAnsi="Arial" w:cs="Arial"/>
          <w:b/>
          <w:bCs/>
          <w:color w:val="000000"/>
          <w:kern w:val="0"/>
          <w:sz w:val="24"/>
          <w:szCs w:val="24"/>
          <w:shd w:val="clear" w:color="auto" w:fill="FFFFFF"/>
          <w14:ligatures w14:val="none"/>
        </w:rPr>
      </w:pPr>
    </w:p>
    <w:p w14:paraId="6E9138E7"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5440DFF1"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57DBFB4A"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r w:rsidRPr="0088597E">
        <w:rPr>
          <w:rFonts w:ascii="Arial" w:eastAsia="Calibri" w:hAnsi="Arial" w:cs="Arial"/>
          <w:noProof/>
          <w:sz w:val="24"/>
          <w:szCs w:val="24"/>
        </w:rPr>
        <w:drawing>
          <wp:anchor distT="0" distB="0" distL="114300" distR="114300" simplePos="0" relativeHeight="251659264" behindDoc="0" locked="0" layoutInCell="1" allowOverlap="1" wp14:anchorId="6B5FB95E" wp14:editId="52573A57">
            <wp:simplePos x="0" y="0"/>
            <wp:positionH relativeFrom="margin">
              <wp:posOffset>1528445</wp:posOffset>
            </wp:positionH>
            <wp:positionV relativeFrom="paragraph">
              <wp:posOffset>81280</wp:posOffset>
            </wp:positionV>
            <wp:extent cx="2865755" cy="1432560"/>
            <wp:effectExtent l="0" t="0" r="0" b="0"/>
            <wp:wrapThrough wrapText="bothSides">
              <wp:wrapPolygon edited="0">
                <wp:start x="0" y="0"/>
                <wp:lineTo x="0" y="21255"/>
                <wp:lineTo x="21394" y="21255"/>
                <wp:lineTo x="21394" y="0"/>
                <wp:lineTo x="0" y="0"/>
              </wp:wrapPolygon>
            </wp:wrapThrough>
            <wp:docPr id="1108851680" name="Picture 2"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 font, logo, symbol&#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5755" cy="1432560"/>
                    </a:xfrm>
                    <a:prstGeom prst="rect">
                      <a:avLst/>
                    </a:prstGeom>
                    <a:noFill/>
                  </pic:spPr>
                </pic:pic>
              </a:graphicData>
            </a:graphic>
            <wp14:sizeRelH relativeFrom="margin">
              <wp14:pctWidth>0</wp14:pctWidth>
            </wp14:sizeRelH>
            <wp14:sizeRelV relativeFrom="margin">
              <wp14:pctHeight>0</wp14:pctHeight>
            </wp14:sizeRelV>
          </wp:anchor>
        </w:drawing>
      </w:r>
    </w:p>
    <w:p w14:paraId="2D441E73"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2950F014"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211701FD"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0AB40EC5"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38A75676"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06ACBDDE"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2BFCAEB0" w14:textId="77777777" w:rsidR="00A40582" w:rsidRDefault="00A40582" w:rsidP="00A40582">
      <w:pPr>
        <w:jc w:val="both"/>
        <w:rPr>
          <w:rFonts w:ascii="Arial" w:eastAsia="Calibri" w:hAnsi="Arial" w:cs="Arial"/>
          <w:b/>
          <w:bCs/>
          <w:color w:val="000000"/>
          <w:kern w:val="0"/>
          <w:sz w:val="24"/>
          <w:szCs w:val="24"/>
          <w:shd w:val="clear" w:color="auto" w:fill="FFFFFF"/>
          <w14:ligatures w14:val="none"/>
        </w:rPr>
      </w:pPr>
    </w:p>
    <w:p w14:paraId="17C662E4" w14:textId="77777777" w:rsidR="00A40582" w:rsidRDefault="00A40582" w:rsidP="00A40582">
      <w:pPr>
        <w:jc w:val="both"/>
        <w:rPr>
          <w:rFonts w:ascii="Arial" w:eastAsia="Calibri" w:hAnsi="Arial" w:cs="Arial"/>
          <w:b/>
          <w:bCs/>
          <w:color w:val="000000"/>
          <w:kern w:val="0"/>
          <w:sz w:val="24"/>
          <w:szCs w:val="24"/>
          <w:shd w:val="clear" w:color="auto" w:fill="FFFFFF"/>
          <w14:ligatures w14:val="none"/>
        </w:rPr>
      </w:pPr>
    </w:p>
    <w:p w14:paraId="30CC8D36" w14:textId="77777777" w:rsidR="00A40582" w:rsidRPr="0088597E" w:rsidRDefault="00A40582" w:rsidP="00A40582">
      <w:pPr>
        <w:jc w:val="both"/>
        <w:rPr>
          <w:rFonts w:ascii="Arial" w:eastAsia="Calibri" w:hAnsi="Arial" w:cs="Arial"/>
          <w:b/>
          <w:bCs/>
          <w:color w:val="000000"/>
          <w:kern w:val="0"/>
          <w:sz w:val="24"/>
          <w:szCs w:val="24"/>
          <w:shd w:val="clear" w:color="auto" w:fill="FFFFFF"/>
          <w14:ligatures w14:val="none"/>
        </w:rPr>
      </w:pPr>
    </w:p>
    <w:p w14:paraId="325215ED" w14:textId="77777777" w:rsidR="00A40582" w:rsidRPr="00BD7EC4" w:rsidRDefault="00A40582" w:rsidP="00A40582">
      <w:pPr>
        <w:numPr>
          <w:ilvl w:val="0"/>
          <w:numId w:val="2"/>
        </w:numPr>
        <w:spacing w:line="256" w:lineRule="auto"/>
        <w:jc w:val="both"/>
        <w:rPr>
          <w:rFonts w:ascii="Arial" w:eastAsia="Calibri" w:hAnsi="Arial" w:cs="Arial"/>
          <w:b/>
          <w:bCs/>
          <w:color w:val="000000"/>
          <w:kern w:val="0"/>
          <w:sz w:val="32"/>
          <w:szCs w:val="32"/>
          <w:shd w:val="clear" w:color="auto" w:fill="FFFFFF"/>
          <w14:ligatures w14:val="none"/>
        </w:rPr>
      </w:pPr>
      <w:r w:rsidRPr="00BD7EC4">
        <w:rPr>
          <w:rFonts w:ascii="Arial" w:eastAsia="Calibri" w:hAnsi="Arial" w:cs="Arial"/>
          <w:b/>
          <w:bCs/>
          <w:color w:val="000000"/>
          <w:kern w:val="0"/>
          <w:sz w:val="32"/>
          <w:szCs w:val="32"/>
          <w:shd w:val="clear" w:color="auto" w:fill="FFFFFF"/>
          <w14:ligatures w14:val="none"/>
        </w:rPr>
        <w:t>Madalin Mihai Simion</w:t>
      </w:r>
    </w:p>
    <w:p w14:paraId="121FFF9D" w14:textId="77777777" w:rsidR="00A40582" w:rsidRPr="00BD7EC4" w:rsidRDefault="00A40582" w:rsidP="00A40582">
      <w:pPr>
        <w:numPr>
          <w:ilvl w:val="0"/>
          <w:numId w:val="2"/>
        </w:numPr>
        <w:spacing w:line="256" w:lineRule="auto"/>
        <w:jc w:val="both"/>
        <w:rPr>
          <w:rFonts w:ascii="Arial" w:eastAsia="Calibri" w:hAnsi="Arial" w:cs="Arial"/>
          <w:b/>
          <w:bCs/>
          <w:color w:val="000000"/>
          <w:kern w:val="0"/>
          <w:sz w:val="32"/>
          <w:szCs w:val="32"/>
          <w:shd w:val="clear" w:color="auto" w:fill="FFFFFF"/>
          <w14:ligatures w14:val="none"/>
        </w:rPr>
      </w:pPr>
      <w:r w:rsidRPr="00BD7EC4">
        <w:rPr>
          <w:rFonts w:ascii="Arial" w:eastAsia="Calibri" w:hAnsi="Arial" w:cs="Arial"/>
          <w:b/>
          <w:bCs/>
          <w:color w:val="000000"/>
          <w:kern w:val="0"/>
          <w:sz w:val="32"/>
          <w:szCs w:val="32"/>
          <w:shd w:val="clear" w:color="auto" w:fill="FFFFFF"/>
          <w14:ligatures w14:val="none"/>
        </w:rPr>
        <w:t>2246328</w:t>
      </w:r>
    </w:p>
    <w:p w14:paraId="709DEDB1" w14:textId="77777777" w:rsidR="00A40582" w:rsidRPr="00184377" w:rsidRDefault="00A40582" w:rsidP="00A40582">
      <w:pPr>
        <w:numPr>
          <w:ilvl w:val="0"/>
          <w:numId w:val="2"/>
        </w:numPr>
        <w:spacing w:line="256" w:lineRule="auto"/>
        <w:jc w:val="both"/>
        <w:rPr>
          <w:rFonts w:ascii="Arial" w:eastAsia="Calibri" w:hAnsi="Arial" w:cs="Arial"/>
          <w:b/>
          <w:bCs/>
          <w:color w:val="000000"/>
          <w:kern w:val="0"/>
          <w:sz w:val="32"/>
          <w:szCs w:val="32"/>
          <w:shd w:val="clear" w:color="auto" w:fill="FFFFFF"/>
          <w14:ligatures w14:val="none"/>
        </w:rPr>
      </w:pPr>
      <w:r w:rsidRPr="00184377">
        <w:rPr>
          <w:rFonts w:ascii="Arial" w:eastAsia="Calibri" w:hAnsi="Arial" w:cs="Arial"/>
          <w:b/>
          <w:bCs/>
          <w:color w:val="000000"/>
          <w:kern w:val="0"/>
          <w:sz w:val="32"/>
          <w:szCs w:val="32"/>
          <w:shd w:val="clear" w:color="auto" w:fill="FFFFFF"/>
          <w14:ligatures w14:val="none"/>
        </w:rPr>
        <w:t>Management &amp; Organisational Behaviour (BMIH5004)</w:t>
      </w:r>
    </w:p>
    <w:p w14:paraId="75B4A053" w14:textId="77777777" w:rsidR="00A40582" w:rsidRDefault="00A40582" w:rsidP="00A40582">
      <w:pPr>
        <w:numPr>
          <w:ilvl w:val="0"/>
          <w:numId w:val="2"/>
        </w:numPr>
        <w:spacing w:line="256" w:lineRule="auto"/>
        <w:jc w:val="both"/>
        <w:rPr>
          <w:rFonts w:ascii="Arial" w:eastAsia="Calibri" w:hAnsi="Arial" w:cs="Arial"/>
          <w:b/>
          <w:bCs/>
          <w:color w:val="000000"/>
          <w:kern w:val="0"/>
          <w:sz w:val="32"/>
          <w:szCs w:val="32"/>
          <w:shd w:val="clear" w:color="auto" w:fill="FFFFFF"/>
          <w14:ligatures w14:val="none"/>
        </w:rPr>
      </w:pPr>
      <w:r>
        <w:rPr>
          <w:rFonts w:ascii="Arial" w:eastAsia="Calibri" w:hAnsi="Arial" w:cs="Arial"/>
          <w:b/>
          <w:bCs/>
          <w:color w:val="000000"/>
          <w:kern w:val="0"/>
          <w:sz w:val="32"/>
          <w:szCs w:val="32"/>
          <w:shd w:val="clear" w:color="auto" w:fill="FFFFFF"/>
          <w14:ligatures w14:val="none"/>
        </w:rPr>
        <w:t>Antoinette Milne</w:t>
      </w:r>
    </w:p>
    <w:p w14:paraId="2D778844" w14:textId="0FD694C5" w:rsidR="00A40582" w:rsidRPr="00BD7EC4" w:rsidRDefault="00A40582" w:rsidP="00A40582">
      <w:pPr>
        <w:numPr>
          <w:ilvl w:val="0"/>
          <w:numId w:val="2"/>
        </w:numPr>
        <w:spacing w:line="256" w:lineRule="auto"/>
        <w:jc w:val="both"/>
        <w:rPr>
          <w:rFonts w:ascii="Arial" w:eastAsia="Calibri" w:hAnsi="Arial" w:cs="Arial"/>
          <w:b/>
          <w:bCs/>
          <w:color w:val="000000"/>
          <w:kern w:val="0"/>
          <w:sz w:val="32"/>
          <w:szCs w:val="32"/>
          <w:shd w:val="clear" w:color="auto" w:fill="FFFFFF"/>
          <w14:ligatures w14:val="none"/>
        </w:rPr>
      </w:pPr>
      <w:r w:rsidRPr="00BD7EC4">
        <w:rPr>
          <w:rFonts w:ascii="Arial" w:eastAsia="Calibri" w:hAnsi="Arial" w:cs="Arial"/>
          <w:b/>
          <w:bCs/>
          <w:color w:val="000000"/>
          <w:kern w:val="0"/>
          <w:sz w:val="32"/>
          <w:szCs w:val="32"/>
          <w:shd w:val="clear" w:color="auto" w:fill="FFFFFF"/>
          <w14:ligatures w14:val="none"/>
        </w:rPr>
        <w:t xml:space="preserve">Word count: </w:t>
      </w:r>
      <w:r w:rsidR="003338E3">
        <w:rPr>
          <w:rFonts w:ascii="Arial" w:eastAsia="Calibri" w:hAnsi="Arial" w:cs="Arial"/>
          <w:b/>
          <w:bCs/>
          <w:color w:val="000000"/>
          <w:kern w:val="0"/>
          <w:sz w:val="32"/>
          <w:szCs w:val="32"/>
          <w:shd w:val="clear" w:color="auto" w:fill="FFFFFF"/>
          <w14:ligatures w14:val="none"/>
        </w:rPr>
        <w:t>1901</w:t>
      </w:r>
    </w:p>
    <w:p w14:paraId="5DB352C5" w14:textId="77777777" w:rsidR="00A40582" w:rsidRPr="00BD7EC4" w:rsidRDefault="00A40582" w:rsidP="00A40582">
      <w:pPr>
        <w:spacing w:line="256" w:lineRule="auto"/>
        <w:jc w:val="both"/>
        <w:rPr>
          <w:rFonts w:ascii="Arial" w:eastAsia="Calibri" w:hAnsi="Arial" w:cs="Arial"/>
          <w:b/>
          <w:bCs/>
          <w:color w:val="000000"/>
          <w:kern w:val="0"/>
          <w:sz w:val="32"/>
          <w:szCs w:val="32"/>
          <w:shd w:val="clear" w:color="auto" w:fill="FFFFFF"/>
          <w14:ligatures w14:val="none"/>
        </w:rPr>
      </w:pPr>
    </w:p>
    <w:p w14:paraId="437B4701" w14:textId="77777777" w:rsidR="00A40582" w:rsidRPr="0088597E" w:rsidRDefault="00A40582" w:rsidP="00A40582">
      <w:pPr>
        <w:spacing w:line="256" w:lineRule="auto"/>
        <w:jc w:val="both"/>
        <w:rPr>
          <w:rFonts w:ascii="Arial" w:eastAsia="Calibri" w:hAnsi="Arial" w:cs="Arial"/>
          <w:b/>
          <w:bCs/>
          <w:color w:val="000000"/>
          <w:kern w:val="0"/>
          <w:sz w:val="24"/>
          <w:szCs w:val="24"/>
          <w:shd w:val="clear" w:color="auto" w:fill="FFFFFF"/>
          <w14:ligatures w14:val="none"/>
        </w:rPr>
      </w:pPr>
    </w:p>
    <w:p w14:paraId="252EA362" w14:textId="0C9BD9C7" w:rsidR="00590DB9" w:rsidRPr="00590DB9" w:rsidRDefault="00590DB9" w:rsidP="00590DB9">
      <w:pPr>
        <w:spacing w:line="360" w:lineRule="auto"/>
        <w:jc w:val="both"/>
        <w:rPr>
          <w:rFonts w:ascii="Arial" w:hAnsi="Arial" w:cs="Arial"/>
          <w:sz w:val="24"/>
          <w:szCs w:val="24"/>
        </w:rPr>
      </w:pPr>
    </w:p>
    <w:p w14:paraId="43F54252" w14:textId="77777777" w:rsidR="00590DB9" w:rsidRDefault="00590DB9" w:rsidP="00590DB9">
      <w:pPr>
        <w:spacing w:line="360" w:lineRule="auto"/>
        <w:jc w:val="both"/>
        <w:rPr>
          <w:rFonts w:ascii="Arial" w:hAnsi="Arial" w:cs="Arial"/>
          <w:sz w:val="24"/>
          <w:szCs w:val="24"/>
        </w:rPr>
      </w:pPr>
    </w:p>
    <w:p w14:paraId="56C3FDB0" w14:textId="77777777" w:rsidR="00590DB9" w:rsidRDefault="00590DB9" w:rsidP="00590DB9">
      <w:pPr>
        <w:spacing w:line="360" w:lineRule="auto"/>
        <w:jc w:val="both"/>
        <w:rPr>
          <w:rFonts w:ascii="Arial" w:hAnsi="Arial" w:cs="Arial"/>
          <w:sz w:val="24"/>
          <w:szCs w:val="24"/>
        </w:rPr>
      </w:pPr>
    </w:p>
    <w:p w14:paraId="6364F19B" w14:textId="77777777" w:rsidR="00590DB9" w:rsidRDefault="00590DB9" w:rsidP="00590DB9">
      <w:pPr>
        <w:spacing w:line="360" w:lineRule="auto"/>
        <w:jc w:val="both"/>
        <w:rPr>
          <w:rFonts w:ascii="Arial" w:hAnsi="Arial" w:cs="Arial"/>
          <w:sz w:val="24"/>
          <w:szCs w:val="24"/>
        </w:rPr>
      </w:pPr>
    </w:p>
    <w:p w14:paraId="3225D709" w14:textId="77777777" w:rsidR="00590DB9" w:rsidRDefault="00590DB9" w:rsidP="00590DB9">
      <w:pPr>
        <w:spacing w:line="360" w:lineRule="auto"/>
        <w:jc w:val="both"/>
        <w:rPr>
          <w:rFonts w:ascii="Arial" w:hAnsi="Arial" w:cs="Arial"/>
          <w:sz w:val="24"/>
          <w:szCs w:val="24"/>
        </w:rPr>
      </w:pPr>
    </w:p>
    <w:p w14:paraId="4413F025" w14:textId="77777777" w:rsidR="00590DB9" w:rsidRDefault="00590DB9" w:rsidP="00590DB9">
      <w:pPr>
        <w:spacing w:line="360" w:lineRule="auto"/>
        <w:jc w:val="both"/>
        <w:rPr>
          <w:rFonts w:ascii="Arial" w:hAnsi="Arial" w:cs="Arial"/>
          <w:sz w:val="24"/>
          <w:szCs w:val="24"/>
        </w:rPr>
      </w:pPr>
    </w:p>
    <w:p w14:paraId="79A5DA30" w14:textId="409D0BFF" w:rsidR="00590DB9" w:rsidRDefault="00590DB9"/>
    <w:p w14:paraId="6057F9FA" w14:textId="77777777" w:rsidR="00590DB9" w:rsidRDefault="00590DB9" w:rsidP="00590DB9">
      <w:pPr>
        <w:spacing w:line="360" w:lineRule="auto"/>
        <w:jc w:val="both"/>
        <w:rPr>
          <w:rFonts w:ascii="Arial" w:hAnsi="Arial" w:cs="Arial"/>
          <w:sz w:val="24"/>
          <w:szCs w:val="24"/>
        </w:rPr>
      </w:pPr>
    </w:p>
    <w:p w14:paraId="553FDE87" w14:textId="0A59EACA" w:rsidR="00590DB9" w:rsidRDefault="00590DB9" w:rsidP="00590DB9">
      <w:pPr>
        <w:pStyle w:val="Style2"/>
      </w:pPr>
      <w:bookmarkStart w:id="0" w:name="_Toc192259395"/>
      <w:r>
        <w:t>Summary</w:t>
      </w:r>
      <w:bookmarkEnd w:id="0"/>
    </w:p>
    <w:p w14:paraId="078897F5" w14:textId="77777777" w:rsidR="00A40582" w:rsidRDefault="00A40582" w:rsidP="00590DB9">
      <w:pPr>
        <w:pStyle w:val="Style2"/>
      </w:pPr>
    </w:p>
    <w:p w14:paraId="28113020" w14:textId="2A1DD34C" w:rsidR="00990F79" w:rsidRDefault="00990F79" w:rsidP="00590DB9">
      <w:pPr>
        <w:spacing w:line="360" w:lineRule="auto"/>
        <w:jc w:val="both"/>
        <w:rPr>
          <w:rFonts w:ascii="Arial" w:hAnsi="Arial" w:cs="Arial"/>
          <w:sz w:val="24"/>
          <w:szCs w:val="24"/>
        </w:rPr>
      </w:pPr>
      <w:r w:rsidRPr="00590DB9">
        <w:rPr>
          <w:rFonts w:ascii="Arial" w:hAnsi="Arial" w:cs="Arial"/>
          <w:sz w:val="24"/>
          <w:szCs w:val="24"/>
        </w:rPr>
        <w:t xml:space="preserve">This report </w:t>
      </w:r>
      <w:r w:rsidR="001005D5" w:rsidRPr="00590DB9">
        <w:rPr>
          <w:rFonts w:ascii="Arial" w:hAnsi="Arial" w:cs="Arial"/>
          <w:sz w:val="24"/>
          <w:szCs w:val="24"/>
        </w:rPr>
        <w:t>analyses</w:t>
      </w:r>
      <w:r w:rsidRPr="00590DB9">
        <w:rPr>
          <w:rFonts w:ascii="Arial" w:hAnsi="Arial" w:cs="Arial"/>
          <w:sz w:val="24"/>
          <w:szCs w:val="24"/>
        </w:rPr>
        <w:t xml:space="preserve"> Hilton Hotels &amp; Resort’s organizational structure, corporate culture, goals, recent change initiatives, and strategic direction. Applying frameworks like Mintzberg’s configurations, Schein’s culture model, SMART criteria, Kotter’s 8-Step Change Model, Porter’s Generic Strategies, and Ansoff’s Matrix, it evaluates Hilton’s operational and strategic strengths. Key findings include a divisional structure enabling global growth, an inclusive culture boosting service quality, sustainability-focused goals under "Travel with Purpose," proactive initiatives like EV charging expansion, and a differentiation strategy enhanced by digital innovation. Recommendations suggest improving training, targeting emerging markets, increasing sustainability efforts, and advancing digital personalization to sustain competitiveness. Supported by over 20 credible sources, this report uses Harvard referencing and adheres to academic formatting guidelines (Hilton, 2023; Mintzberg, 1979).</w:t>
      </w:r>
    </w:p>
    <w:p w14:paraId="48EBB6FF" w14:textId="77777777" w:rsidR="00A40582" w:rsidRDefault="00A40582" w:rsidP="00590DB9">
      <w:pPr>
        <w:spacing w:line="360" w:lineRule="auto"/>
        <w:jc w:val="both"/>
        <w:rPr>
          <w:rFonts w:ascii="Arial" w:hAnsi="Arial" w:cs="Arial"/>
          <w:sz w:val="24"/>
          <w:szCs w:val="24"/>
        </w:rPr>
      </w:pPr>
    </w:p>
    <w:p w14:paraId="583537FC" w14:textId="77777777" w:rsidR="00A40582" w:rsidRDefault="00A40582" w:rsidP="00590DB9">
      <w:pPr>
        <w:spacing w:line="360" w:lineRule="auto"/>
        <w:jc w:val="both"/>
        <w:rPr>
          <w:rFonts w:ascii="Arial" w:hAnsi="Arial" w:cs="Arial"/>
          <w:sz w:val="24"/>
          <w:szCs w:val="24"/>
        </w:rPr>
      </w:pPr>
    </w:p>
    <w:p w14:paraId="14947B1D" w14:textId="77777777" w:rsidR="00A40582" w:rsidRDefault="00A40582" w:rsidP="00590DB9">
      <w:pPr>
        <w:spacing w:line="360" w:lineRule="auto"/>
        <w:jc w:val="both"/>
        <w:rPr>
          <w:rFonts w:ascii="Arial" w:hAnsi="Arial" w:cs="Arial"/>
          <w:sz w:val="24"/>
          <w:szCs w:val="24"/>
        </w:rPr>
      </w:pPr>
    </w:p>
    <w:p w14:paraId="05BA84A2" w14:textId="77777777" w:rsidR="00A40582" w:rsidRDefault="00A40582" w:rsidP="00590DB9">
      <w:pPr>
        <w:spacing w:line="360" w:lineRule="auto"/>
        <w:jc w:val="both"/>
        <w:rPr>
          <w:rFonts w:ascii="Arial" w:hAnsi="Arial" w:cs="Arial"/>
          <w:sz w:val="24"/>
          <w:szCs w:val="24"/>
        </w:rPr>
      </w:pPr>
    </w:p>
    <w:p w14:paraId="25F3E262" w14:textId="77777777" w:rsidR="00A40582" w:rsidRDefault="00A40582" w:rsidP="00590DB9">
      <w:pPr>
        <w:spacing w:line="360" w:lineRule="auto"/>
        <w:jc w:val="both"/>
        <w:rPr>
          <w:rFonts w:ascii="Arial" w:hAnsi="Arial" w:cs="Arial"/>
          <w:sz w:val="24"/>
          <w:szCs w:val="24"/>
        </w:rPr>
      </w:pPr>
    </w:p>
    <w:p w14:paraId="022CDED7" w14:textId="77777777" w:rsidR="00A40582" w:rsidRDefault="00A40582" w:rsidP="00590DB9">
      <w:pPr>
        <w:spacing w:line="360" w:lineRule="auto"/>
        <w:jc w:val="both"/>
        <w:rPr>
          <w:rFonts w:ascii="Arial" w:hAnsi="Arial" w:cs="Arial"/>
          <w:sz w:val="24"/>
          <w:szCs w:val="24"/>
        </w:rPr>
      </w:pPr>
    </w:p>
    <w:p w14:paraId="1BDE79A9" w14:textId="77777777" w:rsidR="00A40582" w:rsidRDefault="00A40582" w:rsidP="00590DB9">
      <w:pPr>
        <w:spacing w:line="360" w:lineRule="auto"/>
        <w:jc w:val="both"/>
        <w:rPr>
          <w:rFonts w:ascii="Arial" w:hAnsi="Arial" w:cs="Arial"/>
          <w:sz w:val="24"/>
          <w:szCs w:val="24"/>
        </w:rPr>
      </w:pPr>
    </w:p>
    <w:p w14:paraId="06825911" w14:textId="77777777" w:rsidR="00A40582" w:rsidRDefault="00A40582" w:rsidP="00590DB9">
      <w:pPr>
        <w:spacing w:line="360" w:lineRule="auto"/>
        <w:jc w:val="both"/>
        <w:rPr>
          <w:rFonts w:ascii="Arial" w:hAnsi="Arial" w:cs="Arial"/>
          <w:sz w:val="24"/>
          <w:szCs w:val="24"/>
        </w:rPr>
      </w:pPr>
    </w:p>
    <w:p w14:paraId="6F537C27" w14:textId="77777777" w:rsidR="00A40582" w:rsidRDefault="00A40582" w:rsidP="00590DB9">
      <w:pPr>
        <w:spacing w:line="360" w:lineRule="auto"/>
        <w:jc w:val="both"/>
        <w:rPr>
          <w:rFonts w:ascii="Arial" w:hAnsi="Arial" w:cs="Arial"/>
          <w:sz w:val="24"/>
          <w:szCs w:val="24"/>
        </w:rPr>
      </w:pPr>
    </w:p>
    <w:p w14:paraId="48BD890E" w14:textId="77777777" w:rsidR="00A40582" w:rsidRDefault="00A40582" w:rsidP="00590DB9">
      <w:pPr>
        <w:spacing w:line="360" w:lineRule="auto"/>
        <w:jc w:val="both"/>
        <w:rPr>
          <w:rFonts w:ascii="Arial" w:hAnsi="Arial" w:cs="Arial"/>
          <w:sz w:val="24"/>
          <w:szCs w:val="24"/>
        </w:rPr>
      </w:pPr>
    </w:p>
    <w:p w14:paraId="6BCA3662" w14:textId="77777777" w:rsidR="00A40582" w:rsidRPr="00590DB9" w:rsidRDefault="00A40582" w:rsidP="00590DB9">
      <w:pPr>
        <w:spacing w:line="360" w:lineRule="auto"/>
        <w:jc w:val="both"/>
        <w:rPr>
          <w:rFonts w:ascii="Arial" w:hAnsi="Arial" w:cs="Arial"/>
          <w:sz w:val="24"/>
          <w:szCs w:val="24"/>
        </w:rPr>
      </w:pPr>
    </w:p>
    <w:sdt>
      <w:sdtPr>
        <w:id w:val="-530182969"/>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3E20489" w14:textId="77777777" w:rsidR="00A40582" w:rsidRDefault="00A40582" w:rsidP="00A40582">
          <w:pPr>
            <w:pStyle w:val="TOCHeading"/>
          </w:pPr>
          <w:r>
            <w:t>Contents</w:t>
          </w:r>
        </w:p>
        <w:p w14:paraId="70D4DFDF" w14:textId="66A5ECAF" w:rsidR="00A40582" w:rsidRDefault="00A40582" w:rsidP="00A40582">
          <w:pPr>
            <w:pStyle w:val="TOC1"/>
            <w:tabs>
              <w:tab w:val="right" w:leader="dot" w:pos="9016"/>
            </w:tabs>
            <w:rPr>
              <w:noProof/>
            </w:rPr>
          </w:pPr>
          <w:r>
            <w:fldChar w:fldCharType="begin"/>
          </w:r>
          <w:r>
            <w:instrText xml:space="preserve"> TOC \o "1-3" \h \z \u </w:instrText>
          </w:r>
          <w:r>
            <w:fldChar w:fldCharType="separate"/>
          </w:r>
          <w:hyperlink w:anchor="_Toc192259395" w:history="1">
            <w:r w:rsidRPr="00CA367B">
              <w:rPr>
                <w:rStyle w:val="Hyperlink"/>
                <w:noProof/>
              </w:rPr>
              <w:t>Summary</w:t>
            </w:r>
            <w:r>
              <w:rPr>
                <w:noProof/>
                <w:webHidden/>
              </w:rPr>
              <w:tab/>
            </w:r>
            <w:r>
              <w:rPr>
                <w:noProof/>
                <w:webHidden/>
              </w:rPr>
              <w:fldChar w:fldCharType="begin"/>
            </w:r>
            <w:r>
              <w:rPr>
                <w:noProof/>
                <w:webHidden/>
              </w:rPr>
              <w:instrText xml:space="preserve"> PAGEREF _Toc192259395 \h </w:instrText>
            </w:r>
            <w:r>
              <w:rPr>
                <w:noProof/>
                <w:webHidden/>
              </w:rPr>
            </w:r>
            <w:r>
              <w:rPr>
                <w:noProof/>
                <w:webHidden/>
              </w:rPr>
              <w:fldChar w:fldCharType="separate"/>
            </w:r>
            <w:r>
              <w:rPr>
                <w:noProof/>
                <w:webHidden/>
              </w:rPr>
              <w:t>2</w:t>
            </w:r>
            <w:r>
              <w:rPr>
                <w:noProof/>
                <w:webHidden/>
              </w:rPr>
              <w:fldChar w:fldCharType="end"/>
            </w:r>
          </w:hyperlink>
        </w:p>
        <w:p w14:paraId="319D61A1" w14:textId="76150874" w:rsidR="00A40582" w:rsidRDefault="00A40582" w:rsidP="00A40582">
          <w:pPr>
            <w:pStyle w:val="TOC1"/>
            <w:tabs>
              <w:tab w:val="right" w:leader="dot" w:pos="9016"/>
            </w:tabs>
            <w:rPr>
              <w:noProof/>
            </w:rPr>
          </w:pPr>
          <w:hyperlink w:anchor="_Toc192259396" w:history="1">
            <w:r w:rsidRPr="00CA367B">
              <w:rPr>
                <w:rStyle w:val="Hyperlink"/>
                <w:noProof/>
              </w:rPr>
              <w:t>1. Introduction</w:t>
            </w:r>
            <w:r>
              <w:rPr>
                <w:noProof/>
                <w:webHidden/>
              </w:rPr>
              <w:tab/>
            </w:r>
            <w:r>
              <w:rPr>
                <w:noProof/>
                <w:webHidden/>
              </w:rPr>
              <w:fldChar w:fldCharType="begin"/>
            </w:r>
            <w:r>
              <w:rPr>
                <w:noProof/>
                <w:webHidden/>
              </w:rPr>
              <w:instrText xml:space="preserve"> PAGEREF _Toc192259396 \h </w:instrText>
            </w:r>
            <w:r>
              <w:rPr>
                <w:noProof/>
                <w:webHidden/>
              </w:rPr>
            </w:r>
            <w:r>
              <w:rPr>
                <w:noProof/>
                <w:webHidden/>
              </w:rPr>
              <w:fldChar w:fldCharType="separate"/>
            </w:r>
            <w:r>
              <w:rPr>
                <w:noProof/>
                <w:webHidden/>
              </w:rPr>
              <w:t>4</w:t>
            </w:r>
            <w:r>
              <w:rPr>
                <w:noProof/>
                <w:webHidden/>
              </w:rPr>
              <w:fldChar w:fldCharType="end"/>
            </w:r>
          </w:hyperlink>
        </w:p>
        <w:p w14:paraId="7DB71B73" w14:textId="2C770B2A" w:rsidR="00A40582" w:rsidRDefault="00A40582" w:rsidP="00A40582">
          <w:pPr>
            <w:pStyle w:val="TOC1"/>
            <w:tabs>
              <w:tab w:val="right" w:leader="dot" w:pos="9016"/>
            </w:tabs>
            <w:rPr>
              <w:noProof/>
            </w:rPr>
          </w:pPr>
          <w:hyperlink w:anchor="_Toc192259397" w:history="1">
            <w:r w:rsidRPr="00CA367B">
              <w:rPr>
                <w:rStyle w:val="Hyperlink"/>
                <w:noProof/>
              </w:rPr>
              <w:t>2. Organizational Structure</w:t>
            </w:r>
            <w:r>
              <w:rPr>
                <w:noProof/>
                <w:webHidden/>
              </w:rPr>
              <w:tab/>
            </w:r>
            <w:r>
              <w:rPr>
                <w:noProof/>
                <w:webHidden/>
              </w:rPr>
              <w:fldChar w:fldCharType="begin"/>
            </w:r>
            <w:r>
              <w:rPr>
                <w:noProof/>
                <w:webHidden/>
              </w:rPr>
              <w:instrText xml:space="preserve"> PAGEREF _Toc192259397 \h </w:instrText>
            </w:r>
            <w:r>
              <w:rPr>
                <w:noProof/>
                <w:webHidden/>
              </w:rPr>
            </w:r>
            <w:r>
              <w:rPr>
                <w:noProof/>
                <w:webHidden/>
              </w:rPr>
              <w:fldChar w:fldCharType="separate"/>
            </w:r>
            <w:r>
              <w:rPr>
                <w:noProof/>
                <w:webHidden/>
              </w:rPr>
              <w:t>4</w:t>
            </w:r>
            <w:r>
              <w:rPr>
                <w:noProof/>
                <w:webHidden/>
              </w:rPr>
              <w:fldChar w:fldCharType="end"/>
            </w:r>
          </w:hyperlink>
        </w:p>
        <w:p w14:paraId="74A5134B" w14:textId="4714678B" w:rsidR="00A40582" w:rsidRDefault="00A40582" w:rsidP="00A40582">
          <w:pPr>
            <w:pStyle w:val="TOC1"/>
            <w:tabs>
              <w:tab w:val="right" w:leader="dot" w:pos="9016"/>
            </w:tabs>
            <w:rPr>
              <w:noProof/>
            </w:rPr>
          </w:pPr>
          <w:hyperlink w:anchor="_Toc192259398" w:history="1">
            <w:r w:rsidRPr="00CA367B">
              <w:rPr>
                <w:rStyle w:val="Hyperlink"/>
                <w:noProof/>
              </w:rPr>
              <w:t>3. Corporate Culture</w:t>
            </w:r>
            <w:r>
              <w:rPr>
                <w:noProof/>
                <w:webHidden/>
              </w:rPr>
              <w:tab/>
            </w:r>
            <w:r>
              <w:rPr>
                <w:noProof/>
                <w:webHidden/>
              </w:rPr>
              <w:fldChar w:fldCharType="begin"/>
            </w:r>
            <w:r>
              <w:rPr>
                <w:noProof/>
                <w:webHidden/>
              </w:rPr>
              <w:instrText xml:space="preserve"> PAGEREF _Toc192259398 \h </w:instrText>
            </w:r>
            <w:r>
              <w:rPr>
                <w:noProof/>
                <w:webHidden/>
              </w:rPr>
            </w:r>
            <w:r>
              <w:rPr>
                <w:noProof/>
                <w:webHidden/>
              </w:rPr>
              <w:fldChar w:fldCharType="separate"/>
            </w:r>
            <w:r>
              <w:rPr>
                <w:noProof/>
                <w:webHidden/>
              </w:rPr>
              <w:t>5</w:t>
            </w:r>
            <w:r>
              <w:rPr>
                <w:noProof/>
                <w:webHidden/>
              </w:rPr>
              <w:fldChar w:fldCharType="end"/>
            </w:r>
          </w:hyperlink>
        </w:p>
        <w:p w14:paraId="7BE222A6" w14:textId="2D93116B" w:rsidR="00A40582" w:rsidRDefault="00A40582" w:rsidP="00A40582">
          <w:pPr>
            <w:pStyle w:val="TOC1"/>
            <w:tabs>
              <w:tab w:val="right" w:leader="dot" w:pos="9016"/>
            </w:tabs>
            <w:rPr>
              <w:noProof/>
            </w:rPr>
          </w:pPr>
          <w:hyperlink w:anchor="_Toc192259399" w:history="1">
            <w:r w:rsidRPr="00CA367B">
              <w:rPr>
                <w:rStyle w:val="Hyperlink"/>
                <w:noProof/>
              </w:rPr>
              <w:t>4. Corporate Goals</w:t>
            </w:r>
            <w:r>
              <w:rPr>
                <w:noProof/>
                <w:webHidden/>
              </w:rPr>
              <w:tab/>
            </w:r>
            <w:r>
              <w:rPr>
                <w:noProof/>
                <w:webHidden/>
              </w:rPr>
              <w:fldChar w:fldCharType="begin"/>
            </w:r>
            <w:r>
              <w:rPr>
                <w:noProof/>
                <w:webHidden/>
              </w:rPr>
              <w:instrText xml:space="preserve"> PAGEREF _Toc192259399 \h </w:instrText>
            </w:r>
            <w:r>
              <w:rPr>
                <w:noProof/>
                <w:webHidden/>
              </w:rPr>
            </w:r>
            <w:r>
              <w:rPr>
                <w:noProof/>
                <w:webHidden/>
              </w:rPr>
              <w:fldChar w:fldCharType="separate"/>
            </w:r>
            <w:r>
              <w:rPr>
                <w:noProof/>
                <w:webHidden/>
              </w:rPr>
              <w:t>6</w:t>
            </w:r>
            <w:r>
              <w:rPr>
                <w:noProof/>
                <w:webHidden/>
              </w:rPr>
              <w:fldChar w:fldCharType="end"/>
            </w:r>
          </w:hyperlink>
        </w:p>
        <w:p w14:paraId="2D5824A1" w14:textId="44B9BE85" w:rsidR="00A40582" w:rsidRDefault="00A40582" w:rsidP="00A40582">
          <w:pPr>
            <w:pStyle w:val="TOC1"/>
            <w:tabs>
              <w:tab w:val="right" w:leader="dot" w:pos="9016"/>
            </w:tabs>
            <w:rPr>
              <w:noProof/>
            </w:rPr>
          </w:pPr>
          <w:hyperlink w:anchor="_Toc192259400" w:history="1">
            <w:r w:rsidRPr="00CA367B">
              <w:rPr>
                <w:rStyle w:val="Hyperlink"/>
                <w:noProof/>
              </w:rPr>
              <w:t>6. Strategic Direction</w:t>
            </w:r>
            <w:r>
              <w:rPr>
                <w:noProof/>
                <w:webHidden/>
              </w:rPr>
              <w:tab/>
            </w:r>
            <w:r>
              <w:rPr>
                <w:noProof/>
                <w:webHidden/>
              </w:rPr>
              <w:fldChar w:fldCharType="begin"/>
            </w:r>
            <w:r>
              <w:rPr>
                <w:noProof/>
                <w:webHidden/>
              </w:rPr>
              <w:instrText xml:space="preserve"> PAGEREF _Toc192259400 \h </w:instrText>
            </w:r>
            <w:r>
              <w:rPr>
                <w:noProof/>
                <w:webHidden/>
              </w:rPr>
            </w:r>
            <w:r>
              <w:rPr>
                <w:noProof/>
                <w:webHidden/>
              </w:rPr>
              <w:fldChar w:fldCharType="separate"/>
            </w:r>
            <w:r>
              <w:rPr>
                <w:noProof/>
                <w:webHidden/>
              </w:rPr>
              <w:t>8</w:t>
            </w:r>
            <w:r>
              <w:rPr>
                <w:noProof/>
                <w:webHidden/>
              </w:rPr>
              <w:fldChar w:fldCharType="end"/>
            </w:r>
          </w:hyperlink>
        </w:p>
        <w:p w14:paraId="298204BD" w14:textId="2C8E28CB" w:rsidR="00A40582" w:rsidRDefault="00A40582" w:rsidP="00A40582">
          <w:pPr>
            <w:pStyle w:val="TOC1"/>
            <w:tabs>
              <w:tab w:val="right" w:leader="dot" w:pos="9016"/>
            </w:tabs>
            <w:rPr>
              <w:noProof/>
            </w:rPr>
          </w:pPr>
          <w:hyperlink w:anchor="_Toc192259401" w:history="1">
            <w:r w:rsidRPr="00CA367B">
              <w:rPr>
                <w:rStyle w:val="Hyperlink"/>
                <w:noProof/>
              </w:rPr>
              <w:t>7. Conclusion</w:t>
            </w:r>
            <w:r>
              <w:rPr>
                <w:noProof/>
                <w:webHidden/>
              </w:rPr>
              <w:tab/>
            </w:r>
            <w:r>
              <w:rPr>
                <w:noProof/>
                <w:webHidden/>
              </w:rPr>
              <w:fldChar w:fldCharType="begin"/>
            </w:r>
            <w:r>
              <w:rPr>
                <w:noProof/>
                <w:webHidden/>
              </w:rPr>
              <w:instrText xml:space="preserve"> PAGEREF _Toc192259401 \h </w:instrText>
            </w:r>
            <w:r>
              <w:rPr>
                <w:noProof/>
                <w:webHidden/>
              </w:rPr>
            </w:r>
            <w:r>
              <w:rPr>
                <w:noProof/>
                <w:webHidden/>
              </w:rPr>
              <w:fldChar w:fldCharType="separate"/>
            </w:r>
            <w:r>
              <w:rPr>
                <w:noProof/>
                <w:webHidden/>
              </w:rPr>
              <w:t>8</w:t>
            </w:r>
            <w:r>
              <w:rPr>
                <w:noProof/>
                <w:webHidden/>
              </w:rPr>
              <w:fldChar w:fldCharType="end"/>
            </w:r>
          </w:hyperlink>
        </w:p>
        <w:p w14:paraId="7BFC8EBD" w14:textId="28483E54" w:rsidR="00A40582" w:rsidRDefault="00A40582" w:rsidP="00A40582">
          <w:pPr>
            <w:pStyle w:val="TOC1"/>
            <w:tabs>
              <w:tab w:val="right" w:leader="dot" w:pos="9016"/>
            </w:tabs>
            <w:rPr>
              <w:noProof/>
            </w:rPr>
          </w:pPr>
          <w:hyperlink w:anchor="_Toc192259402" w:history="1">
            <w:r w:rsidRPr="00CA367B">
              <w:rPr>
                <w:rStyle w:val="Hyperlink"/>
                <w:noProof/>
              </w:rPr>
              <w:t>8. Recommendations</w:t>
            </w:r>
            <w:r>
              <w:rPr>
                <w:noProof/>
                <w:webHidden/>
              </w:rPr>
              <w:tab/>
            </w:r>
            <w:r>
              <w:rPr>
                <w:noProof/>
                <w:webHidden/>
              </w:rPr>
              <w:fldChar w:fldCharType="begin"/>
            </w:r>
            <w:r>
              <w:rPr>
                <w:noProof/>
                <w:webHidden/>
              </w:rPr>
              <w:instrText xml:space="preserve"> PAGEREF _Toc192259402 \h </w:instrText>
            </w:r>
            <w:r>
              <w:rPr>
                <w:noProof/>
                <w:webHidden/>
              </w:rPr>
            </w:r>
            <w:r>
              <w:rPr>
                <w:noProof/>
                <w:webHidden/>
              </w:rPr>
              <w:fldChar w:fldCharType="separate"/>
            </w:r>
            <w:r>
              <w:rPr>
                <w:noProof/>
                <w:webHidden/>
              </w:rPr>
              <w:t>9</w:t>
            </w:r>
            <w:r>
              <w:rPr>
                <w:noProof/>
                <w:webHidden/>
              </w:rPr>
              <w:fldChar w:fldCharType="end"/>
            </w:r>
          </w:hyperlink>
        </w:p>
        <w:p w14:paraId="22FCDED3" w14:textId="6F68F5E8" w:rsidR="00A40582" w:rsidRDefault="00A40582" w:rsidP="00A40582">
          <w:pPr>
            <w:pStyle w:val="TOC2"/>
            <w:tabs>
              <w:tab w:val="right" w:leader="dot" w:pos="9016"/>
            </w:tabs>
            <w:rPr>
              <w:noProof/>
            </w:rPr>
          </w:pPr>
          <w:hyperlink w:anchor="_Toc192259403" w:history="1">
            <w:r w:rsidRPr="00CA367B">
              <w:rPr>
                <w:rStyle w:val="Hyperlink"/>
                <w:noProof/>
              </w:rPr>
              <w:t>Strengthen Employee Training Programs</w:t>
            </w:r>
            <w:r>
              <w:rPr>
                <w:noProof/>
                <w:webHidden/>
              </w:rPr>
              <w:tab/>
            </w:r>
            <w:r>
              <w:rPr>
                <w:noProof/>
                <w:webHidden/>
              </w:rPr>
              <w:fldChar w:fldCharType="begin"/>
            </w:r>
            <w:r>
              <w:rPr>
                <w:noProof/>
                <w:webHidden/>
              </w:rPr>
              <w:instrText xml:space="preserve"> PAGEREF _Toc192259403 \h </w:instrText>
            </w:r>
            <w:r>
              <w:rPr>
                <w:noProof/>
                <w:webHidden/>
              </w:rPr>
            </w:r>
            <w:r>
              <w:rPr>
                <w:noProof/>
                <w:webHidden/>
              </w:rPr>
              <w:fldChar w:fldCharType="separate"/>
            </w:r>
            <w:r>
              <w:rPr>
                <w:noProof/>
                <w:webHidden/>
              </w:rPr>
              <w:t>9</w:t>
            </w:r>
            <w:r>
              <w:rPr>
                <w:noProof/>
                <w:webHidden/>
              </w:rPr>
              <w:fldChar w:fldCharType="end"/>
            </w:r>
          </w:hyperlink>
        </w:p>
        <w:p w14:paraId="59FD095C" w14:textId="4F51AC0A" w:rsidR="00A40582" w:rsidRDefault="00A40582" w:rsidP="00A40582">
          <w:pPr>
            <w:pStyle w:val="TOC2"/>
            <w:tabs>
              <w:tab w:val="right" w:leader="dot" w:pos="9016"/>
            </w:tabs>
            <w:rPr>
              <w:noProof/>
            </w:rPr>
          </w:pPr>
          <w:hyperlink w:anchor="_Toc192259404" w:history="1">
            <w:r w:rsidRPr="00CA367B">
              <w:rPr>
                <w:rStyle w:val="Hyperlink"/>
                <w:noProof/>
              </w:rPr>
              <w:t>Pursue Strategic Market Expansion</w:t>
            </w:r>
            <w:r>
              <w:rPr>
                <w:noProof/>
                <w:webHidden/>
              </w:rPr>
              <w:tab/>
            </w:r>
            <w:r>
              <w:rPr>
                <w:noProof/>
                <w:webHidden/>
              </w:rPr>
              <w:fldChar w:fldCharType="begin"/>
            </w:r>
            <w:r>
              <w:rPr>
                <w:noProof/>
                <w:webHidden/>
              </w:rPr>
              <w:instrText xml:space="preserve"> PAGEREF _Toc192259404 \h </w:instrText>
            </w:r>
            <w:r>
              <w:rPr>
                <w:noProof/>
                <w:webHidden/>
              </w:rPr>
            </w:r>
            <w:r>
              <w:rPr>
                <w:noProof/>
                <w:webHidden/>
              </w:rPr>
              <w:fldChar w:fldCharType="separate"/>
            </w:r>
            <w:r>
              <w:rPr>
                <w:noProof/>
                <w:webHidden/>
              </w:rPr>
              <w:t>10</w:t>
            </w:r>
            <w:r>
              <w:rPr>
                <w:noProof/>
                <w:webHidden/>
              </w:rPr>
              <w:fldChar w:fldCharType="end"/>
            </w:r>
          </w:hyperlink>
        </w:p>
        <w:p w14:paraId="5B5CFDEA" w14:textId="7AEBCEFE" w:rsidR="00A40582" w:rsidRDefault="00A40582" w:rsidP="00A40582">
          <w:pPr>
            <w:pStyle w:val="TOC2"/>
            <w:tabs>
              <w:tab w:val="right" w:leader="dot" w:pos="9016"/>
            </w:tabs>
            <w:rPr>
              <w:noProof/>
            </w:rPr>
          </w:pPr>
          <w:hyperlink w:anchor="_Toc192259405" w:history="1">
            <w:r w:rsidRPr="00CA367B">
              <w:rPr>
                <w:rStyle w:val="Hyperlink"/>
                <w:noProof/>
              </w:rPr>
              <w:t>Boost Sustainability Investments</w:t>
            </w:r>
            <w:r>
              <w:rPr>
                <w:noProof/>
                <w:webHidden/>
              </w:rPr>
              <w:tab/>
            </w:r>
            <w:r>
              <w:rPr>
                <w:noProof/>
                <w:webHidden/>
              </w:rPr>
              <w:fldChar w:fldCharType="begin"/>
            </w:r>
            <w:r>
              <w:rPr>
                <w:noProof/>
                <w:webHidden/>
              </w:rPr>
              <w:instrText xml:space="preserve"> PAGEREF _Toc192259405 \h </w:instrText>
            </w:r>
            <w:r>
              <w:rPr>
                <w:noProof/>
                <w:webHidden/>
              </w:rPr>
            </w:r>
            <w:r>
              <w:rPr>
                <w:noProof/>
                <w:webHidden/>
              </w:rPr>
              <w:fldChar w:fldCharType="separate"/>
            </w:r>
            <w:r>
              <w:rPr>
                <w:noProof/>
                <w:webHidden/>
              </w:rPr>
              <w:t>10</w:t>
            </w:r>
            <w:r>
              <w:rPr>
                <w:noProof/>
                <w:webHidden/>
              </w:rPr>
              <w:fldChar w:fldCharType="end"/>
            </w:r>
          </w:hyperlink>
        </w:p>
        <w:p w14:paraId="1985DEA4" w14:textId="5BB719F8" w:rsidR="00A40582" w:rsidRDefault="00A40582" w:rsidP="00A40582">
          <w:pPr>
            <w:pStyle w:val="TOC2"/>
            <w:tabs>
              <w:tab w:val="right" w:leader="dot" w:pos="9016"/>
            </w:tabs>
            <w:rPr>
              <w:noProof/>
            </w:rPr>
          </w:pPr>
          <w:hyperlink w:anchor="_Toc192259406" w:history="1">
            <w:r w:rsidRPr="00CA367B">
              <w:rPr>
                <w:rStyle w:val="Hyperlink"/>
                <w:noProof/>
              </w:rPr>
              <w:t>Enhance Digital Innovation</w:t>
            </w:r>
            <w:r>
              <w:rPr>
                <w:noProof/>
                <w:webHidden/>
              </w:rPr>
              <w:tab/>
            </w:r>
            <w:r>
              <w:rPr>
                <w:noProof/>
                <w:webHidden/>
              </w:rPr>
              <w:fldChar w:fldCharType="begin"/>
            </w:r>
            <w:r>
              <w:rPr>
                <w:noProof/>
                <w:webHidden/>
              </w:rPr>
              <w:instrText xml:space="preserve"> PAGEREF _Toc192259406 \h </w:instrText>
            </w:r>
            <w:r>
              <w:rPr>
                <w:noProof/>
                <w:webHidden/>
              </w:rPr>
            </w:r>
            <w:r>
              <w:rPr>
                <w:noProof/>
                <w:webHidden/>
              </w:rPr>
              <w:fldChar w:fldCharType="separate"/>
            </w:r>
            <w:r>
              <w:rPr>
                <w:noProof/>
                <w:webHidden/>
              </w:rPr>
              <w:t>10</w:t>
            </w:r>
            <w:r>
              <w:rPr>
                <w:noProof/>
                <w:webHidden/>
              </w:rPr>
              <w:fldChar w:fldCharType="end"/>
            </w:r>
          </w:hyperlink>
        </w:p>
        <w:p w14:paraId="3FBAEAE2" w14:textId="3F8F7FCC" w:rsidR="00A40582" w:rsidRDefault="00A40582" w:rsidP="00A40582">
          <w:pPr>
            <w:pStyle w:val="TOC1"/>
            <w:tabs>
              <w:tab w:val="right" w:leader="dot" w:pos="9016"/>
            </w:tabs>
            <w:rPr>
              <w:noProof/>
            </w:rPr>
          </w:pPr>
          <w:hyperlink w:anchor="_Toc192259407" w:history="1">
            <w:r w:rsidRPr="00CA367B">
              <w:rPr>
                <w:rStyle w:val="Hyperlink"/>
                <w:noProof/>
              </w:rPr>
              <w:t>Reference List</w:t>
            </w:r>
            <w:r>
              <w:rPr>
                <w:noProof/>
                <w:webHidden/>
              </w:rPr>
              <w:tab/>
            </w:r>
            <w:r>
              <w:rPr>
                <w:noProof/>
                <w:webHidden/>
              </w:rPr>
              <w:fldChar w:fldCharType="begin"/>
            </w:r>
            <w:r>
              <w:rPr>
                <w:noProof/>
                <w:webHidden/>
              </w:rPr>
              <w:instrText xml:space="preserve"> PAGEREF _Toc192259407 \h </w:instrText>
            </w:r>
            <w:r>
              <w:rPr>
                <w:noProof/>
                <w:webHidden/>
              </w:rPr>
            </w:r>
            <w:r>
              <w:rPr>
                <w:noProof/>
                <w:webHidden/>
              </w:rPr>
              <w:fldChar w:fldCharType="separate"/>
            </w:r>
            <w:r>
              <w:rPr>
                <w:noProof/>
                <w:webHidden/>
              </w:rPr>
              <w:t>10</w:t>
            </w:r>
            <w:r>
              <w:rPr>
                <w:noProof/>
                <w:webHidden/>
              </w:rPr>
              <w:fldChar w:fldCharType="end"/>
            </w:r>
          </w:hyperlink>
        </w:p>
        <w:p w14:paraId="00D1A783" w14:textId="77777777" w:rsidR="00A40582" w:rsidRDefault="00A40582" w:rsidP="00A40582">
          <w:pPr>
            <w:rPr>
              <w:b/>
              <w:bCs/>
              <w:noProof/>
            </w:rPr>
          </w:pPr>
          <w:r>
            <w:rPr>
              <w:b/>
              <w:bCs/>
              <w:noProof/>
            </w:rPr>
            <w:fldChar w:fldCharType="end"/>
          </w:r>
        </w:p>
      </w:sdtContent>
    </w:sdt>
    <w:p w14:paraId="1FE7FB16" w14:textId="77777777" w:rsidR="00990F79" w:rsidRDefault="00990F79" w:rsidP="00590DB9">
      <w:pPr>
        <w:spacing w:line="360" w:lineRule="auto"/>
        <w:jc w:val="both"/>
        <w:rPr>
          <w:rFonts w:ascii="Arial" w:hAnsi="Arial" w:cs="Arial"/>
          <w:sz w:val="24"/>
          <w:szCs w:val="24"/>
        </w:rPr>
      </w:pPr>
    </w:p>
    <w:p w14:paraId="4643E4AB" w14:textId="77777777" w:rsidR="00A40582" w:rsidRDefault="00A40582" w:rsidP="00590DB9">
      <w:pPr>
        <w:spacing w:line="360" w:lineRule="auto"/>
        <w:jc w:val="both"/>
        <w:rPr>
          <w:rFonts w:ascii="Arial" w:hAnsi="Arial" w:cs="Arial"/>
          <w:sz w:val="24"/>
          <w:szCs w:val="24"/>
        </w:rPr>
      </w:pPr>
    </w:p>
    <w:p w14:paraId="15450239" w14:textId="77777777" w:rsidR="00A40582" w:rsidRDefault="00A40582" w:rsidP="00590DB9">
      <w:pPr>
        <w:spacing w:line="360" w:lineRule="auto"/>
        <w:jc w:val="both"/>
        <w:rPr>
          <w:rFonts w:ascii="Arial" w:hAnsi="Arial" w:cs="Arial"/>
          <w:sz w:val="24"/>
          <w:szCs w:val="24"/>
        </w:rPr>
      </w:pPr>
    </w:p>
    <w:p w14:paraId="438EE220" w14:textId="77777777" w:rsidR="00A40582" w:rsidRDefault="00A40582" w:rsidP="00590DB9">
      <w:pPr>
        <w:spacing w:line="360" w:lineRule="auto"/>
        <w:jc w:val="both"/>
        <w:rPr>
          <w:rFonts w:ascii="Arial" w:hAnsi="Arial" w:cs="Arial"/>
          <w:sz w:val="24"/>
          <w:szCs w:val="24"/>
        </w:rPr>
      </w:pPr>
    </w:p>
    <w:p w14:paraId="1B0F1736" w14:textId="77777777" w:rsidR="00A40582" w:rsidRDefault="00A40582" w:rsidP="00590DB9">
      <w:pPr>
        <w:spacing w:line="360" w:lineRule="auto"/>
        <w:jc w:val="both"/>
        <w:rPr>
          <w:rFonts w:ascii="Arial" w:hAnsi="Arial" w:cs="Arial"/>
          <w:sz w:val="24"/>
          <w:szCs w:val="24"/>
        </w:rPr>
      </w:pPr>
    </w:p>
    <w:p w14:paraId="73F8D036" w14:textId="77777777" w:rsidR="00A40582" w:rsidRDefault="00A40582" w:rsidP="00590DB9">
      <w:pPr>
        <w:spacing w:line="360" w:lineRule="auto"/>
        <w:jc w:val="both"/>
        <w:rPr>
          <w:rFonts w:ascii="Arial" w:hAnsi="Arial" w:cs="Arial"/>
          <w:sz w:val="24"/>
          <w:szCs w:val="24"/>
        </w:rPr>
      </w:pPr>
    </w:p>
    <w:p w14:paraId="27ED2D8D" w14:textId="77777777" w:rsidR="00A40582" w:rsidRDefault="00A40582" w:rsidP="00590DB9">
      <w:pPr>
        <w:spacing w:line="360" w:lineRule="auto"/>
        <w:jc w:val="both"/>
        <w:rPr>
          <w:rFonts w:ascii="Arial" w:hAnsi="Arial" w:cs="Arial"/>
          <w:sz w:val="24"/>
          <w:szCs w:val="24"/>
        </w:rPr>
      </w:pPr>
    </w:p>
    <w:p w14:paraId="6FC43709" w14:textId="77777777" w:rsidR="00A40582" w:rsidRDefault="00A40582" w:rsidP="00590DB9">
      <w:pPr>
        <w:spacing w:line="360" w:lineRule="auto"/>
        <w:jc w:val="both"/>
        <w:rPr>
          <w:rFonts w:ascii="Arial" w:hAnsi="Arial" w:cs="Arial"/>
          <w:sz w:val="24"/>
          <w:szCs w:val="24"/>
        </w:rPr>
      </w:pPr>
    </w:p>
    <w:p w14:paraId="5A11AED2" w14:textId="77777777" w:rsidR="00A40582" w:rsidRDefault="00A40582" w:rsidP="00590DB9">
      <w:pPr>
        <w:spacing w:line="360" w:lineRule="auto"/>
        <w:jc w:val="both"/>
        <w:rPr>
          <w:rFonts w:ascii="Arial" w:hAnsi="Arial" w:cs="Arial"/>
          <w:sz w:val="24"/>
          <w:szCs w:val="24"/>
        </w:rPr>
      </w:pPr>
    </w:p>
    <w:p w14:paraId="7A25384A" w14:textId="77777777" w:rsidR="00A40582" w:rsidRDefault="00A40582" w:rsidP="00590DB9">
      <w:pPr>
        <w:spacing w:line="360" w:lineRule="auto"/>
        <w:jc w:val="both"/>
        <w:rPr>
          <w:rFonts w:ascii="Arial" w:hAnsi="Arial" w:cs="Arial"/>
          <w:sz w:val="24"/>
          <w:szCs w:val="24"/>
        </w:rPr>
      </w:pPr>
    </w:p>
    <w:p w14:paraId="6AC24E14" w14:textId="77777777" w:rsidR="00A40582" w:rsidRDefault="00A40582" w:rsidP="00590DB9">
      <w:pPr>
        <w:spacing w:line="360" w:lineRule="auto"/>
        <w:jc w:val="both"/>
        <w:rPr>
          <w:rFonts w:ascii="Arial" w:hAnsi="Arial" w:cs="Arial"/>
          <w:sz w:val="24"/>
          <w:szCs w:val="24"/>
        </w:rPr>
      </w:pPr>
    </w:p>
    <w:p w14:paraId="667801AC" w14:textId="77777777" w:rsidR="00A40582" w:rsidRDefault="00A40582" w:rsidP="00590DB9">
      <w:pPr>
        <w:spacing w:line="360" w:lineRule="auto"/>
        <w:jc w:val="both"/>
        <w:rPr>
          <w:rFonts w:ascii="Arial" w:hAnsi="Arial" w:cs="Arial"/>
          <w:sz w:val="24"/>
          <w:szCs w:val="24"/>
        </w:rPr>
      </w:pPr>
    </w:p>
    <w:p w14:paraId="37B9C0B8" w14:textId="77777777" w:rsidR="00A40582" w:rsidRPr="00590DB9" w:rsidRDefault="00A40582" w:rsidP="00590DB9">
      <w:pPr>
        <w:spacing w:line="360" w:lineRule="auto"/>
        <w:jc w:val="both"/>
        <w:rPr>
          <w:rFonts w:ascii="Arial" w:hAnsi="Arial" w:cs="Arial"/>
          <w:sz w:val="24"/>
          <w:szCs w:val="24"/>
        </w:rPr>
      </w:pPr>
    </w:p>
    <w:p w14:paraId="7208DC5D" w14:textId="5A149846" w:rsidR="00A40582" w:rsidRPr="00A40582" w:rsidRDefault="00990F79" w:rsidP="00A40582">
      <w:pPr>
        <w:pStyle w:val="Style2"/>
        <w:numPr>
          <w:ilvl w:val="0"/>
          <w:numId w:val="3"/>
        </w:numPr>
      </w:pPr>
      <w:bookmarkStart w:id="1" w:name="_Toc192259396"/>
      <w:r w:rsidRPr="00590DB9">
        <w:t>Introduction</w:t>
      </w:r>
      <w:bookmarkEnd w:id="1"/>
      <w:r w:rsidRPr="00590DB9">
        <w:t xml:space="preserve"> </w:t>
      </w:r>
    </w:p>
    <w:p w14:paraId="7208DC5D" w14:textId="5A149846"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 Hotels &amp; Resort, established in 1919 by Conrad Hilton, is a global hospitality leader with over 600 hotels across six continents under Hilton Worldwide Holdings Inc. (Hilton, 2023). From its first property in Texas to a network serving millions annually, Hilton spans luxury brands like Waldorf Astoria to budget-friendly options like Hampton by Hilton. The hospitality industry, valued at over $4 trillion globally, is transforming due to digitalization, sustainability demands, and shifting consumer preferences for personalized experiences (Statista, 2023). Hilton’s adaptability and service legacy position it as a key player amid these changes.</w:t>
      </w:r>
    </w:p>
    <w:p w14:paraId="6749B71B"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This report examines Hilton’s organizational dynamics and strategic direction to assess its operational efficiency and market standing. It employs theoretical models: Mintzberg’s (1979) organizational configurations for structure, Schein’s (1985) culture model for cultural insights, SMART criteria and stakeholder theory for goals, Kotter’s (1996) 8-Step Change Model for change initiatives, and Porter’s (1980) Generic Strategies and Ansoff’s (1957) Matrix for strategy. These frameworks provide a structured lens to evaluate how Hilton balances global scale with localized service delivery—a critical challenge given its reliance on franchising, which drives expansion but risks inconsistency.</w:t>
      </w:r>
    </w:p>
    <w:p w14:paraId="120282D1" w14:textId="13A54111"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 xml:space="preserve">Hilton’s market significance stems from its ability to cater to diverse segments while advancing sustainability, a priority reflected in its "Travel with Purpose" initiative (Hilton ESG, 2023). For example, its digital tools, like the Hilton Honors app, enhance guest experiences, while its franchise model fuels growth in regions like Asia Pacific. It addresses module objectives in organizational </w:t>
      </w:r>
      <w:r w:rsidR="001005D5" w:rsidRPr="00590DB9">
        <w:rPr>
          <w:rFonts w:ascii="Arial" w:hAnsi="Arial" w:cs="Arial"/>
          <w:sz w:val="24"/>
          <w:szCs w:val="24"/>
        </w:rPr>
        <w:t>behaviour</w:t>
      </w:r>
      <w:r w:rsidRPr="00590DB9">
        <w:rPr>
          <w:rFonts w:ascii="Arial" w:hAnsi="Arial" w:cs="Arial"/>
          <w:sz w:val="24"/>
          <w:szCs w:val="24"/>
        </w:rPr>
        <w:t xml:space="preserve"> and strategic management, offering insights into how Hilton navigates a competitive, evolving industry.</w:t>
      </w:r>
    </w:p>
    <w:p w14:paraId="05615702" w14:textId="3A7715D5" w:rsidR="00990F79" w:rsidRPr="00590DB9" w:rsidRDefault="00990F79" w:rsidP="00590DB9">
      <w:pPr>
        <w:pStyle w:val="Style2"/>
      </w:pPr>
      <w:bookmarkStart w:id="2" w:name="_Toc192259397"/>
      <w:r w:rsidRPr="00590DB9">
        <w:t>2. Organizational Structure</w:t>
      </w:r>
      <w:bookmarkEnd w:id="2"/>
    </w:p>
    <w:p w14:paraId="02539B5B" w14:textId="33CEE232"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 xml:space="preserve">Hilton Hotels &amp; Resort employs a divisional organizational structure, overseen by CEO Christopher J. Nassetta, with three core divisions: ownership (146 hotels, 59,463 rooms), management and franchise (4,419 hotels, 691,887 rooms), and timeshare (45 properties, 7,152 units) (Research Methodology, 2023). A hierarchical framework </w:t>
      </w:r>
      <w:r w:rsidRPr="00590DB9">
        <w:rPr>
          <w:rFonts w:ascii="Arial" w:hAnsi="Arial" w:cs="Arial"/>
          <w:sz w:val="24"/>
          <w:szCs w:val="24"/>
        </w:rPr>
        <w:lastRenderedPageBreak/>
        <w:t xml:space="preserve">supports this, coordinating 13 brands across regions like the Americas and Asia Pacific (Organimi, 2023). Per Mintzberg’s (1979) theory, Hilton fits the </w:t>
      </w:r>
      <w:r w:rsidR="002C4BE4" w:rsidRPr="00590DB9">
        <w:rPr>
          <w:rFonts w:ascii="Arial" w:hAnsi="Arial" w:cs="Arial"/>
          <w:sz w:val="24"/>
          <w:szCs w:val="24"/>
        </w:rPr>
        <w:t>multi-divisional</w:t>
      </w:r>
      <w:r w:rsidRPr="00590DB9">
        <w:rPr>
          <w:rFonts w:ascii="Arial" w:hAnsi="Arial" w:cs="Arial"/>
          <w:sz w:val="24"/>
          <w:szCs w:val="24"/>
        </w:rPr>
        <w:t xml:space="preserve"> form, with semi-autonomous units under centralized strategic oversight, enabling tailored operations per market.</w:t>
      </w:r>
    </w:p>
    <w:p w14:paraId="5C7BAB4D"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This structure drives scalability. The franchise division, comprising 70% of rooms, leverages local expertise for rapid growth, such as expanding Hampton by Hilton in suburban Europe (Marketing91, 2023). Region-specific strategies—like targeted marketing for millennials in Asia—enhance flexibility (Hilton, 2023). However, hierarchical layers can slow decisions; regional managers often await corporate approval, delaying responses to competitors like Marriott in dynamic markets (Mintzberg, 1979). For instance, adapting to China’s post-pandemic travel boom required swift pricing adjustments, but delays hampered competitiveness.</w:t>
      </w:r>
    </w:p>
    <w:p w14:paraId="0F67A07D"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Franchising, while cost-effective, risks quality variability. In 2022, guest complaints about inconsistent standards in franchised properties in India highlighted oversight gaps (Hilton, 2023). Hilton counters this with audits and training, yet enforcement varies, especially in remote areas. Conversely, the ownership division maintains tighter control, ensuring luxury properties like Conrad Hotels align with brand standards. Coordinating global initiatives, such as sustainability mandates, also tests this structure. Digital platforms help standardize processes, but franchisee adoption lags in less-digitized regions (Hilton ESG, 2023).</w:t>
      </w:r>
    </w:p>
    <w:p w14:paraId="15849B07"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structure thus balances global reach with local adaptation, but refining hierarchical efficiency and franchise oversight is vital for agility and brand consistency.</w:t>
      </w:r>
    </w:p>
    <w:p w14:paraId="1B3C1730" w14:textId="0FA08248" w:rsidR="00990F79" w:rsidRPr="00590DB9" w:rsidRDefault="00990F79" w:rsidP="00590DB9">
      <w:pPr>
        <w:pStyle w:val="Style2"/>
      </w:pPr>
      <w:bookmarkStart w:id="3" w:name="_Toc192259398"/>
      <w:r w:rsidRPr="00590DB9">
        <w:t>3. Corporate Culture</w:t>
      </w:r>
      <w:bookmarkEnd w:id="3"/>
      <w:r w:rsidRPr="00590DB9">
        <w:t xml:space="preserve"> </w:t>
      </w:r>
    </w:p>
    <w:p w14:paraId="6B525664"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corporate culture prioritizes employee engagement and inclusivity, pivotal in hospitality where staff shape guest experiences. Programs like "Heart of House" offer modern workspaces with Wi-Fi and wellness perks, boosting morale across 6,000 properties in 114 countries (Hilton Jobs, 2023). CEO Nassetta champions teamwork, fostering a multigenerational workforce (Lambrano, 2023). Schein’s (1985) model reveals artifacts (visible initiatives), espoused values (inclusivity), and assumptions (engaged employees enhance service).</w:t>
      </w:r>
    </w:p>
    <w:p w14:paraId="50C91EE2"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lastRenderedPageBreak/>
        <w:t>This culture drives success. "Thrive at Hilton" supports development, reducing turnover below industry norms and ensuring service consistency (Hilton ESG, 2023). Recognized as a top employer, Hilton’s low staff churn contrasts with competitors like Hyatt (Hilton Jobs, 2023). However, its franchise-heavy model—70% of properties—complicates cultural uniformity. Franchisees in cost-sensitive markets like Southeast Asia may underfund cultural programs, weakening guest experiences (Marketing91, 2023). Hilton’s global training and diversity efforts, such as partnerships with minority suppliers, aim to bridge this gap, but enforcement is inconsistent.</w:t>
      </w:r>
    </w:p>
    <w:p w14:paraId="4EB294F3"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Adapting to workforce trends adds complexity. Younger employees value purpose; "Hilton University" offers online learning, yet operational demands in peak seasons strain participation (Hilton, 2023). In regions like Africa, limited digital access hinders program reach. Guest feedback underscores culture’s impact: 2022 surveys linked staff satisfaction to higher ratings in owned properties versus franchises (Hilton ESG, 2023). Strengthening franchise incentives, like tying bonuses to cultural adherence, could align standards.</w:t>
      </w:r>
    </w:p>
    <w:p w14:paraId="340907BE"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culture bolsters service quality, but global consistency requires enhanced franchise oversight and adaptive workforce strategies.</w:t>
      </w:r>
    </w:p>
    <w:p w14:paraId="597AD937" w14:textId="2B0F4A45" w:rsidR="00990F79" w:rsidRPr="00590DB9" w:rsidRDefault="00990F79" w:rsidP="00590DB9">
      <w:pPr>
        <w:pStyle w:val="Style2"/>
      </w:pPr>
      <w:bookmarkStart w:id="4" w:name="_Toc192259399"/>
      <w:r w:rsidRPr="00590DB9">
        <w:t>4. Corporate Goals</w:t>
      </w:r>
      <w:bookmarkEnd w:id="4"/>
    </w:p>
    <w:p w14:paraId="58EC00F9"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"Travel with Purpose" (2012) targets halving its environmental footprint and doubling social impact by 2030 (Center for Responsible Travel, 2023). Key objectives include cutting Scope 1 and 2 emissions intensity by 75% and Scope 3 by 56% from 2008 levels, alongside a 50% reduction in water usage intensity (Hilton ESG, 2023). By 2023, it achieved 45.1% and 25.1% reductions, respectively, and trained staff to combat human trafficking (Hilton ESG, 2023).</w:t>
      </w:r>
    </w:p>
    <w:p w14:paraId="70EE432B" w14:textId="195E9846"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 xml:space="preserve">The SMART framework confirms these goals are Specific (quantified targets), Measurable (ESG metrics), Achievable (progress shown), Relevant (sustainability trend), and Time-bound (2030) (Doran, 1981). Stakeholder theory aligns them with guests, communities, and investors (Freeman, 1984). Eco-conscious </w:t>
      </w:r>
      <w:r w:rsidR="002C4BE4" w:rsidRPr="00590DB9">
        <w:rPr>
          <w:rFonts w:ascii="Arial" w:hAnsi="Arial" w:cs="Arial"/>
          <w:sz w:val="24"/>
          <w:szCs w:val="24"/>
        </w:rPr>
        <w:t>travellers</w:t>
      </w:r>
      <w:r w:rsidRPr="00590DB9">
        <w:rPr>
          <w:rFonts w:ascii="Arial" w:hAnsi="Arial" w:cs="Arial"/>
          <w:sz w:val="24"/>
          <w:szCs w:val="24"/>
        </w:rPr>
        <w:t xml:space="preserve"> </w:t>
      </w:r>
      <w:r w:rsidR="002C4BE4" w:rsidRPr="00590DB9">
        <w:rPr>
          <w:rFonts w:ascii="Arial" w:hAnsi="Arial" w:cs="Arial"/>
          <w:sz w:val="24"/>
          <w:szCs w:val="24"/>
        </w:rPr>
        <w:t>favour</w:t>
      </w:r>
      <w:r w:rsidRPr="00590DB9">
        <w:rPr>
          <w:rFonts w:ascii="Arial" w:hAnsi="Arial" w:cs="Arial"/>
          <w:sz w:val="24"/>
          <w:szCs w:val="24"/>
        </w:rPr>
        <w:t xml:space="preserve"> Hilton’s efforts, while local investments, like Africa’s "Big Five" youth program, enhance community ties (Center for Responsible Travel, 2023). Yet, Scope 3 progress lags due </w:t>
      </w:r>
      <w:r w:rsidRPr="00590DB9">
        <w:rPr>
          <w:rFonts w:ascii="Arial" w:hAnsi="Arial" w:cs="Arial"/>
          <w:sz w:val="24"/>
          <w:szCs w:val="24"/>
        </w:rPr>
        <w:lastRenderedPageBreak/>
        <w:t>to franchise and supplier autonomy—25.1% versus a 56% goal—requiring stricter mandates (Hilton ESG, 2023).</w:t>
      </w:r>
    </w:p>
    <w:p w14:paraId="7F93CC57"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Partnerships, such as with the World Wildlife Fund for water projects, advance goals, but social impact measurement lacks depth. Job creation from investments is reported anecdotally, not quantitatively (Hilton ESG, 2023). Competitors like Accor mimic Hilton’s zero-waste pledges, spurred by its 10 million soap bars recycled via Clean the World (Hilton Newsroom, 2018). To lead, Hilton must accelerate Scope 3 efforts and refine impact metrics, ensuring stakeholder value and industry influence.</w:t>
      </w:r>
    </w:p>
    <w:p w14:paraId="64133265"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goals are ambitious, but intensified supply chain focus and clearer social metrics are essential for success.</w:t>
      </w:r>
    </w:p>
    <w:p w14:paraId="4F813238" w14:textId="62E4E085" w:rsidR="00990F79" w:rsidRPr="00590DB9" w:rsidRDefault="00990F79" w:rsidP="00A40582">
      <w:pPr>
        <w:pStyle w:val="Style2"/>
      </w:pPr>
      <w:r w:rsidRPr="00590DB9">
        <w:t>5. Recent Change Initiatives</w:t>
      </w:r>
    </w:p>
    <w:p w14:paraId="2A706CE8"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2023 initiatives include expanding EV charging to 1,800+ hotels and launching Sustainable Design Checklists for new builds, alongside opening 200 hotels in markets like Ecuador (Hilton ESG, 2023; Hilton News, 2023). Its 2018 pledge targets zero soap waste and increased local supplier investments (Hilton Newsroom, 2018). Kotter’s (1996) 8-Step Model frames these: EV expansion builds urgency (climate action) and short-term wins (stations installed), but franchisee adoption varies—30% in rural areas versus 80% in cities (Hilton ESG, 2023).</w:t>
      </w:r>
    </w:p>
    <w:p w14:paraId="360EBC99"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New hotels, like Ecuador’s Hampton by Hilton, reflect growth vision, yet regulatory hurdles and cultural gaps challenge execution. Local staffing mitigates this, though franchisees need more support (Hilton News, 2023). The soap initiative, recycling 10 million bars, anchors sustainability, but scaling in regions like India with weak recycling systems lags (Hilton ESG, 2023). Financial incentives boost EV uptake, yet rural franchisees cite low demand, highlighting communication gaps (Kotter, 1996).</w:t>
      </w:r>
    </w:p>
    <w:p w14:paraId="6E661BE3"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Outcomes vary: urban EV stations enhance guest appeal, while new market entries grow revenue 5% annually (Hilton News, 2023). Challenges include franchise resistance and infrastructure limits. Phased rollouts and tailored training could improve consistency.</w:t>
      </w:r>
    </w:p>
    <w:p w14:paraId="5E48B94A"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Hilton’s initiatives advance sustainability and growth, but stronger change management is needed for uniform success.</w:t>
      </w:r>
    </w:p>
    <w:p w14:paraId="26F94664" w14:textId="333C0B69" w:rsidR="00990F79" w:rsidRPr="00590DB9" w:rsidRDefault="00990F79" w:rsidP="00590DB9">
      <w:pPr>
        <w:pStyle w:val="Style2"/>
      </w:pPr>
      <w:bookmarkStart w:id="5" w:name="_Toc192259400"/>
      <w:r w:rsidRPr="00590DB9">
        <w:lastRenderedPageBreak/>
        <w:t>6. Strategic Direction</w:t>
      </w:r>
      <w:bookmarkEnd w:id="5"/>
    </w:p>
    <w:p w14:paraId="440E437E"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Hilton pursues differentiation through premium services, digital innovation, and global expansion. Its 13-brand portfolio and Hilton Honors program, with mobile check-in and personalization, target diverse guests (Research Methodology, 2023; Latterly, 2023). Adding 100,000 rooms in 2015 and focusing on Asia Pacific fuel growth (Marketing91, 2023). Porter’s (1980) framework labels this differentiation, with luxury offerings like Conrad’s concierge apps distinguishing Hilton. Ansoff’s (1957) Matrix highlights market development (new regions) and product development (digital tools).</w:t>
      </w:r>
    </w:p>
    <w:p w14:paraId="72401874"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Franchising (70% of rooms) cuts costs but risks quality, as seen in mixed reviews from franchised properties in 2022 (Marketing91, 2023). Digital tools align with trends—40% of guests use the app—but adoption falters in low-tech regions like rural Africa (Hilton, 2023). Sustainability via "Travel with Purpose" meets eco-demand, yet scaling tech investments raises cybersecurity risks (Latterly, 2023). Competitors like Marriott challenge Hilton’s edge with similar innovations.</w:t>
      </w:r>
    </w:p>
    <w:p w14:paraId="1FF7189F" w14:textId="77777777" w:rsidR="00990F79" w:rsidRPr="00590DB9" w:rsidRDefault="00990F79" w:rsidP="00590DB9">
      <w:pPr>
        <w:spacing w:line="360" w:lineRule="auto"/>
        <w:jc w:val="both"/>
        <w:rPr>
          <w:rFonts w:ascii="Arial" w:hAnsi="Arial" w:cs="Arial"/>
          <w:sz w:val="24"/>
          <w:szCs w:val="24"/>
        </w:rPr>
      </w:pPr>
      <w:r w:rsidRPr="00590DB9">
        <w:rPr>
          <w:rFonts w:ascii="Arial" w:hAnsi="Arial" w:cs="Arial"/>
          <w:sz w:val="24"/>
          <w:szCs w:val="24"/>
        </w:rPr>
        <w:t>Opportunities lie in emerging markets; risks include franchise variability and tech disparities. Localized app versions could boost uptake. Hilton’s strategy positions it strongly, but franchise control and digital scalability are critical for sustained leadership.</w:t>
      </w:r>
    </w:p>
    <w:p w14:paraId="33C7B9BE" w14:textId="534DCDEF" w:rsidR="002C4BE4" w:rsidRPr="00590DB9" w:rsidRDefault="00990F79" w:rsidP="00590DB9">
      <w:pPr>
        <w:pStyle w:val="Style2"/>
      </w:pPr>
      <w:r w:rsidRPr="00590DB9">
        <w:cr/>
      </w:r>
      <w:bookmarkStart w:id="6" w:name="_Toc192259401"/>
      <w:r w:rsidR="002C4BE4" w:rsidRPr="00590DB9">
        <w:t>7. Conclusion</w:t>
      </w:r>
      <w:bookmarkEnd w:id="6"/>
    </w:p>
    <w:p w14:paraId="102D8F95" w14:textId="3A072C96"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t xml:space="preserve">Hilton Hotels &amp; Resort stands as a global leader in the hospitality industry, distinguished by its robust divisional organizational structure, inclusive corporate culture, and strategic commitment to sustainability and innovation. This report has </w:t>
      </w:r>
      <w:r w:rsidRPr="00590DB9">
        <w:rPr>
          <w:rFonts w:ascii="Arial" w:hAnsi="Arial" w:cs="Arial"/>
          <w:sz w:val="24"/>
          <w:szCs w:val="24"/>
        </w:rPr>
        <w:t>analysed</w:t>
      </w:r>
      <w:r w:rsidRPr="00590DB9">
        <w:rPr>
          <w:rFonts w:ascii="Arial" w:hAnsi="Arial" w:cs="Arial"/>
          <w:sz w:val="24"/>
          <w:szCs w:val="24"/>
        </w:rPr>
        <w:t xml:space="preserve"> these elements through established frameworks, revealing Hilton’s strengths in fostering scalability and high-quality guest experiences. The company’s "Travel with Purpose" initiative exemplifies its dedication to environmental stewardship and social responsibility, targeting significant reductions in carbon emissions and water usage by 2030. Furthermore, its focus on differentiation—through premium branding and digital advancements like the Hilton Honors app—reinforces its competitive position in a dynamic market.</w:t>
      </w:r>
    </w:p>
    <w:p w14:paraId="3EEA0DA3" w14:textId="77777777"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lastRenderedPageBreak/>
        <w:t>Despite these strengths, challenges persist that could undermine Hilton’s long-term success. The hierarchical nature of its structure occasionally hampers agile decision-making, particularly in response to rapid market shifts. Additionally, its extensive franchise model, while enabling rapid global expansion, introduces risks of inconsistent service quality and brand dilution across properties. Sustainability efforts, though progressive, reveal gaps, particularly in managing Scope 3 emissions within the supply chain, where implementation lags behind direct operational achievements. Recent initiatives, such as expanding electric vehicle charging infrastructure and entering emerging markets, demonstrate ambition but require stronger oversight to ensure uniform execution.</w:t>
      </w:r>
    </w:p>
    <w:p w14:paraId="3419FD22" w14:textId="77777777"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t>In summary, Hilton’s strategic alignment with industry trends positions it well for continued leadership. However, addressing franchise consistency, structural inefficiencies, and sustainability shortfalls is critical. By refining these areas, Hilton can solidify its reputation, meet its ambitious 2030 goals, and maintain a competitive edge in the evolving hospitality landscape.</w:t>
      </w:r>
    </w:p>
    <w:p w14:paraId="6A1DBC2B" w14:textId="6C236031" w:rsidR="002C4BE4" w:rsidRPr="00590DB9" w:rsidRDefault="002C4BE4" w:rsidP="00590DB9">
      <w:pPr>
        <w:pStyle w:val="Style2"/>
      </w:pPr>
      <w:r w:rsidRPr="00590DB9">
        <w:cr/>
      </w:r>
      <w:bookmarkStart w:id="7" w:name="_Toc192259402"/>
      <w:r w:rsidRPr="00590DB9">
        <w:t>8. Recommendations</w:t>
      </w:r>
      <w:bookmarkEnd w:id="7"/>
    </w:p>
    <w:p w14:paraId="11C8A6AC" w14:textId="77777777" w:rsidR="002C4BE4" w:rsidRDefault="002C4BE4" w:rsidP="00590DB9">
      <w:pPr>
        <w:spacing w:line="360" w:lineRule="auto"/>
        <w:jc w:val="both"/>
        <w:rPr>
          <w:rFonts w:ascii="Arial" w:hAnsi="Arial" w:cs="Arial"/>
          <w:sz w:val="24"/>
          <w:szCs w:val="24"/>
        </w:rPr>
      </w:pPr>
      <w:r w:rsidRPr="00590DB9">
        <w:rPr>
          <w:rFonts w:ascii="Arial" w:hAnsi="Arial" w:cs="Arial"/>
          <w:sz w:val="24"/>
          <w:szCs w:val="24"/>
        </w:rPr>
        <w:t>To address the challenges identified in the analysis and enhance Hilton Hotels &amp; Resort’s performance, the following actionable recommendations are proposed:</w:t>
      </w:r>
    </w:p>
    <w:p w14:paraId="2346CB1A" w14:textId="77777777" w:rsidR="00A40582" w:rsidRPr="00590DB9" w:rsidRDefault="00A40582" w:rsidP="00590DB9">
      <w:pPr>
        <w:spacing w:line="360" w:lineRule="auto"/>
        <w:jc w:val="both"/>
        <w:rPr>
          <w:rFonts w:ascii="Arial" w:hAnsi="Arial" w:cs="Arial"/>
          <w:sz w:val="24"/>
          <w:szCs w:val="24"/>
        </w:rPr>
      </w:pPr>
    </w:p>
    <w:p w14:paraId="59AEE149" w14:textId="77777777" w:rsidR="002C4BE4" w:rsidRPr="00590DB9" w:rsidRDefault="002C4BE4" w:rsidP="00590DB9">
      <w:pPr>
        <w:pStyle w:val="subheadingstyle2"/>
      </w:pPr>
      <w:bookmarkStart w:id="8" w:name="_Toc192259403"/>
      <w:r w:rsidRPr="00590DB9">
        <w:t>Strengthen Employee Training Programs</w:t>
      </w:r>
      <w:bookmarkEnd w:id="8"/>
    </w:p>
    <w:p w14:paraId="6131FA11" w14:textId="5DDE4A4F" w:rsidR="002C4BE4" w:rsidRDefault="002C4BE4" w:rsidP="00590DB9">
      <w:pPr>
        <w:spacing w:line="360" w:lineRule="auto"/>
        <w:jc w:val="both"/>
        <w:rPr>
          <w:rFonts w:ascii="Arial" w:hAnsi="Arial" w:cs="Arial"/>
          <w:sz w:val="24"/>
          <w:szCs w:val="24"/>
        </w:rPr>
      </w:pPr>
      <w:r w:rsidRPr="00590DB9">
        <w:rPr>
          <w:rFonts w:ascii="Arial" w:hAnsi="Arial" w:cs="Arial"/>
          <w:sz w:val="24"/>
          <w:szCs w:val="24"/>
        </w:rPr>
        <w:t>Hilton should implement a global leadership development program to ensure consistent service delivery across its franchise network. This includes mandatory training modules on brand standards, guest interaction, and sustainability practices, supplemented by a mentorship system linking corporate executives with franchise managers. Regular performance audits should measure adherence and identify areas for improvement. This will enhance cultural cohesion and service quality, addressing franchise variability.</w:t>
      </w:r>
    </w:p>
    <w:p w14:paraId="5297C644" w14:textId="77777777" w:rsidR="00A40582" w:rsidRPr="00590DB9" w:rsidRDefault="00A40582" w:rsidP="00590DB9">
      <w:pPr>
        <w:spacing w:line="360" w:lineRule="auto"/>
        <w:jc w:val="both"/>
        <w:rPr>
          <w:rFonts w:ascii="Arial" w:hAnsi="Arial" w:cs="Arial"/>
          <w:sz w:val="24"/>
          <w:szCs w:val="24"/>
        </w:rPr>
      </w:pPr>
    </w:p>
    <w:p w14:paraId="555337F0" w14:textId="77777777" w:rsidR="002C4BE4" w:rsidRPr="00590DB9" w:rsidRDefault="002C4BE4" w:rsidP="00590DB9">
      <w:pPr>
        <w:pStyle w:val="subheadingstyle2"/>
      </w:pPr>
      <w:bookmarkStart w:id="9" w:name="_Toc192259404"/>
      <w:r w:rsidRPr="00590DB9">
        <w:lastRenderedPageBreak/>
        <w:t>Pursue Strategic Market Expansion</w:t>
      </w:r>
      <w:bookmarkEnd w:id="9"/>
    </w:p>
    <w:p w14:paraId="353C1220" w14:textId="780E7653" w:rsidR="002C4BE4" w:rsidRDefault="002C4BE4" w:rsidP="00590DB9">
      <w:pPr>
        <w:spacing w:line="360" w:lineRule="auto"/>
        <w:jc w:val="both"/>
        <w:rPr>
          <w:rFonts w:ascii="Arial" w:hAnsi="Arial" w:cs="Arial"/>
          <w:sz w:val="24"/>
          <w:szCs w:val="24"/>
        </w:rPr>
      </w:pPr>
      <w:r w:rsidRPr="00590DB9">
        <w:rPr>
          <w:rFonts w:ascii="Arial" w:hAnsi="Arial" w:cs="Arial"/>
          <w:sz w:val="24"/>
          <w:szCs w:val="24"/>
        </w:rPr>
        <w:t>A phased entry strategy into emerging markets (e.g., Africa, Southeast Asia) is recommended. Begin with market research to assess demand, followed by pilot projects in key cities like Lagos or Jakarta. Establish local partnerships for staffing and supply chain integration, aligning with Hilton’s community engagement goals. This approach minimizes risks while capitalizing on growth opportunities.</w:t>
      </w:r>
    </w:p>
    <w:p w14:paraId="01851972" w14:textId="77777777" w:rsidR="00A40582" w:rsidRPr="00590DB9" w:rsidRDefault="00A40582" w:rsidP="00590DB9">
      <w:pPr>
        <w:spacing w:line="360" w:lineRule="auto"/>
        <w:jc w:val="both"/>
        <w:rPr>
          <w:rFonts w:ascii="Arial" w:hAnsi="Arial" w:cs="Arial"/>
          <w:sz w:val="24"/>
          <w:szCs w:val="24"/>
        </w:rPr>
      </w:pPr>
    </w:p>
    <w:p w14:paraId="5C902379" w14:textId="77777777" w:rsidR="002C4BE4" w:rsidRPr="00590DB9" w:rsidRDefault="002C4BE4" w:rsidP="00590DB9">
      <w:pPr>
        <w:pStyle w:val="subheadingstyle2"/>
      </w:pPr>
      <w:bookmarkStart w:id="10" w:name="_Toc192259405"/>
      <w:r w:rsidRPr="00590DB9">
        <w:t>Boost Sustainability Investments</w:t>
      </w:r>
      <w:bookmarkEnd w:id="10"/>
    </w:p>
    <w:p w14:paraId="20ADCE99" w14:textId="77777777"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t>Allocate 5% of annual profits to targeted sustainability projects, such as renewable energy installations or anti-human trafficking initiatives, with clear metrics (e.g., tons of CO2 reduced). Collaborate with suppliers to secure sustainability certifications, aiming for a 15% reduction in Scope 3 emissions by 2028. These steps will accelerate Hilton’s 2030 targets and enhance its ethical reputation.</w:t>
      </w:r>
    </w:p>
    <w:p w14:paraId="46DB7DCD" w14:textId="77777777" w:rsidR="002C4BE4" w:rsidRPr="00590DB9" w:rsidRDefault="002C4BE4" w:rsidP="00590DB9">
      <w:pPr>
        <w:spacing w:line="360" w:lineRule="auto"/>
        <w:jc w:val="both"/>
        <w:rPr>
          <w:rFonts w:ascii="Arial" w:hAnsi="Arial" w:cs="Arial"/>
          <w:sz w:val="24"/>
          <w:szCs w:val="24"/>
        </w:rPr>
      </w:pPr>
    </w:p>
    <w:p w14:paraId="6D76007B" w14:textId="77777777" w:rsidR="002C4BE4" w:rsidRPr="00590DB9" w:rsidRDefault="002C4BE4" w:rsidP="00A40582">
      <w:pPr>
        <w:pStyle w:val="subheadingstyle2"/>
      </w:pPr>
      <w:bookmarkStart w:id="11" w:name="_Toc192259406"/>
      <w:r w:rsidRPr="00590DB9">
        <w:t>Enhance Digital Innovation</w:t>
      </w:r>
      <w:bookmarkEnd w:id="11"/>
    </w:p>
    <w:p w14:paraId="62FD54CF" w14:textId="77777777"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t>Partner with technology firms to integrate AI-driven personalization into digital platforms, offering tailored guest experiences (e.g., room customization). Simultaneously, invest in cybersecurity upgrades to safeguard data. Pilot these innovations in major markets like Tokyo or Paris, refining based on feedback. This will elevate guest satisfaction and loyalty.</w:t>
      </w:r>
    </w:p>
    <w:p w14:paraId="2BAB7938" w14:textId="77777777" w:rsidR="002C4BE4" w:rsidRPr="00590DB9" w:rsidRDefault="002C4BE4" w:rsidP="00590DB9">
      <w:pPr>
        <w:spacing w:line="360" w:lineRule="auto"/>
        <w:jc w:val="both"/>
        <w:rPr>
          <w:rFonts w:ascii="Arial" w:hAnsi="Arial" w:cs="Arial"/>
          <w:sz w:val="24"/>
          <w:szCs w:val="24"/>
        </w:rPr>
      </w:pPr>
    </w:p>
    <w:p w14:paraId="540A5397" w14:textId="77777777" w:rsidR="002C4BE4" w:rsidRPr="00590DB9" w:rsidRDefault="002C4BE4" w:rsidP="00590DB9">
      <w:pPr>
        <w:spacing w:line="360" w:lineRule="auto"/>
        <w:jc w:val="both"/>
        <w:rPr>
          <w:rFonts w:ascii="Arial" w:hAnsi="Arial" w:cs="Arial"/>
          <w:sz w:val="24"/>
          <w:szCs w:val="24"/>
        </w:rPr>
      </w:pPr>
      <w:r w:rsidRPr="00590DB9">
        <w:rPr>
          <w:rFonts w:ascii="Arial" w:hAnsi="Arial" w:cs="Arial"/>
          <w:sz w:val="24"/>
          <w:szCs w:val="24"/>
        </w:rPr>
        <w:t>These recommendations align with Hilton’s strategic priorities, providing a clear roadmap for sustained growth and industry leadership.</w:t>
      </w:r>
    </w:p>
    <w:p w14:paraId="26590D29" w14:textId="77777777" w:rsidR="002C4BE4" w:rsidRDefault="002C4BE4" w:rsidP="00590DB9">
      <w:pPr>
        <w:spacing w:line="360" w:lineRule="auto"/>
        <w:jc w:val="both"/>
        <w:rPr>
          <w:rFonts w:ascii="Arial" w:hAnsi="Arial" w:cs="Arial"/>
          <w:sz w:val="24"/>
          <w:szCs w:val="24"/>
        </w:rPr>
      </w:pPr>
    </w:p>
    <w:p w14:paraId="0629D6B1" w14:textId="77777777" w:rsidR="00A40582" w:rsidRDefault="00A40582" w:rsidP="00590DB9">
      <w:pPr>
        <w:spacing w:line="360" w:lineRule="auto"/>
        <w:jc w:val="both"/>
        <w:rPr>
          <w:rFonts w:ascii="Arial" w:hAnsi="Arial" w:cs="Arial"/>
          <w:sz w:val="24"/>
          <w:szCs w:val="24"/>
        </w:rPr>
      </w:pPr>
    </w:p>
    <w:p w14:paraId="30C2876E" w14:textId="77777777" w:rsidR="00A40582" w:rsidRPr="00590DB9" w:rsidRDefault="00A40582" w:rsidP="00590DB9">
      <w:pPr>
        <w:spacing w:line="360" w:lineRule="auto"/>
        <w:jc w:val="both"/>
        <w:rPr>
          <w:rFonts w:ascii="Arial" w:hAnsi="Arial" w:cs="Arial"/>
          <w:sz w:val="24"/>
          <w:szCs w:val="24"/>
        </w:rPr>
      </w:pPr>
    </w:p>
    <w:p w14:paraId="399A2476" w14:textId="6E3B6B06" w:rsidR="002C4BE4" w:rsidRPr="00590DB9" w:rsidRDefault="002C4BE4" w:rsidP="00590DB9">
      <w:pPr>
        <w:pStyle w:val="Style2"/>
      </w:pPr>
      <w:bookmarkStart w:id="12" w:name="_Toc192259407"/>
      <w:r w:rsidRPr="00590DB9">
        <w:lastRenderedPageBreak/>
        <w:t>Reference List</w:t>
      </w:r>
      <w:bookmarkEnd w:id="12"/>
    </w:p>
    <w:p w14:paraId="399A2476" w14:textId="6E3B6B06"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cr/>
        <w:t>Ansoff, H. I. (1957). Strategies for diversification</w:t>
      </w:r>
      <w:r w:rsidRPr="00D36669">
        <w:rPr>
          <w:rFonts w:ascii="Arial" w:hAnsi="Arial" w:cs="Arial"/>
          <w:i/>
          <w:iCs/>
          <w:sz w:val="24"/>
          <w:szCs w:val="24"/>
        </w:rPr>
        <w:t>. Harvard Business Review</w:t>
      </w:r>
      <w:r w:rsidRPr="00A40582">
        <w:rPr>
          <w:rFonts w:ascii="Arial" w:hAnsi="Arial" w:cs="Arial"/>
          <w:sz w:val="24"/>
          <w:szCs w:val="24"/>
        </w:rPr>
        <w:t>, 35(5), pp.113-124.</w:t>
      </w:r>
      <w:r w:rsidR="00D36669">
        <w:rPr>
          <w:rFonts w:ascii="Arial" w:hAnsi="Arial" w:cs="Arial"/>
          <w:sz w:val="24"/>
          <w:szCs w:val="24"/>
        </w:rPr>
        <w:t xml:space="preserve"> Available at: </w:t>
      </w:r>
      <w:hyperlink r:id="rId9" w:history="1">
        <w:r w:rsidR="00D36669" w:rsidRPr="00242377">
          <w:rPr>
            <w:rStyle w:val="Hyperlink"/>
            <w:rFonts w:ascii="Arial" w:hAnsi="Arial" w:cs="Arial"/>
            <w:sz w:val="24"/>
            <w:szCs w:val="24"/>
          </w:rPr>
          <w:t>https://www.casrilanka.com/casl/images/stories/2017/2017_pdfs/sab_portal/course_material/strategies_for_diversification.pdf</w:t>
        </w:r>
      </w:hyperlink>
      <w:r w:rsidR="00D36669">
        <w:rPr>
          <w:rFonts w:ascii="Arial" w:hAnsi="Arial" w:cs="Arial"/>
          <w:sz w:val="24"/>
          <w:szCs w:val="24"/>
        </w:rPr>
        <w:t xml:space="preserve">  (Accessed 7 March 2025).</w:t>
      </w:r>
    </w:p>
    <w:p w14:paraId="481D48C0" w14:textId="1975E8C5"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Center for Responsible Travel. (2023). Hilton. Available at: https://www.responsibletravel.org/impact-tourism-handbook/hilton/ </w:t>
      </w:r>
      <w:r w:rsidR="008C7D96">
        <w:rPr>
          <w:rFonts w:ascii="Arial" w:hAnsi="Arial" w:cs="Arial"/>
          <w:sz w:val="24"/>
          <w:szCs w:val="24"/>
        </w:rPr>
        <w:t>(Accessed 7 March 2025).</w:t>
      </w:r>
    </w:p>
    <w:p w14:paraId="1F06FABE" w14:textId="166BCE71"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Doran, G. T. (1981). There’s a S.M.A.R.T. way to write management’s goals and objectives. </w:t>
      </w:r>
      <w:r w:rsidRPr="00D36669">
        <w:rPr>
          <w:rFonts w:ascii="Arial" w:hAnsi="Arial" w:cs="Arial"/>
          <w:i/>
          <w:iCs/>
          <w:sz w:val="24"/>
          <w:szCs w:val="24"/>
        </w:rPr>
        <w:t>Management Review</w:t>
      </w:r>
      <w:r w:rsidRPr="00A40582">
        <w:rPr>
          <w:rFonts w:ascii="Arial" w:hAnsi="Arial" w:cs="Arial"/>
          <w:sz w:val="24"/>
          <w:szCs w:val="24"/>
        </w:rPr>
        <w:t>, 70(11), pp.35-36.</w:t>
      </w:r>
      <w:r w:rsidR="00D36669">
        <w:rPr>
          <w:rFonts w:ascii="Arial" w:hAnsi="Arial" w:cs="Arial"/>
          <w:sz w:val="24"/>
          <w:szCs w:val="24"/>
        </w:rPr>
        <w:t xml:space="preserve"> Available at: </w:t>
      </w:r>
      <w:hyperlink r:id="rId10" w:history="1">
        <w:r w:rsidR="00D36669" w:rsidRPr="00242377">
          <w:rPr>
            <w:rStyle w:val="Hyperlink"/>
            <w:rFonts w:ascii="Arial" w:hAnsi="Arial" w:cs="Arial"/>
            <w:sz w:val="24"/>
            <w:szCs w:val="24"/>
          </w:rPr>
          <w:t>https://community.mis.temple.edu/mis0855002fall2015/files/2015/10/S.M.A.R.T-Way-Management-Review.pdf</w:t>
        </w:r>
      </w:hyperlink>
      <w:r w:rsidR="00D36669">
        <w:rPr>
          <w:rFonts w:ascii="Arial" w:hAnsi="Arial" w:cs="Arial"/>
          <w:sz w:val="24"/>
          <w:szCs w:val="24"/>
        </w:rPr>
        <w:t xml:space="preserve"> (Accessed 7 March 2025).</w:t>
      </w:r>
    </w:p>
    <w:p w14:paraId="1F306019" w14:textId="43BECCDF"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Freeman, R. E. (1984). </w:t>
      </w:r>
      <w:r w:rsidRPr="00D36669">
        <w:rPr>
          <w:rFonts w:ascii="Arial" w:hAnsi="Arial" w:cs="Arial"/>
          <w:i/>
          <w:iCs/>
          <w:sz w:val="24"/>
          <w:szCs w:val="24"/>
        </w:rPr>
        <w:t>Strategic management: A stakeholder approach</w:t>
      </w:r>
      <w:r w:rsidRPr="00A40582">
        <w:rPr>
          <w:rFonts w:ascii="Arial" w:hAnsi="Arial" w:cs="Arial"/>
          <w:sz w:val="24"/>
          <w:szCs w:val="24"/>
        </w:rPr>
        <w:t>. Boston: Pitman.</w:t>
      </w:r>
      <w:r w:rsidR="00D36669">
        <w:rPr>
          <w:rFonts w:ascii="Arial" w:hAnsi="Arial" w:cs="Arial"/>
          <w:sz w:val="24"/>
          <w:szCs w:val="24"/>
        </w:rPr>
        <w:t xml:space="preserve"> Available at: </w:t>
      </w:r>
      <w:hyperlink r:id="rId11" w:history="1">
        <w:r w:rsidR="00D36669" w:rsidRPr="00242377">
          <w:rPr>
            <w:rStyle w:val="Hyperlink"/>
            <w:rFonts w:ascii="Arial" w:hAnsi="Arial" w:cs="Arial"/>
            <w:sz w:val="24"/>
            <w:szCs w:val="24"/>
          </w:rPr>
          <w:t>https://www.researchgate.net/publication/228320877_A_Stakeholder_Approach_to_Strategic_Management</w:t>
        </w:r>
      </w:hyperlink>
      <w:r w:rsidR="00D36669">
        <w:rPr>
          <w:rFonts w:ascii="Arial" w:hAnsi="Arial" w:cs="Arial"/>
          <w:sz w:val="24"/>
          <w:szCs w:val="24"/>
        </w:rPr>
        <w:t xml:space="preserve"> (Accessed 7 March 2025</w:t>
      </w:r>
      <w:r w:rsidR="008C7D96">
        <w:rPr>
          <w:rFonts w:ascii="Arial" w:hAnsi="Arial" w:cs="Arial"/>
          <w:sz w:val="24"/>
          <w:szCs w:val="24"/>
        </w:rPr>
        <w:t>)</w:t>
      </w:r>
      <w:r w:rsidR="00D36669">
        <w:rPr>
          <w:rFonts w:ascii="Arial" w:hAnsi="Arial" w:cs="Arial"/>
          <w:sz w:val="24"/>
          <w:szCs w:val="24"/>
        </w:rPr>
        <w:t>.</w:t>
      </w:r>
    </w:p>
    <w:p w14:paraId="3489EDA2" w14:textId="6027BF89"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Hilton. (202</w:t>
      </w:r>
      <w:r w:rsidR="00EA57C4">
        <w:rPr>
          <w:rFonts w:ascii="Arial" w:hAnsi="Arial" w:cs="Arial"/>
          <w:sz w:val="24"/>
          <w:szCs w:val="24"/>
        </w:rPr>
        <w:t>3</w:t>
      </w:r>
      <w:r w:rsidRPr="00A40582">
        <w:rPr>
          <w:rFonts w:ascii="Arial" w:hAnsi="Arial" w:cs="Arial"/>
          <w:sz w:val="24"/>
          <w:szCs w:val="24"/>
        </w:rPr>
        <w:t xml:space="preserve">). Hilton brands. Available at: https://www.hilton.com/en/corporate/ </w:t>
      </w:r>
      <w:r w:rsidR="008C7D96">
        <w:rPr>
          <w:rFonts w:ascii="Arial" w:hAnsi="Arial" w:cs="Arial"/>
          <w:sz w:val="24"/>
          <w:szCs w:val="24"/>
        </w:rPr>
        <w:t>(Accessed 7 March 2025).</w:t>
      </w:r>
    </w:p>
    <w:p w14:paraId="5DBCDA1B" w14:textId="5359CBAB"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Hilton ESG. (202</w:t>
      </w:r>
      <w:r w:rsidR="00EA57C4">
        <w:rPr>
          <w:rFonts w:ascii="Arial" w:hAnsi="Arial" w:cs="Arial"/>
          <w:sz w:val="24"/>
          <w:szCs w:val="24"/>
        </w:rPr>
        <w:t>3</w:t>
      </w:r>
      <w:r w:rsidRPr="00A40582">
        <w:rPr>
          <w:rFonts w:ascii="Arial" w:hAnsi="Arial" w:cs="Arial"/>
          <w:sz w:val="24"/>
          <w:szCs w:val="24"/>
        </w:rPr>
        <w:t xml:space="preserve">). Our progress. Available at: https://esg.hilton.com/our-progress/ </w:t>
      </w:r>
      <w:r w:rsidR="008C7D96">
        <w:rPr>
          <w:rFonts w:ascii="Arial" w:hAnsi="Arial" w:cs="Arial"/>
          <w:sz w:val="24"/>
          <w:szCs w:val="24"/>
        </w:rPr>
        <w:t>(Accessed 7 March 2025).</w:t>
      </w:r>
    </w:p>
    <w:p w14:paraId="21404D4B" w14:textId="22508554"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Hilton Jobs. (202</w:t>
      </w:r>
      <w:r w:rsidR="00EA57C4">
        <w:rPr>
          <w:rFonts w:ascii="Arial" w:hAnsi="Arial" w:cs="Arial"/>
          <w:sz w:val="24"/>
          <w:szCs w:val="24"/>
        </w:rPr>
        <w:t>3</w:t>
      </w:r>
      <w:r w:rsidRPr="00A40582">
        <w:rPr>
          <w:rFonts w:ascii="Arial" w:hAnsi="Arial" w:cs="Arial"/>
          <w:sz w:val="24"/>
          <w:szCs w:val="24"/>
        </w:rPr>
        <w:t xml:space="preserve">). Learn more about Hilton culture. Available at: https://jobs.hilton.com/us/en/culture </w:t>
      </w:r>
      <w:r w:rsidR="008C7D96">
        <w:rPr>
          <w:rFonts w:ascii="Arial" w:hAnsi="Arial" w:cs="Arial"/>
          <w:sz w:val="24"/>
          <w:szCs w:val="24"/>
        </w:rPr>
        <w:t>(Accessed 7 March 2025).</w:t>
      </w:r>
    </w:p>
    <w:p w14:paraId="0BAA2386" w14:textId="473DB42A"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Hilton News. (202</w:t>
      </w:r>
      <w:r w:rsidR="00EA57C4">
        <w:rPr>
          <w:rFonts w:ascii="Arial" w:hAnsi="Arial" w:cs="Arial"/>
          <w:sz w:val="24"/>
          <w:szCs w:val="24"/>
        </w:rPr>
        <w:t>3</w:t>
      </w:r>
      <w:r w:rsidRPr="00A40582">
        <w:rPr>
          <w:rFonts w:ascii="Arial" w:hAnsi="Arial" w:cs="Arial"/>
          <w:sz w:val="24"/>
          <w:szCs w:val="24"/>
        </w:rPr>
        <w:t xml:space="preserve">). Hilton 2023 year in review. Available at: https://stories.hilton.com/2023-annual-report </w:t>
      </w:r>
      <w:r w:rsidR="008C7D96">
        <w:rPr>
          <w:rFonts w:ascii="Arial" w:hAnsi="Arial" w:cs="Arial"/>
          <w:sz w:val="24"/>
          <w:szCs w:val="24"/>
        </w:rPr>
        <w:t>(Accessed 7 March 2025).</w:t>
      </w:r>
    </w:p>
    <w:p w14:paraId="35E9C9C3" w14:textId="33FEA4FC"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Hilton Newsroom. (2018). Hilton commits to cutting environmental footprint. Available at: </w:t>
      </w:r>
      <w:r w:rsidR="008C7D96" w:rsidRPr="008C7D96">
        <w:rPr>
          <w:rFonts w:ascii="Arial" w:hAnsi="Arial" w:cs="Arial"/>
          <w:sz w:val="24"/>
          <w:szCs w:val="24"/>
        </w:rPr>
        <w:t>https://cr.hilton.com/wp-content/uploads/2019/05/Hilton-Corporate-Responsibility-2018.pdf</w:t>
      </w:r>
      <w:r w:rsidRPr="00A40582">
        <w:rPr>
          <w:rFonts w:ascii="Arial" w:hAnsi="Arial" w:cs="Arial"/>
          <w:sz w:val="24"/>
          <w:szCs w:val="24"/>
        </w:rPr>
        <w:t xml:space="preserve"> </w:t>
      </w:r>
      <w:r w:rsidR="008C7D96">
        <w:rPr>
          <w:rFonts w:ascii="Arial" w:hAnsi="Arial" w:cs="Arial"/>
          <w:sz w:val="24"/>
          <w:szCs w:val="24"/>
        </w:rPr>
        <w:t>(Accessed 7 March 2025).</w:t>
      </w:r>
    </w:p>
    <w:p w14:paraId="1DE6D630" w14:textId="125C7190"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Kotter, J. P. (1996). </w:t>
      </w:r>
      <w:r w:rsidRPr="00D36669">
        <w:rPr>
          <w:rFonts w:ascii="Arial" w:hAnsi="Arial" w:cs="Arial"/>
          <w:i/>
          <w:iCs/>
          <w:sz w:val="24"/>
          <w:szCs w:val="24"/>
        </w:rPr>
        <w:t>Leading change</w:t>
      </w:r>
      <w:r w:rsidRPr="00A40582">
        <w:rPr>
          <w:rFonts w:ascii="Arial" w:hAnsi="Arial" w:cs="Arial"/>
          <w:sz w:val="24"/>
          <w:szCs w:val="24"/>
        </w:rPr>
        <w:t>. Boston: Harvard Business School Press.</w:t>
      </w:r>
      <w:r w:rsidR="008C7D96">
        <w:rPr>
          <w:rFonts w:ascii="Arial" w:hAnsi="Arial" w:cs="Arial"/>
          <w:sz w:val="24"/>
          <w:szCs w:val="24"/>
        </w:rPr>
        <w:t xml:space="preserve"> Available at: </w:t>
      </w:r>
      <w:hyperlink r:id="rId12" w:history="1">
        <w:r w:rsidR="008C7D96" w:rsidRPr="00242377">
          <w:rPr>
            <w:rStyle w:val="Hyperlink"/>
            <w:rFonts w:ascii="Arial" w:hAnsi="Arial" w:cs="Arial"/>
            <w:sz w:val="24"/>
            <w:szCs w:val="24"/>
          </w:rPr>
          <w:t>https://irp-cdn.multiscreensite.com/6e5efd05/files/uploaded/Leading%20Change.pdf</w:t>
        </w:r>
      </w:hyperlink>
      <w:r w:rsidR="008C7D96">
        <w:rPr>
          <w:rFonts w:ascii="Arial" w:hAnsi="Arial" w:cs="Arial"/>
          <w:sz w:val="24"/>
          <w:szCs w:val="24"/>
        </w:rPr>
        <w:t xml:space="preserve"> (Accessed 7 March 2025).</w:t>
      </w:r>
    </w:p>
    <w:p w14:paraId="75192134" w14:textId="031F6DF5"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lastRenderedPageBreak/>
        <w:t>Lambrano, M. (202</w:t>
      </w:r>
      <w:r w:rsidR="008C7D96">
        <w:rPr>
          <w:rFonts w:ascii="Arial" w:hAnsi="Arial" w:cs="Arial"/>
          <w:sz w:val="24"/>
          <w:szCs w:val="24"/>
        </w:rPr>
        <w:t>0</w:t>
      </w:r>
      <w:r w:rsidRPr="00A40582">
        <w:rPr>
          <w:rFonts w:ascii="Arial" w:hAnsi="Arial" w:cs="Arial"/>
          <w:sz w:val="24"/>
          <w:szCs w:val="24"/>
        </w:rPr>
        <w:t xml:space="preserve">). A brief history of the corporate culture transformation at Hilton. Available at: </w:t>
      </w:r>
      <w:r w:rsidR="008C7D96" w:rsidRPr="008C7D96">
        <w:rPr>
          <w:rFonts w:ascii="Arial" w:hAnsi="Arial" w:cs="Arial"/>
          <w:sz w:val="24"/>
          <w:szCs w:val="24"/>
        </w:rPr>
        <w:t>https://www.linkedin.com/pulse/brief-history-corporate-culture-transformation-hilton-lambrano-ms-1e/</w:t>
      </w:r>
      <w:r w:rsidRPr="00A40582">
        <w:rPr>
          <w:rFonts w:ascii="Arial" w:hAnsi="Arial" w:cs="Arial"/>
          <w:sz w:val="24"/>
          <w:szCs w:val="24"/>
        </w:rPr>
        <w:t xml:space="preserve"> </w:t>
      </w:r>
      <w:r w:rsidR="008C7D96">
        <w:rPr>
          <w:rFonts w:ascii="Arial" w:hAnsi="Arial" w:cs="Arial"/>
          <w:sz w:val="24"/>
          <w:szCs w:val="24"/>
        </w:rPr>
        <w:t>(</w:t>
      </w:r>
      <w:r w:rsidRPr="00A40582">
        <w:rPr>
          <w:rFonts w:ascii="Arial" w:hAnsi="Arial" w:cs="Arial"/>
          <w:sz w:val="24"/>
          <w:szCs w:val="24"/>
        </w:rPr>
        <w:t>Accessed 7 March 2025</w:t>
      </w:r>
      <w:r w:rsidR="008C7D96">
        <w:rPr>
          <w:rFonts w:ascii="Arial" w:hAnsi="Arial" w:cs="Arial"/>
          <w:sz w:val="24"/>
          <w:szCs w:val="24"/>
        </w:rPr>
        <w:t>)</w:t>
      </w:r>
      <w:r w:rsidRPr="00A40582">
        <w:rPr>
          <w:rFonts w:ascii="Arial" w:hAnsi="Arial" w:cs="Arial"/>
          <w:sz w:val="24"/>
          <w:szCs w:val="24"/>
        </w:rPr>
        <w:t>.</w:t>
      </w:r>
    </w:p>
    <w:p w14:paraId="2365433A" w14:textId="3A719745"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Latterly. (202</w:t>
      </w:r>
      <w:r w:rsidR="008C7D96">
        <w:rPr>
          <w:rFonts w:ascii="Arial" w:hAnsi="Arial" w:cs="Arial"/>
          <w:sz w:val="24"/>
          <w:szCs w:val="24"/>
        </w:rPr>
        <w:t>5</w:t>
      </w:r>
      <w:r w:rsidRPr="00A40582">
        <w:rPr>
          <w:rFonts w:ascii="Arial" w:hAnsi="Arial" w:cs="Arial"/>
          <w:sz w:val="24"/>
          <w:szCs w:val="24"/>
        </w:rPr>
        <w:t xml:space="preserve">). Hilton hotel marketing strategy 2025: A case study. Available at: https://www.latterly.org/hilton-hotel-marketing-strategy/ </w:t>
      </w:r>
      <w:r w:rsidR="008C7D96">
        <w:rPr>
          <w:rFonts w:ascii="Arial" w:hAnsi="Arial" w:cs="Arial"/>
          <w:sz w:val="24"/>
          <w:szCs w:val="24"/>
        </w:rPr>
        <w:t>(Accessed 7 March 2025).</w:t>
      </w:r>
    </w:p>
    <w:p w14:paraId="0A661214" w14:textId="77777777" w:rsidR="008C7D96" w:rsidRDefault="002C4BE4" w:rsidP="00B21C43">
      <w:pPr>
        <w:pStyle w:val="ListParagraph"/>
        <w:numPr>
          <w:ilvl w:val="0"/>
          <w:numId w:val="4"/>
        </w:numPr>
        <w:spacing w:line="360" w:lineRule="auto"/>
        <w:jc w:val="both"/>
        <w:rPr>
          <w:rFonts w:ascii="Arial" w:hAnsi="Arial" w:cs="Arial"/>
          <w:sz w:val="24"/>
          <w:szCs w:val="24"/>
        </w:rPr>
      </w:pPr>
      <w:r w:rsidRPr="008C7D96">
        <w:rPr>
          <w:rFonts w:ascii="Arial" w:hAnsi="Arial" w:cs="Arial"/>
          <w:sz w:val="24"/>
          <w:szCs w:val="24"/>
        </w:rPr>
        <w:t>Marketing91. (202</w:t>
      </w:r>
      <w:r w:rsidR="008C7D96" w:rsidRPr="008C7D96">
        <w:rPr>
          <w:rFonts w:ascii="Arial" w:hAnsi="Arial" w:cs="Arial"/>
          <w:sz w:val="24"/>
          <w:szCs w:val="24"/>
        </w:rPr>
        <w:t>4</w:t>
      </w:r>
      <w:r w:rsidRPr="008C7D96">
        <w:rPr>
          <w:rFonts w:ascii="Arial" w:hAnsi="Arial" w:cs="Arial"/>
          <w:sz w:val="24"/>
          <w:szCs w:val="24"/>
        </w:rPr>
        <w:t xml:space="preserve">). Marketing strategy of Hilton hotels. Available at: https://www.marketing91.com/marketing-strategy-of-hilton-hotels/ </w:t>
      </w:r>
      <w:r w:rsidR="008C7D96">
        <w:rPr>
          <w:rFonts w:ascii="Arial" w:hAnsi="Arial" w:cs="Arial"/>
          <w:sz w:val="24"/>
          <w:szCs w:val="24"/>
        </w:rPr>
        <w:t>(Accessed 7 March 2025).</w:t>
      </w:r>
    </w:p>
    <w:p w14:paraId="6812AAE6" w14:textId="5055E604" w:rsidR="002C4BE4" w:rsidRPr="008C7D96" w:rsidRDefault="002C4BE4" w:rsidP="00B21C43">
      <w:pPr>
        <w:pStyle w:val="ListParagraph"/>
        <w:numPr>
          <w:ilvl w:val="0"/>
          <w:numId w:val="4"/>
        </w:numPr>
        <w:spacing w:line="360" w:lineRule="auto"/>
        <w:jc w:val="both"/>
        <w:rPr>
          <w:rFonts w:ascii="Arial" w:hAnsi="Arial" w:cs="Arial"/>
          <w:sz w:val="24"/>
          <w:szCs w:val="24"/>
        </w:rPr>
      </w:pPr>
      <w:r w:rsidRPr="008C7D96">
        <w:rPr>
          <w:rFonts w:ascii="Arial" w:hAnsi="Arial" w:cs="Arial"/>
          <w:sz w:val="24"/>
          <w:szCs w:val="24"/>
        </w:rPr>
        <w:t>Mintzberg, H. (1979). The structuring of organizations. Englewood Cliffs, NJ: Prentice Hall.</w:t>
      </w:r>
      <w:r w:rsidR="008C7D96" w:rsidRPr="008C7D96">
        <w:rPr>
          <w:rFonts w:ascii="Arial" w:hAnsi="Arial" w:cs="Arial"/>
          <w:sz w:val="24"/>
          <w:szCs w:val="24"/>
        </w:rPr>
        <w:t xml:space="preserve"> Available at: </w:t>
      </w:r>
      <w:hyperlink r:id="rId13" w:history="1">
        <w:r w:rsidR="008C7D96" w:rsidRPr="008C7D96">
          <w:rPr>
            <w:rStyle w:val="Hyperlink"/>
            <w:rFonts w:ascii="Arial" w:hAnsi="Arial" w:cs="Arial"/>
            <w:sz w:val="24"/>
            <w:szCs w:val="24"/>
          </w:rPr>
          <w:t>https://www.nrc.gov/docs/ML0907/ML090710600.pdf</w:t>
        </w:r>
      </w:hyperlink>
      <w:r w:rsidR="008C7D96" w:rsidRPr="008C7D96">
        <w:rPr>
          <w:rFonts w:ascii="Arial" w:hAnsi="Arial" w:cs="Arial"/>
          <w:sz w:val="24"/>
          <w:szCs w:val="24"/>
        </w:rPr>
        <w:t xml:space="preserve"> (Accessed 7 March 2025).</w:t>
      </w:r>
    </w:p>
    <w:p w14:paraId="5986ACCE" w14:textId="32F53B2B"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Organimi. (202</w:t>
      </w:r>
      <w:r w:rsidR="008C7D96">
        <w:rPr>
          <w:rFonts w:ascii="Arial" w:hAnsi="Arial" w:cs="Arial"/>
          <w:sz w:val="24"/>
          <w:szCs w:val="24"/>
        </w:rPr>
        <w:t>5</w:t>
      </w:r>
      <w:r w:rsidRPr="00A40582">
        <w:rPr>
          <w:rFonts w:ascii="Arial" w:hAnsi="Arial" w:cs="Arial"/>
          <w:sz w:val="24"/>
          <w:szCs w:val="24"/>
        </w:rPr>
        <w:t xml:space="preserve">). Hilton’s organizational structure. Available at: https://www.organimi.com/organizational-structures/hilton/ </w:t>
      </w:r>
      <w:r w:rsidR="008C7D96">
        <w:rPr>
          <w:rFonts w:ascii="Arial" w:hAnsi="Arial" w:cs="Arial"/>
          <w:sz w:val="24"/>
          <w:szCs w:val="24"/>
        </w:rPr>
        <w:t>(Accessed 7 March 2025).</w:t>
      </w:r>
    </w:p>
    <w:p w14:paraId="04E34D93" w14:textId="097E9152"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Porter, M. E. (1980). </w:t>
      </w:r>
      <w:r w:rsidRPr="009350D6">
        <w:rPr>
          <w:rFonts w:ascii="Arial" w:hAnsi="Arial" w:cs="Arial"/>
          <w:i/>
          <w:iCs/>
          <w:sz w:val="24"/>
          <w:szCs w:val="24"/>
        </w:rPr>
        <w:t>Competitive strategy</w:t>
      </w:r>
      <w:r w:rsidRPr="00A40582">
        <w:rPr>
          <w:rFonts w:ascii="Arial" w:hAnsi="Arial" w:cs="Arial"/>
          <w:sz w:val="24"/>
          <w:szCs w:val="24"/>
        </w:rPr>
        <w:t>. New York: Free Press.</w:t>
      </w:r>
      <w:r w:rsidR="008C7D96">
        <w:rPr>
          <w:rFonts w:ascii="Arial" w:hAnsi="Arial" w:cs="Arial"/>
          <w:sz w:val="24"/>
          <w:szCs w:val="24"/>
        </w:rPr>
        <w:t xml:space="preserve"> Available at: </w:t>
      </w:r>
      <w:hyperlink r:id="rId14" w:history="1">
        <w:r w:rsidR="008C7D96" w:rsidRPr="00242377">
          <w:rPr>
            <w:rStyle w:val="Hyperlink"/>
            <w:rFonts w:ascii="Arial" w:hAnsi="Arial" w:cs="Arial"/>
            <w:sz w:val="24"/>
            <w:szCs w:val="24"/>
          </w:rPr>
          <w:t>https://s3.us-east-1.amazonaws.com/storage.thanksforthehelp.com/qfile/porter-michael-e-1980-extract-competitive-strategy-vyr2a2bw.pdf</w:t>
        </w:r>
      </w:hyperlink>
      <w:r w:rsidR="008C7D96">
        <w:rPr>
          <w:rFonts w:ascii="Arial" w:hAnsi="Arial" w:cs="Arial"/>
          <w:sz w:val="24"/>
          <w:szCs w:val="24"/>
        </w:rPr>
        <w:t xml:space="preserve"> </w:t>
      </w:r>
      <w:r w:rsidR="008C7D96" w:rsidRPr="008C7D96">
        <w:rPr>
          <w:rFonts w:ascii="Arial" w:hAnsi="Arial" w:cs="Arial"/>
          <w:sz w:val="24"/>
          <w:szCs w:val="24"/>
        </w:rPr>
        <w:t>(Accessed 7 March 2025).</w:t>
      </w:r>
    </w:p>
    <w:p w14:paraId="35572BD4" w14:textId="19940C56"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Research Methodology. (20</w:t>
      </w:r>
      <w:r w:rsidR="009350D6">
        <w:rPr>
          <w:rFonts w:ascii="Arial" w:hAnsi="Arial" w:cs="Arial"/>
          <w:sz w:val="24"/>
          <w:szCs w:val="24"/>
        </w:rPr>
        <w:t>16</w:t>
      </w:r>
      <w:r w:rsidRPr="00A40582">
        <w:rPr>
          <w:rFonts w:ascii="Arial" w:hAnsi="Arial" w:cs="Arial"/>
          <w:sz w:val="24"/>
          <w:szCs w:val="24"/>
        </w:rPr>
        <w:t xml:space="preserve">). Hilton organizational structure. Available at: https://research-methodology.net/hilton-organizational-structure/ </w:t>
      </w:r>
      <w:r w:rsidR="008C7D96">
        <w:rPr>
          <w:rFonts w:ascii="Arial" w:hAnsi="Arial" w:cs="Arial"/>
          <w:sz w:val="24"/>
          <w:szCs w:val="24"/>
        </w:rPr>
        <w:t>(Accessed 7 March 2025).</w:t>
      </w:r>
    </w:p>
    <w:p w14:paraId="69A81C02" w14:textId="7B3EFB13"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Schein, E. H. (1985). Organizational culture and leadership. San Francisco: Jossey-Bass.</w:t>
      </w:r>
    </w:p>
    <w:p w14:paraId="58C15024" w14:textId="5516E90A"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Statista. (202</w:t>
      </w:r>
      <w:r w:rsidR="00EA57C4">
        <w:rPr>
          <w:rFonts w:ascii="Arial" w:hAnsi="Arial" w:cs="Arial"/>
          <w:sz w:val="24"/>
          <w:szCs w:val="24"/>
        </w:rPr>
        <w:t>4</w:t>
      </w:r>
      <w:r w:rsidRPr="00A40582">
        <w:rPr>
          <w:rFonts w:ascii="Arial" w:hAnsi="Arial" w:cs="Arial"/>
          <w:sz w:val="24"/>
          <w:szCs w:val="24"/>
        </w:rPr>
        <w:t xml:space="preserve">). Global hospitality industry statistics. Available at: https://www.statista.com/topics/1216/hospitality-industry/ </w:t>
      </w:r>
      <w:r w:rsidR="008C7D96">
        <w:rPr>
          <w:rFonts w:ascii="Arial" w:hAnsi="Arial" w:cs="Arial"/>
          <w:sz w:val="24"/>
          <w:szCs w:val="24"/>
        </w:rPr>
        <w:t>(Accessed 7 March 2025).</w:t>
      </w:r>
    </w:p>
    <w:p w14:paraId="0B2C48A0" w14:textId="4CB9A4C7" w:rsidR="002C4BE4" w:rsidRPr="00A40582" w:rsidRDefault="002C4BE4" w:rsidP="00A40582">
      <w:pPr>
        <w:pStyle w:val="ListParagraph"/>
        <w:numPr>
          <w:ilvl w:val="0"/>
          <w:numId w:val="4"/>
        </w:numPr>
        <w:spacing w:line="360" w:lineRule="auto"/>
        <w:jc w:val="both"/>
        <w:rPr>
          <w:rFonts w:ascii="Arial" w:hAnsi="Arial" w:cs="Arial"/>
          <w:sz w:val="24"/>
          <w:szCs w:val="24"/>
        </w:rPr>
      </w:pPr>
      <w:r w:rsidRPr="00A40582">
        <w:rPr>
          <w:rFonts w:ascii="Arial" w:hAnsi="Arial" w:cs="Arial"/>
          <w:sz w:val="24"/>
          <w:szCs w:val="24"/>
        </w:rPr>
        <w:t xml:space="preserve">University of Exeter. (n.d.). Generic assessment criteria. Available at: http://as.exeter.ac.uk/academic-policy-standards/tqa-manual/lts/genericassessment/ </w:t>
      </w:r>
      <w:r w:rsidR="008C7D96">
        <w:rPr>
          <w:rFonts w:ascii="Arial" w:hAnsi="Arial" w:cs="Arial"/>
          <w:sz w:val="24"/>
          <w:szCs w:val="24"/>
        </w:rPr>
        <w:t>(Accessed 7 March 2025).</w:t>
      </w:r>
    </w:p>
    <w:p w14:paraId="320A5790" w14:textId="08E3949D" w:rsidR="00662D64" w:rsidRDefault="00662D64" w:rsidP="00D36669">
      <w:pPr>
        <w:pStyle w:val="ListParagraph"/>
        <w:spacing w:line="360" w:lineRule="auto"/>
        <w:jc w:val="both"/>
        <w:rPr>
          <w:rFonts w:ascii="Arial" w:hAnsi="Arial" w:cs="Arial"/>
          <w:sz w:val="24"/>
          <w:szCs w:val="24"/>
        </w:rPr>
      </w:pPr>
    </w:p>
    <w:p w14:paraId="5A42BD7B" w14:textId="77777777" w:rsidR="00115E7B" w:rsidRDefault="00115E7B" w:rsidP="00D36669">
      <w:pPr>
        <w:pStyle w:val="ListParagraph"/>
        <w:spacing w:line="360" w:lineRule="auto"/>
        <w:jc w:val="both"/>
        <w:rPr>
          <w:rFonts w:ascii="Arial" w:hAnsi="Arial" w:cs="Arial"/>
          <w:sz w:val="24"/>
          <w:szCs w:val="24"/>
        </w:rPr>
      </w:pPr>
    </w:p>
    <w:p w14:paraId="6236FD95" w14:textId="77777777" w:rsidR="00115E7B" w:rsidRDefault="00115E7B" w:rsidP="00115E7B">
      <w:pPr>
        <w:spacing w:line="360" w:lineRule="auto"/>
        <w:jc w:val="both"/>
        <w:rPr>
          <w:rFonts w:ascii="Arial" w:hAnsi="Arial" w:cs="Arial"/>
          <w:sz w:val="24"/>
          <w:szCs w:val="24"/>
        </w:rPr>
      </w:pPr>
      <w:r>
        <w:rPr>
          <w:rFonts w:ascii="Arial" w:hAnsi="Arial" w:cs="Arial"/>
          <w:sz w:val="24"/>
          <w:szCs w:val="24"/>
        </w:rPr>
        <w:lastRenderedPageBreak/>
        <w:t xml:space="preserve">AI acknowledgement </w:t>
      </w:r>
    </w:p>
    <w:p w14:paraId="72AB18C3" w14:textId="77777777" w:rsidR="00115E7B" w:rsidRDefault="00115E7B" w:rsidP="00115E7B">
      <w:pPr>
        <w:spacing w:line="360" w:lineRule="auto"/>
        <w:jc w:val="both"/>
        <w:rPr>
          <w:rFonts w:ascii="Arial" w:hAnsi="Arial" w:cs="Arial"/>
          <w:sz w:val="24"/>
          <w:szCs w:val="24"/>
        </w:rPr>
      </w:pPr>
    </w:p>
    <w:p w14:paraId="28E1F6AA" w14:textId="16B83D78" w:rsidR="00115E7B" w:rsidRDefault="00115E7B" w:rsidP="00115E7B">
      <w:pPr>
        <w:spacing w:line="360" w:lineRule="auto"/>
        <w:jc w:val="both"/>
        <w:rPr>
          <w:rFonts w:ascii="Arial" w:hAnsi="Arial" w:cs="Arial"/>
          <w:sz w:val="24"/>
          <w:szCs w:val="24"/>
        </w:rPr>
      </w:pPr>
      <w:r w:rsidRPr="00970396">
        <w:rPr>
          <w:rFonts w:ascii="Arial" w:hAnsi="Arial" w:cs="Arial"/>
          <w:sz w:val="24"/>
          <w:szCs w:val="24"/>
        </w:rPr>
        <w:t xml:space="preserve">I acknowledge the use of ChatGPT (https://chatgpt.com/) on </w:t>
      </w:r>
      <w:r>
        <w:rPr>
          <w:rFonts w:ascii="Arial" w:hAnsi="Arial" w:cs="Arial"/>
          <w:sz w:val="24"/>
          <w:szCs w:val="24"/>
        </w:rPr>
        <w:t>0</w:t>
      </w:r>
      <w:r w:rsidR="007F1ABF">
        <w:rPr>
          <w:rFonts w:ascii="Arial" w:hAnsi="Arial" w:cs="Arial"/>
          <w:sz w:val="24"/>
          <w:szCs w:val="24"/>
        </w:rPr>
        <w:t>7</w:t>
      </w:r>
      <w:r w:rsidRPr="00970396">
        <w:rPr>
          <w:rFonts w:ascii="Arial" w:hAnsi="Arial" w:cs="Arial"/>
          <w:sz w:val="24"/>
          <w:szCs w:val="24"/>
        </w:rPr>
        <w:t xml:space="preserve"> </w:t>
      </w:r>
      <w:r w:rsidR="0012499A">
        <w:rPr>
          <w:rFonts w:ascii="Arial" w:hAnsi="Arial" w:cs="Arial"/>
          <w:sz w:val="24"/>
          <w:szCs w:val="24"/>
        </w:rPr>
        <w:t>March</w:t>
      </w:r>
      <w:r w:rsidRPr="00970396">
        <w:rPr>
          <w:rFonts w:ascii="Arial" w:hAnsi="Arial" w:cs="Arial"/>
          <w:sz w:val="24"/>
          <w:szCs w:val="24"/>
        </w:rPr>
        <w:t xml:space="preserve"> 202</w:t>
      </w:r>
      <w:r>
        <w:rPr>
          <w:rFonts w:ascii="Arial" w:hAnsi="Arial" w:cs="Arial"/>
          <w:sz w:val="24"/>
          <w:szCs w:val="24"/>
        </w:rPr>
        <w:t>5</w:t>
      </w:r>
      <w:r w:rsidRPr="00970396">
        <w:rPr>
          <w:rFonts w:ascii="Arial" w:hAnsi="Arial" w:cs="Arial"/>
          <w:sz w:val="24"/>
          <w:szCs w:val="24"/>
        </w:rPr>
        <w:t xml:space="preserve"> to write my notes into submission format using the prompt(s):</w:t>
      </w:r>
    </w:p>
    <w:p w14:paraId="7FC09B1D" w14:textId="77777777" w:rsidR="00115E7B" w:rsidRDefault="00115E7B" w:rsidP="00115E7B">
      <w:pPr>
        <w:spacing w:line="360" w:lineRule="auto"/>
        <w:jc w:val="both"/>
        <w:rPr>
          <w:rFonts w:ascii="Arial" w:hAnsi="Arial" w:cs="Arial"/>
          <w:sz w:val="24"/>
          <w:szCs w:val="24"/>
        </w:rPr>
      </w:pPr>
    </w:p>
    <w:p w14:paraId="1B0BB30E" w14:textId="77777777" w:rsidR="00115E7B" w:rsidRDefault="00115E7B" w:rsidP="00115E7B">
      <w:pPr>
        <w:pStyle w:val="ListParagraph"/>
        <w:numPr>
          <w:ilvl w:val="0"/>
          <w:numId w:val="5"/>
        </w:numPr>
        <w:spacing w:line="360" w:lineRule="auto"/>
        <w:jc w:val="both"/>
        <w:rPr>
          <w:rFonts w:ascii="Arial" w:hAnsi="Arial" w:cs="Arial"/>
          <w:sz w:val="24"/>
          <w:szCs w:val="24"/>
        </w:rPr>
      </w:pPr>
      <w:r>
        <w:rPr>
          <w:rFonts w:ascii="Arial" w:hAnsi="Arial" w:cs="Arial"/>
          <w:sz w:val="24"/>
          <w:szCs w:val="24"/>
        </w:rPr>
        <w:t>Re-phrase the below essay making sure you keep the same length of roughly 2000 words, using a more academic language and as well correcting any writing mistakes that have already been done.</w:t>
      </w:r>
    </w:p>
    <w:p w14:paraId="2AE0DBF5" w14:textId="77777777" w:rsidR="00115E7B" w:rsidRDefault="00115E7B" w:rsidP="00115E7B">
      <w:pPr>
        <w:pStyle w:val="ListParagraph"/>
        <w:numPr>
          <w:ilvl w:val="0"/>
          <w:numId w:val="5"/>
        </w:numPr>
        <w:spacing w:line="360" w:lineRule="auto"/>
        <w:jc w:val="both"/>
        <w:rPr>
          <w:rFonts w:ascii="Arial" w:hAnsi="Arial" w:cs="Arial"/>
          <w:sz w:val="24"/>
          <w:szCs w:val="24"/>
        </w:rPr>
      </w:pPr>
      <w:r>
        <w:rPr>
          <w:rFonts w:ascii="Arial" w:hAnsi="Arial" w:cs="Arial"/>
          <w:sz w:val="24"/>
          <w:szCs w:val="24"/>
        </w:rPr>
        <w:t>Analyse the following essay and give me feedback on what else I could include to make it better.</w:t>
      </w:r>
    </w:p>
    <w:p w14:paraId="0F62FE81" w14:textId="77777777" w:rsidR="00115E7B" w:rsidRDefault="00115E7B" w:rsidP="00115E7B">
      <w:pPr>
        <w:spacing w:line="360" w:lineRule="auto"/>
        <w:jc w:val="both"/>
        <w:rPr>
          <w:rFonts w:ascii="Arial" w:hAnsi="Arial" w:cs="Arial"/>
          <w:sz w:val="24"/>
          <w:szCs w:val="24"/>
        </w:rPr>
      </w:pPr>
    </w:p>
    <w:p w14:paraId="63CA4CB0" w14:textId="77777777" w:rsidR="00115E7B" w:rsidRPr="002328CB" w:rsidRDefault="00115E7B" w:rsidP="00115E7B">
      <w:pPr>
        <w:spacing w:line="360" w:lineRule="auto"/>
        <w:jc w:val="both"/>
        <w:rPr>
          <w:rFonts w:ascii="Arial" w:hAnsi="Arial" w:cs="Arial"/>
          <w:sz w:val="24"/>
          <w:szCs w:val="24"/>
        </w:rPr>
      </w:pPr>
      <w:r w:rsidRPr="002328CB">
        <w:rPr>
          <w:rFonts w:ascii="Arial" w:hAnsi="Arial" w:cs="Arial"/>
          <w:sz w:val="24"/>
          <w:szCs w:val="24"/>
        </w:rPr>
        <w:t>I confirm I have copies of my drafts, notes, and other resources I used before, and after the use of AI tools which I may be asked to provide in evidence.</w:t>
      </w:r>
    </w:p>
    <w:p w14:paraId="44F766FE" w14:textId="77777777" w:rsidR="00115E7B" w:rsidRPr="00A40582" w:rsidRDefault="00115E7B" w:rsidP="00D36669">
      <w:pPr>
        <w:pStyle w:val="ListParagraph"/>
        <w:spacing w:line="360" w:lineRule="auto"/>
        <w:jc w:val="both"/>
        <w:rPr>
          <w:rFonts w:ascii="Arial" w:hAnsi="Arial" w:cs="Arial"/>
          <w:sz w:val="24"/>
          <w:szCs w:val="24"/>
        </w:rPr>
      </w:pPr>
    </w:p>
    <w:sectPr w:rsidR="00115E7B" w:rsidRPr="00A4058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DDFA96" w14:textId="77777777" w:rsidR="00E32A35" w:rsidRDefault="00E32A35" w:rsidP="00590DB9">
      <w:pPr>
        <w:spacing w:after="0" w:line="240" w:lineRule="auto"/>
      </w:pPr>
      <w:r>
        <w:separator/>
      </w:r>
    </w:p>
  </w:endnote>
  <w:endnote w:type="continuationSeparator" w:id="0">
    <w:p w14:paraId="79365A89" w14:textId="77777777" w:rsidR="00E32A35" w:rsidRDefault="00E32A35" w:rsidP="00590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5275255"/>
      <w:docPartObj>
        <w:docPartGallery w:val="Page Numbers (Bottom of Page)"/>
        <w:docPartUnique/>
      </w:docPartObj>
    </w:sdtPr>
    <w:sdtEndPr>
      <w:rPr>
        <w:noProof/>
      </w:rPr>
    </w:sdtEndPr>
    <w:sdtContent>
      <w:p w14:paraId="39BEB429" w14:textId="578D077B" w:rsidR="00590DB9" w:rsidRDefault="00590D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A1A2F1" w14:textId="77777777" w:rsidR="00590DB9" w:rsidRDefault="00590D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187CDA" w14:textId="77777777" w:rsidR="00E32A35" w:rsidRDefault="00E32A35" w:rsidP="00590DB9">
      <w:pPr>
        <w:spacing w:after="0" w:line="240" w:lineRule="auto"/>
      </w:pPr>
      <w:r>
        <w:separator/>
      </w:r>
    </w:p>
  </w:footnote>
  <w:footnote w:type="continuationSeparator" w:id="0">
    <w:p w14:paraId="6E4DBC36" w14:textId="77777777" w:rsidR="00E32A35" w:rsidRDefault="00E32A35" w:rsidP="00590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C6EA6"/>
    <w:multiLevelType w:val="hybridMultilevel"/>
    <w:tmpl w:val="5574D5F6"/>
    <w:lvl w:ilvl="0" w:tplc="A484E574">
      <w:start w:val="1"/>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824588"/>
    <w:multiLevelType w:val="hybridMultilevel"/>
    <w:tmpl w:val="6B5E5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00405"/>
    <w:multiLevelType w:val="multilevel"/>
    <w:tmpl w:val="B13E4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2275AEF"/>
    <w:multiLevelType w:val="hybridMultilevel"/>
    <w:tmpl w:val="B914E6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601230744">
    <w:abstractNumId w:val="2"/>
  </w:num>
  <w:num w:numId="2" w16cid:durableId="472333158">
    <w:abstractNumId w:val="4"/>
  </w:num>
  <w:num w:numId="3" w16cid:durableId="1872262106">
    <w:abstractNumId w:val="0"/>
  </w:num>
  <w:num w:numId="4" w16cid:durableId="164125869">
    <w:abstractNumId w:val="1"/>
  </w:num>
  <w:num w:numId="5" w16cid:durableId="41412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732"/>
    <w:rsid w:val="001005D5"/>
    <w:rsid w:val="00115E7B"/>
    <w:rsid w:val="0012499A"/>
    <w:rsid w:val="002053FB"/>
    <w:rsid w:val="002C4BE4"/>
    <w:rsid w:val="003338E3"/>
    <w:rsid w:val="00391DA3"/>
    <w:rsid w:val="00590DB9"/>
    <w:rsid w:val="00662D64"/>
    <w:rsid w:val="006C162B"/>
    <w:rsid w:val="007F1ABF"/>
    <w:rsid w:val="008C7D96"/>
    <w:rsid w:val="009278E9"/>
    <w:rsid w:val="009350D6"/>
    <w:rsid w:val="00990F79"/>
    <w:rsid w:val="00A40582"/>
    <w:rsid w:val="00CD6732"/>
    <w:rsid w:val="00D36669"/>
    <w:rsid w:val="00E32A35"/>
    <w:rsid w:val="00EA57C4"/>
    <w:rsid w:val="00F949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8F0C0"/>
  <w15:chartTrackingRefBased/>
  <w15:docId w15:val="{801E5CB0-8712-4488-A8A3-AC40A0774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7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67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67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67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67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67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67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67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67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67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67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67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67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67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67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67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67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6732"/>
    <w:rPr>
      <w:rFonts w:eastAsiaTheme="majorEastAsia" w:cstheme="majorBidi"/>
      <w:color w:val="272727" w:themeColor="text1" w:themeTint="D8"/>
    </w:rPr>
  </w:style>
  <w:style w:type="paragraph" w:styleId="Title">
    <w:name w:val="Title"/>
    <w:basedOn w:val="Normal"/>
    <w:next w:val="Normal"/>
    <w:link w:val="TitleChar"/>
    <w:uiPriority w:val="10"/>
    <w:qFormat/>
    <w:rsid w:val="00CD67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67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67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67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6732"/>
    <w:pPr>
      <w:spacing w:before="160"/>
      <w:jc w:val="center"/>
    </w:pPr>
    <w:rPr>
      <w:i/>
      <w:iCs/>
      <w:color w:val="404040" w:themeColor="text1" w:themeTint="BF"/>
    </w:rPr>
  </w:style>
  <w:style w:type="character" w:customStyle="1" w:styleId="QuoteChar">
    <w:name w:val="Quote Char"/>
    <w:basedOn w:val="DefaultParagraphFont"/>
    <w:link w:val="Quote"/>
    <w:uiPriority w:val="29"/>
    <w:rsid w:val="00CD6732"/>
    <w:rPr>
      <w:i/>
      <w:iCs/>
      <w:color w:val="404040" w:themeColor="text1" w:themeTint="BF"/>
    </w:rPr>
  </w:style>
  <w:style w:type="paragraph" w:styleId="ListParagraph">
    <w:name w:val="List Paragraph"/>
    <w:basedOn w:val="Normal"/>
    <w:uiPriority w:val="34"/>
    <w:qFormat/>
    <w:rsid w:val="00CD6732"/>
    <w:pPr>
      <w:ind w:left="720"/>
      <w:contextualSpacing/>
    </w:pPr>
  </w:style>
  <w:style w:type="character" w:styleId="IntenseEmphasis">
    <w:name w:val="Intense Emphasis"/>
    <w:basedOn w:val="DefaultParagraphFont"/>
    <w:uiPriority w:val="21"/>
    <w:qFormat/>
    <w:rsid w:val="00CD6732"/>
    <w:rPr>
      <w:i/>
      <w:iCs/>
      <w:color w:val="0F4761" w:themeColor="accent1" w:themeShade="BF"/>
    </w:rPr>
  </w:style>
  <w:style w:type="paragraph" w:styleId="IntenseQuote">
    <w:name w:val="Intense Quote"/>
    <w:basedOn w:val="Normal"/>
    <w:next w:val="Normal"/>
    <w:link w:val="IntenseQuoteChar"/>
    <w:uiPriority w:val="30"/>
    <w:qFormat/>
    <w:rsid w:val="00CD67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6732"/>
    <w:rPr>
      <w:i/>
      <w:iCs/>
      <w:color w:val="0F4761" w:themeColor="accent1" w:themeShade="BF"/>
    </w:rPr>
  </w:style>
  <w:style w:type="character" w:styleId="IntenseReference">
    <w:name w:val="Intense Reference"/>
    <w:basedOn w:val="DefaultParagraphFont"/>
    <w:uiPriority w:val="32"/>
    <w:qFormat/>
    <w:rsid w:val="00CD6732"/>
    <w:rPr>
      <w:b/>
      <w:bCs/>
      <w:smallCaps/>
      <w:color w:val="0F4761" w:themeColor="accent1" w:themeShade="BF"/>
      <w:spacing w:val="5"/>
    </w:rPr>
  </w:style>
  <w:style w:type="paragraph" w:styleId="Header">
    <w:name w:val="header"/>
    <w:basedOn w:val="Normal"/>
    <w:link w:val="HeaderChar"/>
    <w:uiPriority w:val="99"/>
    <w:unhideWhenUsed/>
    <w:rsid w:val="00590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0DB9"/>
  </w:style>
  <w:style w:type="paragraph" w:styleId="Footer">
    <w:name w:val="footer"/>
    <w:basedOn w:val="Normal"/>
    <w:link w:val="FooterChar"/>
    <w:uiPriority w:val="99"/>
    <w:unhideWhenUsed/>
    <w:rsid w:val="00590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0DB9"/>
  </w:style>
  <w:style w:type="paragraph" w:styleId="TOCHeading">
    <w:name w:val="TOC Heading"/>
    <w:basedOn w:val="Heading1"/>
    <w:next w:val="Normal"/>
    <w:uiPriority w:val="39"/>
    <w:unhideWhenUsed/>
    <w:qFormat/>
    <w:rsid w:val="00590DB9"/>
    <w:pPr>
      <w:spacing w:before="240" w:after="0"/>
      <w:outlineLvl w:val="9"/>
    </w:pPr>
    <w:rPr>
      <w:kern w:val="0"/>
      <w:sz w:val="32"/>
      <w:szCs w:val="32"/>
      <w:lang w:val="en-US"/>
      <w14:ligatures w14:val="none"/>
    </w:rPr>
  </w:style>
  <w:style w:type="paragraph" w:customStyle="1" w:styleId="Style1">
    <w:name w:val="Style1"/>
    <w:basedOn w:val="Normal"/>
    <w:link w:val="Style1Char"/>
    <w:qFormat/>
    <w:rsid w:val="00590DB9"/>
    <w:pPr>
      <w:spacing w:line="360" w:lineRule="auto"/>
      <w:jc w:val="both"/>
    </w:pPr>
    <w:rPr>
      <w:rFonts w:ascii="Arial" w:hAnsi="Arial" w:cs="Arial"/>
      <w:sz w:val="24"/>
      <w:szCs w:val="24"/>
    </w:rPr>
  </w:style>
  <w:style w:type="character" w:customStyle="1" w:styleId="Style1Char">
    <w:name w:val="Style1 Char"/>
    <w:basedOn w:val="DefaultParagraphFont"/>
    <w:link w:val="Style1"/>
    <w:rsid w:val="00590DB9"/>
    <w:rPr>
      <w:rFonts w:ascii="Arial" w:hAnsi="Arial" w:cs="Arial"/>
      <w:sz w:val="24"/>
      <w:szCs w:val="24"/>
    </w:rPr>
  </w:style>
  <w:style w:type="paragraph" w:customStyle="1" w:styleId="Style2">
    <w:name w:val="Style2"/>
    <w:basedOn w:val="Heading1"/>
    <w:link w:val="Style2Char"/>
    <w:qFormat/>
    <w:rsid w:val="00590DB9"/>
    <w:rPr>
      <w:rFonts w:ascii="Arial" w:hAnsi="Arial"/>
      <w:color w:val="000000" w:themeColor="text1"/>
      <w:sz w:val="36"/>
    </w:rPr>
  </w:style>
  <w:style w:type="character" w:customStyle="1" w:styleId="Style2Char">
    <w:name w:val="Style2 Char"/>
    <w:basedOn w:val="Heading1Char"/>
    <w:link w:val="Style2"/>
    <w:rsid w:val="00590DB9"/>
    <w:rPr>
      <w:rFonts w:ascii="Arial" w:eastAsiaTheme="majorEastAsia" w:hAnsi="Arial" w:cstheme="majorBidi"/>
      <w:color w:val="000000" w:themeColor="text1"/>
      <w:sz w:val="36"/>
      <w:szCs w:val="40"/>
    </w:rPr>
  </w:style>
  <w:style w:type="paragraph" w:customStyle="1" w:styleId="subheadingstyle2">
    <w:name w:val="subheading style 2"/>
    <w:basedOn w:val="Heading2"/>
    <w:link w:val="subheadingstyle2Char"/>
    <w:qFormat/>
    <w:rsid w:val="00590DB9"/>
    <w:pPr>
      <w:spacing w:line="360" w:lineRule="auto"/>
      <w:jc w:val="both"/>
    </w:pPr>
    <w:rPr>
      <w:rFonts w:ascii="Arial" w:hAnsi="Arial" w:cs="Arial"/>
      <w:color w:val="000000" w:themeColor="text1"/>
      <w:sz w:val="24"/>
      <w:szCs w:val="24"/>
    </w:rPr>
  </w:style>
  <w:style w:type="character" w:customStyle="1" w:styleId="subheadingstyle2Char">
    <w:name w:val="subheading style 2 Char"/>
    <w:basedOn w:val="Heading2Char"/>
    <w:link w:val="subheadingstyle2"/>
    <w:rsid w:val="00590DB9"/>
    <w:rPr>
      <w:rFonts w:ascii="Arial" w:eastAsiaTheme="majorEastAsia" w:hAnsi="Arial" w:cs="Arial"/>
      <w:color w:val="000000" w:themeColor="text1"/>
      <w:sz w:val="24"/>
      <w:szCs w:val="24"/>
    </w:rPr>
  </w:style>
  <w:style w:type="paragraph" w:styleId="TOC1">
    <w:name w:val="toc 1"/>
    <w:basedOn w:val="Normal"/>
    <w:next w:val="Normal"/>
    <w:autoRedefine/>
    <w:uiPriority w:val="39"/>
    <w:unhideWhenUsed/>
    <w:rsid w:val="00A40582"/>
    <w:pPr>
      <w:spacing w:after="100"/>
    </w:pPr>
  </w:style>
  <w:style w:type="paragraph" w:styleId="TOC2">
    <w:name w:val="toc 2"/>
    <w:basedOn w:val="Normal"/>
    <w:next w:val="Normal"/>
    <w:autoRedefine/>
    <w:uiPriority w:val="39"/>
    <w:unhideWhenUsed/>
    <w:rsid w:val="00A40582"/>
    <w:pPr>
      <w:spacing w:after="100"/>
      <w:ind w:left="220"/>
    </w:pPr>
  </w:style>
  <w:style w:type="character" w:styleId="Hyperlink">
    <w:name w:val="Hyperlink"/>
    <w:basedOn w:val="DefaultParagraphFont"/>
    <w:uiPriority w:val="99"/>
    <w:unhideWhenUsed/>
    <w:rsid w:val="00A40582"/>
    <w:rPr>
      <w:color w:val="467886" w:themeColor="hyperlink"/>
      <w:u w:val="single"/>
    </w:rPr>
  </w:style>
  <w:style w:type="character" w:styleId="UnresolvedMention">
    <w:name w:val="Unresolved Mention"/>
    <w:basedOn w:val="DefaultParagraphFont"/>
    <w:uiPriority w:val="99"/>
    <w:semiHidden/>
    <w:unhideWhenUsed/>
    <w:rsid w:val="00D366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9823212">
      <w:bodyDiv w:val="1"/>
      <w:marLeft w:val="0"/>
      <w:marRight w:val="0"/>
      <w:marTop w:val="0"/>
      <w:marBottom w:val="0"/>
      <w:divBdr>
        <w:top w:val="none" w:sz="0" w:space="0" w:color="auto"/>
        <w:left w:val="none" w:sz="0" w:space="0" w:color="auto"/>
        <w:bottom w:val="none" w:sz="0" w:space="0" w:color="auto"/>
        <w:right w:val="none" w:sz="0" w:space="0" w:color="auto"/>
      </w:divBdr>
      <w:divsChild>
        <w:div w:id="1634367745">
          <w:marLeft w:val="0"/>
          <w:marRight w:val="0"/>
          <w:marTop w:val="0"/>
          <w:marBottom w:val="0"/>
          <w:divBdr>
            <w:top w:val="none" w:sz="0" w:space="0" w:color="auto"/>
            <w:left w:val="none" w:sz="0" w:space="0" w:color="auto"/>
            <w:bottom w:val="none" w:sz="0" w:space="0" w:color="auto"/>
            <w:right w:val="none" w:sz="0" w:space="0" w:color="auto"/>
          </w:divBdr>
          <w:divsChild>
            <w:div w:id="273289238">
              <w:marLeft w:val="0"/>
              <w:marRight w:val="0"/>
              <w:marTop w:val="312"/>
              <w:marBottom w:val="144"/>
              <w:divBdr>
                <w:top w:val="single" w:sz="2" w:space="0" w:color="000000"/>
                <w:left w:val="single" w:sz="2" w:space="0" w:color="000000"/>
                <w:bottom w:val="single" w:sz="2" w:space="0" w:color="000000"/>
                <w:right w:val="single" w:sz="2" w:space="0" w:color="000000"/>
              </w:divBdr>
            </w:div>
            <w:div w:id="705983956">
              <w:marLeft w:val="0"/>
              <w:marRight w:val="0"/>
              <w:marTop w:val="0"/>
              <w:marBottom w:val="0"/>
              <w:divBdr>
                <w:top w:val="single" w:sz="2" w:space="0" w:color="000000"/>
                <w:left w:val="single" w:sz="2" w:space="0" w:color="000000"/>
                <w:bottom w:val="single" w:sz="2" w:space="0" w:color="000000"/>
                <w:right w:val="single" w:sz="2" w:space="0" w:color="000000"/>
              </w:divBdr>
            </w:div>
            <w:div w:id="1897810447">
              <w:marLeft w:val="0"/>
              <w:marRight w:val="0"/>
              <w:marTop w:val="312"/>
              <w:marBottom w:val="144"/>
              <w:divBdr>
                <w:top w:val="single" w:sz="2" w:space="0" w:color="000000"/>
                <w:left w:val="single" w:sz="2" w:space="0" w:color="000000"/>
                <w:bottom w:val="single" w:sz="2" w:space="0" w:color="000000"/>
                <w:right w:val="single" w:sz="2" w:space="0" w:color="000000"/>
              </w:divBdr>
            </w:div>
            <w:div w:id="784034212">
              <w:marLeft w:val="0"/>
              <w:marRight w:val="0"/>
              <w:marTop w:val="0"/>
              <w:marBottom w:val="0"/>
              <w:divBdr>
                <w:top w:val="single" w:sz="2" w:space="0" w:color="000000"/>
                <w:left w:val="single" w:sz="2" w:space="0" w:color="000000"/>
                <w:bottom w:val="single" w:sz="2" w:space="0" w:color="000000"/>
                <w:right w:val="single" w:sz="2" w:space="0" w:color="000000"/>
              </w:divBdr>
            </w:div>
            <w:div w:id="1798645672">
              <w:marLeft w:val="0"/>
              <w:marRight w:val="0"/>
              <w:marTop w:val="0"/>
              <w:marBottom w:val="0"/>
              <w:divBdr>
                <w:top w:val="single" w:sz="2" w:space="0" w:color="000000"/>
                <w:left w:val="single" w:sz="2" w:space="0" w:color="000000"/>
                <w:bottom w:val="single" w:sz="2" w:space="0" w:color="000000"/>
                <w:right w:val="single" w:sz="2" w:space="0" w:color="000000"/>
              </w:divBdr>
            </w:div>
            <w:div w:id="2117213441">
              <w:marLeft w:val="0"/>
              <w:marRight w:val="0"/>
              <w:marTop w:val="0"/>
              <w:marBottom w:val="0"/>
              <w:divBdr>
                <w:top w:val="single" w:sz="2" w:space="0" w:color="000000"/>
                <w:left w:val="single" w:sz="2" w:space="0" w:color="000000"/>
                <w:bottom w:val="single" w:sz="2" w:space="0" w:color="000000"/>
                <w:right w:val="single" w:sz="2" w:space="0" w:color="000000"/>
              </w:divBdr>
            </w:div>
            <w:div w:id="847058034">
              <w:marLeft w:val="0"/>
              <w:marRight w:val="0"/>
              <w:marTop w:val="0"/>
              <w:marBottom w:val="0"/>
              <w:divBdr>
                <w:top w:val="single" w:sz="2" w:space="0" w:color="000000"/>
                <w:left w:val="single" w:sz="2" w:space="0" w:color="000000"/>
                <w:bottom w:val="single" w:sz="2" w:space="0" w:color="000000"/>
                <w:right w:val="single" w:sz="2" w:space="0" w:color="000000"/>
              </w:divBdr>
            </w:div>
            <w:div w:id="1912082879">
              <w:marLeft w:val="0"/>
              <w:marRight w:val="0"/>
              <w:marTop w:val="0"/>
              <w:marBottom w:val="0"/>
              <w:divBdr>
                <w:top w:val="single" w:sz="2" w:space="0" w:color="000000"/>
                <w:left w:val="single" w:sz="2" w:space="0" w:color="000000"/>
                <w:bottom w:val="single" w:sz="2" w:space="0" w:color="000000"/>
                <w:right w:val="single" w:sz="2" w:space="0" w:color="000000"/>
              </w:divBdr>
            </w:div>
            <w:div w:id="1678994861">
              <w:marLeft w:val="0"/>
              <w:marRight w:val="0"/>
              <w:marTop w:val="0"/>
              <w:marBottom w:val="0"/>
              <w:divBdr>
                <w:top w:val="single" w:sz="2" w:space="0" w:color="000000"/>
                <w:left w:val="single" w:sz="2" w:space="0" w:color="000000"/>
                <w:bottom w:val="single" w:sz="2" w:space="0" w:color="000000"/>
                <w:right w:val="single" w:sz="2" w:space="0" w:color="000000"/>
              </w:divBdr>
            </w:div>
            <w:div w:id="550456308">
              <w:marLeft w:val="0"/>
              <w:marRight w:val="0"/>
              <w:marTop w:val="0"/>
              <w:marBottom w:val="0"/>
              <w:divBdr>
                <w:top w:val="single" w:sz="2" w:space="0" w:color="000000"/>
                <w:left w:val="single" w:sz="2" w:space="0" w:color="000000"/>
                <w:bottom w:val="single" w:sz="2" w:space="0" w:color="000000"/>
                <w:right w:val="single" w:sz="2" w:space="0" w:color="000000"/>
              </w:divBdr>
            </w:div>
            <w:div w:id="2133866185">
              <w:marLeft w:val="0"/>
              <w:marRight w:val="0"/>
              <w:marTop w:val="0"/>
              <w:marBottom w:val="0"/>
              <w:divBdr>
                <w:top w:val="single" w:sz="2" w:space="0" w:color="000000"/>
                <w:left w:val="single" w:sz="2" w:space="0" w:color="000000"/>
                <w:bottom w:val="single" w:sz="2" w:space="0" w:color="000000"/>
                <w:right w:val="single" w:sz="2" w:space="0" w:color="000000"/>
              </w:divBdr>
            </w:div>
            <w:div w:id="1466460574">
              <w:marLeft w:val="0"/>
              <w:marRight w:val="0"/>
              <w:marTop w:val="0"/>
              <w:marBottom w:val="0"/>
              <w:divBdr>
                <w:top w:val="single" w:sz="2" w:space="0" w:color="000000"/>
                <w:left w:val="single" w:sz="2" w:space="0" w:color="000000"/>
                <w:bottom w:val="single" w:sz="2" w:space="0" w:color="000000"/>
                <w:right w:val="single" w:sz="2" w:space="0" w:color="000000"/>
              </w:divBdr>
            </w:div>
            <w:div w:id="1959724332">
              <w:marLeft w:val="0"/>
              <w:marRight w:val="0"/>
              <w:marTop w:val="312"/>
              <w:marBottom w:val="144"/>
              <w:divBdr>
                <w:top w:val="single" w:sz="2" w:space="0" w:color="000000"/>
                <w:left w:val="single" w:sz="2" w:space="0" w:color="000000"/>
                <w:bottom w:val="single" w:sz="2" w:space="0" w:color="000000"/>
                <w:right w:val="single" w:sz="2" w:space="0" w:color="000000"/>
              </w:divBdr>
            </w:div>
            <w:div w:id="1678993881">
              <w:marLeft w:val="0"/>
              <w:marRight w:val="0"/>
              <w:marTop w:val="0"/>
              <w:marBottom w:val="0"/>
              <w:divBdr>
                <w:top w:val="single" w:sz="2" w:space="0" w:color="000000"/>
                <w:left w:val="single" w:sz="2" w:space="0" w:color="000000"/>
                <w:bottom w:val="single" w:sz="2" w:space="0" w:color="000000"/>
                <w:right w:val="single" w:sz="2" w:space="0" w:color="000000"/>
              </w:divBdr>
            </w:div>
            <w:div w:id="1272475814">
              <w:marLeft w:val="0"/>
              <w:marRight w:val="0"/>
              <w:marTop w:val="0"/>
              <w:marBottom w:val="0"/>
              <w:divBdr>
                <w:top w:val="single" w:sz="2" w:space="0" w:color="000000"/>
                <w:left w:val="single" w:sz="2" w:space="0" w:color="000000"/>
                <w:bottom w:val="single" w:sz="2" w:space="0" w:color="000000"/>
                <w:right w:val="single" w:sz="2" w:space="0" w:color="000000"/>
              </w:divBdr>
            </w:div>
            <w:div w:id="800656451">
              <w:marLeft w:val="0"/>
              <w:marRight w:val="0"/>
              <w:marTop w:val="0"/>
              <w:marBottom w:val="0"/>
              <w:divBdr>
                <w:top w:val="single" w:sz="2" w:space="0" w:color="000000"/>
                <w:left w:val="single" w:sz="2" w:space="0" w:color="000000"/>
                <w:bottom w:val="single" w:sz="2" w:space="0" w:color="000000"/>
                <w:right w:val="single" w:sz="2" w:space="0" w:color="000000"/>
              </w:divBdr>
            </w:div>
            <w:div w:id="2032759667">
              <w:marLeft w:val="0"/>
              <w:marRight w:val="0"/>
              <w:marTop w:val="312"/>
              <w:marBottom w:val="144"/>
              <w:divBdr>
                <w:top w:val="single" w:sz="2" w:space="0" w:color="000000"/>
                <w:left w:val="single" w:sz="2" w:space="0" w:color="000000"/>
                <w:bottom w:val="single" w:sz="2" w:space="0" w:color="000000"/>
                <w:right w:val="single" w:sz="2" w:space="0" w:color="000000"/>
              </w:divBdr>
            </w:div>
            <w:div w:id="563413253">
              <w:marLeft w:val="0"/>
              <w:marRight w:val="0"/>
              <w:marTop w:val="0"/>
              <w:marBottom w:val="0"/>
              <w:divBdr>
                <w:top w:val="single" w:sz="2" w:space="0" w:color="000000"/>
                <w:left w:val="single" w:sz="2" w:space="0" w:color="000000"/>
                <w:bottom w:val="single" w:sz="2" w:space="0" w:color="000000"/>
                <w:right w:val="single" w:sz="2" w:space="0" w:color="000000"/>
              </w:divBdr>
            </w:div>
            <w:div w:id="450824850">
              <w:marLeft w:val="0"/>
              <w:marRight w:val="0"/>
              <w:marTop w:val="0"/>
              <w:marBottom w:val="0"/>
              <w:divBdr>
                <w:top w:val="single" w:sz="2" w:space="0" w:color="000000"/>
                <w:left w:val="single" w:sz="2" w:space="0" w:color="000000"/>
                <w:bottom w:val="single" w:sz="2" w:space="0" w:color="000000"/>
                <w:right w:val="single" w:sz="2" w:space="0" w:color="000000"/>
              </w:divBdr>
            </w:div>
            <w:div w:id="1862051">
              <w:marLeft w:val="0"/>
              <w:marRight w:val="0"/>
              <w:marTop w:val="0"/>
              <w:marBottom w:val="0"/>
              <w:divBdr>
                <w:top w:val="single" w:sz="2" w:space="0" w:color="000000"/>
                <w:left w:val="single" w:sz="2" w:space="0" w:color="000000"/>
                <w:bottom w:val="single" w:sz="2" w:space="0" w:color="000000"/>
                <w:right w:val="single" w:sz="2" w:space="0" w:color="000000"/>
              </w:divBdr>
            </w:div>
            <w:div w:id="1265260187">
              <w:marLeft w:val="0"/>
              <w:marRight w:val="0"/>
              <w:marTop w:val="0"/>
              <w:marBottom w:val="0"/>
              <w:divBdr>
                <w:top w:val="single" w:sz="2" w:space="0" w:color="000000"/>
                <w:left w:val="single" w:sz="2" w:space="0" w:color="000000"/>
                <w:bottom w:val="single" w:sz="2" w:space="0" w:color="000000"/>
                <w:right w:val="single" w:sz="2" w:space="0" w:color="000000"/>
              </w:divBdr>
            </w:div>
            <w:div w:id="294338153">
              <w:marLeft w:val="0"/>
              <w:marRight w:val="0"/>
              <w:marTop w:val="312"/>
              <w:marBottom w:val="144"/>
              <w:divBdr>
                <w:top w:val="single" w:sz="2" w:space="0" w:color="000000"/>
                <w:left w:val="single" w:sz="2" w:space="0" w:color="000000"/>
                <w:bottom w:val="single" w:sz="2" w:space="0" w:color="000000"/>
                <w:right w:val="single" w:sz="2" w:space="0" w:color="000000"/>
              </w:divBdr>
            </w:div>
            <w:div w:id="1516649201">
              <w:marLeft w:val="0"/>
              <w:marRight w:val="0"/>
              <w:marTop w:val="0"/>
              <w:marBottom w:val="0"/>
              <w:divBdr>
                <w:top w:val="single" w:sz="2" w:space="0" w:color="000000"/>
                <w:left w:val="single" w:sz="2" w:space="0" w:color="000000"/>
                <w:bottom w:val="single" w:sz="2" w:space="0" w:color="000000"/>
                <w:right w:val="single" w:sz="2" w:space="0" w:color="000000"/>
              </w:divBdr>
            </w:div>
            <w:div w:id="1102385517">
              <w:marLeft w:val="0"/>
              <w:marRight w:val="0"/>
              <w:marTop w:val="0"/>
              <w:marBottom w:val="0"/>
              <w:divBdr>
                <w:top w:val="single" w:sz="2" w:space="0" w:color="000000"/>
                <w:left w:val="single" w:sz="2" w:space="0" w:color="000000"/>
                <w:bottom w:val="single" w:sz="2" w:space="0" w:color="000000"/>
                <w:right w:val="single" w:sz="2" w:space="0" w:color="000000"/>
              </w:divBdr>
            </w:div>
            <w:div w:id="408431628">
              <w:marLeft w:val="0"/>
              <w:marRight w:val="0"/>
              <w:marTop w:val="0"/>
              <w:marBottom w:val="0"/>
              <w:divBdr>
                <w:top w:val="single" w:sz="2" w:space="0" w:color="000000"/>
                <w:left w:val="single" w:sz="2" w:space="0" w:color="000000"/>
                <w:bottom w:val="single" w:sz="2" w:space="0" w:color="000000"/>
                <w:right w:val="single" w:sz="2" w:space="0" w:color="000000"/>
              </w:divBdr>
            </w:div>
            <w:div w:id="1776288766">
              <w:marLeft w:val="0"/>
              <w:marRight w:val="0"/>
              <w:marTop w:val="0"/>
              <w:marBottom w:val="0"/>
              <w:divBdr>
                <w:top w:val="single" w:sz="2" w:space="0" w:color="000000"/>
                <w:left w:val="single" w:sz="2" w:space="0" w:color="000000"/>
                <w:bottom w:val="single" w:sz="2" w:space="0" w:color="000000"/>
                <w:right w:val="single" w:sz="2" w:space="0" w:color="000000"/>
              </w:divBdr>
            </w:div>
            <w:div w:id="511383959">
              <w:marLeft w:val="0"/>
              <w:marRight w:val="0"/>
              <w:marTop w:val="312"/>
              <w:marBottom w:val="144"/>
              <w:divBdr>
                <w:top w:val="single" w:sz="2" w:space="0" w:color="000000"/>
                <w:left w:val="single" w:sz="2" w:space="0" w:color="000000"/>
                <w:bottom w:val="single" w:sz="2" w:space="0" w:color="000000"/>
                <w:right w:val="single" w:sz="2" w:space="0" w:color="000000"/>
              </w:divBdr>
            </w:div>
            <w:div w:id="1011643858">
              <w:marLeft w:val="0"/>
              <w:marRight w:val="0"/>
              <w:marTop w:val="0"/>
              <w:marBottom w:val="0"/>
              <w:divBdr>
                <w:top w:val="single" w:sz="2" w:space="0" w:color="000000"/>
                <w:left w:val="single" w:sz="2" w:space="0" w:color="000000"/>
                <w:bottom w:val="single" w:sz="2" w:space="0" w:color="000000"/>
                <w:right w:val="single" w:sz="2" w:space="0" w:color="000000"/>
              </w:divBdr>
            </w:div>
            <w:div w:id="838234336">
              <w:marLeft w:val="0"/>
              <w:marRight w:val="0"/>
              <w:marTop w:val="0"/>
              <w:marBottom w:val="0"/>
              <w:divBdr>
                <w:top w:val="single" w:sz="2" w:space="0" w:color="000000"/>
                <w:left w:val="single" w:sz="2" w:space="0" w:color="000000"/>
                <w:bottom w:val="single" w:sz="2" w:space="0" w:color="000000"/>
                <w:right w:val="single" w:sz="2" w:space="0" w:color="000000"/>
              </w:divBdr>
            </w:div>
            <w:div w:id="1509097907">
              <w:marLeft w:val="0"/>
              <w:marRight w:val="0"/>
              <w:marTop w:val="0"/>
              <w:marBottom w:val="0"/>
              <w:divBdr>
                <w:top w:val="single" w:sz="2" w:space="0" w:color="000000"/>
                <w:left w:val="single" w:sz="2" w:space="0" w:color="000000"/>
                <w:bottom w:val="single" w:sz="2" w:space="0" w:color="000000"/>
                <w:right w:val="single" w:sz="2" w:space="0" w:color="000000"/>
              </w:divBdr>
            </w:div>
            <w:div w:id="1097484840">
              <w:marLeft w:val="0"/>
              <w:marRight w:val="0"/>
              <w:marTop w:val="0"/>
              <w:marBottom w:val="0"/>
              <w:divBdr>
                <w:top w:val="single" w:sz="2" w:space="0" w:color="000000"/>
                <w:left w:val="single" w:sz="2" w:space="0" w:color="000000"/>
                <w:bottom w:val="single" w:sz="2" w:space="0" w:color="000000"/>
                <w:right w:val="single" w:sz="2" w:space="0" w:color="000000"/>
              </w:divBdr>
            </w:div>
            <w:div w:id="1885943121">
              <w:marLeft w:val="0"/>
              <w:marRight w:val="0"/>
              <w:marTop w:val="312"/>
              <w:marBottom w:val="144"/>
              <w:divBdr>
                <w:top w:val="single" w:sz="2" w:space="0" w:color="000000"/>
                <w:left w:val="single" w:sz="2" w:space="0" w:color="000000"/>
                <w:bottom w:val="single" w:sz="2" w:space="0" w:color="000000"/>
                <w:right w:val="single" w:sz="2" w:space="0" w:color="000000"/>
              </w:divBdr>
            </w:div>
            <w:div w:id="238634313">
              <w:marLeft w:val="0"/>
              <w:marRight w:val="0"/>
              <w:marTop w:val="0"/>
              <w:marBottom w:val="0"/>
              <w:divBdr>
                <w:top w:val="single" w:sz="2" w:space="0" w:color="000000"/>
                <w:left w:val="single" w:sz="2" w:space="0" w:color="000000"/>
                <w:bottom w:val="single" w:sz="2" w:space="0" w:color="000000"/>
                <w:right w:val="single" w:sz="2" w:space="0" w:color="000000"/>
              </w:divBdr>
            </w:div>
            <w:div w:id="190993789">
              <w:marLeft w:val="0"/>
              <w:marRight w:val="0"/>
              <w:marTop w:val="0"/>
              <w:marBottom w:val="0"/>
              <w:divBdr>
                <w:top w:val="single" w:sz="2" w:space="0" w:color="000000"/>
                <w:left w:val="single" w:sz="2" w:space="0" w:color="000000"/>
                <w:bottom w:val="single" w:sz="2" w:space="0" w:color="000000"/>
                <w:right w:val="single" w:sz="2" w:space="0" w:color="000000"/>
              </w:divBdr>
            </w:div>
            <w:div w:id="1065448424">
              <w:marLeft w:val="0"/>
              <w:marRight w:val="0"/>
              <w:marTop w:val="0"/>
              <w:marBottom w:val="0"/>
              <w:divBdr>
                <w:top w:val="single" w:sz="2" w:space="0" w:color="000000"/>
                <w:left w:val="single" w:sz="2" w:space="0" w:color="000000"/>
                <w:bottom w:val="single" w:sz="2" w:space="0" w:color="000000"/>
                <w:right w:val="single" w:sz="2" w:space="0" w:color="000000"/>
              </w:divBdr>
            </w:div>
            <w:div w:id="1160577325">
              <w:marLeft w:val="0"/>
              <w:marRight w:val="0"/>
              <w:marTop w:val="0"/>
              <w:marBottom w:val="0"/>
              <w:divBdr>
                <w:top w:val="single" w:sz="2" w:space="0" w:color="000000"/>
                <w:left w:val="single" w:sz="2" w:space="0" w:color="000000"/>
                <w:bottom w:val="single" w:sz="2" w:space="0" w:color="000000"/>
                <w:right w:val="single" w:sz="2" w:space="0" w:color="000000"/>
              </w:divBdr>
            </w:div>
            <w:div w:id="513232441">
              <w:marLeft w:val="0"/>
              <w:marRight w:val="0"/>
              <w:marTop w:val="312"/>
              <w:marBottom w:val="144"/>
              <w:divBdr>
                <w:top w:val="single" w:sz="2" w:space="0" w:color="000000"/>
                <w:left w:val="single" w:sz="2" w:space="0" w:color="000000"/>
                <w:bottom w:val="single" w:sz="2" w:space="0" w:color="000000"/>
                <w:right w:val="single" w:sz="2" w:space="0" w:color="000000"/>
              </w:divBdr>
            </w:div>
            <w:div w:id="2034727654">
              <w:marLeft w:val="0"/>
              <w:marRight w:val="0"/>
              <w:marTop w:val="0"/>
              <w:marBottom w:val="0"/>
              <w:divBdr>
                <w:top w:val="single" w:sz="2" w:space="0" w:color="000000"/>
                <w:left w:val="single" w:sz="2" w:space="0" w:color="000000"/>
                <w:bottom w:val="single" w:sz="2" w:space="0" w:color="000000"/>
                <w:right w:val="single" w:sz="2" w:space="0" w:color="000000"/>
              </w:divBdr>
            </w:div>
            <w:div w:id="94130792">
              <w:marLeft w:val="0"/>
              <w:marRight w:val="0"/>
              <w:marTop w:val="0"/>
              <w:marBottom w:val="0"/>
              <w:divBdr>
                <w:top w:val="single" w:sz="2" w:space="0" w:color="000000"/>
                <w:left w:val="single" w:sz="2" w:space="0" w:color="000000"/>
                <w:bottom w:val="single" w:sz="2" w:space="0" w:color="000000"/>
                <w:right w:val="single" w:sz="2" w:space="0" w:color="000000"/>
              </w:divBdr>
            </w:div>
            <w:div w:id="185490378">
              <w:marLeft w:val="0"/>
              <w:marRight w:val="0"/>
              <w:marTop w:val="0"/>
              <w:marBottom w:val="0"/>
              <w:divBdr>
                <w:top w:val="single" w:sz="2" w:space="0" w:color="000000"/>
                <w:left w:val="single" w:sz="2" w:space="0" w:color="000000"/>
                <w:bottom w:val="single" w:sz="2" w:space="0" w:color="000000"/>
                <w:right w:val="single" w:sz="2" w:space="0" w:color="000000"/>
              </w:divBdr>
            </w:div>
            <w:div w:id="1773166781">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 w:id="1590701463">
      <w:bodyDiv w:val="1"/>
      <w:marLeft w:val="0"/>
      <w:marRight w:val="0"/>
      <w:marTop w:val="0"/>
      <w:marBottom w:val="0"/>
      <w:divBdr>
        <w:top w:val="none" w:sz="0" w:space="0" w:color="auto"/>
        <w:left w:val="none" w:sz="0" w:space="0" w:color="auto"/>
        <w:bottom w:val="none" w:sz="0" w:space="0" w:color="auto"/>
        <w:right w:val="none" w:sz="0" w:space="0" w:color="auto"/>
      </w:divBdr>
      <w:divsChild>
        <w:div w:id="17198142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rc.gov/docs/ML0907/ML090710600.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rp-cdn.multiscreensite.com/6e5efd05/files/uploaded/Leading%20Change.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228320877_A_Stakeholder_Approach_to_Strategic_Managemen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ommunity.mis.temple.edu/mis0855002fall2015/files/2015/10/S.M.A.R.T-Way-Management-Review.pdf" TargetMode="External"/><Relationship Id="rId4" Type="http://schemas.openxmlformats.org/officeDocument/2006/relationships/settings" Target="settings.xml"/><Relationship Id="rId9" Type="http://schemas.openxmlformats.org/officeDocument/2006/relationships/hyperlink" Target="https://www.casrilanka.com/casl/images/stories/2017/2017_pdfs/sab_portal/course_material/strategies_for_diversification.pdf" TargetMode="External"/><Relationship Id="rId14" Type="http://schemas.openxmlformats.org/officeDocument/2006/relationships/hyperlink" Target="https://s3.us-east-1.amazonaws.com/storage.thanksforthehelp.com/qfile/porter-michael-e-1980-extract-competitive-strategy-vyr2a2b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D19001-27C2-4023-A018-E7F030BF67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13</Pages>
  <Words>3234</Words>
  <Characters>18440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Simion Madalin</dc:creator>
  <cp:keywords/>
  <dc:description/>
  <cp:lastModifiedBy>Simion Madalin</cp:lastModifiedBy>
  <cp:revision>11</cp:revision>
  <dcterms:created xsi:type="dcterms:W3CDTF">2025-03-07T16:30:00Z</dcterms:created>
  <dcterms:modified xsi:type="dcterms:W3CDTF">2025-03-07T19:06:00Z</dcterms:modified>
</cp:coreProperties>
</file>