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szCs w:val="22"/>
        </w:rPr>
        <w:id w:val="-1934424947"/>
        <w:docPartObj>
          <w:docPartGallery w:val="Cover Pages"/>
          <w:docPartUnique/>
        </w:docPartObj>
      </w:sdtPr>
      <w:sdtEndPr>
        <w:rPr>
          <w:rStyle w:val="Strong"/>
          <w:b/>
          <w:bCs/>
          <w:color w:val="000000"/>
        </w:rPr>
      </w:sdtEndPr>
      <w:sdtContent>
        <w:p w14:paraId="0636700A" w14:textId="7FFDCACC" w:rsidR="00121C67" w:rsidRPr="001F190A" w:rsidRDefault="00121C67" w:rsidP="001F190A">
          <w:pPr>
            <w:spacing w:line="360" w:lineRule="auto"/>
            <w:rPr>
              <w:rFonts w:ascii="Arial" w:hAnsi="Arial" w:cs="Arial"/>
              <w:sz w:val="22"/>
              <w:szCs w:val="22"/>
            </w:rPr>
          </w:pPr>
          <w:r w:rsidRPr="001F190A">
            <w:rPr>
              <w:rFonts w:ascii="Arial" w:hAnsi="Arial" w:cs="Arial"/>
              <w:noProof/>
              <w:sz w:val="22"/>
              <w:szCs w:val="22"/>
            </w:rPr>
            <mc:AlternateContent>
              <mc:Choice Requires="wps">
                <w:drawing>
                  <wp:anchor distT="0" distB="0" distL="114300" distR="114300" simplePos="0" relativeHeight="251661312" behindDoc="0" locked="0" layoutInCell="1" allowOverlap="1" wp14:anchorId="7174DAB7" wp14:editId="2AF78954">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BB20879" w14:textId="7EAE65EB" w:rsidR="00121C67" w:rsidRPr="001902E8" w:rsidRDefault="00121C67">
                                    <w:pPr>
                                      <w:pStyle w:val="NoSpacing"/>
                                      <w:spacing w:after="480"/>
                                      <w:rPr>
                                        <w:iCs/>
                                        <w:color w:val="262626" w:themeColor="text1" w:themeTint="D9"/>
                                        <w:sz w:val="32"/>
                                        <w:szCs w:val="32"/>
                                      </w:rPr>
                                    </w:pPr>
                                    <w:r w:rsidRPr="001902E8">
                                      <w:rPr>
                                        <w:iCs/>
                                        <w:color w:val="262626" w:themeColor="text1" w:themeTint="D9"/>
                                        <w:sz w:val="32"/>
                                        <w:szCs w:val="32"/>
                                      </w:rPr>
                                      <w:t>Fawaz Yaslam (2113070)</w:t>
                                    </w:r>
                                  </w:p>
                                </w:sdtContent>
                              </w:sdt>
                              <w:p w14:paraId="47FBB9E9" w14:textId="09625C5E" w:rsidR="00121C67" w:rsidRPr="001902E8" w:rsidRDefault="00C630CE">
                                <w:pPr>
                                  <w:pStyle w:val="NoSpacing"/>
                                  <w:rPr>
                                    <w:b/>
                                    <w:bCs/>
                                    <w:i/>
                                    <w:color w:val="262626" w:themeColor="text1" w:themeTint="D9"/>
                                    <w:sz w:val="26"/>
                                    <w:szCs w:val="26"/>
                                  </w:rPr>
                                </w:pPr>
                                <w:sdt>
                                  <w:sdtPr>
                                    <w:rPr>
                                      <w:rFonts w:ascii="Arial" w:hAnsi="Arial" w:cs="Arial"/>
                                      <w:b/>
                                      <w:bCs/>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1902E8" w:rsidRPr="001902E8">
                                      <w:rPr>
                                        <w:rFonts w:ascii="Arial" w:hAnsi="Arial" w:cs="Arial"/>
                                        <w:b/>
                                        <w:bCs/>
                                      </w:rPr>
                                      <w:t>lecturer: Parese Ahmed</w:t>
                                    </w:r>
                                  </w:sdtContent>
                                </w:sdt>
                                <w:r w:rsidR="00121C67" w:rsidRPr="001902E8">
                                  <w:rPr>
                                    <w:b/>
                                    <w:bCs/>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174DAB7"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BB20879" w14:textId="7EAE65EB" w:rsidR="00121C67" w:rsidRPr="001902E8" w:rsidRDefault="00121C67">
                              <w:pPr>
                                <w:pStyle w:val="NoSpacing"/>
                                <w:spacing w:after="480"/>
                                <w:rPr>
                                  <w:iCs/>
                                  <w:color w:val="262626" w:themeColor="text1" w:themeTint="D9"/>
                                  <w:sz w:val="32"/>
                                  <w:szCs w:val="32"/>
                                </w:rPr>
                              </w:pPr>
                              <w:r w:rsidRPr="001902E8">
                                <w:rPr>
                                  <w:iCs/>
                                  <w:color w:val="262626" w:themeColor="text1" w:themeTint="D9"/>
                                  <w:sz w:val="32"/>
                                  <w:szCs w:val="32"/>
                                </w:rPr>
                                <w:t>Fawaz Yaslam (2113070)</w:t>
                              </w:r>
                            </w:p>
                          </w:sdtContent>
                        </w:sdt>
                        <w:p w14:paraId="47FBB9E9" w14:textId="09625C5E" w:rsidR="00121C67" w:rsidRPr="001902E8" w:rsidRDefault="001902E8">
                          <w:pPr>
                            <w:pStyle w:val="NoSpacing"/>
                            <w:rPr>
                              <w:b/>
                              <w:bCs/>
                              <w:i/>
                              <w:color w:val="262626" w:themeColor="text1" w:themeTint="D9"/>
                              <w:sz w:val="26"/>
                              <w:szCs w:val="26"/>
                            </w:rPr>
                          </w:pPr>
                          <w:sdt>
                            <w:sdtPr>
                              <w:rPr>
                                <w:rFonts w:ascii="Arial" w:hAnsi="Arial" w:cs="Arial"/>
                                <w:b/>
                                <w:bCs/>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Pr="001902E8">
                                <w:rPr>
                                  <w:rFonts w:ascii="Arial" w:hAnsi="Arial" w:cs="Arial"/>
                                  <w:b/>
                                  <w:bCs/>
                                </w:rPr>
                                <w:t>lecturer: Parese Ahmed</w:t>
                              </w:r>
                            </w:sdtContent>
                          </w:sdt>
                          <w:r w:rsidR="00121C67" w:rsidRPr="001902E8">
                            <w:rPr>
                              <w:b/>
                              <w:bCs/>
                              <w:i/>
                              <w:color w:val="262626" w:themeColor="text1" w:themeTint="D9"/>
                              <w:sz w:val="26"/>
                              <w:szCs w:val="26"/>
                            </w:rPr>
                            <w:t xml:space="preserve"> </w:t>
                          </w:r>
                        </w:p>
                      </w:txbxContent>
                    </v:textbox>
                    <w10:wrap anchorx="page" anchory="page"/>
                  </v:shape>
                </w:pict>
              </mc:Fallback>
            </mc:AlternateContent>
          </w:r>
          <w:r w:rsidRPr="001F190A">
            <w:rPr>
              <w:rFonts w:ascii="Arial" w:hAnsi="Arial" w:cs="Arial"/>
              <w:noProof/>
              <w:sz w:val="22"/>
              <w:szCs w:val="22"/>
            </w:rPr>
            <mc:AlternateContent>
              <mc:Choice Requires="wps">
                <w:drawing>
                  <wp:anchor distT="0" distB="0" distL="114300" distR="114300" simplePos="0" relativeHeight="251660288" behindDoc="1" locked="0" layoutInCell="1" allowOverlap="1" wp14:anchorId="755C3640" wp14:editId="6D9A342D">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2436142"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Pr="001F190A">
            <w:rPr>
              <w:rFonts w:ascii="Arial" w:hAnsi="Arial" w:cs="Arial"/>
              <w:noProof/>
              <w:sz w:val="22"/>
              <w:szCs w:val="22"/>
            </w:rPr>
            <mc:AlternateContent>
              <mc:Choice Requires="wps">
                <w:drawing>
                  <wp:anchor distT="0" distB="0" distL="114300" distR="114300" simplePos="0" relativeHeight="251659264" behindDoc="0" locked="0" layoutInCell="1" allowOverlap="1" wp14:anchorId="4FD09729" wp14:editId="1043E0A1">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b/>
                                    <w:sz w:val="28"/>
                                    <w:szCs w:val="28"/>
                                    <w:lang w:eastAsia="en-US"/>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73ACB29" w14:textId="00C1444D" w:rsidR="00121C67" w:rsidRPr="001902E8" w:rsidRDefault="001902E8">
                                    <w:pPr>
                                      <w:pStyle w:val="NoSpacing"/>
                                      <w:spacing w:after="900"/>
                                      <w:rPr>
                                        <w:rFonts w:asciiTheme="majorHAnsi" w:hAnsiTheme="majorHAnsi"/>
                                        <w:i/>
                                        <w:caps/>
                                        <w:color w:val="262626" w:themeColor="text1" w:themeTint="D9"/>
                                        <w:sz w:val="28"/>
                                        <w:szCs w:val="28"/>
                                      </w:rPr>
                                    </w:pPr>
                                    <w:r w:rsidRPr="001902E8">
                                      <w:rPr>
                                        <w:rFonts w:ascii="Arial" w:hAnsi="Arial" w:cs="Arial"/>
                                        <w:b/>
                                        <w:sz w:val="28"/>
                                        <w:szCs w:val="28"/>
                                        <w:lang w:eastAsia="en-US"/>
                                      </w:rPr>
                                      <w:t>Health, Wellbeing and Sustainable Development - BMHP6030</w:t>
                                    </w:r>
                                  </w:p>
                                </w:sdtContent>
                              </w:sdt>
                              <w:p w14:paraId="2590ED3D" w14:textId="49AE076E" w:rsidR="00121C67" w:rsidRDefault="001902E8" w:rsidP="001902E8">
                                <w:pPr>
                                  <w:pStyle w:val="NoSpacing"/>
                                  <w:rPr>
                                    <w:i/>
                                    <w:color w:val="262626" w:themeColor="text1" w:themeTint="D9"/>
                                    <w:sz w:val="36"/>
                                    <w:szCs w:val="36"/>
                                  </w:rPr>
                                </w:pPr>
                                <w:r w:rsidRPr="004123C0">
                                  <w:rPr>
                                    <w:rFonts w:ascii="Arial" w:hAnsi="Arial" w:cs="Arial"/>
                                    <w:b/>
                                    <w:bCs/>
                                  </w:rPr>
                                  <w:t xml:space="preserve">Component </w:t>
                                </w:r>
                                <w:r>
                                  <w:rPr>
                                    <w:rFonts w:ascii="Arial" w:hAnsi="Arial" w:cs="Arial"/>
                                    <w:b/>
                                    <w:bCs/>
                                  </w:rPr>
                                  <w:t>2</w:t>
                                </w:r>
                                <w:r w:rsidRPr="004123C0">
                                  <w:rPr>
                                    <w:rFonts w:ascii="Arial" w:hAnsi="Arial" w:cs="Arial"/>
                                    <w:b/>
                                    <w:bCs/>
                                  </w:rPr>
                                  <w:t xml:space="preserve">: </w:t>
                                </w:r>
                                <w:r>
                                  <w:rPr>
                                    <w:rFonts w:ascii="Arial" w:hAnsi="Arial" w:cs="Arial"/>
                                    <w:b/>
                                    <w:bCs/>
                                  </w:rPr>
                                  <w:t>Written Assignment (Report)</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FD09729"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Arial" w:hAnsi="Arial" w:cs="Arial"/>
                              <w:b/>
                              <w:sz w:val="28"/>
                              <w:szCs w:val="28"/>
                              <w:lang w:eastAsia="en-US"/>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73ACB29" w14:textId="00C1444D" w:rsidR="00121C67" w:rsidRPr="001902E8" w:rsidRDefault="001902E8">
                              <w:pPr>
                                <w:pStyle w:val="NoSpacing"/>
                                <w:spacing w:after="900"/>
                                <w:rPr>
                                  <w:rFonts w:asciiTheme="majorHAnsi" w:hAnsiTheme="majorHAnsi"/>
                                  <w:i/>
                                  <w:caps/>
                                  <w:color w:val="262626" w:themeColor="text1" w:themeTint="D9"/>
                                  <w:sz w:val="28"/>
                                  <w:szCs w:val="28"/>
                                </w:rPr>
                              </w:pPr>
                              <w:r w:rsidRPr="001902E8">
                                <w:rPr>
                                  <w:rFonts w:ascii="Arial" w:hAnsi="Arial" w:cs="Arial"/>
                                  <w:b/>
                                  <w:sz w:val="28"/>
                                  <w:szCs w:val="28"/>
                                  <w:lang w:eastAsia="en-US"/>
                                </w:rPr>
                                <w:t xml:space="preserve">Health, Wellbeing and Sustainable Development </w:t>
                              </w:r>
                              <w:r w:rsidRPr="001902E8">
                                <w:rPr>
                                  <w:rFonts w:ascii="Arial" w:hAnsi="Arial" w:cs="Arial"/>
                                  <w:b/>
                                  <w:sz w:val="28"/>
                                  <w:szCs w:val="28"/>
                                  <w:lang w:eastAsia="en-US"/>
                                </w:rPr>
                                <w:t xml:space="preserve">- </w:t>
                              </w:r>
                              <w:r w:rsidRPr="001902E8">
                                <w:rPr>
                                  <w:rFonts w:ascii="Arial" w:hAnsi="Arial" w:cs="Arial"/>
                                  <w:b/>
                                  <w:sz w:val="28"/>
                                  <w:szCs w:val="28"/>
                                  <w:lang w:eastAsia="en-US"/>
                                </w:rPr>
                                <w:t>BMHP6030</w:t>
                              </w:r>
                            </w:p>
                          </w:sdtContent>
                        </w:sdt>
                        <w:p w14:paraId="2590ED3D" w14:textId="49AE076E" w:rsidR="00121C67" w:rsidRDefault="001902E8" w:rsidP="001902E8">
                          <w:pPr>
                            <w:pStyle w:val="NoSpacing"/>
                            <w:rPr>
                              <w:i/>
                              <w:color w:val="262626" w:themeColor="text1" w:themeTint="D9"/>
                              <w:sz w:val="36"/>
                              <w:szCs w:val="36"/>
                            </w:rPr>
                          </w:pPr>
                          <w:r w:rsidRPr="004123C0">
                            <w:rPr>
                              <w:rFonts w:ascii="Arial" w:hAnsi="Arial" w:cs="Arial"/>
                              <w:b/>
                              <w:bCs/>
                            </w:rPr>
                            <w:t xml:space="preserve">Component </w:t>
                          </w:r>
                          <w:r>
                            <w:rPr>
                              <w:rFonts w:ascii="Arial" w:hAnsi="Arial" w:cs="Arial"/>
                              <w:b/>
                              <w:bCs/>
                            </w:rPr>
                            <w:t>2</w:t>
                          </w:r>
                          <w:r w:rsidRPr="004123C0">
                            <w:rPr>
                              <w:rFonts w:ascii="Arial" w:hAnsi="Arial" w:cs="Arial"/>
                              <w:b/>
                              <w:bCs/>
                            </w:rPr>
                            <w:t xml:space="preserve">: </w:t>
                          </w:r>
                          <w:r>
                            <w:rPr>
                              <w:rFonts w:ascii="Arial" w:hAnsi="Arial" w:cs="Arial"/>
                              <w:b/>
                              <w:bCs/>
                            </w:rPr>
                            <w:t>Written Assignment (Report)</w:t>
                          </w:r>
                        </w:p>
                      </w:txbxContent>
                    </v:textbox>
                    <w10:wrap anchorx="page" anchory="page"/>
                  </v:shape>
                </w:pict>
              </mc:Fallback>
            </mc:AlternateContent>
          </w:r>
        </w:p>
        <w:p w14:paraId="7FE547C9" w14:textId="4CBE924A" w:rsidR="00121C67" w:rsidRPr="001F190A" w:rsidRDefault="00121C67" w:rsidP="001F190A">
          <w:pPr>
            <w:spacing w:line="360" w:lineRule="auto"/>
            <w:rPr>
              <w:rStyle w:val="Strong"/>
              <w:rFonts w:ascii="Arial" w:eastAsiaTheme="majorEastAsia" w:hAnsi="Arial" w:cs="Arial"/>
              <w:b w:val="0"/>
              <w:bCs w:val="0"/>
              <w:color w:val="000000"/>
              <w:sz w:val="22"/>
              <w:szCs w:val="22"/>
            </w:rPr>
          </w:pPr>
          <w:r w:rsidRPr="001F190A">
            <w:rPr>
              <w:rStyle w:val="Strong"/>
              <w:rFonts w:ascii="Arial" w:hAnsi="Arial" w:cs="Arial"/>
              <w:b w:val="0"/>
              <w:bCs w:val="0"/>
              <w:color w:val="000000"/>
              <w:sz w:val="22"/>
              <w:szCs w:val="22"/>
            </w:rPr>
            <w:br w:type="page"/>
          </w:r>
        </w:p>
      </w:sdtContent>
    </w:sdt>
    <w:p w14:paraId="4FA1D481" w14:textId="77777777" w:rsidR="001F190A" w:rsidRPr="00E916E1" w:rsidRDefault="001F190A" w:rsidP="00E916E1">
      <w:pPr>
        <w:pStyle w:val="Heading1"/>
        <w:spacing w:line="360" w:lineRule="auto"/>
        <w:rPr>
          <w:rFonts w:ascii="Arial" w:hAnsi="Arial" w:cs="Arial"/>
          <w:sz w:val="22"/>
          <w:szCs w:val="22"/>
        </w:rPr>
      </w:pPr>
      <w:r w:rsidRPr="00E916E1">
        <w:rPr>
          <w:rStyle w:val="Strong"/>
          <w:rFonts w:ascii="Arial" w:hAnsi="Arial" w:cs="Arial"/>
          <w:b/>
          <w:bCs/>
          <w:color w:val="000000"/>
          <w:sz w:val="22"/>
          <w:szCs w:val="22"/>
        </w:rPr>
        <w:lastRenderedPageBreak/>
        <w:t>Introduction</w:t>
      </w:r>
    </w:p>
    <w:p w14:paraId="0E6232DB" w14:textId="61CC02FE" w:rsidR="001F190A" w:rsidRPr="00E916E1" w:rsidRDefault="005F18D4" w:rsidP="00E916E1">
      <w:pPr>
        <w:pStyle w:val="NormalWeb"/>
        <w:spacing w:line="360" w:lineRule="auto"/>
        <w:rPr>
          <w:rFonts w:ascii="Arial" w:hAnsi="Arial" w:cs="Arial"/>
          <w:color w:val="000000"/>
          <w:sz w:val="22"/>
          <w:szCs w:val="22"/>
        </w:rPr>
      </w:pPr>
      <w:r w:rsidRPr="005F18D4">
        <w:rPr>
          <w:rFonts w:ascii="Arial" w:hAnsi="Arial" w:cs="Arial"/>
          <w:color w:val="000000"/>
          <w:sz w:val="22"/>
          <w:szCs w:val="22"/>
        </w:rPr>
        <w:t>A more equitable, healthier, and more environmentally friendly society is within reach according to the United Nations' Sustainable Development Goals (SDGs). Specifically linked are Sustainable Development Goals 3 (Improving People's Health and Well-Being) and 11 (Creating More Sustainable Cities and Communities).</w:t>
      </w:r>
      <w:r w:rsidR="001F190A" w:rsidRPr="00E916E1">
        <w:rPr>
          <w:rFonts w:ascii="Arial" w:hAnsi="Arial" w:cs="Arial"/>
          <w:color w:val="000000"/>
          <w:sz w:val="22"/>
          <w:szCs w:val="22"/>
        </w:rPr>
        <w:t xml:space="preserve"> Good health relies on access to safe, inclusive, and sustainable urban environments, while sustainable cities depend on healthy populations with equitable access to services and opportunities. Addressing these goals requires</w:t>
      </w:r>
      <w:r w:rsidR="001F190A" w:rsidRPr="00E916E1">
        <w:rPr>
          <w:rStyle w:val="apple-converted-space"/>
          <w:rFonts w:ascii="Arial" w:hAnsi="Arial" w:cs="Arial"/>
          <w:color w:val="000000"/>
          <w:sz w:val="22"/>
          <w:szCs w:val="22"/>
        </w:rPr>
        <w:t> </w:t>
      </w:r>
      <w:r w:rsidR="001F190A" w:rsidRPr="00E916E1">
        <w:rPr>
          <w:rStyle w:val="Strong"/>
          <w:rFonts w:ascii="Arial" w:hAnsi="Arial" w:cs="Arial"/>
          <w:b w:val="0"/>
          <w:bCs w:val="0"/>
          <w:color w:val="000000"/>
          <w:sz w:val="22"/>
          <w:szCs w:val="22"/>
        </w:rPr>
        <w:t>systems thinking</w:t>
      </w:r>
      <w:r w:rsidR="001F190A" w:rsidRPr="00E916E1">
        <w:rPr>
          <w:rStyle w:val="apple-converted-space"/>
          <w:rFonts w:ascii="Arial" w:hAnsi="Arial" w:cs="Arial"/>
          <w:color w:val="000000"/>
          <w:sz w:val="22"/>
          <w:szCs w:val="22"/>
        </w:rPr>
        <w:t> </w:t>
      </w:r>
      <w:r w:rsidR="001F190A" w:rsidRPr="00E916E1">
        <w:rPr>
          <w:rFonts w:ascii="Arial" w:hAnsi="Arial" w:cs="Arial"/>
          <w:color w:val="000000"/>
          <w:sz w:val="22"/>
          <w:szCs w:val="22"/>
        </w:rPr>
        <w:t>and a focus on local realities, moving beyond policy rhetoric to tangible, community-centred outcomes.</w:t>
      </w:r>
    </w:p>
    <w:p w14:paraId="6845B4CD"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This report examines SDG 3 and SDG 11 at the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global, national, and local levels</w:t>
      </w:r>
      <w:r w:rsidRPr="00E916E1">
        <w:rPr>
          <w:rFonts w:ascii="Arial" w:hAnsi="Arial" w:cs="Arial"/>
          <w:b/>
          <w:bCs/>
          <w:color w:val="000000"/>
          <w:sz w:val="22"/>
          <w:szCs w:val="22"/>
        </w:rPr>
        <w:t>,</w:t>
      </w:r>
      <w:r w:rsidRPr="00E916E1">
        <w:rPr>
          <w:rFonts w:ascii="Arial" w:hAnsi="Arial" w:cs="Arial"/>
          <w:color w:val="000000"/>
          <w:sz w:val="22"/>
          <w:szCs w:val="22"/>
        </w:rPr>
        <w:t xml:space="preserve"> highlighting initiatives, campaigns, and practical impacts on communities. The analysis is informed by the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Ecological Model of Health</w:t>
      </w:r>
      <w:r w:rsidRPr="00E916E1">
        <w:rPr>
          <w:rFonts w:ascii="Arial" w:hAnsi="Arial" w:cs="Arial"/>
          <w:b/>
          <w:bCs/>
          <w:color w:val="000000"/>
          <w:sz w:val="22"/>
          <w:szCs w:val="22"/>
        </w:rPr>
        <w:t>,</w:t>
      </w:r>
      <w:r w:rsidRPr="00E916E1">
        <w:rPr>
          <w:rFonts w:ascii="Arial" w:hAnsi="Arial" w:cs="Arial"/>
          <w:color w:val="000000"/>
          <w:sz w:val="22"/>
          <w:szCs w:val="22"/>
        </w:rPr>
        <w:t xml:space="preserve"> which situates wellbeing within the interactions between individual behaviours, social networks, community resources, and environmental conditions, demonstrating that health and urban sustainability are deeply interdependent.</w:t>
      </w:r>
    </w:p>
    <w:p w14:paraId="553613FB" w14:textId="437EF286" w:rsidR="001F190A" w:rsidRDefault="001F190A" w:rsidP="00E916E1">
      <w:pPr>
        <w:spacing w:line="360" w:lineRule="auto"/>
        <w:rPr>
          <w:rFonts w:ascii="Arial" w:hAnsi="Arial" w:cs="Arial"/>
          <w:sz w:val="22"/>
          <w:szCs w:val="22"/>
        </w:rPr>
      </w:pPr>
    </w:p>
    <w:p w14:paraId="782AE075" w14:textId="1FF1EA48" w:rsidR="00636AFF" w:rsidRDefault="00636AFF" w:rsidP="00E916E1">
      <w:pPr>
        <w:spacing w:line="360" w:lineRule="auto"/>
        <w:rPr>
          <w:rFonts w:ascii="Arial" w:hAnsi="Arial" w:cs="Arial"/>
          <w:sz w:val="22"/>
          <w:szCs w:val="22"/>
        </w:rPr>
      </w:pPr>
    </w:p>
    <w:p w14:paraId="1EB596B6" w14:textId="376393B1" w:rsidR="00636AFF" w:rsidRDefault="00636AFF" w:rsidP="00E916E1">
      <w:pPr>
        <w:spacing w:line="360" w:lineRule="auto"/>
        <w:rPr>
          <w:rFonts w:ascii="Arial" w:hAnsi="Arial" w:cs="Arial"/>
          <w:sz w:val="22"/>
          <w:szCs w:val="22"/>
        </w:rPr>
      </w:pPr>
    </w:p>
    <w:p w14:paraId="0225C366" w14:textId="77777777" w:rsidR="00636AFF" w:rsidRPr="00E916E1" w:rsidRDefault="00636AFF" w:rsidP="00E916E1">
      <w:pPr>
        <w:spacing w:line="360" w:lineRule="auto"/>
        <w:rPr>
          <w:rFonts w:ascii="Arial" w:hAnsi="Arial" w:cs="Arial"/>
          <w:sz w:val="22"/>
          <w:szCs w:val="22"/>
        </w:rPr>
      </w:pPr>
    </w:p>
    <w:p w14:paraId="16A97986" w14:textId="54183914" w:rsidR="001F190A" w:rsidRPr="00E916E1" w:rsidRDefault="001F190A" w:rsidP="00E916E1">
      <w:pPr>
        <w:pStyle w:val="Heading1"/>
        <w:spacing w:line="360" w:lineRule="auto"/>
        <w:rPr>
          <w:rFonts w:ascii="Arial" w:hAnsi="Arial" w:cs="Arial"/>
          <w:color w:val="000000"/>
          <w:sz w:val="22"/>
          <w:szCs w:val="22"/>
        </w:rPr>
      </w:pPr>
      <w:r w:rsidRPr="00E916E1">
        <w:rPr>
          <w:rStyle w:val="Strong"/>
          <w:rFonts w:ascii="Arial" w:hAnsi="Arial" w:cs="Arial"/>
          <w:b/>
          <w:bCs/>
          <w:color w:val="000000"/>
          <w:sz w:val="22"/>
          <w:szCs w:val="22"/>
        </w:rPr>
        <w:t>SDG 3</w:t>
      </w:r>
      <w:r w:rsidR="001902E8" w:rsidRPr="00E916E1">
        <w:rPr>
          <w:rStyle w:val="Strong"/>
          <w:rFonts w:ascii="Arial" w:hAnsi="Arial" w:cs="Arial"/>
          <w:b/>
          <w:bCs/>
          <w:color w:val="000000"/>
          <w:sz w:val="22"/>
          <w:szCs w:val="22"/>
        </w:rPr>
        <w:t xml:space="preserve">: </w:t>
      </w:r>
      <w:r w:rsidRPr="00E916E1">
        <w:rPr>
          <w:rStyle w:val="Strong"/>
          <w:rFonts w:ascii="Arial" w:hAnsi="Arial" w:cs="Arial"/>
          <w:b/>
          <w:bCs/>
          <w:color w:val="000000"/>
          <w:sz w:val="22"/>
          <w:szCs w:val="22"/>
        </w:rPr>
        <w:t>Good Health and Wellbeing</w:t>
      </w:r>
    </w:p>
    <w:p w14:paraId="06A59B76" w14:textId="1E7DAE35" w:rsidR="001F190A" w:rsidRDefault="008331CA" w:rsidP="00E916E1">
      <w:pPr>
        <w:pStyle w:val="NormalWeb"/>
        <w:spacing w:line="360" w:lineRule="auto"/>
        <w:rPr>
          <w:rFonts w:ascii="Arial" w:hAnsi="Arial" w:cs="Arial"/>
          <w:color w:val="000000"/>
          <w:sz w:val="22"/>
          <w:szCs w:val="22"/>
        </w:rPr>
      </w:pPr>
      <w:r w:rsidRPr="008331CA">
        <w:rPr>
          <w:rFonts w:ascii="Arial" w:hAnsi="Arial" w:cs="Arial"/>
          <w:color w:val="000000"/>
          <w:sz w:val="22"/>
          <w:szCs w:val="22"/>
        </w:rPr>
        <w:t xml:space="preserve">Goal 3 of the Sustainable Development Agenda is to "ensure healthy lives and promote wellbeing for all at all ages" (UN, 2015). </w:t>
      </w:r>
      <w:r w:rsidR="001F190A" w:rsidRPr="00E916E1">
        <w:rPr>
          <w:rFonts w:ascii="Arial" w:hAnsi="Arial" w:cs="Arial"/>
          <w:color w:val="000000"/>
          <w:sz w:val="22"/>
          <w:szCs w:val="22"/>
        </w:rPr>
        <w:t>Its scope encompasses</w:t>
      </w:r>
      <w:r w:rsidR="001F190A" w:rsidRPr="00E916E1">
        <w:rPr>
          <w:rStyle w:val="apple-converted-space"/>
          <w:rFonts w:ascii="Arial" w:hAnsi="Arial" w:cs="Arial"/>
          <w:color w:val="000000"/>
          <w:sz w:val="22"/>
          <w:szCs w:val="22"/>
        </w:rPr>
        <w:t> </w:t>
      </w:r>
      <w:r w:rsidR="001F190A" w:rsidRPr="00E916E1">
        <w:rPr>
          <w:rStyle w:val="Strong"/>
          <w:rFonts w:ascii="Arial" w:hAnsi="Arial" w:cs="Arial"/>
          <w:b w:val="0"/>
          <w:bCs w:val="0"/>
          <w:color w:val="000000"/>
          <w:sz w:val="22"/>
          <w:szCs w:val="22"/>
        </w:rPr>
        <w:t>physical and mental health, prevention of communicable and non-communicable diseases, universal health coverage (UHC), and holistic wellbeing</w:t>
      </w:r>
      <w:r w:rsidR="001F190A" w:rsidRPr="00E916E1">
        <w:rPr>
          <w:rFonts w:ascii="Arial" w:hAnsi="Arial" w:cs="Arial"/>
          <w:color w:val="000000"/>
          <w:sz w:val="22"/>
          <w:szCs w:val="22"/>
        </w:rPr>
        <w:t>. Crucially, health outcomes are influenced not only by healthcare access but also by</w:t>
      </w:r>
      <w:r w:rsidR="001F190A" w:rsidRPr="00E916E1">
        <w:rPr>
          <w:rStyle w:val="apple-converted-space"/>
          <w:rFonts w:ascii="Arial" w:hAnsi="Arial" w:cs="Arial"/>
          <w:color w:val="000000"/>
          <w:sz w:val="22"/>
          <w:szCs w:val="22"/>
        </w:rPr>
        <w:t> </w:t>
      </w:r>
      <w:r w:rsidR="001F190A" w:rsidRPr="00E916E1">
        <w:rPr>
          <w:rStyle w:val="Strong"/>
          <w:rFonts w:ascii="Arial" w:hAnsi="Arial" w:cs="Arial"/>
          <w:b w:val="0"/>
          <w:bCs w:val="0"/>
          <w:color w:val="000000"/>
          <w:sz w:val="22"/>
          <w:szCs w:val="22"/>
        </w:rPr>
        <w:t>social determinants</w:t>
      </w:r>
      <w:r w:rsidR="001F190A" w:rsidRPr="00E916E1">
        <w:rPr>
          <w:rFonts w:ascii="Arial" w:hAnsi="Arial" w:cs="Arial"/>
          <w:color w:val="000000"/>
          <w:sz w:val="22"/>
          <w:szCs w:val="22"/>
        </w:rPr>
        <w:t>, including income, education, employment, housing, and social cohesion, as well as</w:t>
      </w:r>
      <w:r w:rsidR="001F190A" w:rsidRPr="00E916E1">
        <w:rPr>
          <w:rStyle w:val="apple-converted-space"/>
          <w:rFonts w:ascii="Arial" w:hAnsi="Arial" w:cs="Arial"/>
          <w:color w:val="000000"/>
          <w:sz w:val="22"/>
          <w:szCs w:val="22"/>
        </w:rPr>
        <w:t> </w:t>
      </w:r>
      <w:r w:rsidR="001F190A" w:rsidRPr="00E916E1">
        <w:rPr>
          <w:rStyle w:val="Strong"/>
          <w:rFonts w:ascii="Arial" w:hAnsi="Arial" w:cs="Arial"/>
          <w:b w:val="0"/>
          <w:bCs w:val="0"/>
          <w:color w:val="000000"/>
          <w:sz w:val="22"/>
          <w:szCs w:val="22"/>
        </w:rPr>
        <w:t>environmental conditions</w:t>
      </w:r>
      <w:r w:rsidR="001F190A" w:rsidRPr="00E916E1">
        <w:rPr>
          <w:rStyle w:val="apple-converted-space"/>
          <w:rFonts w:ascii="Arial" w:hAnsi="Arial" w:cs="Arial"/>
          <w:color w:val="000000"/>
          <w:sz w:val="22"/>
          <w:szCs w:val="22"/>
        </w:rPr>
        <w:t> </w:t>
      </w:r>
      <w:r w:rsidR="001F190A" w:rsidRPr="00E916E1">
        <w:rPr>
          <w:rFonts w:ascii="Arial" w:hAnsi="Arial" w:cs="Arial"/>
          <w:color w:val="000000"/>
          <w:sz w:val="22"/>
          <w:szCs w:val="22"/>
        </w:rPr>
        <w:t>such as air quality and access to green spaces (McMichael, 2020). This goal highlights that achieving good health requires</w:t>
      </w:r>
      <w:r w:rsidR="001F190A" w:rsidRPr="00E916E1">
        <w:rPr>
          <w:rStyle w:val="apple-converted-space"/>
          <w:rFonts w:ascii="Arial" w:hAnsi="Arial" w:cs="Arial"/>
          <w:color w:val="000000"/>
          <w:sz w:val="22"/>
          <w:szCs w:val="22"/>
        </w:rPr>
        <w:t> </w:t>
      </w:r>
      <w:r w:rsidR="001F190A" w:rsidRPr="00E916E1">
        <w:rPr>
          <w:rStyle w:val="Strong"/>
          <w:rFonts w:ascii="Arial" w:hAnsi="Arial" w:cs="Arial"/>
          <w:b w:val="0"/>
          <w:bCs w:val="0"/>
          <w:color w:val="000000"/>
          <w:sz w:val="22"/>
          <w:szCs w:val="22"/>
        </w:rPr>
        <w:t>cross-sector collaboration</w:t>
      </w:r>
      <w:r w:rsidR="001F190A" w:rsidRPr="00E916E1">
        <w:rPr>
          <w:rFonts w:ascii="Arial" w:hAnsi="Arial" w:cs="Arial"/>
          <w:color w:val="000000"/>
          <w:sz w:val="22"/>
          <w:szCs w:val="22"/>
        </w:rPr>
        <w:t>, linking healthcare with housing, education, transport, and environmental policies.</w:t>
      </w:r>
    </w:p>
    <w:p w14:paraId="5690F541" w14:textId="121D9BD4" w:rsidR="00636AFF" w:rsidRDefault="00636AFF" w:rsidP="00E916E1">
      <w:pPr>
        <w:pStyle w:val="NormalWeb"/>
        <w:spacing w:line="360" w:lineRule="auto"/>
        <w:rPr>
          <w:rFonts w:ascii="Arial" w:hAnsi="Arial" w:cs="Arial"/>
          <w:color w:val="000000"/>
          <w:sz w:val="22"/>
          <w:szCs w:val="22"/>
        </w:rPr>
      </w:pPr>
    </w:p>
    <w:p w14:paraId="14EFC5FF" w14:textId="4D8B8108" w:rsidR="00636AFF" w:rsidRDefault="00636AFF" w:rsidP="00E916E1">
      <w:pPr>
        <w:pStyle w:val="NormalWeb"/>
        <w:spacing w:line="360" w:lineRule="auto"/>
        <w:rPr>
          <w:rFonts w:ascii="Arial" w:hAnsi="Arial" w:cs="Arial"/>
          <w:color w:val="000000"/>
          <w:sz w:val="22"/>
          <w:szCs w:val="22"/>
        </w:rPr>
      </w:pPr>
    </w:p>
    <w:p w14:paraId="1A49BC23" w14:textId="5AB4F852" w:rsidR="001F190A" w:rsidRPr="00E916E1" w:rsidRDefault="001F190A" w:rsidP="00E916E1">
      <w:pPr>
        <w:spacing w:line="360" w:lineRule="auto"/>
        <w:rPr>
          <w:rFonts w:ascii="Arial" w:hAnsi="Arial" w:cs="Arial"/>
          <w:sz w:val="22"/>
          <w:szCs w:val="22"/>
        </w:rPr>
      </w:pPr>
    </w:p>
    <w:p w14:paraId="72D51078" w14:textId="77777777" w:rsidR="008449EE" w:rsidRDefault="008449EE" w:rsidP="00E916E1">
      <w:pPr>
        <w:pStyle w:val="NormalWeb"/>
        <w:spacing w:line="360" w:lineRule="auto"/>
        <w:rPr>
          <w:rStyle w:val="Strong"/>
          <w:rFonts w:ascii="Arial" w:eastAsiaTheme="majorEastAsia" w:hAnsi="Arial" w:cs="Arial"/>
          <w:color w:val="000000"/>
          <w:sz w:val="22"/>
          <w:szCs w:val="22"/>
        </w:rPr>
      </w:pPr>
      <w:r w:rsidRPr="008449EE">
        <w:rPr>
          <w:rStyle w:val="Strong"/>
          <w:rFonts w:ascii="Arial" w:eastAsiaTheme="majorEastAsia" w:hAnsi="Arial" w:cs="Arial"/>
          <w:color w:val="000000"/>
          <w:sz w:val="22"/>
          <w:szCs w:val="22"/>
        </w:rPr>
        <w:lastRenderedPageBreak/>
        <w:t>Policy and Initiative on a Global Scale</w:t>
      </w:r>
    </w:p>
    <w:p w14:paraId="71E25338" w14:textId="2790668E" w:rsidR="001F190A" w:rsidRPr="00E916E1" w:rsidRDefault="008449EE" w:rsidP="00E916E1">
      <w:pPr>
        <w:pStyle w:val="NormalWeb"/>
        <w:spacing w:line="360" w:lineRule="auto"/>
        <w:rPr>
          <w:rFonts w:ascii="Arial" w:hAnsi="Arial" w:cs="Arial"/>
          <w:color w:val="000000"/>
          <w:sz w:val="22"/>
          <w:szCs w:val="22"/>
        </w:rPr>
      </w:pPr>
      <w:r w:rsidRPr="008449EE">
        <w:rPr>
          <w:rFonts w:ascii="Arial" w:hAnsi="Arial" w:cs="Arial"/>
          <w:color w:val="000000"/>
          <w:sz w:val="22"/>
          <w:szCs w:val="22"/>
        </w:rPr>
        <w:t>The World Health Organization's Global Action Plan for Healthy Lives and Wellbeing for All (2018) is one global framework that guides SDG 3, and it coordinates twelve multilateral bodies to speed up universal health coverage and promote equity</w:t>
      </w:r>
      <w:r w:rsidR="001F190A" w:rsidRPr="00E916E1">
        <w:rPr>
          <w:rFonts w:ascii="Arial" w:hAnsi="Arial" w:cs="Arial"/>
          <w:color w:val="000000"/>
          <w:sz w:val="22"/>
          <w:szCs w:val="22"/>
        </w:rPr>
        <w:t>. The</w:t>
      </w:r>
      <w:r w:rsidR="001F190A" w:rsidRPr="00E916E1">
        <w:rPr>
          <w:rStyle w:val="apple-converted-space"/>
          <w:rFonts w:ascii="Arial" w:hAnsi="Arial" w:cs="Arial"/>
          <w:color w:val="000000"/>
          <w:sz w:val="22"/>
          <w:szCs w:val="22"/>
        </w:rPr>
        <w:t> </w:t>
      </w:r>
      <w:r w:rsidR="001F190A" w:rsidRPr="00E916E1">
        <w:rPr>
          <w:rStyle w:val="Strong"/>
          <w:rFonts w:ascii="Arial" w:hAnsi="Arial" w:cs="Arial"/>
          <w:b w:val="0"/>
          <w:bCs w:val="0"/>
          <w:color w:val="000000"/>
          <w:sz w:val="22"/>
          <w:szCs w:val="22"/>
        </w:rPr>
        <w:t>WHO Global Strategy on Health, Environment and Climate Change (2021)</w:t>
      </w:r>
      <w:r w:rsidR="001F190A" w:rsidRPr="00E916E1">
        <w:rPr>
          <w:rStyle w:val="apple-converted-space"/>
          <w:rFonts w:ascii="Arial" w:hAnsi="Arial" w:cs="Arial"/>
          <w:color w:val="000000"/>
          <w:sz w:val="22"/>
          <w:szCs w:val="22"/>
        </w:rPr>
        <w:t> </w:t>
      </w:r>
      <w:r w:rsidR="001F190A" w:rsidRPr="00E916E1">
        <w:rPr>
          <w:rFonts w:ascii="Arial" w:hAnsi="Arial" w:cs="Arial"/>
          <w:color w:val="000000"/>
          <w:sz w:val="22"/>
          <w:szCs w:val="22"/>
        </w:rPr>
        <w:t>emphasises the intersection between health protection and climate resilience, recognising that environmental degradation can amplify health risks. The</w:t>
      </w:r>
      <w:r w:rsidR="001F190A" w:rsidRPr="00E916E1">
        <w:rPr>
          <w:rStyle w:val="apple-converted-space"/>
          <w:rFonts w:ascii="Arial" w:hAnsi="Arial" w:cs="Arial"/>
          <w:color w:val="000000"/>
          <w:sz w:val="22"/>
          <w:szCs w:val="22"/>
        </w:rPr>
        <w:t> </w:t>
      </w:r>
      <w:r w:rsidR="001F190A" w:rsidRPr="00E916E1">
        <w:rPr>
          <w:rStyle w:val="Strong"/>
          <w:rFonts w:ascii="Arial" w:hAnsi="Arial" w:cs="Arial"/>
          <w:b w:val="0"/>
          <w:bCs w:val="0"/>
          <w:color w:val="000000"/>
          <w:sz w:val="22"/>
          <w:szCs w:val="22"/>
        </w:rPr>
        <w:t>UNDP SDG 3 Progress Report (2022)</w:t>
      </w:r>
      <w:r w:rsidR="001F190A" w:rsidRPr="00E916E1">
        <w:rPr>
          <w:rStyle w:val="apple-converted-space"/>
          <w:rFonts w:ascii="Arial" w:hAnsi="Arial" w:cs="Arial"/>
          <w:color w:val="000000"/>
          <w:sz w:val="22"/>
          <w:szCs w:val="22"/>
        </w:rPr>
        <w:t> </w:t>
      </w:r>
      <w:r w:rsidR="001F190A" w:rsidRPr="00E916E1">
        <w:rPr>
          <w:rFonts w:ascii="Arial" w:hAnsi="Arial" w:cs="Arial"/>
          <w:color w:val="000000"/>
          <w:sz w:val="22"/>
          <w:szCs w:val="22"/>
        </w:rPr>
        <w:t>highlights the importance of preventive health systems, pandemic preparedness, and equitable financing to reduce disparities between populations.</w:t>
      </w:r>
    </w:p>
    <w:p w14:paraId="129F8F85"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Despite these efforts, global progress has been uneven. Life expectancy continues to rise, yet</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disparities between high- and low-income countries remain significant</w:t>
      </w:r>
      <w:r w:rsidRPr="00E916E1">
        <w:rPr>
          <w:rFonts w:ascii="Arial" w:hAnsi="Arial" w:cs="Arial"/>
          <w:color w:val="000000"/>
          <w:sz w:val="22"/>
          <w:szCs w:val="22"/>
        </w:rPr>
        <w:t>, exacerbated by COVID-19 and climate-related crises (WHO, 2024). Fragmented governance, inconsistent funding, and weak accountability mechanisms further limit the global impact of SDG 3 initiatives, leaving vulnerable populations disproportionately exposed to health risks.</w:t>
      </w:r>
    </w:p>
    <w:p w14:paraId="0E51A4AE" w14:textId="6BA73AE0" w:rsidR="001F190A" w:rsidRPr="00E916E1" w:rsidRDefault="001F190A" w:rsidP="00E916E1">
      <w:pPr>
        <w:spacing w:line="360" w:lineRule="auto"/>
        <w:rPr>
          <w:rFonts w:ascii="Arial" w:hAnsi="Arial" w:cs="Arial"/>
          <w:sz w:val="22"/>
          <w:szCs w:val="22"/>
        </w:rPr>
      </w:pPr>
    </w:p>
    <w:p w14:paraId="6D276600" w14:textId="77777777" w:rsidR="001F190A" w:rsidRPr="00E916E1" w:rsidRDefault="001F190A" w:rsidP="00E916E1">
      <w:pPr>
        <w:pStyle w:val="Heading2"/>
        <w:spacing w:line="360" w:lineRule="auto"/>
        <w:rPr>
          <w:rFonts w:ascii="Arial" w:hAnsi="Arial" w:cs="Arial"/>
          <w:color w:val="000000"/>
          <w:sz w:val="22"/>
          <w:szCs w:val="22"/>
        </w:rPr>
      </w:pPr>
      <w:r w:rsidRPr="00E916E1">
        <w:rPr>
          <w:rStyle w:val="Strong"/>
          <w:rFonts w:ascii="Arial" w:hAnsi="Arial" w:cs="Arial"/>
          <w:color w:val="000000"/>
          <w:sz w:val="22"/>
          <w:szCs w:val="22"/>
        </w:rPr>
        <w:t>National and Local Policies in the UK</w:t>
      </w:r>
    </w:p>
    <w:p w14:paraId="1B80F015" w14:textId="098AA275"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In the UK, SDG 3 is supported through national strategies such as the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NHS Long Term Plan (2021)</w:t>
      </w:r>
      <w:r w:rsidRPr="00E916E1">
        <w:rPr>
          <w:rFonts w:ascii="Arial" w:hAnsi="Arial" w:cs="Arial"/>
          <w:b/>
          <w:bCs/>
          <w:color w:val="000000"/>
          <w:sz w:val="22"/>
          <w:szCs w:val="22"/>
        </w:rPr>
        <w:t>,</w:t>
      </w:r>
      <w:r w:rsidRPr="00E916E1">
        <w:rPr>
          <w:rFonts w:ascii="Arial" w:hAnsi="Arial" w:cs="Arial"/>
          <w:color w:val="000000"/>
          <w:sz w:val="22"/>
          <w:szCs w:val="22"/>
        </w:rPr>
        <w:t xml:space="preserve"> which prioritises prevention, integrated care, and digital health transformation. The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Health and Wellbeing Framework (DHSC, 2023)</w:t>
      </w:r>
      <w:r w:rsidRPr="00E916E1">
        <w:rPr>
          <w:rStyle w:val="Strong"/>
          <w:rFonts w:ascii="Arial" w:hAnsi="Arial" w:cs="Arial"/>
          <w:color w:val="000000"/>
          <w:sz w:val="22"/>
          <w:szCs w:val="22"/>
        </w:rPr>
        <w:t xml:space="preserve"> </w:t>
      </w:r>
      <w:r w:rsidRPr="00E916E1">
        <w:rPr>
          <w:rFonts w:ascii="Arial" w:hAnsi="Arial" w:cs="Arial"/>
          <w:color w:val="000000"/>
          <w:sz w:val="22"/>
          <w:szCs w:val="22"/>
        </w:rPr>
        <w:t>encourages place-based partnerships linking health outcomes to housing, education, and employment.</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Core20PLUS5 (NHS England, 2022)</w:t>
      </w:r>
      <w:r w:rsidRPr="00E916E1">
        <w:rPr>
          <w:rStyle w:val="apple-converted-space"/>
          <w:rFonts w:ascii="Arial" w:hAnsi="Arial" w:cs="Arial"/>
          <w:color w:val="000000"/>
          <w:sz w:val="22"/>
          <w:szCs w:val="22"/>
        </w:rPr>
        <w:t> </w:t>
      </w:r>
      <w:r w:rsidRPr="00E916E1">
        <w:rPr>
          <w:rFonts w:ascii="Arial" w:hAnsi="Arial" w:cs="Arial"/>
          <w:color w:val="000000"/>
          <w:sz w:val="22"/>
          <w:szCs w:val="22"/>
        </w:rPr>
        <w:t>operationalises equity by targeting the most deprived 20% of populations across five clinical priorities, embedding the principle of</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proportionate universalism</w:t>
      </w:r>
      <w:r w:rsidRPr="00E916E1">
        <w:rPr>
          <w:rFonts w:ascii="Arial" w:hAnsi="Arial" w:cs="Arial"/>
          <w:b/>
          <w:bCs/>
          <w:color w:val="000000"/>
          <w:sz w:val="22"/>
          <w:szCs w:val="22"/>
        </w:rPr>
        <w:t>,</w:t>
      </w:r>
      <w:r w:rsidRPr="00E916E1">
        <w:rPr>
          <w:rFonts w:ascii="Arial" w:hAnsi="Arial" w:cs="Arial"/>
          <w:color w:val="000000"/>
          <w:sz w:val="22"/>
          <w:szCs w:val="22"/>
        </w:rPr>
        <w:t xml:space="preserve"> ensuring that interventions are universal but scaled to need (Marmot et al., 2020).</w:t>
      </w:r>
    </w:p>
    <w:p w14:paraId="3C8726A0" w14:textId="068B7242" w:rsidR="001F190A" w:rsidRPr="00E916E1" w:rsidRDefault="001F190A" w:rsidP="00E916E1">
      <w:pPr>
        <w:pStyle w:val="Heading3"/>
        <w:spacing w:line="360" w:lineRule="auto"/>
        <w:rPr>
          <w:rFonts w:ascii="Arial" w:hAnsi="Arial" w:cs="Arial"/>
          <w:color w:val="000000"/>
          <w:sz w:val="22"/>
          <w:szCs w:val="22"/>
        </w:rPr>
      </w:pPr>
      <w:r w:rsidRPr="00E916E1">
        <w:rPr>
          <w:rStyle w:val="Strong"/>
          <w:rFonts w:ascii="Arial" w:hAnsi="Arial" w:cs="Arial"/>
          <w:color w:val="000000"/>
          <w:sz w:val="22"/>
          <w:szCs w:val="22"/>
        </w:rPr>
        <w:t xml:space="preserve">Local Example </w:t>
      </w:r>
    </w:p>
    <w:p w14:paraId="18179AFF" w14:textId="7DC5C836" w:rsidR="001F190A" w:rsidRPr="00636AFF" w:rsidRDefault="001F190A" w:rsidP="00636AFF">
      <w:pPr>
        <w:pStyle w:val="NormalWeb"/>
        <w:spacing w:line="360" w:lineRule="auto"/>
        <w:rPr>
          <w:rFonts w:ascii="Arial" w:hAnsi="Arial" w:cs="Arial"/>
          <w:color w:val="000000"/>
          <w:sz w:val="22"/>
          <w:szCs w:val="22"/>
        </w:rPr>
      </w:pPr>
      <w:r w:rsidRPr="00E916E1">
        <w:rPr>
          <w:rFonts w:ascii="Arial" w:hAnsi="Arial" w:cs="Arial"/>
          <w:color w:val="000000"/>
          <w:sz w:val="22"/>
          <w:szCs w:val="22"/>
        </w:rPr>
        <w:t>At the local level, the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Greater Manchester Healthy Minds Programme</w:t>
      </w:r>
      <w:r w:rsidRPr="00E916E1">
        <w:rPr>
          <w:rStyle w:val="apple-converted-space"/>
          <w:rFonts w:ascii="Arial" w:hAnsi="Arial" w:cs="Arial"/>
          <w:color w:val="000000"/>
          <w:sz w:val="22"/>
          <w:szCs w:val="22"/>
        </w:rPr>
        <w:t> </w:t>
      </w:r>
      <w:r w:rsidRPr="00E916E1">
        <w:rPr>
          <w:rFonts w:ascii="Arial" w:hAnsi="Arial" w:cs="Arial"/>
          <w:color w:val="000000"/>
          <w:sz w:val="22"/>
          <w:szCs w:val="22"/>
        </w:rPr>
        <w:t>exemplifies how national strategies translate into tangible community impact. This campaign offers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counselling, peer support groups, digital wellbeing tools, and community workshops</w:t>
      </w:r>
      <w:r w:rsidRPr="00E916E1">
        <w:rPr>
          <w:rStyle w:val="apple-converted-space"/>
          <w:rFonts w:ascii="Arial" w:hAnsi="Arial" w:cs="Arial"/>
          <w:color w:val="000000"/>
          <w:sz w:val="22"/>
          <w:szCs w:val="22"/>
        </w:rPr>
        <w:t> </w:t>
      </w:r>
      <w:r w:rsidRPr="00E916E1">
        <w:rPr>
          <w:rFonts w:ascii="Arial" w:hAnsi="Arial" w:cs="Arial"/>
          <w:color w:val="000000"/>
          <w:sz w:val="22"/>
          <w:szCs w:val="22"/>
        </w:rPr>
        <w:t>for young people aged 16–25 across Greater Manchester. By 2023, the programme had reached over</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5,000 young people</w:t>
      </w:r>
      <w:r w:rsidRPr="00E916E1">
        <w:rPr>
          <w:rFonts w:ascii="Arial" w:hAnsi="Arial" w:cs="Arial"/>
          <w:color w:val="000000"/>
          <w:sz w:val="22"/>
          <w:szCs w:val="22"/>
        </w:rPr>
        <w:t>, resulting in a</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20% increase in help-seeking behaviour</w:t>
      </w:r>
      <w:r w:rsidRPr="00E916E1">
        <w:rPr>
          <w:rStyle w:val="apple-converted-space"/>
          <w:rFonts w:ascii="Arial" w:hAnsi="Arial" w:cs="Arial"/>
          <w:b/>
          <w:bCs/>
          <w:color w:val="000000"/>
          <w:sz w:val="22"/>
          <w:szCs w:val="22"/>
        </w:rPr>
        <w:t> </w:t>
      </w:r>
      <w:r w:rsidRPr="00E916E1">
        <w:rPr>
          <w:rFonts w:ascii="Arial" w:hAnsi="Arial" w:cs="Arial"/>
          <w:color w:val="000000"/>
          <w:sz w:val="22"/>
          <w:szCs w:val="22"/>
        </w:rPr>
        <w:t>and measurable reductions in anxiety and depression (GMCA, 2023). Residents report feeling</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more supported and connected</w:t>
      </w:r>
      <w:r w:rsidRPr="00E916E1">
        <w:rPr>
          <w:rFonts w:ascii="Arial" w:hAnsi="Arial" w:cs="Arial"/>
          <w:color w:val="000000"/>
          <w:sz w:val="22"/>
          <w:szCs w:val="22"/>
        </w:rPr>
        <w:t>, highlighting the importance of local initiatives in complementing national health strategies.</w:t>
      </w:r>
    </w:p>
    <w:p w14:paraId="5CA1F104" w14:textId="60B3F7D1" w:rsidR="001F190A" w:rsidRPr="00E916E1" w:rsidRDefault="001F190A" w:rsidP="00E916E1">
      <w:pPr>
        <w:pStyle w:val="Heading2"/>
        <w:spacing w:line="360" w:lineRule="auto"/>
        <w:rPr>
          <w:rFonts w:ascii="Arial" w:hAnsi="Arial" w:cs="Arial"/>
          <w:color w:val="000000"/>
          <w:sz w:val="22"/>
          <w:szCs w:val="22"/>
        </w:rPr>
      </w:pPr>
      <w:r w:rsidRPr="00E916E1">
        <w:rPr>
          <w:rStyle w:val="Strong"/>
          <w:rFonts w:ascii="Arial" w:hAnsi="Arial" w:cs="Arial"/>
          <w:color w:val="000000"/>
          <w:sz w:val="22"/>
          <w:szCs w:val="22"/>
        </w:rPr>
        <w:lastRenderedPageBreak/>
        <w:t>Theoretical Perspective</w:t>
      </w:r>
    </w:p>
    <w:p w14:paraId="4BA81220" w14:textId="5EABF518"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The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Ecological Model of Health</w:t>
      </w:r>
      <w:r w:rsidRPr="00E916E1">
        <w:rPr>
          <w:rStyle w:val="apple-converted-space"/>
          <w:rFonts w:ascii="Arial" w:hAnsi="Arial" w:cs="Arial"/>
          <w:color w:val="000000"/>
          <w:sz w:val="22"/>
          <w:szCs w:val="22"/>
        </w:rPr>
        <w:t> </w:t>
      </w:r>
      <w:r w:rsidRPr="00E916E1">
        <w:rPr>
          <w:rFonts w:ascii="Arial" w:hAnsi="Arial" w:cs="Arial"/>
          <w:color w:val="000000"/>
          <w:sz w:val="22"/>
          <w:szCs w:val="22"/>
        </w:rPr>
        <w:t>provides a lens for understanding the multiple influences on wellbeing. It emphasises that health outcomes emerge from</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interacting layers</w:t>
      </w:r>
      <w:r w:rsidRPr="00E916E1">
        <w:rPr>
          <w:rFonts w:ascii="Arial" w:hAnsi="Arial" w:cs="Arial"/>
          <w:color w:val="000000"/>
          <w:sz w:val="22"/>
          <w:szCs w:val="22"/>
        </w:rPr>
        <w:t>, including individual behaviours, social networks, community resources, and environmental conditions. For instance, a young person’s mental health improves when</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school-based wellbeing</w:t>
      </w:r>
      <w:r w:rsidRPr="00E916E1">
        <w:rPr>
          <w:rStyle w:val="Strong"/>
          <w:rFonts w:ascii="Arial" w:hAnsi="Arial" w:cs="Arial"/>
          <w:color w:val="000000"/>
          <w:sz w:val="22"/>
          <w:szCs w:val="22"/>
        </w:rPr>
        <w:t xml:space="preserve"> </w:t>
      </w:r>
      <w:r w:rsidRPr="00E916E1">
        <w:rPr>
          <w:rStyle w:val="Strong"/>
          <w:rFonts w:ascii="Arial" w:hAnsi="Arial" w:cs="Arial"/>
          <w:b w:val="0"/>
          <w:bCs w:val="0"/>
          <w:color w:val="000000"/>
          <w:sz w:val="22"/>
          <w:szCs w:val="22"/>
        </w:rPr>
        <w:t>programmes, accessible counselling, safe parks, and supportive community networks</w:t>
      </w:r>
      <w:r w:rsidRPr="00E916E1">
        <w:rPr>
          <w:rStyle w:val="apple-converted-space"/>
          <w:rFonts w:ascii="Arial" w:hAnsi="Arial" w:cs="Arial"/>
          <w:color w:val="000000"/>
          <w:sz w:val="22"/>
          <w:szCs w:val="22"/>
        </w:rPr>
        <w:t> </w:t>
      </w:r>
      <w:r w:rsidRPr="00E916E1">
        <w:rPr>
          <w:rFonts w:ascii="Arial" w:hAnsi="Arial" w:cs="Arial"/>
          <w:color w:val="000000"/>
          <w:sz w:val="22"/>
          <w:szCs w:val="22"/>
        </w:rPr>
        <w:t>work in concert, illustrating the necessity of multi-level interventions. This approach reinforces the idea that</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health cannot be isolated from social and environmental contexts</w:t>
      </w:r>
      <w:r w:rsidRPr="00E916E1">
        <w:rPr>
          <w:rFonts w:ascii="Arial" w:hAnsi="Arial" w:cs="Arial"/>
          <w:color w:val="000000"/>
          <w:sz w:val="22"/>
          <w:szCs w:val="22"/>
        </w:rPr>
        <w:t xml:space="preserve">, aligning closely with SDG 11’s focus on sustainable, </w:t>
      </w:r>
      <w:r w:rsidR="001902E8" w:rsidRPr="00E916E1">
        <w:rPr>
          <w:rFonts w:ascii="Arial" w:hAnsi="Arial" w:cs="Arial"/>
          <w:color w:val="000000"/>
          <w:sz w:val="22"/>
          <w:szCs w:val="22"/>
        </w:rPr>
        <w:t xml:space="preserve">liveable </w:t>
      </w:r>
      <w:r w:rsidRPr="00E916E1">
        <w:rPr>
          <w:rFonts w:ascii="Arial" w:hAnsi="Arial" w:cs="Arial"/>
          <w:color w:val="000000"/>
          <w:sz w:val="22"/>
          <w:szCs w:val="22"/>
        </w:rPr>
        <w:t>cities.</w:t>
      </w:r>
    </w:p>
    <w:p w14:paraId="09CC3024" w14:textId="27BF0BB8" w:rsidR="001F190A" w:rsidRPr="00E916E1" w:rsidRDefault="001F190A" w:rsidP="00E916E1">
      <w:pPr>
        <w:spacing w:line="360" w:lineRule="auto"/>
        <w:rPr>
          <w:rFonts w:ascii="Arial" w:hAnsi="Arial" w:cs="Arial"/>
          <w:sz w:val="22"/>
          <w:szCs w:val="22"/>
        </w:rPr>
      </w:pPr>
    </w:p>
    <w:p w14:paraId="795F98BC" w14:textId="1F27B133" w:rsidR="001F190A" w:rsidRPr="00E916E1" w:rsidRDefault="001F190A" w:rsidP="00E916E1">
      <w:pPr>
        <w:pStyle w:val="Heading2"/>
        <w:spacing w:line="360" w:lineRule="auto"/>
        <w:rPr>
          <w:rFonts w:ascii="Arial" w:hAnsi="Arial" w:cs="Arial"/>
          <w:color w:val="000000"/>
          <w:sz w:val="22"/>
          <w:szCs w:val="22"/>
        </w:rPr>
      </w:pPr>
      <w:r w:rsidRPr="00E916E1">
        <w:rPr>
          <w:rStyle w:val="Strong"/>
          <w:rFonts w:ascii="Arial" w:hAnsi="Arial" w:cs="Arial"/>
          <w:color w:val="000000"/>
          <w:sz w:val="22"/>
          <w:szCs w:val="22"/>
        </w:rPr>
        <w:t xml:space="preserve">Critical Evaluation </w:t>
      </w:r>
    </w:p>
    <w:p w14:paraId="63736552" w14:textId="6AC0F31F"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The UK demonstrates strategic commitment to SDG 3, combining national frameworks with local initiatives. However, persistent challenges remain. Health inequalities are pronounced: life expectancy in the most deprived areas of Greater Manchester is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up to ten years lower</w:t>
      </w:r>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than in affluent </w:t>
      </w:r>
      <w:r w:rsidR="001902E8" w:rsidRPr="00E916E1">
        <w:rPr>
          <w:rFonts w:ascii="Arial" w:hAnsi="Arial" w:cs="Arial"/>
          <w:color w:val="000000"/>
          <w:sz w:val="22"/>
          <w:szCs w:val="22"/>
        </w:rPr>
        <w:t xml:space="preserve">neighbourhoods </w:t>
      </w:r>
      <w:r w:rsidRPr="00E916E1">
        <w:rPr>
          <w:rFonts w:ascii="Arial" w:hAnsi="Arial" w:cs="Arial"/>
          <w:color w:val="000000"/>
          <w:sz w:val="22"/>
          <w:szCs w:val="22"/>
        </w:rPr>
        <w:t>(ONS, 2023). Mental health disparities are particularly acute among adolescents and young adults in socioeconomically disadvantaged communities. Despite programmes such as Healthy Minds, access to mental health services remains uneven, with long waiting times and limited capacity, leaving some vulnerable groups underserved.</w:t>
      </w:r>
    </w:p>
    <w:p w14:paraId="5D02F2E6"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Social determinants of health, including</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housing quality, income, employment, and education</w:t>
      </w:r>
      <w:r w:rsidRPr="00E916E1">
        <w:rPr>
          <w:rFonts w:ascii="Arial" w:hAnsi="Arial" w:cs="Arial"/>
          <w:color w:val="000000"/>
          <w:sz w:val="22"/>
          <w:szCs w:val="22"/>
        </w:rPr>
        <w:t>, continue to shape outcomes. Poorly insulated or overcrowded homes contribute to respiratory illnesses and chronic stress, while ethnic minority communities may experience cultural or language barriers that hinder engagement with health services (UKHSA, 2022). The fragmentation of local services, with coordination gaps between public health, social care, and community organisations, further limits the effectiveness of preventive interventions.</w:t>
      </w:r>
    </w:p>
    <w:p w14:paraId="552D41E9" w14:textId="0C777433"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Globally, unequal access to healthcare infrastructure, vaccines, and financing mechanisms highlights how systemic disparities impede SDG 3 progress, particularly for vulnerable populations (WHO, 2024). Addressing these issues requires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more targeted investment, integrated services, and culturally competent care</w:t>
      </w:r>
      <w:r w:rsidRPr="00E916E1">
        <w:rPr>
          <w:rFonts w:ascii="Arial" w:hAnsi="Arial" w:cs="Arial"/>
          <w:color w:val="000000"/>
          <w:sz w:val="22"/>
          <w:szCs w:val="22"/>
        </w:rPr>
        <w:t>, alongside strengthened local governance to ensure equitable health outcomes.</w:t>
      </w:r>
    </w:p>
    <w:p w14:paraId="4446781D" w14:textId="67315A72" w:rsidR="001F190A" w:rsidRPr="00E916E1" w:rsidRDefault="001F190A" w:rsidP="00E916E1">
      <w:pPr>
        <w:spacing w:line="360" w:lineRule="auto"/>
        <w:rPr>
          <w:rFonts w:ascii="Arial" w:hAnsi="Arial" w:cs="Arial"/>
          <w:sz w:val="22"/>
          <w:szCs w:val="22"/>
        </w:rPr>
      </w:pPr>
    </w:p>
    <w:p w14:paraId="5E7ABCA9" w14:textId="5C842833" w:rsidR="001F190A" w:rsidRPr="00E916E1" w:rsidRDefault="001F190A" w:rsidP="00E916E1">
      <w:pPr>
        <w:pStyle w:val="Heading2"/>
        <w:spacing w:line="360" w:lineRule="auto"/>
        <w:rPr>
          <w:rStyle w:val="Strong"/>
          <w:rFonts w:ascii="Arial" w:hAnsi="Arial" w:cs="Arial"/>
          <w:color w:val="000000"/>
          <w:sz w:val="22"/>
          <w:szCs w:val="22"/>
        </w:rPr>
      </w:pPr>
      <w:r w:rsidRPr="00E916E1">
        <w:rPr>
          <w:rStyle w:val="Strong"/>
          <w:rFonts w:ascii="Arial" w:hAnsi="Arial" w:cs="Arial"/>
          <w:color w:val="000000"/>
          <w:sz w:val="22"/>
          <w:szCs w:val="22"/>
        </w:rPr>
        <w:lastRenderedPageBreak/>
        <w:t xml:space="preserve">Recommendations </w:t>
      </w:r>
    </w:p>
    <w:p w14:paraId="550719D9" w14:textId="77777777" w:rsidR="001902E8" w:rsidRPr="00E916E1" w:rsidRDefault="001902E8" w:rsidP="00E916E1">
      <w:pPr>
        <w:spacing w:line="360" w:lineRule="auto"/>
        <w:rPr>
          <w:rFonts w:ascii="Arial" w:hAnsi="Arial" w:cs="Arial"/>
          <w:sz w:val="22"/>
          <w:szCs w:val="22"/>
        </w:rPr>
      </w:pPr>
    </w:p>
    <w:p w14:paraId="25A48E37" w14:textId="77777777" w:rsidR="001F190A" w:rsidRPr="00E916E1" w:rsidRDefault="001F190A" w:rsidP="00E916E1">
      <w:pPr>
        <w:pStyle w:val="Heading3"/>
        <w:spacing w:line="360" w:lineRule="auto"/>
        <w:rPr>
          <w:rFonts w:ascii="Arial" w:hAnsi="Arial" w:cs="Arial"/>
          <w:color w:val="000000"/>
          <w:sz w:val="22"/>
          <w:szCs w:val="22"/>
        </w:rPr>
      </w:pPr>
      <w:r w:rsidRPr="00E916E1">
        <w:rPr>
          <w:rStyle w:val="Strong"/>
          <w:rFonts w:ascii="Arial" w:hAnsi="Arial" w:cs="Arial"/>
          <w:b w:val="0"/>
          <w:bCs w:val="0"/>
          <w:color w:val="000000"/>
          <w:sz w:val="22"/>
          <w:szCs w:val="22"/>
        </w:rPr>
        <w:t>1. Strengthen Local Public Health Infrastructure</w:t>
      </w:r>
    </w:p>
    <w:p w14:paraId="34F0A042"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Investing in community health hubs and preventive services ensures support is accessible, timely, and responsive to local needs. Implementation should involve developing</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multi-agency health hubs</w:t>
      </w:r>
      <w:r w:rsidRPr="00E916E1">
        <w:rPr>
          <w:rStyle w:val="apple-converted-space"/>
          <w:rFonts w:ascii="Arial" w:hAnsi="Arial" w:cs="Arial"/>
          <w:color w:val="000000"/>
          <w:sz w:val="22"/>
          <w:szCs w:val="22"/>
        </w:rPr>
        <w:t> </w:t>
      </w:r>
      <w:r w:rsidRPr="00E916E1">
        <w:rPr>
          <w:rFonts w:ascii="Arial" w:hAnsi="Arial" w:cs="Arial"/>
          <w:color w:val="000000"/>
          <w:sz w:val="22"/>
          <w:szCs w:val="22"/>
        </w:rPr>
        <w:t>that integrate NHS, local council, and NGO services, prioritising mental health outreach for adolescents, ethnic minority communities, and other vulnerable groups. Training healthcare workers in</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cultural competence and digital literacy</w:t>
      </w:r>
      <w:r w:rsidRPr="00E916E1">
        <w:rPr>
          <w:rStyle w:val="apple-converted-space"/>
          <w:rFonts w:ascii="Arial" w:hAnsi="Arial" w:cs="Arial"/>
          <w:color w:val="000000"/>
          <w:sz w:val="22"/>
          <w:szCs w:val="22"/>
        </w:rPr>
        <w:t> </w:t>
      </w:r>
      <w:r w:rsidRPr="00E916E1">
        <w:rPr>
          <w:rFonts w:ascii="Arial" w:hAnsi="Arial" w:cs="Arial"/>
          <w:color w:val="000000"/>
          <w:sz w:val="22"/>
          <w:szCs w:val="22"/>
        </w:rPr>
        <w:t>is also essential to broaden access. Strengthening local public health infrastructure is expected to reduce hospital admissions, improve mental wellbeing, and narrow health inequalities, directly impacting both SDG 3 and SDG 11 by creating healthier urban populations.</w:t>
      </w:r>
    </w:p>
    <w:p w14:paraId="0E40DA5F" w14:textId="77777777" w:rsidR="001F190A" w:rsidRPr="00E916E1" w:rsidRDefault="001F190A" w:rsidP="00E916E1">
      <w:pPr>
        <w:pStyle w:val="Heading3"/>
        <w:spacing w:line="360" w:lineRule="auto"/>
        <w:rPr>
          <w:rFonts w:ascii="Arial" w:hAnsi="Arial" w:cs="Arial"/>
          <w:color w:val="000000"/>
          <w:sz w:val="22"/>
          <w:szCs w:val="22"/>
        </w:rPr>
      </w:pPr>
      <w:r w:rsidRPr="00E916E1">
        <w:rPr>
          <w:rStyle w:val="Strong"/>
          <w:rFonts w:ascii="Arial" w:hAnsi="Arial" w:cs="Arial"/>
          <w:b w:val="0"/>
          <w:bCs w:val="0"/>
          <w:color w:val="000000"/>
          <w:sz w:val="22"/>
          <w:szCs w:val="22"/>
        </w:rPr>
        <w:t>2. Integrate Climate Resilience into Health Planning</w:t>
      </w:r>
    </w:p>
    <w:p w14:paraId="6906328B" w14:textId="426ADC9D"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Climate hazards such as heatwaves, flooding, and air pollution directly affect health outcomes. Integrating resilience into healthcare infrastructure protects communities and ensures continuity of care. Implementation involves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retrofitting hospitals and clinics for energy efficiency</w:t>
      </w:r>
      <w:r w:rsidRPr="00E916E1">
        <w:rPr>
          <w:rFonts w:ascii="Arial" w:hAnsi="Arial" w:cs="Arial"/>
          <w:b/>
          <w:bCs/>
          <w:color w:val="000000"/>
          <w:sz w:val="22"/>
          <w:szCs w:val="22"/>
        </w:rPr>
        <w:t>,</w:t>
      </w:r>
      <w:r w:rsidRPr="00E916E1">
        <w:rPr>
          <w:rFonts w:ascii="Arial" w:hAnsi="Arial" w:cs="Arial"/>
          <w:color w:val="000000"/>
          <w:sz w:val="22"/>
          <w:szCs w:val="22"/>
        </w:rPr>
        <w:t xml:space="preserve"> developing</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community-based preparedness plans</w:t>
      </w:r>
      <w:r w:rsidRPr="00E916E1">
        <w:rPr>
          <w:rFonts w:ascii="Arial" w:hAnsi="Arial" w:cs="Arial"/>
          <w:color w:val="000000"/>
          <w:sz w:val="22"/>
          <w:szCs w:val="22"/>
        </w:rPr>
        <w:t>, and aligning urban planning with green space provision to mitigate environmental risks. This approach strengthens resilience against climate-related illnesses, reduces healthcare burden, and fosters co</w:t>
      </w:r>
      <w:r w:rsidR="001902E8" w:rsidRPr="00E916E1">
        <w:rPr>
          <w:rFonts w:ascii="Arial" w:hAnsi="Arial" w:cs="Arial"/>
          <w:color w:val="000000"/>
          <w:sz w:val="22"/>
          <w:szCs w:val="22"/>
        </w:rPr>
        <w:t xml:space="preserve"> </w:t>
      </w:r>
      <w:r w:rsidRPr="00E916E1">
        <w:rPr>
          <w:rFonts w:ascii="Arial" w:hAnsi="Arial" w:cs="Arial"/>
          <w:color w:val="000000"/>
          <w:sz w:val="22"/>
          <w:szCs w:val="22"/>
        </w:rPr>
        <w:t>benefits between health and urban sustainability, illustrating the interplay between SDG 3 and SDG 11.</w:t>
      </w:r>
    </w:p>
    <w:p w14:paraId="669B0F74" w14:textId="65ACBF2A" w:rsidR="001902E8" w:rsidRPr="00E916E1" w:rsidRDefault="001902E8" w:rsidP="00E916E1">
      <w:pPr>
        <w:pStyle w:val="NormalWeb"/>
        <w:spacing w:line="360" w:lineRule="auto"/>
        <w:rPr>
          <w:rFonts w:ascii="Arial" w:hAnsi="Arial" w:cs="Arial"/>
          <w:color w:val="000000"/>
          <w:sz w:val="22"/>
          <w:szCs w:val="22"/>
        </w:rPr>
      </w:pPr>
    </w:p>
    <w:p w14:paraId="2F2E88EC" w14:textId="27479755" w:rsidR="001902E8" w:rsidRPr="00E916E1" w:rsidRDefault="001902E8" w:rsidP="00E916E1">
      <w:pPr>
        <w:pStyle w:val="NormalWeb"/>
        <w:spacing w:line="360" w:lineRule="auto"/>
        <w:rPr>
          <w:rFonts w:ascii="Arial" w:hAnsi="Arial" w:cs="Arial"/>
          <w:color w:val="000000"/>
          <w:sz w:val="22"/>
          <w:szCs w:val="22"/>
        </w:rPr>
      </w:pPr>
    </w:p>
    <w:p w14:paraId="00856A4E" w14:textId="194BDE52" w:rsidR="001902E8" w:rsidRPr="00E916E1" w:rsidRDefault="001902E8" w:rsidP="00E916E1">
      <w:pPr>
        <w:pStyle w:val="NormalWeb"/>
        <w:spacing w:line="360" w:lineRule="auto"/>
        <w:rPr>
          <w:rFonts w:ascii="Arial" w:hAnsi="Arial" w:cs="Arial"/>
          <w:color w:val="000000"/>
          <w:sz w:val="22"/>
          <w:szCs w:val="22"/>
        </w:rPr>
      </w:pPr>
    </w:p>
    <w:p w14:paraId="0E9CBB2C" w14:textId="2DC53B9F" w:rsidR="001902E8" w:rsidRPr="00E916E1" w:rsidRDefault="001902E8" w:rsidP="00E916E1">
      <w:pPr>
        <w:pStyle w:val="NormalWeb"/>
        <w:spacing w:line="360" w:lineRule="auto"/>
        <w:rPr>
          <w:rFonts w:ascii="Arial" w:hAnsi="Arial" w:cs="Arial"/>
          <w:color w:val="000000"/>
          <w:sz w:val="22"/>
          <w:szCs w:val="22"/>
        </w:rPr>
      </w:pPr>
    </w:p>
    <w:p w14:paraId="028D208A" w14:textId="7B25FAD3" w:rsidR="001902E8" w:rsidRPr="00E916E1" w:rsidRDefault="001902E8" w:rsidP="00E916E1">
      <w:pPr>
        <w:pStyle w:val="NormalWeb"/>
        <w:spacing w:line="360" w:lineRule="auto"/>
        <w:rPr>
          <w:rFonts w:ascii="Arial" w:hAnsi="Arial" w:cs="Arial"/>
          <w:color w:val="000000"/>
          <w:sz w:val="22"/>
          <w:szCs w:val="22"/>
        </w:rPr>
      </w:pPr>
    </w:p>
    <w:p w14:paraId="2DCDFC01" w14:textId="23C9D44F" w:rsidR="001F190A" w:rsidRDefault="001F190A" w:rsidP="00E916E1">
      <w:pPr>
        <w:spacing w:line="360" w:lineRule="auto"/>
        <w:rPr>
          <w:rFonts w:ascii="Arial" w:hAnsi="Arial" w:cs="Arial"/>
          <w:sz w:val="22"/>
          <w:szCs w:val="22"/>
        </w:rPr>
      </w:pPr>
    </w:p>
    <w:p w14:paraId="10E2AA93" w14:textId="62B69501" w:rsidR="00636AFF" w:rsidRDefault="00636AFF" w:rsidP="00E916E1">
      <w:pPr>
        <w:spacing w:line="360" w:lineRule="auto"/>
        <w:rPr>
          <w:rFonts w:ascii="Arial" w:hAnsi="Arial" w:cs="Arial"/>
          <w:sz w:val="22"/>
          <w:szCs w:val="22"/>
        </w:rPr>
      </w:pPr>
    </w:p>
    <w:p w14:paraId="117F2BC5" w14:textId="56BEE754" w:rsidR="00636AFF" w:rsidRDefault="00636AFF" w:rsidP="00E916E1">
      <w:pPr>
        <w:spacing w:line="360" w:lineRule="auto"/>
        <w:rPr>
          <w:rFonts w:ascii="Arial" w:hAnsi="Arial" w:cs="Arial"/>
          <w:sz w:val="22"/>
          <w:szCs w:val="22"/>
        </w:rPr>
      </w:pPr>
    </w:p>
    <w:p w14:paraId="74BD5548" w14:textId="77777777" w:rsidR="00636AFF" w:rsidRPr="00E916E1" w:rsidRDefault="00636AFF" w:rsidP="00E916E1">
      <w:pPr>
        <w:spacing w:line="360" w:lineRule="auto"/>
        <w:rPr>
          <w:rFonts w:ascii="Arial" w:hAnsi="Arial" w:cs="Arial"/>
          <w:sz w:val="22"/>
          <w:szCs w:val="22"/>
        </w:rPr>
      </w:pPr>
    </w:p>
    <w:p w14:paraId="52496F5B" w14:textId="372DDC0A" w:rsidR="001F190A" w:rsidRPr="00E916E1" w:rsidRDefault="001F190A" w:rsidP="00E916E1">
      <w:pPr>
        <w:pStyle w:val="Heading1"/>
        <w:spacing w:line="360" w:lineRule="auto"/>
        <w:rPr>
          <w:rFonts w:ascii="Arial" w:hAnsi="Arial" w:cs="Arial"/>
          <w:color w:val="000000"/>
          <w:sz w:val="22"/>
          <w:szCs w:val="22"/>
        </w:rPr>
      </w:pPr>
      <w:r w:rsidRPr="00E916E1">
        <w:rPr>
          <w:rStyle w:val="Strong"/>
          <w:rFonts w:ascii="Arial" w:hAnsi="Arial" w:cs="Arial"/>
          <w:b/>
          <w:bCs/>
          <w:color w:val="000000"/>
          <w:sz w:val="22"/>
          <w:szCs w:val="22"/>
        </w:rPr>
        <w:lastRenderedPageBreak/>
        <w:t>SDG 11</w:t>
      </w:r>
      <w:r w:rsidR="001902E8" w:rsidRPr="00E916E1">
        <w:rPr>
          <w:rStyle w:val="Strong"/>
          <w:rFonts w:ascii="Arial" w:hAnsi="Arial" w:cs="Arial"/>
          <w:b/>
          <w:bCs/>
          <w:color w:val="000000"/>
          <w:sz w:val="22"/>
          <w:szCs w:val="22"/>
        </w:rPr>
        <w:t>:</w:t>
      </w:r>
      <w:r w:rsidRPr="00E916E1">
        <w:rPr>
          <w:rStyle w:val="Strong"/>
          <w:rFonts w:ascii="Arial" w:hAnsi="Arial" w:cs="Arial"/>
          <w:b/>
          <w:bCs/>
          <w:color w:val="000000"/>
          <w:sz w:val="22"/>
          <w:szCs w:val="22"/>
        </w:rPr>
        <w:t xml:space="preserve"> Sustainable Cities and Communities</w:t>
      </w:r>
    </w:p>
    <w:p w14:paraId="04FCC5CD"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SDG 11 aims to make cities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inclusive, safe, resilient, and sustainable</w:t>
      </w:r>
      <w:r w:rsidRPr="00E916E1">
        <w:rPr>
          <w:rFonts w:ascii="Arial" w:hAnsi="Arial" w:cs="Arial"/>
          <w:color w:val="000000"/>
          <w:sz w:val="22"/>
          <w:szCs w:val="22"/>
        </w:rPr>
        <w:t xml:space="preserve">. Urban environments shape health, opportunity, and quality of life. Poor housing, limited green space, unsafe streets, and air pollution contribute to physical and mental health problems, reinforcing the links between SDG 11 and SDG 3 (UKHSA, 2023). With </w:t>
      </w:r>
      <w:proofErr w:type="gramStart"/>
      <w:r w:rsidRPr="00E916E1">
        <w:rPr>
          <w:rFonts w:ascii="Arial" w:hAnsi="Arial" w:cs="Arial"/>
          <w:color w:val="000000"/>
          <w:sz w:val="22"/>
          <w:szCs w:val="22"/>
        </w:rPr>
        <w:t>the majority of</w:t>
      </w:r>
      <w:proofErr w:type="gramEnd"/>
      <w:r w:rsidRPr="00E916E1">
        <w:rPr>
          <w:rFonts w:ascii="Arial" w:hAnsi="Arial" w:cs="Arial"/>
          <w:color w:val="000000"/>
          <w:sz w:val="22"/>
          <w:szCs w:val="22"/>
        </w:rPr>
        <w:t xml:space="preserve"> the global population now living in urban areas, creating</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healthy and sustainable cities</w:t>
      </w:r>
      <w:r w:rsidRPr="00E916E1">
        <w:rPr>
          <w:rStyle w:val="apple-converted-space"/>
          <w:rFonts w:ascii="Arial" w:hAnsi="Arial" w:cs="Arial"/>
          <w:color w:val="000000"/>
          <w:sz w:val="22"/>
          <w:szCs w:val="22"/>
        </w:rPr>
        <w:t> </w:t>
      </w:r>
      <w:r w:rsidRPr="00E916E1">
        <w:rPr>
          <w:rFonts w:ascii="Arial" w:hAnsi="Arial" w:cs="Arial"/>
          <w:color w:val="000000"/>
          <w:sz w:val="22"/>
          <w:szCs w:val="22"/>
        </w:rPr>
        <w:t>is essential for achieving equitable development and wellbeing (UN-Habitat, 2020).</w:t>
      </w:r>
    </w:p>
    <w:p w14:paraId="703CFA8C" w14:textId="22C16802" w:rsidR="001F190A" w:rsidRPr="00E916E1" w:rsidRDefault="001F190A" w:rsidP="00E916E1">
      <w:pPr>
        <w:spacing w:line="360" w:lineRule="auto"/>
        <w:rPr>
          <w:rFonts w:ascii="Arial" w:hAnsi="Arial" w:cs="Arial"/>
          <w:sz w:val="22"/>
          <w:szCs w:val="22"/>
        </w:rPr>
      </w:pPr>
    </w:p>
    <w:p w14:paraId="1BFE2970" w14:textId="77777777" w:rsidR="008449EE" w:rsidRDefault="008449EE" w:rsidP="00E916E1">
      <w:pPr>
        <w:pStyle w:val="NormalWeb"/>
        <w:spacing w:line="360" w:lineRule="auto"/>
        <w:rPr>
          <w:rStyle w:val="Strong"/>
          <w:rFonts w:ascii="Arial" w:eastAsiaTheme="majorEastAsia" w:hAnsi="Arial" w:cs="Arial"/>
          <w:color w:val="000000"/>
          <w:sz w:val="22"/>
          <w:szCs w:val="22"/>
        </w:rPr>
      </w:pPr>
      <w:r w:rsidRPr="008449EE">
        <w:rPr>
          <w:rStyle w:val="Strong"/>
          <w:rFonts w:ascii="Arial" w:eastAsiaTheme="majorEastAsia" w:hAnsi="Arial" w:cs="Arial"/>
          <w:color w:val="000000"/>
          <w:sz w:val="22"/>
          <w:szCs w:val="22"/>
        </w:rPr>
        <w:t>Policy and Initiative on a Global Scale</w:t>
      </w:r>
    </w:p>
    <w:p w14:paraId="2BF65251" w14:textId="4ED35203"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Globally, SDG 11 is supported by:</w:t>
      </w:r>
    </w:p>
    <w:p w14:paraId="23C0BDAD" w14:textId="77777777" w:rsidR="001F190A" w:rsidRPr="00E916E1" w:rsidRDefault="001F190A" w:rsidP="00E916E1">
      <w:pPr>
        <w:pStyle w:val="NormalWeb"/>
        <w:numPr>
          <w:ilvl w:val="0"/>
          <w:numId w:val="34"/>
        </w:numPr>
        <w:spacing w:line="360" w:lineRule="auto"/>
        <w:rPr>
          <w:rFonts w:ascii="Arial" w:hAnsi="Arial" w:cs="Arial"/>
          <w:color w:val="000000"/>
          <w:sz w:val="22"/>
          <w:szCs w:val="22"/>
        </w:rPr>
      </w:pPr>
      <w:r w:rsidRPr="00E916E1">
        <w:rPr>
          <w:rStyle w:val="Strong"/>
          <w:rFonts w:ascii="Arial" w:hAnsi="Arial" w:cs="Arial"/>
          <w:b w:val="0"/>
          <w:bCs w:val="0"/>
          <w:color w:val="000000"/>
          <w:sz w:val="22"/>
          <w:szCs w:val="22"/>
        </w:rPr>
        <w:t>UN-Habitat New Urban Agenda (2016):</w:t>
      </w:r>
      <w:r w:rsidRPr="00E916E1">
        <w:rPr>
          <w:rStyle w:val="apple-converted-space"/>
          <w:rFonts w:ascii="Arial" w:hAnsi="Arial" w:cs="Arial"/>
          <w:color w:val="000000"/>
          <w:sz w:val="22"/>
          <w:szCs w:val="22"/>
        </w:rPr>
        <w:t> </w:t>
      </w:r>
      <w:r w:rsidRPr="00E916E1">
        <w:rPr>
          <w:rFonts w:ascii="Arial" w:hAnsi="Arial" w:cs="Arial"/>
          <w:color w:val="000000"/>
          <w:sz w:val="22"/>
          <w:szCs w:val="22"/>
        </w:rPr>
        <w:t>Advocates for inclusive urban governance, resilient infrastructure, and equitable access to services.</w:t>
      </w:r>
    </w:p>
    <w:p w14:paraId="34395DEE" w14:textId="77777777" w:rsidR="001F190A" w:rsidRPr="00E916E1" w:rsidRDefault="001F190A" w:rsidP="00E916E1">
      <w:pPr>
        <w:pStyle w:val="NormalWeb"/>
        <w:numPr>
          <w:ilvl w:val="0"/>
          <w:numId w:val="34"/>
        </w:numPr>
        <w:spacing w:line="360" w:lineRule="auto"/>
        <w:rPr>
          <w:rFonts w:ascii="Arial" w:hAnsi="Arial" w:cs="Arial"/>
          <w:color w:val="000000"/>
          <w:sz w:val="22"/>
          <w:szCs w:val="22"/>
        </w:rPr>
      </w:pPr>
      <w:r w:rsidRPr="00E916E1">
        <w:rPr>
          <w:rStyle w:val="Strong"/>
          <w:rFonts w:ascii="Arial" w:hAnsi="Arial" w:cs="Arial"/>
          <w:b w:val="0"/>
          <w:bCs w:val="0"/>
          <w:color w:val="000000"/>
          <w:sz w:val="22"/>
          <w:szCs w:val="22"/>
        </w:rPr>
        <w:t>World Cities Reports (2020, 2024):</w:t>
      </w:r>
      <w:r w:rsidRPr="00E916E1">
        <w:rPr>
          <w:rStyle w:val="apple-converted-space"/>
          <w:rFonts w:ascii="Arial" w:hAnsi="Arial" w:cs="Arial"/>
          <w:color w:val="000000"/>
          <w:sz w:val="22"/>
          <w:szCs w:val="22"/>
        </w:rPr>
        <w:t> </w:t>
      </w:r>
      <w:r w:rsidRPr="00E916E1">
        <w:rPr>
          <w:rFonts w:ascii="Arial" w:hAnsi="Arial" w:cs="Arial"/>
          <w:color w:val="000000"/>
          <w:sz w:val="22"/>
          <w:szCs w:val="22"/>
        </w:rPr>
        <w:t>Emphasise sustainable, accessible, and resilient urban environments.</w:t>
      </w:r>
    </w:p>
    <w:p w14:paraId="17D54343" w14:textId="77777777" w:rsidR="001F190A" w:rsidRPr="00E916E1" w:rsidRDefault="001F190A" w:rsidP="00E916E1">
      <w:pPr>
        <w:pStyle w:val="NormalWeb"/>
        <w:numPr>
          <w:ilvl w:val="0"/>
          <w:numId w:val="34"/>
        </w:numPr>
        <w:spacing w:line="360" w:lineRule="auto"/>
        <w:rPr>
          <w:rFonts w:ascii="Arial" w:hAnsi="Arial" w:cs="Arial"/>
          <w:color w:val="000000"/>
          <w:sz w:val="22"/>
          <w:szCs w:val="22"/>
        </w:rPr>
      </w:pPr>
      <w:r w:rsidRPr="00E916E1">
        <w:rPr>
          <w:rStyle w:val="Strong"/>
          <w:rFonts w:ascii="Arial" w:hAnsi="Arial" w:cs="Arial"/>
          <w:b w:val="0"/>
          <w:bCs w:val="0"/>
          <w:color w:val="000000"/>
          <w:sz w:val="22"/>
          <w:szCs w:val="22"/>
        </w:rPr>
        <w:t>WHO–UN Habitat Global Review (2021):</w:t>
      </w:r>
      <w:r w:rsidRPr="00E916E1">
        <w:rPr>
          <w:rStyle w:val="apple-converted-space"/>
          <w:rFonts w:ascii="Arial" w:hAnsi="Arial" w:cs="Arial"/>
          <w:color w:val="000000"/>
          <w:sz w:val="22"/>
          <w:szCs w:val="22"/>
        </w:rPr>
        <w:t> </w:t>
      </w:r>
      <w:r w:rsidRPr="00E916E1">
        <w:rPr>
          <w:rFonts w:ascii="Arial" w:hAnsi="Arial" w:cs="Arial"/>
          <w:color w:val="000000"/>
          <w:sz w:val="22"/>
          <w:szCs w:val="22"/>
        </w:rPr>
        <w:t>Demonstrates that integrating health into urban planning yields significant co-benefits, including improved physical activity, reduced pollution exposure, and enhanced community cohesion.</w:t>
      </w:r>
    </w:p>
    <w:p w14:paraId="6B8225F9" w14:textId="573FCF7F"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Despite these frameworks,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over one billion people still live in inadequate housing</w:t>
      </w:r>
      <w:r w:rsidRPr="00E916E1">
        <w:rPr>
          <w:rFonts w:ascii="Arial" w:hAnsi="Arial" w:cs="Arial"/>
          <w:color w:val="000000"/>
          <w:sz w:val="22"/>
          <w:szCs w:val="22"/>
        </w:rPr>
        <w:t>, and access to safe, sustainable urban infrastructure remains uneven globally (UN-Habitat, 2024). These disparities reinforce social inequities and hinder progress toward healthy, inclusive cities.</w:t>
      </w:r>
    </w:p>
    <w:p w14:paraId="46082263" w14:textId="77777777" w:rsidR="001902E8" w:rsidRPr="00E916E1" w:rsidRDefault="001902E8" w:rsidP="00E916E1">
      <w:pPr>
        <w:pStyle w:val="NormalWeb"/>
        <w:spacing w:line="360" w:lineRule="auto"/>
        <w:rPr>
          <w:rFonts w:ascii="Arial" w:hAnsi="Arial" w:cs="Arial"/>
          <w:color w:val="000000"/>
          <w:sz w:val="22"/>
          <w:szCs w:val="22"/>
        </w:rPr>
      </w:pPr>
    </w:p>
    <w:p w14:paraId="7AF7A9FB" w14:textId="6126A629" w:rsidR="001F190A" w:rsidRPr="00E916E1" w:rsidRDefault="001F190A" w:rsidP="00E916E1">
      <w:pPr>
        <w:spacing w:line="360" w:lineRule="auto"/>
        <w:rPr>
          <w:rFonts w:ascii="Arial" w:hAnsi="Arial" w:cs="Arial"/>
          <w:sz w:val="22"/>
          <w:szCs w:val="22"/>
        </w:rPr>
      </w:pPr>
    </w:p>
    <w:p w14:paraId="0A40EB03" w14:textId="77777777" w:rsidR="001F190A" w:rsidRPr="00E916E1" w:rsidRDefault="001F190A" w:rsidP="00E916E1">
      <w:pPr>
        <w:pStyle w:val="Heading2"/>
        <w:spacing w:line="360" w:lineRule="auto"/>
        <w:rPr>
          <w:rFonts w:ascii="Arial" w:hAnsi="Arial" w:cs="Arial"/>
          <w:color w:val="000000"/>
          <w:sz w:val="22"/>
          <w:szCs w:val="22"/>
        </w:rPr>
      </w:pPr>
      <w:r w:rsidRPr="00E916E1">
        <w:rPr>
          <w:rStyle w:val="Strong"/>
          <w:rFonts w:ascii="Arial" w:hAnsi="Arial" w:cs="Arial"/>
          <w:color w:val="000000"/>
          <w:sz w:val="22"/>
          <w:szCs w:val="22"/>
        </w:rPr>
        <w:t>National and Local Policies in the UK</w:t>
      </w:r>
    </w:p>
    <w:p w14:paraId="77848A0F" w14:textId="46C0E493"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National policies supporting SDG 11 include the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Levelling Up and Regeneration Act (2023)</w:t>
      </w:r>
      <w:r w:rsidRPr="00E916E1">
        <w:rPr>
          <w:rFonts w:ascii="Arial" w:hAnsi="Arial" w:cs="Arial"/>
          <w:color w:val="000000"/>
          <w:sz w:val="22"/>
          <w:szCs w:val="22"/>
        </w:rPr>
        <w:t>, which targets regional inequalities and supports urban renewal, the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Net Zero Strategy (2022)</w:t>
      </w:r>
      <w:r w:rsidRPr="00E916E1">
        <w:rPr>
          <w:rStyle w:val="apple-converted-space"/>
          <w:rFonts w:ascii="Arial" w:hAnsi="Arial" w:cs="Arial"/>
          <w:b/>
          <w:bCs/>
          <w:color w:val="000000"/>
          <w:sz w:val="22"/>
          <w:szCs w:val="22"/>
        </w:rPr>
        <w:t> </w:t>
      </w:r>
      <w:r w:rsidRPr="00E916E1">
        <w:rPr>
          <w:rFonts w:ascii="Arial" w:hAnsi="Arial" w:cs="Arial"/>
          <w:color w:val="000000"/>
          <w:sz w:val="22"/>
          <w:szCs w:val="22"/>
        </w:rPr>
        <w:t>promoting sustainable housing and transport, and</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Awaab’s Law (2023)</w:t>
      </w:r>
      <w:r w:rsidRPr="00E916E1">
        <w:rPr>
          <w:rStyle w:val="apple-converted-space"/>
          <w:rFonts w:ascii="Arial" w:hAnsi="Arial" w:cs="Arial"/>
          <w:color w:val="000000"/>
          <w:sz w:val="22"/>
          <w:szCs w:val="22"/>
        </w:rPr>
        <w:t> </w:t>
      </w:r>
      <w:r w:rsidRPr="00E916E1">
        <w:rPr>
          <w:rFonts w:ascii="Arial" w:hAnsi="Arial" w:cs="Arial"/>
          <w:color w:val="000000"/>
          <w:sz w:val="22"/>
          <w:szCs w:val="22"/>
        </w:rPr>
        <w:t>mandating the remediation of housing hazards.</w:t>
      </w:r>
    </w:p>
    <w:p w14:paraId="710DA6ED" w14:textId="77777777" w:rsidR="001902E8" w:rsidRPr="00E916E1" w:rsidRDefault="001902E8" w:rsidP="00E916E1">
      <w:pPr>
        <w:pStyle w:val="NormalWeb"/>
        <w:spacing w:line="360" w:lineRule="auto"/>
        <w:rPr>
          <w:rFonts w:ascii="Arial" w:hAnsi="Arial" w:cs="Arial"/>
          <w:color w:val="000000"/>
          <w:sz w:val="22"/>
          <w:szCs w:val="22"/>
        </w:rPr>
      </w:pPr>
    </w:p>
    <w:p w14:paraId="32B15597" w14:textId="271C5F94" w:rsidR="001F190A" w:rsidRPr="00E916E1" w:rsidRDefault="001F190A" w:rsidP="00E916E1">
      <w:pPr>
        <w:pStyle w:val="Heading3"/>
        <w:spacing w:line="360" w:lineRule="auto"/>
        <w:rPr>
          <w:rFonts w:ascii="Arial" w:hAnsi="Arial" w:cs="Arial"/>
          <w:color w:val="000000"/>
          <w:sz w:val="22"/>
          <w:szCs w:val="22"/>
        </w:rPr>
      </w:pPr>
      <w:r w:rsidRPr="00E916E1">
        <w:rPr>
          <w:rStyle w:val="Strong"/>
          <w:rFonts w:ascii="Arial" w:hAnsi="Arial" w:cs="Arial"/>
          <w:color w:val="000000"/>
          <w:sz w:val="22"/>
          <w:szCs w:val="22"/>
        </w:rPr>
        <w:lastRenderedPageBreak/>
        <w:t xml:space="preserve">Local Example </w:t>
      </w:r>
    </w:p>
    <w:p w14:paraId="582D4A4F"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Bristol’s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One City Plan</w:t>
      </w:r>
      <w:r w:rsidRPr="00E916E1">
        <w:rPr>
          <w:rStyle w:val="apple-converted-space"/>
          <w:rFonts w:ascii="Arial" w:hAnsi="Arial" w:cs="Arial"/>
          <w:color w:val="000000"/>
          <w:sz w:val="22"/>
          <w:szCs w:val="22"/>
        </w:rPr>
        <w:t> </w:t>
      </w:r>
      <w:r w:rsidRPr="00E916E1">
        <w:rPr>
          <w:rFonts w:ascii="Arial" w:hAnsi="Arial" w:cs="Arial"/>
          <w:color w:val="000000"/>
          <w:sz w:val="22"/>
          <w:szCs w:val="22"/>
        </w:rPr>
        <w:t>and</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Green Infrastructure Programme</w:t>
      </w:r>
      <w:r w:rsidRPr="00E916E1">
        <w:rPr>
          <w:rStyle w:val="apple-converted-space"/>
          <w:rFonts w:ascii="Arial" w:hAnsi="Arial" w:cs="Arial"/>
          <w:color w:val="000000"/>
          <w:sz w:val="22"/>
          <w:szCs w:val="22"/>
        </w:rPr>
        <w:t> </w:t>
      </w:r>
      <w:r w:rsidRPr="00E916E1">
        <w:rPr>
          <w:rFonts w:ascii="Arial" w:hAnsi="Arial" w:cs="Arial"/>
          <w:color w:val="000000"/>
          <w:sz w:val="22"/>
          <w:szCs w:val="22"/>
        </w:rPr>
        <w:t>provide a local model for sustainable urban development. The plan prioritises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affordable housing, accessible green spaces, safe walking and cycling routes, and community engagement</w:t>
      </w:r>
      <w:r w:rsidRPr="00E916E1">
        <w:rPr>
          <w:rFonts w:ascii="Arial" w:hAnsi="Arial" w:cs="Arial"/>
          <w:b/>
          <w:bCs/>
          <w:color w:val="000000"/>
          <w:sz w:val="22"/>
          <w:szCs w:val="22"/>
        </w:rPr>
        <w:t>,</w:t>
      </w:r>
      <w:r w:rsidRPr="00E916E1">
        <w:rPr>
          <w:rFonts w:ascii="Arial" w:hAnsi="Arial" w:cs="Arial"/>
          <w:color w:val="000000"/>
          <w:sz w:val="22"/>
          <w:szCs w:val="22"/>
        </w:rPr>
        <w:t xml:space="preserve"> fostering both sustainability and wellbeing. Local campaigns encouraging cycling, walking, and community gardening have improved</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physical activity, mental health, and social cohesion</w:t>
      </w:r>
      <w:r w:rsidRPr="00E916E1">
        <w:rPr>
          <w:rStyle w:val="apple-converted-space"/>
          <w:rFonts w:ascii="Arial" w:hAnsi="Arial" w:cs="Arial"/>
          <w:color w:val="000000"/>
          <w:sz w:val="22"/>
          <w:szCs w:val="22"/>
        </w:rPr>
        <w:t> </w:t>
      </w:r>
      <w:r w:rsidRPr="00E916E1">
        <w:rPr>
          <w:rFonts w:ascii="Arial" w:hAnsi="Arial" w:cs="Arial"/>
          <w:color w:val="000000"/>
          <w:sz w:val="22"/>
          <w:szCs w:val="22"/>
        </w:rPr>
        <w:t>among residents (Bristol City Council, 2023). This demonstrates how integrated planning and community participation can translate national policies into meaningful local impacts.</w:t>
      </w:r>
    </w:p>
    <w:p w14:paraId="5C88AB57" w14:textId="7EA37E06" w:rsidR="001F190A" w:rsidRPr="00E916E1" w:rsidRDefault="001F190A" w:rsidP="00E916E1">
      <w:pPr>
        <w:spacing w:line="360" w:lineRule="auto"/>
        <w:rPr>
          <w:rFonts w:ascii="Arial" w:hAnsi="Arial" w:cs="Arial"/>
          <w:sz w:val="22"/>
          <w:szCs w:val="22"/>
        </w:rPr>
      </w:pPr>
    </w:p>
    <w:p w14:paraId="0221FF00" w14:textId="755F49AA" w:rsidR="001F190A" w:rsidRPr="00E916E1" w:rsidRDefault="001F190A" w:rsidP="00E916E1">
      <w:pPr>
        <w:pStyle w:val="Heading2"/>
        <w:spacing w:line="360" w:lineRule="auto"/>
        <w:rPr>
          <w:rFonts w:ascii="Arial" w:hAnsi="Arial" w:cs="Arial"/>
          <w:color w:val="000000"/>
          <w:sz w:val="22"/>
          <w:szCs w:val="22"/>
        </w:rPr>
      </w:pPr>
      <w:r w:rsidRPr="00E916E1">
        <w:rPr>
          <w:rStyle w:val="Strong"/>
          <w:rFonts w:ascii="Arial" w:hAnsi="Arial" w:cs="Arial"/>
          <w:color w:val="000000"/>
          <w:sz w:val="22"/>
          <w:szCs w:val="22"/>
        </w:rPr>
        <w:t>Theoretical Perspective</w:t>
      </w:r>
    </w:p>
    <w:p w14:paraId="6D406708" w14:textId="1FCE54B3"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The Ecological Model situates urban health outcomes within multiple interacting layers.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Housing quality, transport systems, environmental access, and community engagement</w:t>
      </w:r>
      <w:r w:rsidRPr="00E916E1">
        <w:rPr>
          <w:rStyle w:val="apple-converted-space"/>
          <w:rFonts w:ascii="Arial" w:hAnsi="Arial" w:cs="Arial"/>
          <w:b/>
          <w:bCs/>
          <w:color w:val="000000"/>
          <w:sz w:val="22"/>
          <w:szCs w:val="22"/>
        </w:rPr>
        <w:t> </w:t>
      </w:r>
      <w:r w:rsidRPr="00E916E1">
        <w:rPr>
          <w:rFonts w:ascii="Arial" w:hAnsi="Arial" w:cs="Arial"/>
          <w:color w:val="000000"/>
          <w:sz w:val="22"/>
          <w:szCs w:val="22"/>
        </w:rPr>
        <w:t xml:space="preserve">all affect residents’ physical and mental health. </w:t>
      </w:r>
      <w:r w:rsidR="001902E8" w:rsidRPr="00E916E1">
        <w:rPr>
          <w:rFonts w:ascii="Arial" w:hAnsi="Arial" w:cs="Arial"/>
          <w:color w:val="000000"/>
          <w:sz w:val="22"/>
          <w:szCs w:val="22"/>
        </w:rPr>
        <w:t>Well-designed</w:t>
      </w:r>
      <w:r w:rsidRPr="00E916E1">
        <w:rPr>
          <w:rFonts w:ascii="Arial" w:hAnsi="Arial" w:cs="Arial"/>
          <w:color w:val="000000"/>
          <w:sz w:val="22"/>
          <w:szCs w:val="22"/>
        </w:rPr>
        <w:t xml:space="preserve"> cities encourage active travel, safe recreation, social interaction, and environmental stewardship, illustrating that</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healthy cities depend on healthy residents</w:t>
      </w:r>
      <w:r w:rsidRPr="00E916E1">
        <w:rPr>
          <w:rFonts w:ascii="Arial" w:hAnsi="Arial" w:cs="Arial"/>
          <w:color w:val="000000"/>
          <w:sz w:val="22"/>
          <w:szCs w:val="22"/>
        </w:rPr>
        <w:t>, and urban sustainability directly contributes to SDG 3 objectives.</w:t>
      </w:r>
    </w:p>
    <w:p w14:paraId="7278C846" w14:textId="77777777" w:rsidR="001902E8" w:rsidRPr="00E916E1" w:rsidRDefault="001902E8" w:rsidP="00E916E1">
      <w:pPr>
        <w:pStyle w:val="NormalWeb"/>
        <w:spacing w:line="360" w:lineRule="auto"/>
        <w:rPr>
          <w:rFonts w:ascii="Arial" w:hAnsi="Arial" w:cs="Arial"/>
          <w:color w:val="000000"/>
          <w:sz w:val="22"/>
          <w:szCs w:val="22"/>
        </w:rPr>
      </w:pPr>
    </w:p>
    <w:p w14:paraId="5ABD9B6A" w14:textId="4B5B0A35" w:rsidR="001F190A" w:rsidRPr="00E916E1" w:rsidRDefault="001F190A" w:rsidP="00E916E1">
      <w:pPr>
        <w:spacing w:line="360" w:lineRule="auto"/>
        <w:rPr>
          <w:rFonts w:ascii="Arial" w:hAnsi="Arial" w:cs="Arial"/>
          <w:sz w:val="22"/>
          <w:szCs w:val="22"/>
        </w:rPr>
      </w:pPr>
    </w:p>
    <w:p w14:paraId="37000581" w14:textId="3A205283" w:rsidR="001F190A" w:rsidRPr="00E916E1" w:rsidRDefault="001F190A" w:rsidP="00E916E1">
      <w:pPr>
        <w:pStyle w:val="Heading2"/>
        <w:spacing w:line="360" w:lineRule="auto"/>
        <w:rPr>
          <w:rFonts w:ascii="Arial" w:hAnsi="Arial" w:cs="Arial"/>
          <w:color w:val="000000"/>
          <w:sz w:val="22"/>
          <w:szCs w:val="22"/>
        </w:rPr>
      </w:pPr>
      <w:r w:rsidRPr="00E916E1">
        <w:rPr>
          <w:rStyle w:val="Strong"/>
          <w:rFonts w:ascii="Arial" w:hAnsi="Arial" w:cs="Arial"/>
          <w:color w:val="000000"/>
          <w:sz w:val="22"/>
          <w:szCs w:val="22"/>
        </w:rPr>
        <w:t xml:space="preserve">Critical Evaluation </w:t>
      </w:r>
    </w:p>
    <w:p w14:paraId="16DFF118" w14:textId="2496C770"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UK cities have made measurable progress, yet challenges remain. Urban inequities persist, with</w:t>
      </w:r>
      <w:r w:rsidRPr="00E916E1">
        <w:rPr>
          <w:rStyle w:val="apple-converted-space"/>
          <w:rFonts w:ascii="Arial" w:hAnsi="Arial" w:cs="Arial"/>
          <w:color w:val="000000"/>
          <w:sz w:val="22"/>
          <w:szCs w:val="22"/>
        </w:rPr>
        <w:t> </w:t>
      </w:r>
      <w:r w:rsidR="001902E8" w:rsidRPr="00E916E1">
        <w:rPr>
          <w:rStyle w:val="Strong"/>
          <w:rFonts w:ascii="Arial" w:hAnsi="Arial" w:cs="Arial"/>
          <w:b w:val="0"/>
          <w:bCs w:val="0"/>
          <w:color w:val="000000"/>
          <w:sz w:val="22"/>
          <w:szCs w:val="22"/>
        </w:rPr>
        <w:t>low-income</w:t>
      </w:r>
      <w:r w:rsidRPr="00E916E1">
        <w:rPr>
          <w:rStyle w:val="Strong"/>
          <w:rFonts w:ascii="Arial" w:hAnsi="Arial" w:cs="Arial"/>
          <w:b w:val="0"/>
          <w:bCs w:val="0"/>
          <w:color w:val="000000"/>
          <w:sz w:val="22"/>
          <w:szCs w:val="22"/>
        </w:rPr>
        <w:t xml:space="preserve"> </w:t>
      </w:r>
      <w:r w:rsidR="001902E8" w:rsidRPr="00E916E1">
        <w:rPr>
          <w:rStyle w:val="Strong"/>
          <w:rFonts w:ascii="Arial" w:hAnsi="Arial" w:cs="Arial"/>
          <w:b w:val="0"/>
          <w:bCs w:val="0"/>
          <w:color w:val="000000"/>
          <w:sz w:val="22"/>
          <w:szCs w:val="22"/>
        </w:rPr>
        <w:t>neighbourhoods</w:t>
      </w:r>
      <w:r w:rsidRPr="00E916E1">
        <w:rPr>
          <w:rStyle w:val="Strong"/>
          <w:rFonts w:ascii="Arial" w:hAnsi="Arial" w:cs="Arial"/>
          <w:b w:val="0"/>
          <w:bCs w:val="0"/>
          <w:color w:val="000000"/>
          <w:sz w:val="22"/>
          <w:szCs w:val="22"/>
        </w:rPr>
        <w:t xml:space="preserve"> often lacking green spaces, safe streets, and adequate housing</w:t>
      </w:r>
      <w:r w:rsidRPr="00E916E1">
        <w:rPr>
          <w:rFonts w:ascii="Arial" w:hAnsi="Arial" w:cs="Arial"/>
          <w:b/>
          <w:bCs/>
          <w:color w:val="000000"/>
          <w:sz w:val="22"/>
          <w:szCs w:val="22"/>
        </w:rPr>
        <w:t>.</w:t>
      </w:r>
      <w:r w:rsidRPr="00E916E1">
        <w:rPr>
          <w:rFonts w:ascii="Arial" w:hAnsi="Arial" w:cs="Arial"/>
          <w:color w:val="000000"/>
          <w:sz w:val="22"/>
          <w:szCs w:val="22"/>
        </w:rPr>
        <w:t xml:space="preserve"> Fragmented governance between local councils, housing providers, and environmental agencies can impede coordinated action, while funding constraints limit the full implementation of sustainable urban strategies.</w:t>
      </w:r>
    </w:p>
    <w:p w14:paraId="77258C85" w14:textId="279ECD9C" w:rsidR="001F190A" w:rsidRPr="00636AFF" w:rsidRDefault="001F190A" w:rsidP="00636AFF">
      <w:pPr>
        <w:pStyle w:val="NormalWeb"/>
        <w:spacing w:line="360" w:lineRule="auto"/>
        <w:rPr>
          <w:rFonts w:ascii="Arial" w:hAnsi="Arial" w:cs="Arial"/>
          <w:color w:val="000000"/>
          <w:sz w:val="22"/>
          <w:szCs w:val="22"/>
        </w:rPr>
      </w:pPr>
      <w:r w:rsidRPr="00E916E1">
        <w:rPr>
          <w:rFonts w:ascii="Arial" w:hAnsi="Arial" w:cs="Arial"/>
          <w:color w:val="000000"/>
          <w:sz w:val="22"/>
          <w:szCs w:val="22"/>
        </w:rPr>
        <w:t>Despite these challenges, campaigns such as Bristol’s Green Infrastructure Programme have had tangible benefits. Residents in areas with increased access to green space report</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improved mental wellbeing, increased physical activity, and stronger social cohesion</w:t>
      </w:r>
      <w:r w:rsidRPr="00E916E1">
        <w:rPr>
          <w:rStyle w:val="apple-converted-space"/>
          <w:rFonts w:ascii="Arial" w:hAnsi="Arial" w:cs="Arial"/>
          <w:color w:val="000000"/>
          <w:sz w:val="22"/>
          <w:szCs w:val="22"/>
        </w:rPr>
        <w:t> </w:t>
      </w:r>
      <w:r w:rsidRPr="00E916E1">
        <w:rPr>
          <w:rFonts w:ascii="Arial" w:hAnsi="Arial" w:cs="Arial"/>
          <w:color w:val="000000"/>
          <w:sz w:val="22"/>
          <w:szCs w:val="22"/>
        </w:rPr>
        <w:t>(Bristol City Council, 2023). However, scaling these successes requires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long-term investment, participatory planning, and integration of health criteria into urban design</w:t>
      </w:r>
      <w:r w:rsidRPr="00E916E1">
        <w:rPr>
          <w:rFonts w:ascii="Arial" w:hAnsi="Arial" w:cs="Arial"/>
          <w:b/>
          <w:bCs/>
          <w:color w:val="000000"/>
          <w:sz w:val="22"/>
          <w:szCs w:val="22"/>
        </w:rPr>
        <w:t>.</w:t>
      </w:r>
      <w:r w:rsidRPr="00E916E1">
        <w:rPr>
          <w:rFonts w:ascii="Arial" w:hAnsi="Arial" w:cs="Arial"/>
          <w:color w:val="000000"/>
          <w:sz w:val="22"/>
          <w:szCs w:val="22"/>
        </w:rPr>
        <w:t xml:space="preserve"> Without systemic commitment, deprived communities risk continued exclusion from the benefits of sustainable cities, undermining both SDG 11 and SDG 3.</w:t>
      </w:r>
    </w:p>
    <w:p w14:paraId="768CC293" w14:textId="314BA589" w:rsidR="001F190A" w:rsidRPr="00E916E1" w:rsidRDefault="001F190A" w:rsidP="00E916E1">
      <w:pPr>
        <w:pStyle w:val="Heading2"/>
        <w:spacing w:line="360" w:lineRule="auto"/>
        <w:rPr>
          <w:rStyle w:val="Strong"/>
          <w:rFonts w:ascii="Arial" w:hAnsi="Arial" w:cs="Arial"/>
          <w:color w:val="000000"/>
          <w:sz w:val="22"/>
          <w:szCs w:val="22"/>
        </w:rPr>
      </w:pPr>
      <w:r w:rsidRPr="00E916E1">
        <w:rPr>
          <w:rStyle w:val="Strong"/>
          <w:rFonts w:ascii="Arial" w:hAnsi="Arial" w:cs="Arial"/>
          <w:color w:val="000000"/>
          <w:sz w:val="22"/>
          <w:szCs w:val="22"/>
        </w:rPr>
        <w:lastRenderedPageBreak/>
        <w:t xml:space="preserve">Recommendations </w:t>
      </w:r>
    </w:p>
    <w:p w14:paraId="3E1A3A8F" w14:textId="77777777" w:rsidR="001902E8" w:rsidRPr="00E916E1" w:rsidRDefault="001902E8" w:rsidP="00E916E1">
      <w:pPr>
        <w:spacing w:line="360" w:lineRule="auto"/>
        <w:rPr>
          <w:rFonts w:ascii="Arial" w:hAnsi="Arial" w:cs="Arial"/>
          <w:sz w:val="22"/>
          <w:szCs w:val="22"/>
        </w:rPr>
      </w:pPr>
    </w:p>
    <w:p w14:paraId="11116FC6" w14:textId="77777777" w:rsidR="001F190A" w:rsidRPr="00E916E1" w:rsidRDefault="001F190A" w:rsidP="00E916E1">
      <w:pPr>
        <w:pStyle w:val="Heading3"/>
        <w:spacing w:line="360" w:lineRule="auto"/>
        <w:rPr>
          <w:rFonts w:ascii="Arial" w:hAnsi="Arial" w:cs="Arial"/>
          <w:color w:val="000000"/>
          <w:sz w:val="22"/>
          <w:szCs w:val="22"/>
        </w:rPr>
      </w:pPr>
      <w:r w:rsidRPr="00E916E1">
        <w:rPr>
          <w:rStyle w:val="Strong"/>
          <w:rFonts w:ascii="Arial" w:hAnsi="Arial" w:cs="Arial"/>
          <w:b w:val="0"/>
          <w:bCs w:val="0"/>
          <w:color w:val="000000"/>
          <w:sz w:val="22"/>
          <w:szCs w:val="22"/>
        </w:rPr>
        <w:t>1. Expand Social Housing Investment</w:t>
      </w:r>
    </w:p>
    <w:p w14:paraId="64F9C7D5" w14:textId="6406853B"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Investing in safe, energy</w:t>
      </w:r>
      <w:r w:rsidR="001902E8" w:rsidRPr="00E916E1">
        <w:rPr>
          <w:rFonts w:ascii="Arial" w:hAnsi="Arial" w:cs="Arial"/>
          <w:color w:val="000000"/>
          <w:sz w:val="22"/>
          <w:szCs w:val="22"/>
        </w:rPr>
        <w:t xml:space="preserve"> </w:t>
      </w:r>
      <w:r w:rsidRPr="00E916E1">
        <w:rPr>
          <w:rFonts w:ascii="Arial" w:hAnsi="Arial" w:cs="Arial"/>
          <w:color w:val="000000"/>
          <w:sz w:val="22"/>
          <w:szCs w:val="22"/>
        </w:rPr>
        <w:t>efficient social housing improves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health, financial security, and environmental outcomes</w:t>
      </w:r>
      <w:r w:rsidRPr="00E916E1">
        <w:rPr>
          <w:rFonts w:ascii="Arial" w:hAnsi="Arial" w:cs="Arial"/>
          <w:b/>
          <w:bCs/>
          <w:color w:val="000000"/>
          <w:sz w:val="22"/>
          <w:szCs w:val="22"/>
        </w:rPr>
        <w:t>.</w:t>
      </w:r>
      <w:r w:rsidRPr="00E916E1">
        <w:rPr>
          <w:rFonts w:ascii="Arial" w:hAnsi="Arial" w:cs="Arial"/>
          <w:color w:val="000000"/>
          <w:sz w:val="22"/>
          <w:szCs w:val="22"/>
        </w:rPr>
        <w:t xml:space="preserve"> Implementation should focus on refurbishing damp, poorly insulated, or unsafe homes, prioritising deprived </w:t>
      </w:r>
      <w:r w:rsidR="001902E8" w:rsidRPr="00E916E1">
        <w:rPr>
          <w:rFonts w:ascii="Arial" w:hAnsi="Arial" w:cs="Arial"/>
          <w:color w:val="000000"/>
          <w:sz w:val="22"/>
          <w:szCs w:val="22"/>
        </w:rPr>
        <w:t>neighbourhoods</w:t>
      </w:r>
      <w:r w:rsidRPr="00E916E1">
        <w:rPr>
          <w:rFonts w:ascii="Arial" w:hAnsi="Arial" w:cs="Arial"/>
          <w:color w:val="000000"/>
          <w:sz w:val="22"/>
          <w:szCs w:val="22"/>
        </w:rPr>
        <w:t>. Aligning housing upgrades with</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Net Zero goals</w:t>
      </w:r>
      <w:r w:rsidRPr="00E916E1">
        <w:rPr>
          <w:rStyle w:val="apple-converted-space"/>
          <w:rFonts w:ascii="Arial" w:hAnsi="Arial" w:cs="Arial"/>
          <w:color w:val="000000"/>
          <w:sz w:val="22"/>
          <w:szCs w:val="22"/>
        </w:rPr>
        <w:t> </w:t>
      </w:r>
      <w:r w:rsidRPr="00E916E1">
        <w:rPr>
          <w:rFonts w:ascii="Arial" w:hAnsi="Arial" w:cs="Arial"/>
          <w:color w:val="000000"/>
          <w:sz w:val="22"/>
          <w:szCs w:val="22"/>
        </w:rPr>
        <w:t>reduces energy costs, decreases emissions, and improves residents’ quality of life. Expected outcomes include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reduced respiratory illness, lower stress levels, and improved mental wellbeing</w:t>
      </w:r>
      <w:r w:rsidRPr="00E916E1">
        <w:rPr>
          <w:rFonts w:ascii="Arial" w:hAnsi="Arial" w:cs="Arial"/>
          <w:b/>
          <w:bCs/>
          <w:color w:val="000000"/>
          <w:sz w:val="22"/>
          <w:szCs w:val="22"/>
        </w:rPr>
        <w:t>,</w:t>
      </w:r>
      <w:r w:rsidRPr="00E916E1">
        <w:rPr>
          <w:rFonts w:ascii="Arial" w:hAnsi="Arial" w:cs="Arial"/>
          <w:color w:val="000000"/>
          <w:sz w:val="22"/>
          <w:szCs w:val="22"/>
        </w:rPr>
        <w:t xml:space="preserve"> demonstrating the intersection of urban sustainability and health.</w:t>
      </w:r>
    </w:p>
    <w:p w14:paraId="5D742C77" w14:textId="77777777" w:rsidR="001F190A" w:rsidRPr="00E916E1" w:rsidRDefault="001F190A" w:rsidP="00E916E1">
      <w:pPr>
        <w:pStyle w:val="Heading3"/>
        <w:spacing w:line="360" w:lineRule="auto"/>
        <w:rPr>
          <w:rFonts w:ascii="Arial" w:hAnsi="Arial" w:cs="Arial"/>
          <w:color w:val="000000"/>
          <w:sz w:val="22"/>
          <w:szCs w:val="22"/>
        </w:rPr>
      </w:pPr>
      <w:r w:rsidRPr="00E916E1">
        <w:rPr>
          <w:rStyle w:val="Strong"/>
          <w:rFonts w:ascii="Arial" w:hAnsi="Arial" w:cs="Arial"/>
          <w:b w:val="0"/>
          <w:bCs w:val="0"/>
          <w:color w:val="000000"/>
          <w:sz w:val="22"/>
          <w:szCs w:val="22"/>
        </w:rPr>
        <w:t>2. Embed Health and Wellbeing Criteria in Urban Planning</w:t>
      </w:r>
    </w:p>
    <w:p w14:paraId="4CDAB542"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Integrating health into urban design ensures cities actively promote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wellbeing, inclusivity, and resilience</w:t>
      </w:r>
      <w:r w:rsidRPr="00E916E1">
        <w:rPr>
          <w:rFonts w:ascii="Arial" w:hAnsi="Arial" w:cs="Arial"/>
          <w:b/>
          <w:bCs/>
          <w:color w:val="000000"/>
          <w:sz w:val="22"/>
          <w:szCs w:val="22"/>
        </w:rPr>
        <w:t>.</w:t>
      </w:r>
      <w:r w:rsidRPr="00E916E1">
        <w:rPr>
          <w:rFonts w:ascii="Arial" w:hAnsi="Arial" w:cs="Arial"/>
          <w:color w:val="000000"/>
          <w:sz w:val="22"/>
          <w:szCs w:val="22"/>
        </w:rPr>
        <w:t xml:space="preserve"> Health impact assessments should guide new developments, while urban spaces should support</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active travel, safe recreation, and accessible green areas</w:t>
      </w:r>
      <w:r w:rsidRPr="00E916E1">
        <w:rPr>
          <w:rFonts w:ascii="Arial" w:hAnsi="Arial" w:cs="Arial"/>
          <w:b/>
          <w:bCs/>
          <w:color w:val="000000"/>
          <w:sz w:val="22"/>
          <w:szCs w:val="22"/>
        </w:rPr>
        <w:t>.</w:t>
      </w:r>
      <w:r w:rsidRPr="00E916E1">
        <w:rPr>
          <w:rFonts w:ascii="Arial" w:hAnsi="Arial" w:cs="Arial"/>
          <w:color w:val="000000"/>
          <w:sz w:val="22"/>
          <w:szCs w:val="22"/>
        </w:rPr>
        <w:t xml:space="preserve"> Engaging communities in planning decisions enhances inclusion, accountability, and ownership of urban improvements. These strategies increase physical activity, reduce chronic disease, and foster sustainable, liveable cities where residents thrive.</w:t>
      </w:r>
    </w:p>
    <w:p w14:paraId="7D68919F" w14:textId="21E72225" w:rsidR="001F190A" w:rsidRPr="00E916E1" w:rsidRDefault="001F190A" w:rsidP="00E916E1">
      <w:pPr>
        <w:spacing w:line="360" w:lineRule="auto"/>
        <w:rPr>
          <w:rFonts w:ascii="Arial" w:hAnsi="Arial" w:cs="Arial"/>
          <w:sz w:val="22"/>
          <w:szCs w:val="22"/>
        </w:rPr>
      </w:pPr>
    </w:p>
    <w:p w14:paraId="2FA76923" w14:textId="46DD047B" w:rsidR="001F190A" w:rsidRPr="00E916E1" w:rsidRDefault="001F190A" w:rsidP="00E916E1">
      <w:pPr>
        <w:pStyle w:val="Heading2"/>
        <w:spacing w:line="360" w:lineRule="auto"/>
        <w:rPr>
          <w:rFonts w:ascii="Arial" w:hAnsi="Arial" w:cs="Arial"/>
          <w:color w:val="000000"/>
          <w:sz w:val="22"/>
          <w:szCs w:val="22"/>
        </w:rPr>
      </w:pPr>
      <w:r w:rsidRPr="00E916E1">
        <w:rPr>
          <w:rStyle w:val="Strong"/>
          <w:rFonts w:ascii="Arial" w:hAnsi="Arial" w:cs="Arial"/>
          <w:color w:val="000000"/>
          <w:sz w:val="22"/>
          <w:szCs w:val="22"/>
        </w:rPr>
        <w:t>Conclusion</w:t>
      </w:r>
    </w:p>
    <w:p w14:paraId="564381D6" w14:textId="341C906A"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SDG 3 and SDG 11 are mutually reinforcing:</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healthy populations require sustainable, safe urban environments</w:t>
      </w:r>
      <w:r w:rsidRPr="00E916E1">
        <w:rPr>
          <w:rFonts w:ascii="Arial" w:hAnsi="Arial" w:cs="Arial"/>
          <w:b/>
          <w:bCs/>
          <w:color w:val="000000"/>
          <w:sz w:val="22"/>
          <w:szCs w:val="22"/>
        </w:rPr>
        <w:t>,</w:t>
      </w:r>
      <w:r w:rsidRPr="00E916E1">
        <w:rPr>
          <w:rFonts w:ascii="Arial" w:hAnsi="Arial" w:cs="Arial"/>
          <w:color w:val="000000"/>
          <w:sz w:val="22"/>
          <w:szCs w:val="22"/>
        </w:rPr>
        <w:t xml:space="preserve"> and equitable, inclusive cities cannot thrive without robust health systems. Local initiatives, such as the</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Greater Manchester Healthy Minds Programme</w:t>
      </w:r>
      <w:r w:rsidRPr="00E916E1">
        <w:rPr>
          <w:rStyle w:val="apple-converted-space"/>
          <w:rFonts w:ascii="Arial" w:hAnsi="Arial" w:cs="Arial"/>
          <w:b/>
          <w:bCs/>
          <w:color w:val="000000"/>
          <w:sz w:val="22"/>
          <w:szCs w:val="22"/>
        </w:rPr>
        <w:t> </w:t>
      </w:r>
      <w:r w:rsidRPr="00E916E1">
        <w:rPr>
          <w:rFonts w:ascii="Arial" w:hAnsi="Arial" w:cs="Arial"/>
          <w:color w:val="000000"/>
          <w:sz w:val="22"/>
          <w:szCs w:val="22"/>
        </w:rPr>
        <w:t>and</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Bristol’s Green Infrastructure Programme</w:t>
      </w:r>
      <w:r w:rsidRPr="00E916E1">
        <w:rPr>
          <w:rFonts w:ascii="Arial" w:hAnsi="Arial" w:cs="Arial"/>
          <w:color w:val="000000"/>
          <w:sz w:val="22"/>
          <w:szCs w:val="22"/>
        </w:rPr>
        <w:t>, demonstrate that</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community-led, human-centred approaches</w:t>
      </w:r>
      <w:r w:rsidRPr="00E916E1">
        <w:rPr>
          <w:rStyle w:val="apple-converted-space"/>
          <w:rFonts w:ascii="Arial" w:hAnsi="Arial" w:cs="Arial"/>
          <w:color w:val="000000"/>
          <w:sz w:val="22"/>
          <w:szCs w:val="22"/>
        </w:rPr>
        <w:t> </w:t>
      </w:r>
      <w:r w:rsidRPr="00E916E1">
        <w:rPr>
          <w:rFonts w:ascii="Arial" w:hAnsi="Arial" w:cs="Arial"/>
          <w:color w:val="000000"/>
          <w:sz w:val="22"/>
          <w:szCs w:val="22"/>
        </w:rPr>
        <w:t>can deliver measurable improvements in health and urban sustainability.</w:t>
      </w:r>
      <w:r w:rsidR="001902E8" w:rsidRPr="00E916E1">
        <w:rPr>
          <w:rFonts w:ascii="Arial" w:hAnsi="Arial" w:cs="Arial"/>
          <w:color w:val="000000"/>
          <w:sz w:val="22"/>
          <w:szCs w:val="22"/>
        </w:rPr>
        <w:t xml:space="preserve"> </w:t>
      </w:r>
      <w:r w:rsidRPr="00E916E1">
        <w:rPr>
          <w:rFonts w:ascii="Arial" w:hAnsi="Arial" w:cs="Arial"/>
          <w:color w:val="000000"/>
          <w:sz w:val="22"/>
          <w:szCs w:val="22"/>
        </w:rPr>
        <w:t>Achieving these goals demands</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systems-based, cross-sectoral strategies</w:t>
      </w:r>
      <w:r w:rsidRPr="00E916E1">
        <w:rPr>
          <w:rStyle w:val="apple-converted-space"/>
          <w:rFonts w:ascii="Arial" w:hAnsi="Arial" w:cs="Arial"/>
          <w:color w:val="000000"/>
          <w:sz w:val="22"/>
          <w:szCs w:val="22"/>
        </w:rPr>
        <w:t> </w:t>
      </w:r>
      <w:r w:rsidRPr="00E916E1">
        <w:rPr>
          <w:rFonts w:ascii="Arial" w:hAnsi="Arial" w:cs="Arial"/>
          <w:color w:val="000000"/>
          <w:sz w:val="22"/>
          <w:szCs w:val="22"/>
        </w:rPr>
        <w:t>that empower communities, strengthen local authorities, and align health, housing, and environmental policies. Investing in</w:t>
      </w:r>
      <w:r w:rsidRPr="00E916E1">
        <w:rPr>
          <w:rStyle w:val="apple-converted-space"/>
          <w:rFonts w:ascii="Arial" w:hAnsi="Arial" w:cs="Arial"/>
          <w:color w:val="000000"/>
          <w:sz w:val="22"/>
          <w:szCs w:val="22"/>
        </w:rPr>
        <w:t> </w:t>
      </w:r>
      <w:r w:rsidRPr="00E916E1">
        <w:rPr>
          <w:rStyle w:val="Strong"/>
          <w:rFonts w:ascii="Arial" w:hAnsi="Arial" w:cs="Arial"/>
          <w:b w:val="0"/>
          <w:bCs w:val="0"/>
          <w:color w:val="000000"/>
          <w:sz w:val="22"/>
          <w:szCs w:val="22"/>
        </w:rPr>
        <w:t>local public health, climate-resilient health infrastructure, social housing, and health-focused urban planning</w:t>
      </w:r>
      <w:r w:rsidRPr="00E916E1">
        <w:rPr>
          <w:rStyle w:val="apple-converted-space"/>
          <w:rFonts w:ascii="Arial" w:hAnsi="Arial" w:cs="Arial"/>
          <w:color w:val="000000"/>
          <w:sz w:val="22"/>
          <w:szCs w:val="22"/>
        </w:rPr>
        <w:t> </w:t>
      </w:r>
      <w:r w:rsidRPr="00E916E1">
        <w:rPr>
          <w:rFonts w:ascii="Arial" w:hAnsi="Arial" w:cs="Arial"/>
          <w:color w:val="000000"/>
          <w:sz w:val="22"/>
          <w:szCs w:val="22"/>
        </w:rPr>
        <w:t>ensures that SDG 3 and SDG 11 objectives translate into meaningful, everyday outcomes for residents. By fostering equitable, sustainable, and healthy urban spaces, the UK can model a practical pathway toward the integrated vision of the SDGs.</w:t>
      </w:r>
    </w:p>
    <w:p w14:paraId="76D8C249" w14:textId="3468324C" w:rsidR="001F190A" w:rsidRPr="00E916E1" w:rsidRDefault="001902E8" w:rsidP="00E916E1">
      <w:pPr>
        <w:pStyle w:val="Heading2"/>
        <w:spacing w:line="360" w:lineRule="auto"/>
        <w:rPr>
          <w:rFonts w:ascii="Arial" w:hAnsi="Arial" w:cs="Arial"/>
          <w:color w:val="000000"/>
          <w:sz w:val="22"/>
          <w:szCs w:val="22"/>
        </w:rPr>
      </w:pPr>
      <w:r w:rsidRPr="00E916E1">
        <w:rPr>
          <w:rStyle w:val="Strong"/>
          <w:rFonts w:ascii="Arial" w:hAnsi="Arial" w:cs="Arial"/>
          <w:b w:val="0"/>
          <w:bCs w:val="0"/>
          <w:color w:val="000000"/>
          <w:sz w:val="22"/>
          <w:szCs w:val="22"/>
        </w:rPr>
        <w:lastRenderedPageBreak/>
        <w:t xml:space="preserve">                                                        </w:t>
      </w:r>
      <w:r w:rsidR="001F190A" w:rsidRPr="00E916E1">
        <w:rPr>
          <w:rStyle w:val="Strong"/>
          <w:rFonts w:ascii="Arial" w:hAnsi="Arial" w:cs="Arial"/>
          <w:b w:val="0"/>
          <w:bCs w:val="0"/>
          <w:color w:val="000000"/>
          <w:sz w:val="22"/>
          <w:szCs w:val="22"/>
        </w:rPr>
        <w:t>Mapping Table</w:t>
      </w:r>
    </w:p>
    <w:tbl>
      <w:tblPr>
        <w:tblStyle w:val="TableGrid"/>
        <w:tblW w:w="10774" w:type="dxa"/>
        <w:tblInd w:w="-714" w:type="dxa"/>
        <w:tblLook w:val="04A0" w:firstRow="1" w:lastRow="0" w:firstColumn="1" w:lastColumn="0" w:noHBand="0" w:noVBand="1"/>
      </w:tblPr>
      <w:tblGrid>
        <w:gridCol w:w="1870"/>
        <w:gridCol w:w="2754"/>
        <w:gridCol w:w="2389"/>
        <w:gridCol w:w="3761"/>
      </w:tblGrid>
      <w:tr w:rsidR="001F190A" w:rsidRPr="00E916E1" w14:paraId="74F22919" w14:textId="77777777" w:rsidTr="00E916E1">
        <w:tc>
          <w:tcPr>
            <w:tcW w:w="1870" w:type="dxa"/>
            <w:hideMark/>
          </w:tcPr>
          <w:p w14:paraId="74A258A9" w14:textId="77777777" w:rsidR="001F190A" w:rsidRPr="00E916E1" w:rsidRDefault="001F190A" w:rsidP="00E916E1">
            <w:pPr>
              <w:spacing w:line="360" w:lineRule="auto"/>
              <w:jc w:val="center"/>
              <w:rPr>
                <w:rFonts w:ascii="Arial" w:hAnsi="Arial" w:cs="Arial"/>
                <w:b/>
                <w:bCs/>
                <w:sz w:val="22"/>
                <w:szCs w:val="22"/>
              </w:rPr>
            </w:pPr>
            <w:r w:rsidRPr="00E916E1">
              <w:rPr>
                <w:rFonts w:ascii="Arial" w:hAnsi="Arial" w:cs="Arial"/>
                <w:b/>
                <w:bCs/>
                <w:sz w:val="22"/>
                <w:szCs w:val="22"/>
              </w:rPr>
              <w:t>Level</w:t>
            </w:r>
          </w:p>
        </w:tc>
        <w:tc>
          <w:tcPr>
            <w:tcW w:w="0" w:type="auto"/>
            <w:hideMark/>
          </w:tcPr>
          <w:p w14:paraId="13304C33" w14:textId="77777777" w:rsidR="001F190A" w:rsidRPr="00E916E1" w:rsidRDefault="001F190A" w:rsidP="00E916E1">
            <w:pPr>
              <w:spacing w:line="360" w:lineRule="auto"/>
              <w:jc w:val="center"/>
              <w:rPr>
                <w:rFonts w:ascii="Arial" w:hAnsi="Arial" w:cs="Arial"/>
                <w:b/>
                <w:bCs/>
                <w:sz w:val="22"/>
                <w:szCs w:val="22"/>
              </w:rPr>
            </w:pPr>
            <w:r w:rsidRPr="00E916E1">
              <w:rPr>
                <w:rFonts w:ascii="Arial" w:hAnsi="Arial" w:cs="Arial"/>
                <w:b/>
                <w:bCs/>
                <w:sz w:val="22"/>
                <w:szCs w:val="22"/>
              </w:rPr>
              <w:t>SDG 3: Good Health &amp; Wellbeing</w:t>
            </w:r>
          </w:p>
        </w:tc>
        <w:tc>
          <w:tcPr>
            <w:tcW w:w="0" w:type="auto"/>
            <w:hideMark/>
          </w:tcPr>
          <w:p w14:paraId="3EE7FD4B" w14:textId="77777777" w:rsidR="001F190A" w:rsidRPr="00E916E1" w:rsidRDefault="001F190A" w:rsidP="00E916E1">
            <w:pPr>
              <w:spacing w:line="360" w:lineRule="auto"/>
              <w:jc w:val="center"/>
              <w:rPr>
                <w:rFonts w:ascii="Arial" w:hAnsi="Arial" w:cs="Arial"/>
                <w:b/>
                <w:bCs/>
                <w:sz w:val="22"/>
                <w:szCs w:val="22"/>
              </w:rPr>
            </w:pPr>
            <w:r w:rsidRPr="00E916E1">
              <w:rPr>
                <w:rFonts w:ascii="Arial" w:hAnsi="Arial" w:cs="Arial"/>
                <w:b/>
                <w:bCs/>
                <w:sz w:val="22"/>
                <w:szCs w:val="22"/>
              </w:rPr>
              <w:t>SDG 11: Sustainable Cities &amp; Communities</w:t>
            </w:r>
          </w:p>
        </w:tc>
        <w:tc>
          <w:tcPr>
            <w:tcW w:w="3761" w:type="dxa"/>
            <w:hideMark/>
          </w:tcPr>
          <w:p w14:paraId="64ED0BFF" w14:textId="77777777" w:rsidR="001F190A" w:rsidRPr="00E916E1" w:rsidRDefault="001F190A" w:rsidP="00E916E1">
            <w:pPr>
              <w:spacing w:line="360" w:lineRule="auto"/>
              <w:jc w:val="center"/>
              <w:rPr>
                <w:rFonts w:ascii="Arial" w:hAnsi="Arial" w:cs="Arial"/>
                <w:b/>
                <w:bCs/>
                <w:sz w:val="22"/>
                <w:szCs w:val="22"/>
              </w:rPr>
            </w:pPr>
            <w:r w:rsidRPr="00E916E1">
              <w:rPr>
                <w:rFonts w:ascii="Arial" w:hAnsi="Arial" w:cs="Arial"/>
                <w:b/>
                <w:bCs/>
                <w:sz w:val="22"/>
                <w:szCs w:val="22"/>
              </w:rPr>
              <w:t>Integration Points</w:t>
            </w:r>
          </w:p>
        </w:tc>
      </w:tr>
      <w:tr w:rsidR="001F190A" w:rsidRPr="00E916E1" w14:paraId="1C5B42F5" w14:textId="77777777" w:rsidTr="00E916E1">
        <w:tc>
          <w:tcPr>
            <w:tcW w:w="1870" w:type="dxa"/>
            <w:hideMark/>
          </w:tcPr>
          <w:p w14:paraId="091FA0C4" w14:textId="77777777" w:rsidR="001F190A" w:rsidRPr="00E916E1" w:rsidRDefault="001F190A" w:rsidP="00E916E1">
            <w:pPr>
              <w:spacing w:line="360" w:lineRule="auto"/>
              <w:rPr>
                <w:rFonts w:ascii="Arial" w:hAnsi="Arial" w:cs="Arial"/>
                <w:sz w:val="22"/>
                <w:szCs w:val="22"/>
              </w:rPr>
            </w:pPr>
            <w:r w:rsidRPr="00E916E1">
              <w:rPr>
                <w:rStyle w:val="Strong"/>
                <w:rFonts w:ascii="Arial" w:hAnsi="Arial" w:cs="Arial"/>
                <w:sz w:val="22"/>
                <w:szCs w:val="22"/>
              </w:rPr>
              <w:t>Global</w:t>
            </w:r>
          </w:p>
        </w:tc>
        <w:tc>
          <w:tcPr>
            <w:tcW w:w="0" w:type="auto"/>
            <w:hideMark/>
          </w:tcPr>
          <w:p w14:paraId="1D673C46" w14:textId="77777777" w:rsidR="001F190A" w:rsidRPr="00E916E1" w:rsidRDefault="001F190A" w:rsidP="00E916E1">
            <w:pPr>
              <w:spacing w:line="360" w:lineRule="auto"/>
              <w:rPr>
                <w:rFonts w:ascii="Arial" w:hAnsi="Arial" w:cs="Arial"/>
                <w:sz w:val="22"/>
                <w:szCs w:val="22"/>
              </w:rPr>
            </w:pPr>
            <w:r w:rsidRPr="00E916E1">
              <w:rPr>
                <w:rFonts w:ascii="Arial" w:hAnsi="Arial" w:cs="Arial"/>
                <w:sz w:val="22"/>
                <w:szCs w:val="22"/>
              </w:rPr>
              <w:t>WHO Global Action Plan (2018); WHO Health &amp; Climate Change Strategy (2021)</w:t>
            </w:r>
          </w:p>
        </w:tc>
        <w:tc>
          <w:tcPr>
            <w:tcW w:w="0" w:type="auto"/>
            <w:hideMark/>
          </w:tcPr>
          <w:p w14:paraId="1C7FFE55" w14:textId="77777777" w:rsidR="001F190A" w:rsidRPr="00E916E1" w:rsidRDefault="001F190A" w:rsidP="00E916E1">
            <w:pPr>
              <w:spacing w:line="360" w:lineRule="auto"/>
              <w:rPr>
                <w:rFonts w:ascii="Arial" w:hAnsi="Arial" w:cs="Arial"/>
                <w:sz w:val="22"/>
                <w:szCs w:val="22"/>
              </w:rPr>
            </w:pPr>
            <w:r w:rsidRPr="00E916E1">
              <w:rPr>
                <w:rFonts w:ascii="Arial" w:hAnsi="Arial" w:cs="Arial"/>
                <w:sz w:val="22"/>
                <w:szCs w:val="22"/>
              </w:rPr>
              <w:t>UN-Habitat New Urban Agenda (2016); World Cities Report (2020, 2024)</w:t>
            </w:r>
          </w:p>
        </w:tc>
        <w:tc>
          <w:tcPr>
            <w:tcW w:w="3761" w:type="dxa"/>
            <w:hideMark/>
          </w:tcPr>
          <w:p w14:paraId="754CBF7E" w14:textId="77777777" w:rsidR="001F190A" w:rsidRPr="00E916E1" w:rsidRDefault="001F190A" w:rsidP="00E916E1">
            <w:pPr>
              <w:spacing w:line="360" w:lineRule="auto"/>
              <w:rPr>
                <w:rFonts w:ascii="Arial" w:hAnsi="Arial" w:cs="Arial"/>
                <w:sz w:val="22"/>
                <w:szCs w:val="22"/>
              </w:rPr>
            </w:pPr>
            <w:r w:rsidRPr="00E916E1">
              <w:rPr>
                <w:rFonts w:ascii="Arial" w:hAnsi="Arial" w:cs="Arial"/>
                <w:sz w:val="22"/>
                <w:szCs w:val="22"/>
              </w:rPr>
              <w:t>Equity, resilience, and health-enabling urban design</w:t>
            </w:r>
          </w:p>
        </w:tc>
      </w:tr>
      <w:tr w:rsidR="001F190A" w:rsidRPr="00E916E1" w14:paraId="3A322DE8" w14:textId="77777777" w:rsidTr="00E916E1">
        <w:tc>
          <w:tcPr>
            <w:tcW w:w="1870" w:type="dxa"/>
            <w:hideMark/>
          </w:tcPr>
          <w:p w14:paraId="74245FFB" w14:textId="77777777" w:rsidR="001F190A" w:rsidRPr="00E916E1" w:rsidRDefault="001F190A" w:rsidP="00E916E1">
            <w:pPr>
              <w:spacing w:line="360" w:lineRule="auto"/>
              <w:rPr>
                <w:rFonts w:ascii="Arial" w:hAnsi="Arial" w:cs="Arial"/>
                <w:sz w:val="22"/>
                <w:szCs w:val="22"/>
              </w:rPr>
            </w:pPr>
            <w:r w:rsidRPr="00E916E1">
              <w:rPr>
                <w:rStyle w:val="Strong"/>
                <w:rFonts w:ascii="Arial" w:hAnsi="Arial" w:cs="Arial"/>
                <w:sz w:val="22"/>
                <w:szCs w:val="22"/>
              </w:rPr>
              <w:t>National (UK)</w:t>
            </w:r>
          </w:p>
        </w:tc>
        <w:tc>
          <w:tcPr>
            <w:tcW w:w="0" w:type="auto"/>
            <w:hideMark/>
          </w:tcPr>
          <w:p w14:paraId="32831C1E" w14:textId="77777777" w:rsidR="001F190A" w:rsidRPr="00E916E1" w:rsidRDefault="001F190A" w:rsidP="00E916E1">
            <w:pPr>
              <w:spacing w:line="360" w:lineRule="auto"/>
              <w:rPr>
                <w:rFonts w:ascii="Arial" w:hAnsi="Arial" w:cs="Arial"/>
                <w:sz w:val="22"/>
                <w:szCs w:val="22"/>
              </w:rPr>
            </w:pPr>
            <w:r w:rsidRPr="00E916E1">
              <w:rPr>
                <w:rFonts w:ascii="Arial" w:hAnsi="Arial" w:cs="Arial"/>
                <w:sz w:val="22"/>
                <w:szCs w:val="22"/>
              </w:rPr>
              <w:t>NHS Long Term Plan (2021); Core20PLUS5 (2022); Health &amp; Wellbeing Framework (DHSC, 2023)</w:t>
            </w:r>
          </w:p>
        </w:tc>
        <w:tc>
          <w:tcPr>
            <w:tcW w:w="0" w:type="auto"/>
            <w:hideMark/>
          </w:tcPr>
          <w:p w14:paraId="6ADA6F28" w14:textId="77777777" w:rsidR="001F190A" w:rsidRPr="00E916E1" w:rsidRDefault="001F190A" w:rsidP="00E916E1">
            <w:pPr>
              <w:spacing w:line="360" w:lineRule="auto"/>
              <w:rPr>
                <w:rFonts w:ascii="Arial" w:hAnsi="Arial" w:cs="Arial"/>
                <w:sz w:val="22"/>
                <w:szCs w:val="22"/>
              </w:rPr>
            </w:pPr>
            <w:r w:rsidRPr="00E916E1">
              <w:rPr>
                <w:rFonts w:ascii="Arial" w:hAnsi="Arial" w:cs="Arial"/>
                <w:sz w:val="22"/>
                <w:szCs w:val="22"/>
              </w:rPr>
              <w:t xml:space="preserve">Levelling Up Act (2023); Net Zero Strategy (2022); </w:t>
            </w:r>
            <w:proofErr w:type="spellStart"/>
            <w:r w:rsidRPr="00E916E1">
              <w:rPr>
                <w:rFonts w:ascii="Arial" w:hAnsi="Arial" w:cs="Arial"/>
                <w:sz w:val="22"/>
                <w:szCs w:val="22"/>
              </w:rPr>
              <w:t>Awaab’s</w:t>
            </w:r>
            <w:proofErr w:type="spellEnd"/>
            <w:r w:rsidRPr="00E916E1">
              <w:rPr>
                <w:rFonts w:ascii="Arial" w:hAnsi="Arial" w:cs="Arial"/>
                <w:sz w:val="22"/>
                <w:szCs w:val="22"/>
              </w:rPr>
              <w:t xml:space="preserve"> Law (2023)</w:t>
            </w:r>
          </w:p>
        </w:tc>
        <w:tc>
          <w:tcPr>
            <w:tcW w:w="3761" w:type="dxa"/>
            <w:hideMark/>
          </w:tcPr>
          <w:p w14:paraId="58E73D94" w14:textId="77777777" w:rsidR="001F190A" w:rsidRPr="00E916E1" w:rsidRDefault="001F190A" w:rsidP="00E916E1">
            <w:pPr>
              <w:spacing w:line="360" w:lineRule="auto"/>
              <w:rPr>
                <w:rFonts w:ascii="Arial" w:hAnsi="Arial" w:cs="Arial"/>
                <w:sz w:val="22"/>
                <w:szCs w:val="22"/>
              </w:rPr>
            </w:pPr>
            <w:r w:rsidRPr="00E916E1">
              <w:rPr>
                <w:rFonts w:ascii="Arial" w:hAnsi="Arial" w:cs="Arial"/>
                <w:sz w:val="22"/>
                <w:szCs w:val="22"/>
              </w:rPr>
              <w:t>Policies link health, housing, and environment; delivered via councils and NHS partnerships</w:t>
            </w:r>
          </w:p>
        </w:tc>
      </w:tr>
      <w:tr w:rsidR="001F190A" w:rsidRPr="00E916E1" w14:paraId="4F7D5FDE" w14:textId="77777777" w:rsidTr="00E916E1">
        <w:tc>
          <w:tcPr>
            <w:tcW w:w="1870" w:type="dxa"/>
            <w:hideMark/>
          </w:tcPr>
          <w:p w14:paraId="321800A3" w14:textId="77777777" w:rsidR="001F190A" w:rsidRPr="00E916E1" w:rsidRDefault="001F190A" w:rsidP="00E916E1">
            <w:pPr>
              <w:spacing w:line="360" w:lineRule="auto"/>
              <w:rPr>
                <w:rFonts w:ascii="Arial" w:hAnsi="Arial" w:cs="Arial"/>
                <w:sz w:val="22"/>
                <w:szCs w:val="22"/>
              </w:rPr>
            </w:pPr>
            <w:r w:rsidRPr="00E916E1">
              <w:rPr>
                <w:rStyle w:val="Strong"/>
                <w:rFonts w:ascii="Arial" w:hAnsi="Arial" w:cs="Arial"/>
                <w:sz w:val="22"/>
                <w:szCs w:val="22"/>
              </w:rPr>
              <w:t>Local</w:t>
            </w:r>
          </w:p>
        </w:tc>
        <w:tc>
          <w:tcPr>
            <w:tcW w:w="0" w:type="auto"/>
            <w:hideMark/>
          </w:tcPr>
          <w:p w14:paraId="5DDD4182" w14:textId="77777777" w:rsidR="001F190A" w:rsidRPr="00E916E1" w:rsidRDefault="001F190A" w:rsidP="00E916E1">
            <w:pPr>
              <w:spacing w:line="360" w:lineRule="auto"/>
              <w:rPr>
                <w:rFonts w:ascii="Arial" w:hAnsi="Arial" w:cs="Arial"/>
                <w:sz w:val="22"/>
                <w:szCs w:val="22"/>
              </w:rPr>
            </w:pPr>
            <w:r w:rsidRPr="00E916E1">
              <w:rPr>
                <w:rFonts w:ascii="Arial" w:hAnsi="Arial" w:cs="Arial"/>
                <w:sz w:val="22"/>
                <w:szCs w:val="22"/>
              </w:rPr>
              <w:t>Greater Manchester Healthy Minds Programme</w:t>
            </w:r>
          </w:p>
        </w:tc>
        <w:tc>
          <w:tcPr>
            <w:tcW w:w="0" w:type="auto"/>
            <w:hideMark/>
          </w:tcPr>
          <w:p w14:paraId="0C26FF55" w14:textId="77777777" w:rsidR="001F190A" w:rsidRPr="00E916E1" w:rsidRDefault="001F190A" w:rsidP="00E916E1">
            <w:pPr>
              <w:spacing w:line="360" w:lineRule="auto"/>
              <w:rPr>
                <w:rFonts w:ascii="Arial" w:hAnsi="Arial" w:cs="Arial"/>
                <w:sz w:val="22"/>
                <w:szCs w:val="22"/>
              </w:rPr>
            </w:pPr>
            <w:r w:rsidRPr="00E916E1">
              <w:rPr>
                <w:rFonts w:ascii="Arial" w:hAnsi="Arial" w:cs="Arial"/>
                <w:sz w:val="22"/>
                <w:szCs w:val="22"/>
              </w:rPr>
              <w:t>Bristol One City Plan &amp; Green Infrastructure Programme</w:t>
            </w:r>
          </w:p>
        </w:tc>
        <w:tc>
          <w:tcPr>
            <w:tcW w:w="3761" w:type="dxa"/>
            <w:hideMark/>
          </w:tcPr>
          <w:p w14:paraId="4F1E10F5" w14:textId="77777777" w:rsidR="001F190A" w:rsidRPr="00E916E1" w:rsidRDefault="001F190A" w:rsidP="00E916E1">
            <w:pPr>
              <w:spacing w:line="360" w:lineRule="auto"/>
              <w:rPr>
                <w:rFonts w:ascii="Arial" w:hAnsi="Arial" w:cs="Arial"/>
                <w:sz w:val="22"/>
                <w:szCs w:val="22"/>
              </w:rPr>
            </w:pPr>
            <w:r w:rsidRPr="00E916E1">
              <w:rPr>
                <w:rFonts w:ascii="Arial" w:hAnsi="Arial" w:cs="Arial"/>
                <w:sz w:val="22"/>
                <w:szCs w:val="22"/>
              </w:rPr>
              <w:t>Integrated governance reduces inequalities, improves wellbeing, and supports sustainable urban planning</w:t>
            </w:r>
          </w:p>
        </w:tc>
      </w:tr>
    </w:tbl>
    <w:p w14:paraId="2A96D478" w14:textId="7761BCA8" w:rsidR="00D44D9B" w:rsidRPr="00E916E1" w:rsidRDefault="00D44D9B" w:rsidP="00E916E1">
      <w:pPr>
        <w:spacing w:line="360" w:lineRule="auto"/>
        <w:rPr>
          <w:rFonts w:ascii="Arial" w:hAnsi="Arial" w:cs="Arial"/>
          <w:sz w:val="22"/>
          <w:szCs w:val="22"/>
        </w:rPr>
      </w:pPr>
    </w:p>
    <w:p w14:paraId="7B8F7AA7" w14:textId="1841D562" w:rsidR="00D44D9B" w:rsidRPr="00E916E1" w:rsidRDefault="00D44D9B" w:rsidP="00E916E1">
      <w:pPr>
        <w:spacing w:line="360" w:lineRule="auto"/>
        <w:rPr>
          <w:rFonts w:ascii="Arial" w:hAnsi="Arial" w:cs="Arial"/>
          <w:sz w:val="22"/>
          <w:szCs w:val="22"/>
        </w:rPr>
      </w:pPr>
    </w:p>
    <w:p w14:paraId="30A3CC9F" w14:textId="16EDB632" w:rsidR="00121C67" w:rsidRPr="00E916E1" w:rsidRDefault="00121C67" w:rsidP="00E916E1">
      <w:pPr>
        <w:spacing w:line="360" w:lineRule="auto"/>
        <w:rPr>
          <w:rFonts w:ascii="Arial" w:hAnsi="Arial" w:cs="Arial"/>
          <w:sz w:val="22"/>
          <w:szCs w:val="22"/>
        </w:rPr>
      </w:pPr>
    </w:p>
    <w:p w14:paraId="38736C1D" w14:textId="3F07671B" w:rsidR="00121C67" w:rsidRPr="00E916E1" w:rsidRDefault="00121C67" w:rsidP="00E916E1">
      <w:pPr>
        <w:spacing w:line="360" w:lineRule="auto"/>
        <w:rPr>
          <w:rFonts w:ascii="Arial" w:hAnsi="Arial" w:cs="Arial"/>
          <w:sz w:val="22"/>
          <w:szCs w:val="22"/>
        </w:rPr>
      </w:pPr>
    </w:p>
    <w:p w14:paraId="1A0B5718" w14:textId="4018F6DB" w:rsidR="00121C67" w:rsidRPr="00E916E1" w:rsidRDefault="00121C67" w:rsidP="00E916E1">
      <w:pPr>
        <w:spacing w:line="360" w:lineRule="auto"/>
        <w:rPr>
          <w:rFonts w:ascii="Arial" w:hAnsi="Arial" w:cs="Arial"/>
          <w:sz w:val="22"/>
          <w:szCs w:val="22"/>
        </w:rPr>
      </w:pPr>
    </w:p>
    <w:p w14:paraId="18C2FFCF" w14:textId="0BDC7049" w:rsidR="00121C67" w:rsidRPr="00E916E1" w:rsidRDefault="00121C67" w:rsidP="00E916E1">
      <w:pPr>
        <w:spacing w:line="360" w:lineRule="auto"/>
        <w:rPr>
          <w:rFonts w:ascii="Arial" w:hAnsi="Arial" w:cs="Arial"/>
          <w:sz w:val="22"/>
          <w:szCs w:val="22"/>
        </w:rPr>
      </w:pPr>
    </w:p>
    <w:p w14:paraId="22CC49F5" w14:textId="123E00A4" w:rsidR="00121C67" w:rsidRPr="00E916E1" w:rsidRDefault="00121C67" w:rsidP="00E916E1">
      <w:pPr>
        <w:spacing w:line="360" w:lineRule="auto"/>
        <w:rPr>
          <w:rFonts w:ascii="Arial" w:hAnsi="Arial" w:cs="Arial"/>
          <w:sz w:val="22"/>
          <w:szCs w:val="22"/>
        </w:rPr>
      </w:pPr>
    </w:p>
    <w:p w14:paraId="6FAB55BD" w14:textId="77777777" w:rsidR="00121C67" w:rsidRPr="00E916E1" w:rsidRDefault="00121C67" w:rsidP="00E916E1">
      <w:pPr>
        <w:spacing w:line="360" w:lineRule="auto"/>
        <w:rPr>
          <w:rFonts w:ascii="Arial" w:hAnsi="Arial" w:cs="Arial"/>
          <w:sz w:val="22"/>
          <w:szCs w:val="22"/>
        </w:rPr>
      </w:pPr>
    </w:p>
    <w:p w14:paraId="14FFA4BA" w14:textId="1C5E5A43" w:rsidR="00D44D9B" w:rsidRPr="00E916E1" w:rsidRDefault="00D44D9B" w:rsidP="00E916E1">
      <w:pPr>
        <w:spacing w:line="360" w:lineRule="auto"/>
        <w:rPr>
          <w:rFonts w:ascii="Arial" w:hAnsi="Arial" w:cs="Arial"/>
          <w:sz w:val="22"/>
          <w:szCs w:val="22"/>
        </w:rPr>
      </w:pPr>
    </w:p>
    <w:p w14:paraId="6AB98F35" w14:textId="6BB7E068" w:rsidR="001902E8" w:rsidRPr="00E916E1" w:rsidRDefault="001902E8" w:rsidP="00E916E1">
      <w:pPr>
        <w:spacing w:line="360" w:lineRule="auto"/>
        <w:rPr>
          <w:rFonts w:ascii="Arial" w:hAnsi="Arial" w:cs="Arial"/>
          <w:sz w:val="22"/>
          <w:szCs w:val="22"/>
        </w:rPr>
      </w:pPr>
    </w:p>
    <w:p w14:paraId="0828F52A" w14:textId="2651F7A5" w:rsidR="001902E8" w:rsidRPr="00E916E1" w:rsidRDefault="001902E8" w:rsidP="00E916E1">
      <w:pPr>
        <w:spacing w:line="360" w:lineRule="auto"/>
        <w:rPr>
          <w:rFonts w:ascii="Arial" w:hAnsi="Arial" w:cs="Arial"/>
          <w:sz w:val="22"/>
          <w:szCs w:val="22"/>
        </w:rPr>
      </w:pPr>
    </w:p>
    <w:p w14:paraId="31962EF0" w14:textId="6993774A" w:rsidR="001902E8" w:rsidRPr="00E916E1" w:rsidRDefault="001902E8" w:rsidP="00E916E1">
      <w:pPr>
        <w:spacing w:line="360" w:lineRule="auto"/>
        <w:rPr>
          <w:rFonts w:ascii="Arial" w:hAnsi="Arial" w:cs="Arial"/>
          <w:sz w:val="22"/>
          <w:szCs w:val="22"/>
        </w:rPr>
      </w:pPr>
    </w:p>
    <w:p w14:paraId="5954445F" w14:textId="10CFDF55" w:rsidR="001902E8" w:rsidRPr="00E916E1" w:rsidRDefault="001902E8" w:rsidP="00E916E1">
      <w:pPr>
        <w:spacing w:line="360" w:lineRule="auto"/>
        <w:rPr>
          <w:rFonts w:ascii="Arial" w:hAnsi="Arial" w:cs="Arial"/>
          <w:sz w:val="22"/>
          <w:szCs w:val="22"/>
        </w:rPr>
      </w:pPr>
    </w:p>
    <w:p w14:paraId="11B78C29" w14:textId="4988B0EC" w:rsidR="001902E8" w:rsidRPr="00E916E1" w:rsidRDefault="001902E8" w:rsidP="00E916E1">
      <w:pPr>
        <w:spacing w:line="360" w:lineRule="auto"/>
        <w:rPr>
          <w:rFonts w:ascii="Arial" w:hAnsi="Arial" w:cs="Arial"/>
          <w:sz w:val="22"/>
          <w:szCs w:val="22"/>
        </w:rPr>
      </w:pPr>
    </w:p>
    <w:p w14:paraId="1BF83823" w14:textId="1C8E477F" w:rsidR="001902E8" w:rsidRPr="00E916E1" w:rsidRDefault="001902E8" w:rsidP="00E916E1">
      <w:pPr>
        <w:spacing w:line="360" w:lineRule="auto"/>
        <w:rPr>
          <w:rFonts w:ascii="Arial" w:hAnsi="Arial" w:cs="Arial"/>
          <w:sz w:val="22"/>
          <w:szCs w:val="22"/>
        </w:rPr>
      </w:pPr>
    </w:p>
    <w:p w14:paraId="19599022" w14:textId="1BFB1649" w:rsidR="001902E8" w:rsidRPr="00E916E1" w:rsidRDefault="001902E8" w:rsidP="00E916E1">
      <w:pPr>
        <w:spacing w:line="360" w:lineRule="auto"/>
        <w:rPr>
          <w:rFonts w:ascii="Arial" w:hAnsi="Arial" w:cs="Arial"/>
          <w:sz w:val="22"/>
          <w:szCs w:val="22"/>
        </w:rPr>
      </w:pPr>
    </w:p>
    <w:p w14:paraId="0A92AF43" w14:textId="77777777" w:rsidR="001902E8" w:rsidRPr="00E916E1" w:rsidRDefault="001902E8" w:rsidP="00E916E1">
      <w:pPr>
        <w:spacing w:line="360" w:lineRule="auto"/>
        <w:rPr>
          <w:rFonts w:ascii="Arial" w:hAnsi="Arial" w:cs="Arial"/>
          <w:sz w:val="22"/>
          <w:szCs w:val="22"/>
        </w:rPr>
      </w:pPr>
    </w:p>
    <w:p w14:paraId="3EC7541B" w14:textId="7B08B4B1" w:rsidR="001F190A" w:rsidRDefault="001F190A" w:rsidP="00E916E1">
      <w:pPr>
        <w:spacing w:line="360" w:lineRule="auto"/>
        <w:rPr>
          <w:rFonts w:ascii="Arial" w:hAnsi="Arial" w:cs="Arial"/>
          <w:sz w:val="22"/>
          <w:szCs w:val="22"/>
        </w:rPr>
      </w:pPr>
    </w:p>
    <w:p w14:paraId="1808DD3E" w14:textId="77777777" w:rsidR="00E916E1" w:rsidRPr="00E916E1" w:rsidRDefault="00E916E1" w:rsidP="00E916E1">
      <w:pPr>
        <w:spacing w:line="360" w:lineRule="auto"/>
        <w:rPr>
          <w:rFonts w:ascii="Arial" w:hAnsi="Arial" w:cs="Arial"/>
          <w:sz w:val="22"/>
          <w:szCs w:val="22"/>
        </w:rPr>
      </w:pPr>
    </w:p>
    <w:p w14:paraId="78E60ED9" w14:textId="7FF2782E" w:rsidR="00121C67" w:rsidRPr="00E916E1" w:rsidRDefault="00A12A3E" w:rsidP="00E916E1">
      <w:pPr>
        <w:spacing w:line="360" w:lineRule="auto"/>
        <w:rPr>
          <w:rFonts w:ascii="Arial" w:hAnsi="Arial" w:cs="Arial"/>
          <w:b/>
          <w:bCs/>
          <w:sz w:val="22"/>
          <w:szCs w:val="22"/>
        </w:rPr>
      </w:pPr>
      <w:r w:rsidRPr="00E916E1">
        <w:rPr>
          <w:rFonts w:ascii="Arial" w:hAnsi="Arial" w:cs="Arial"/>
          <w:b/>
          <w:bCs/>
          <w:sz w:val="22"/>
          <w:szCs w:val="22"/>
        </w:rPr>
        <w:lastRenderedPageBreak/>
        <w:t>References</w:t>
      </w:r>
    </w:p>
    <w:p w14:paraId="2379A3AB" w14:textId="204C52BA"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Acheson, D. (2018)</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Independent Inquiry into Inequalities in Health: Report</w:t>
      </w:r>
      <w:r w:rsidRPr="00E916E1">
        <w:rPr>
          <w:rFonts w:ascii="Arial" w:hAnsi="Arial" w:cs="Arial"/>
          <w:color w:val="000000"/>
          <w:sz w:val="22"/>
          <w:szCs w:val="22"/>
        </w:rPr>
        <w:t>. London: Department of Health and Social Care. Available at:</w:t>
      </w:r>
      <w:r w:rsidRPr="00E916E1">
        <w:rPr>
          <w:rStyle w:val="apple-converted-space"/>
          <w:rFonts w:ascii="Arial" w:hAnsi="Arial" w:cs="Arial"/>
          <w:color w:val="000000"/>
          <w:sz w:val="22"/>
          <w:szCs w:val="22"/>
        </w:rPr>
        <w:t> </w:t>
      </w:r>
      <w:hyperlink r:id="rId7" w:tgtFrame="_new" w:history="1">
        <w:r w:rsidRPr="00E916E1">
          <w:rPr>
            <w:rStyle w:val="Hyperlink"/>
            <w:rFonts w:ascii="Arial" w:hAnsi="Arial" w:cs="Arial"/>
            <w:sz w:val="22"/>
            <w:szCs w:val="22"/>
          </w:rPr>
          <w:t>https://www.gov.uk/government/publications/independent-inquiry-into-inequalities-in-health-report</w:t>
        </w:r>
      </w:hyperlink>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0C88ADF7" w14:textId="46DF7CAE"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Bristol City Council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Bristol One City Plan and Green Infrastructure Programme</w:t>
      </w:r>
      <w:r w:rsidRPr="00E916E1">
        <w:rPr>
          <w:rFonts w:ascii="Arial" w:hAnsi="Arial" w:cs="Arial"/>
          <w:color w:val="000000"/>
          <w:sz w:val="22"/>
          <w:szCs w:val="22"/>
        </w:rPr>
        <w:t>. Bristol: Bristol City Council. Available at:</w:t>
      </w:r>
      <w:r w:rsidRPr="00E916E1">
        <w:rPr>
          <w:rStyle w:val="apple-converted-space"/>
          <w:rFonts w:ascii="Arial" w:hAnsi="Arial" w:cs="Arial"/>
          <w:color w:val="000000"/>
          <w:sz w:val="22"/>
          <w:szCs w:val="22"/>
        </w:rPr>
        <w:t> </w:t>
      </w:r>
      <w:r w:rsidRPr="00E916E1">
        <w:rPr>
          <w:rFonts w:ascii="Arial" w:hAnsi="Arial" w:cs="Arial"/>
          <w:color w:val="000000"/>
          <w:sz w:val="22"/>
          <w:szCs w:val="22"/>
        </w:rPr>
        <w:t>https://www.bristolonecity.com/one-city-plan/</w:t>
      </w:r>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7286A436" w14:textId="531BA4F2"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Buse, K. and Hawkes, S. (2015) ‘Health in the sustainable development goals: ready for a paradigm shift?’,</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Globalization and Health</w:t>
      </w:r>
      <w:r w:rsidRPr="00E916E1">
        <w:rPr>
          <w:rFonts w:ascii="Arial" w:hAnsi="Arial" w:cs="Arial"/>
          <w:color w:val="000000"/>
          <w:sz w:val="22"/>
          <w:szCs w:val="22"/>
        </w:rPr>
        <w:t>, 11(1), pp. 1–8. Available at:</w:t>
      </w:r>
      <w:r w:rsidRPr="00E916E1">
        <w:rPr>
          <w:rStyle w:val="apple-converted-space"/>
          <w:rFonts w:ascii="Arial" w:hAnsi="Arial" w:cs="Arial"/>
          <w:color w:val="000000"/>
          <w:sz w:val="22"/>
          <w:szCs w:val="22"/>
        </w:rPr>
        <w:t> </w:t>
      </w:r>
      <w:hyperlink r:id="rId8" w:tgtFrame="_new" w:history="1">
        <w:r w:rsidRPr="00E916E1">
          <w:rPr>
            <w:rStyle w:val="Hyperlink"/>
            <w:rFonts w:ascii="Arial" w:hAnsi="Arial" w:cs="Arial"/>
            <w:sz w:val="22"/>
            <w:szCs w:val="22"/>
          </w:rPr>
          <w:t>https://globalizationandhealth.biomedcentral.com/articles/10.1186/s12992-015-0098-8</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32569066" w14:textId="350CE0C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Department for Environment, Food and Rural Affairs (DEFRA) (2022)</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UK Net Zero Strategy: Build Back Greener</w:t>
      </w:r>
      <w:r w:rsidRPr="00E916E1">
        <w:rPr>
          <w:rFonts w:ascii="Arial" w:hAnsi="Arial" w:cs="Arial"/>
          <w:color w:val="000000"/>
          <w:sz w:val="22"/>
          <w:szCs w:val="22"/>
        </w:rPr>
        <w:t>. London: HM Government. Available at:</w:t>
      </w:r>
      <w:r w:rsidRPr="00E916E1">
        <w:rPr>
          <w:rStyle w:val="apple-converted-space"/>
          <w:rFonts w:ascii="Arial" w:hAnsi="Arial" w:cs="Arial"/>
          <w:color w:val="000000"/>
          <w:sz w:val="22"/>
          <w:szCs w:val="22"/>
        </w:rPr>
        <w:t> </w:t>
      </w:r>
      <w:hyperlink r:id="rId9" w:tgtFrame="_new" w:history="1">
        <w:r w:rsidRPr="00E916E1">
          <w:rPr>
            <w:rStyle w:val="Hyperlink"/>
            <w:rFonts w:ascii="Arial" w:hAnsi="Arial" w:cs="Arial"/>
            <w:sz w:val="22"/>
            <w:szCs w:val="22"/>
          </w:rPr>
          <w:t>https://www.gov.uk/government/publications/net-zero-strategy</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3DEE585F" w14:textId="10F15978"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Department of Health and Social Care (DHSC)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Health and Wellbeing Framework for England</w:t>
      </w:r>
      <w:r w:rsidRPr="00E916E1">
        <w:rPr>
          <w:rFonts w:ascii="Arial" w:hAnsi="Arial" w:cs="Arial"/>
          <w:color w:val="000000"/>
          <w:sz w:val="22"/>
          <w:szCs w:val="22"/>
        </w:rPr>
        <w:t>. London: DHSC. Available at:</w:t>
      </w:r>
      <w:r w:rsidRPr="00E916E1">
        <w:rPr>
          <w:rStyle w:val="apple-converted-space"/>
          <w:rFonts w:ascii="Arial" w:hAnsi="Arial" w:cs="Arial"/>
          <w:color w:val="000000"/>
          <w:sz w:val="22"/>
          <w:szCs w:val="22"/>
        </w:rPr>
        <w:t> </w:t>
      </w:r>
      <w:hyperlink r:id="rId10" w:tgtFrame="_new" w:history="1">
        <w:r w:rsidRPr="00E916E1">
          <w:rPr>
            <w:rStyle w:val="Hyperlink"/>
            <w:rFonts w:ascii="Arial" w:hAnsi="Arial" w:cs="Arial"/>
            <w:sz w:val="22"/>
            <w:szCs w:val="22"/>
          </w:rPr>
          <w:t>https://www.gov.uk/government/publications/health-and-wellbeing-framework</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61B5AC25"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Greater Manchester Combined Authority (GMCA)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Healthy Minds Programme Annual Report</w:t>
      </w:r>
      <w:r w:rsidRPr="00E916E1">
        <w:rPr>
          <w:rFonts w:ascii="Arial" w:hAnsi="Arial" w:cs="Arial"/>
          <w:color w:val="000000"/>
          <w:sz w:val="22"/>
          <w:szCs w:val="22"/>
        </w:rPr>
        <w:t>. Manchester: GMCA. Available at:</w:t>
      </w:r>
      <w:r w:rsidRPr="00E916E1">
        <w:rPr>
          <w:rStyle w:val="apple-converted-space"/>
          <w:rFonts w:ascii="Arial" w:hAnsi="Arial" w:cs="Arial"/>
          <w:color w:val="000000"/>
          <w:sz w:val="22"/>
          <w:szCs w:val="22"/>
        </w:rPr>
        <w:t> </w:t>
      </w:r>
      <w:r w:rsidRPr="00E916E1">
        <w:rPr>
          <w:rFonts w:ascii="Arial" w:hAnsi="Arial" w:cs="Arial"/>
          <w:color w:val="000000"/>
          <w:sz w:val="22"/>
          <w:szCs w:val="22"/>
        </w:rPr>
        <w:t>https://www.greatermanchester-ca.gov.uk/what-we-do/health/mental-health/healthy-minds-programme/</w:t>
      </w:r>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685BFA63" w14:textId="77777777" w:rsidR="001F190A" w:rsidRPr="00E916E1" w:rsidRDefault="001F190A" w:rsidP="00E916E1">
      <w:pPr>
        <w:pStyle w:val="NormalWeb"/>
        <w:spacing w:line="360" w:lineRule="auto"/>
        <w:rPr>
          <w:rFonts w:ascii="Arial" w:hAnsi="Arial" w:cs="Arial"/>
          <w:color w:val="000000"/>
          <w:sz w:val="22"/>
          <w:szCs w:val="22"/>
        </w:rPr>
      </w:pPr>
      <w:proofErr w:type="spellStart"/>
      <w:r w:rsidRPr="00E916E1">
        <w:rPr>
          <w:rFonts w:ascii="Arial" w:hAnsi="Arial" w:cs="Arial"/>
          <w:color w:val="000000"/>
          <w:sz w:val="22"/>
          <w:szCs w:val="22"/>
        </w:rPr>
        <w:t>Gatzweiler</w:t>
      </w:r>
      <w:proofErr w:type="spellEnd"/>
      <w:r w:rsidRPr="00E916E1">
        <w:rPr>
          <w:rFonts w:ascii="Arial" w:hAnsi="Arial" w:cs="Arial"/>
          <w:color w:val="000000"/>
          <w:sz w:val="22"/>
          <w:szCs w:val="22"/>
        </w:rPr>
        <w:t>, F.W. and Reis, S. (2021) ‘Healthy ecosystems for healthy people’,</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Sustainability Science</w:t>
      </w:r>
      <w:r w:rsidRPr="00E916E1">
        <w:rPr>
          <w:rFonts w:ascii="Arial" w:hAnsi="Arial" w:cs="Arial"/>
          <w:color w:val="000000"/>
          <w:sz w:val="22"/>
          <w:szCs w:val="22"/>
        </w:rPr>
        <w:t>, 16(3), pp. 687–700. Available at:</w:t>
      </w:r>
      <w:r w:rsidRPr="00E916E1">
        <w:rPr>
          <w:rStyle w:val="apple-converted-space"/>
          <w:rFonts w:ascii="Arial" w:hAnsi="Arial" w:cs="Arial"/>
          <w:color w:val="000000"/>
          <w:sz w:val="22"/>
          <w:szCs w:val="22"/>
        </w:rPr>
        <w:t> </w:t>
      </w:r>
      <w:hyperlink r:id="rId11" w:tgtFrame="_new" w:history="1">
        <w:r w:rsidRPr="00E916E1">
          <w:rPr>
            <w:rStyle w:val="Hyperlink"/>
            <w:rFonts w:ascii="Arial" w:hAnsi="Arial" w:cs="Arial"/>
            <w:sz w:val="22"/>
            <w:szCs w:val="22"/>
          </w:rPr>
          <w:t>https://link.springer.com/article/10.1007/s11625-020-00886-9</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13660C6C"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HM Government (2020)</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The UK Healthy Cities Strategy 2020–2030</w:t>
      </w:r>
      <w:r w:rsidRPr="00E916E1">
        <w:rPr>
          <w:rFonts w:ascii="Arial" w:hAnsi="Arial" w:cs="Arial"/>
          <w:color w:val="000000"/>
          <w:sz w:val="22"/>
          <w:szCs w:val="22"/>
        </w:rPr>
        <w:t>. London: Cabinet Office. Available at:</w:t>
      </w:r>
      <w:r w:rsidRPr="00E916E1">
        <w:rPr>
          <w:rStyle w:val="apple-converted-space"/>
          <w:rFonts w:ascii="Arial" w:hAnsi="Arial" w:cs="Arial"/>
          <w:color w:val="000000"/>
          <w:sz w:val="22"/>
          <w:szCs w:val="22"/>
        </w:rPr>
        <w:t> </w:t>
      </w:r>
      <w:hyperlink r:id="rId12" w:tgtFrame="_new" w:history="1">
        <w:r w:rsidRPr="00E916E1">
          <w:rPr>
            <w:rStyle w:val="Hyperlink"/>
            <w:rFonts w:ascii="Arial" w:hAnsi="Arial" w:cs="Arial"/>
            <w:sz w:val="22"/>
            <w:szCs w:val="22"/>
          </w:rPr>
          <w:t>https://www.gov.uk/government/publications/healthy-cities-strategy</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7131FCE0"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HM Government (2023)</w:t>
      </w:r>
      <w:r w:rsidRPr="00E916E1">
        <w:rPr>
          <w:rStyle w:val="apple-converted-space"/>
          <w:rFonts w:ascii="Arial" w:hAnsi="Arial" w:cs="Arial"/>
          <w:color w:val="000000"/>
          <w:sz w:val="22"/>
          <w:szCs w:val="22"/>
        </w:rPr>
        <w:t> </w:t>
      </w:r>
      <w:proofErr w:type="spellStart"/>
      <w:r w:rsidRPr="00E916E1">
        <w:rPr>
          <w:rStyle w:val="Emphasis"/>
          <w:rFonts w:ascii="Arial" w:hAnsi="Arial" w:cs="Arial"/>
          <w:color w:val="000000"/>
          <w:sz w:val="22"/>
          <w:szCs w:val="22"/>
        </w:rPr>
        <w:t>Awaab’s</w:t>
      </w:r>
      <w:proofErr w:type="spellEnd"/>
      <w:r w:rsidRPr="00E916E1">
        <w:rPr>
          <w:rStyle w:val="Emphasis"/>
          <w:rFonts w:ascii="Arial" w:hAnsi="Arial" w:cs="Arial"/>
          <w:color w:val="000000"/>
          <w:sz w:val="22"/>
          <w:szCs w:val="22"/>
        </w:rPr>
        <w:t xml:space="preserve"> Law: Improving Social Housing Conditions</w:t>
      </w:r>
      <w:r w:rsidRPr="00E916E1">
        <w:rPr>
          <w:rFonts w:ascii="Arial" w:hAnsi="Arial" w:cs="Arial"/>
          <w:color w:val="000000"/>
          <w:sz w:val="22"/>
          <w:szCs w:val="22"/>
        </w:rPr>
        <w:t xml:space="preserve">. London: Department for Levelling Up, Housing and Communities. Available </w:t>
      </w:r>
      <w:r w:rsidRPr="00E916E1">
        <w:rPr>
          <w:rFonts w:ascii="Arial" w:hAnsi="Arial" w:cs="Arial"/>
          <w:color w:val="000000"/>
          <w:sz w:val="22"/>
          <w:szCs w:val="22"/>
        </w:rPr>
        <w:lastRenderedPageBreak/>
        <w:t>at:</w:t>
      </w:r>
      <w:r w:rsidRPr="00E916E1">
        <w:rPr>
          <w:rStyle w:val="apple-converted-space"/>
          <w:rFonts w:ascii="Arial" w:hAnsi="Arial" w:cs="Arial"/>
          <w:color w:val="000000"/>
          <w:sz w:val="22"/>
          <w:szCs w:val="22"/>
        </w:rPr>
        <w:t> </w:t>
      </w:r>
      <w:hyperlink r:id="rId13" w:tgtFrame="_new" w:history="1">
        <w:r w:rsidRPr="00E916E1">
          <w:rPr>
            <w:rStyle w:val="Hyperlink"/>
            <w:rFonts w:ascii="Arial" w:hAnsi="Arial" w:cs="Arial"/>
            <w:sz w:val="22"/>
            <w:szCs w:val="22"/>
          </w:rPr>
          <w:t>https://www.gov.uk/government/publications/awaabs-law-policy-overview</w:t>
        </w:r>
      </w:hyperlink>
      <w:r w:rsidRPr="00E916E1">
        <w:rPr>
          <w:rFonts w:ascii="Arial" w:hAnsi="Arial" w:cs="Arial"/>
          <w:color w:val="000000"/>
          <w:sz w:val="22"/>
          <w:szCs w:val="22"/>
        </w:rPr>
        <w:t xml:space="preserve"> (Accessed: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50719AE0"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Marmot, M. and Allen, J.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Build Back Fairer in Greater Manchester: Health Equity and Dignified Lives</w:t>
      </w:r>
      <w:r w:rsidRPr="00E916E1">
        <w:rPr>
          <w:rFonts w:ascii="Arial" w:hAnsi="Arial" w:cs="Arial"/>
          <w:color w:val="000000"/>
          <w:sz w:val="22"/>
          <w:szCs w:val="22"/>
        </w:rPr>
        <w:t>. London: Institute of Health Equity. Available at:</w:t>
      </w:r>
      <w:r w:rsidRPr="00E916E1">
        <w:rPr>
          <w:rStyle w:val="apple-converted-space"/>
          <w:rFonts w:ascii="Arial" w:hAnsi="Arial" w:cs="Arial"/>
          <w:color w:val="000000"/>
          <w:sz w:val="22"/>
          <w:szCs w:val="22"/>
        </w:rPr>
        <w:t> </w:t>
      </w:r>
      <w:hyperlink r:id="rId14" w:tgtFrame="_new" w:history="1">
        <w:r w:rsidRPr="00E916E1">
          <w:rPr>
            <w:rStyle w:val="Hyperlink"/>
            <w:rFonts w:ascii="Arial" w:hAnsi="Arial" w:cs="Arial"/>
            <w:sz w:val="22"/>
            <w:szCs w:val="22"/>
          </w:rPr>
          <w:t>https://www.instituteofhealthequity.org/resources-reports/build-back-fairer-in-greater-manchester</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632847B8"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Marmot, M., Allen, J., Boyce, T., Goldblatt, P. and Morrison, J. (2020)</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Health Equity in England: The Marmot Review 10 Years On</w:t>
      </w:r>
      <w:r w:rsidRPr="00E916E1">
        <w:rPr>
          <w:rFonts w:ascii="Arial" w:hAnsi="Arial" w:cs="Arial"/>
          <w:color w:val="000000"/>
          <w:sz w:val="22"/>
          <w:szCs w:val="22"/>
        </w:rPr>
        <w:t>. London: Institute of Health Equity. Available at:</w:t>
      </w:r>
      <w:r w:rsidRPr="00E916E1">
        <w:rPr>
          <w:rStyle w:val="apple-converted-space"/>
          <w:rFonts w:ascii="Arial" w:hAnsi="Arial" w:cs="Arial"/>
          <w:color w:val="000000"/>
          <w:sz w:val="22"/>
          <w:szCs w:val="22"/>
        </w:rPr>
        <w:t> </w:t>
      </w:r>
      <w:hyperlink r:id="rId15" w:tgtFrame="_new" w:history="1">
        <w:r w:rsidRPr="00E916E1">
          <w:rPr>
            <w:rStyle w:val="Hyperlink"/>
            <w:rFonts w:ascii="Arial" w:hAnsi="Arial" w:cs="Arial"/>
            <w:sz w:val="22"/>
            <w:szCs w:val="22"/>
          </w:rPr>
          <w:t>https://www.health.org.uk/publications/reports/the-marmot-review-10-years-on</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38F84185"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McMichael, A.J. (2020) ‘Planetary health: protecting human health on a rapidly changing planet’,</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The Lancet Planetary Health</w:t>
      </w:r>
      <w:r w:rsidRPr="00E916E1">
        <w:rPr>
          <w:rFonts w:ascii="Arial" w:hAnsi="Arial" w:cs="Arial"/>
          <w:color w:val="000000"/>
          <w:sz w:val="22"/>
          <w:szCs w:val="22"/>
        </w:rPr>
        <w:t>, 4(1), pp. 5–6. Available at:</w:t>
      </w:r>
      <w:r w:rsidRPr="00E916E1">
        <w:rPr>
          <w:rStyle w:val="apple-converted-space"/>
          <w:rFonts w:ascii="Arial" w:hAnsi="Arial" w:cs="Arial"/>
          <w:color w:val="000000"/>
          <w:sz w:val="22"/>
          <w:szCs w:val="22"/>
        </w:rPr>
        <w:t> </w:t>
      </w:r>
      <w:r w:rsidRPr="00E916E1">
        <w:rPr>
          <w:rFonts w:ascii="Arial" w:hAnsi="Arial" w:cs="Arial"/>
          <w:color w:val="000000"/>
          <w:sz w:val="22"/>
          <w:szCs w:val="22"/>
        </w:rPr>
        <w:t>https://www.thelancet.com/journals/lanplh/article/PIIS2542-5196(19)30262-9/fulltext</w:t>
      </w:r>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567FBCFE" w14:textId="41448650"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NHS England (2021)</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The NHS Long Term Plan</w:t>
      </w:r>
      <w:r w:rsidRPr="00E916E1">
        <w:rPr>
          <w:rFonts w:ascii="Arial" w:hAnsi="Arial" w:cs="Arial"/>
          <w:color w:val="000000"/>
          <w:sz w:val="22"/>
          <w:szCs w:val="22"/>
        </w:rPr>
        <w:t>. London: NHS England. Available at:</w:t>
      </w:r>
      <w:r w:rsidRPr="00E916E1">
        <w:rPr>
          <w:rStyle w:val="apple-converted-space"/>
          <w:rFonts w:ascii="Arial" w:hAnsi="Arial" w:cs="Arial"/>
          <w:color w:val="000000"/>
          <w:sz w:val="22"/>
          <w:szCs w:val="22"/>
        </w:rPr>
        <w:t> </w:t>
      </w:r>
      <w:hyperlink r:id="rId16" w:tgtFrame="_new" w:history="1">
        <w:r w:rsidRPr="00E916E1">
          <w:rPr>
            <w:rStyle w:val="Hyperlink"/>
            <w:rFonts w:ascii="Arial" w:hAnsi="Arial" w:cs="Arial"/>
            <w:sz w:val="22"/>
            <w:szCs w:val="22"/>
          </w:rPr>
          <w:t>https://www.longtermplan.nhs.uk</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71B1AF3A"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NHS England (2022)</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Core20PLUS5: Reducing Health Inequalities</w:t>
      </w:r>
      <w:r w:rsidRPr="00E916E1">
        <w:rPr>
          <w:rFonts w:ascii="Arial" w:hAnsi="Arial" w:cs="Arial"/>
          <w:color w:val="000000"/>
          <w:sz w:val="22"/>
          <w:szCs w:val="22"/>
        </w:rPr>
        <w:t>. London: NHS England. Available at:</w:t>
      </w:r>
      <w:r w:rsidRPr="00E916E1">
        <w:rPr>
          <w:rStyle w:val="apple-converted-space"/>
          <w:rFonts w:ascii="Arial" w:hAnsi="Arial" w:cs="Arial"/>
          <w:color w:val="000000"/>
          <w:sz w:val="22"/>
          <w:szCs w:val="22"/>
        </w:rPr>
        <w:t> </w:t>
      </w:r>
      <w:hyperlink r:id="rId17" w:tgtFrame="_new" w:history="1">
        <w:r w:rsidRPr="00E916E1">
          <w:rPr>
            <w:rStyle w:val="Hyperlink"/>
            <w:rFonts w:ascii="Arial" w:hAnsi="Arial" w:cs="Arial"/>
            <w:sz w:val="22"/>
            <w:szCs w:val="22"/>
          </w:rPr>
          <w:t>https://www.england.nhs.uk/about/equality/equality-hub/core20plus5/</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34C1E8F3"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Office for National Statistics (ONS)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Health and Wellbeing Indicators in the UK: Progress towards SDG 3</w:t>
      </w:r>
      <w:r w:rsidRPr="00E916E1">
        <w:rPr>
          <w:rFonts w:ascii="Arial" w:hAnsi="Arial" w:cs="Arial"/>
          <w:color w:val="000000"/>
          <w:sz w:val="22"/>
          <w:szCs w:val="22"/>
        </w:rPr>
        <w:t>. London: ONS. Available at:</w:t>
      </w:r>
      <w:r w:rsidRPr="00E916E1">
        <w:rPr>
          <w:rStyle w:val="apple-converted-space"/>
          <w:rFonts w:ascii="Arial" w:hAnsi="Arial" w:cs="Arial"/>
          <w:color w:val="000000"/>
          <w:sz w:val="22"/>
          <w:szCs w:val="22"/>
        </w:rPr>
        <w:t> </w:t>
      </w:r>
      <w:hyperlink r:id="rId18" w:tgtFrame="_new" w:history="1">
        <w:r w:rsidRPr="00E916E1">
          <w:rPr>
            <w:rStyle w:val="Hyperlink"/>
            <w:rFonts w:ascii="Arial" w:hAnsi="Arial" w:cs="Arial"/>
            <w:sz w:val="22"/>
            <w:szCs w:val="22"/>
          </w:rPr>
          <w:t>https://www.ons.gov.uk</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461169A5"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Public Health England (PHE) (2019)</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Health Profile for England 2019</w:t>
      </w:r>
      <w:r w:rsidRPr="00E916E1">
        <w:rPr>
          <w:rFonts w:ascii="Arial" w:hAnsi="Arial" w:cs="Arial"/>
          <w:color w:val="000000"/>
          <w:sz w:val="22"/>
          <w:szCs w:val="22"/>
        </w:rPr>
        <w:t>. London: PHE. Available at:</w:t>
      </w:r>
      <w:r w:rsidRPr="00E916E1">
        <w:rPr>
          <w:rStyle w:val="apple-converted-space"/>
          <w:rFonts w:ascii="Arial" w:hAnsi="Arial" w:cs="Arial"/>
          <w:color w:val="000000"/>
          <w:sz w:val="22"/>
          <w:szCs w:val="22"/>
        </w:rPr>
        <w:t> </w:t>
      </w:r>
      <w:hyperlink r:id="rId19" w:tgtFrame="_new" w:history="1">
        <w:r w:rsidRPr="00E916E1">
          <w:rPr>
            <w:rStyle w:val="Hyperlink"/>
            <w:rFonts w:ascii="Arial" w:hAnsi="Arial" w:cs="Arial"/>
            <w:sz w:val="22"/>
            <w:szCs w:val="22"/>
          </w:rPr>
          <w:t>https://www.gov.uk/government/publications/health-profile-for-england-2019</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21BADED9"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UK Health Security Agency (UKHSA) (2022)</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Health Inequalities and the Social Determinants of Health in the UK</w:t>
      </w:r>
      <w:r w:rsidRPr="00E916E1">
        <w:rPr>
          <w:rFonts w:ascii="Arial" w:hAnsi="Arial" w:cs="Arial"/>
          <w:color w:val="000000"/>
          <w:sz w:val="22"/>
          <w:szCs w:val="22"/>
        </w:rPr>
        <w:t>. London: UKHSA. Available at:</w:t>
      </w:r>
      <w:r w:rsidRPr="00E916E1">
        <w:rPr>
          <w:rStyle w:val="apple-converted-space"/>
          <w:rFonts w:ascii="Arial" w:hAnsi="Arial" w:cs="Arial"/>
          <w:color w:val="000000"/>
          <w:sz w:val="22"/>
          <w:szCs w:val="22"/>
        </w:rPr>
        <w:t> </w:t>
      </w:r>
      <w:hyperlink r:id="rId20" w:tgtFrame="_new" w:history="1">
        <w:r w:rsidRPr="00E916E1">
          <w:rPr>
            <w:rStyle w:val="Hyperlink"/>
            <w:rFonts w:ascii="Arial" w:hAnsi="Arial" w:cs="Arial"/>
            <w:sz w:val="22"/>
            <w:szCs w:val="22"/>
          </w:rPr>
          <w:t>https://www.gov.uk/government/organisations/uk-health-security-agency</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46CF378B"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lastRenderedPageBreak/>
        <w:t>UK Health Security Agency (UKHSA)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Housing and Health: Evidence Review</w:t>
      </w:r>
      <w:r w:rsidRPr="00E916E1">
        <w:rPr>
          <w:rFonts w:ascii="Arial" w:hAnsi="Arial" w:cs="Arial"/>
          <w:color w:val="000000"/>
          <w:sz w:val="22"/>
          <w:szCs w:val="22"/>
        </w:rPr>
        <w:t>. London: UKHSA. Available at:</w:t>
      </w:r>
      <w:r w:rsidRPr="00E916E1">
        <w:rPr>
          <w:rStyle w:val="apple-converted-space"/>
          <w:rFonts w:ascii="Arial" w:hAnsi="Arial" w:cs="Arial"/>
          <w:color w:val="000000"/>
          <w:sz w:val="22"/>
          <w:szCs w:val="22"/>
        </w:rPr>
        <w:t> </w:t>
      </w:r>
      <w:hyperlink r:id="rId21" w:tgtFrame="_new" w:history="1">
        <w:r w:rsidRPr="00E916E1">
          <w:rPr>
            <w:rStyle w:val="Hyperlink"/>
            <w:rFonts w:ascii="Arial" w:hAnsi="Arial" w:cs="Arial"/>
            <w:sz w:val="22"/>
            <w:szCs w:val="22"/>
          </w:rPr>
          <w:t>https://www.gov.uk/government/publications/housing-and-health-evidence-review</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47E6DC8B"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UK Parliament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Levelling Up and Regeneration Act 2023: Policy Overview</w:t>
      </w:r>
      <w:r w:rsidRPr="00E916E1">
        <w:rPr>
          <w:rFonts w:ascii="Arial" w:hAnsi="Arial" w:cs="Arial"/>
          <w:color w:val="000000"/>
          <w:sz w:val="22"/>
          <w:szCs w:val="22"/>
        </w:rPr>
        <w:t>. London: House of Commons Library. Available at:</w:t>
      </w:r>
      <w:r w:rsidRPr="00E916E1">
        <w:rPr>
          <w:rStyle w:val="apple-converted-space"/>
          <w:rFonts w:ascii="Arial" w:hAnsi="Arial" w:cs="Arial"/>
          <w:color w:val="000000"/>
          <w:sz w:val="22"/>
          <w:szCs w:val="22"/>
        </w:rPr>
        <w:t> </w:t>
      </w:r>
      <w:hyperlink r:id="rId22" w:tgtFrame="_new" w:history="1">
        <w:r w:rsidRPr="00E916E1">
          <w:rPr>
            <w:rStyle w:val="Hyperlink"/>
            <w:rFonts w:ascii="Arial" w:hAnsi="Arial" w:cs="Arial"/>
            <w:sz w:val="22"/>
            <w:szCs w:val="22"/>
          </w:rPr>
          <w:t>https://researchbriefings.files.parliament.uk/documents/CBP-9732/CBP-9732.pdf</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 xml:space="preserve">(Accessed: </w:t>
      </w:r>
      <w:r w:rsidRPr="00E916E1">
        <w:rPr>
          <w:rFonts w:ascii="Arial" w:eastAsiaTheme="minorHAnsi" w:hAnsi="Arial" w:cs="Arial"/>
          <w:sz w:val="22"/>
          <w:szCs w:val="22"/>
          <w:lang w:eastAsia="en-US"/>
        </w:rPr>
        <w:t xml:space="preserve">27 October </w:t>
      </w:r>
      <w:r w:rsidRPr="00E916E1">
        <w:rPr>
          <w:rFonts w:ascii="Arial" w:hAnsi="Arial" w:cs="Arial"/>
          <w:color w:val="000000"/>
          <w:sz w:val="22"/>
          <w:szCs w:val="22"/>
        </w:rPr>
        <w:t>2025).</w:t>
      </w:r>
    </w:p>
    <w:p w14:paraId="57A119A7" w14:textId="7EA7ABA4"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United Nations (UN) (2015)</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Transforming Our World: The 2030 Agenda for Sustainable Development</w:t>
      </w:r>
      <w:r w:rsidRPr="00E916E1">
        <w:rPr>
          <w:rFonts w:ascii="Arial" w:hAnsi="Arial" w:cs="Arial"/>
          <w:color w:val="000000"/>
          <w:sz w:val="22"/>
          <w:szCs w:val="22"/>
        </w:rPr>
        <w:t>. New York: United Nations. Available at:</w:t>
      </w:r>
      <w:r w:rsidRPr="00E916E1">
        <w:rPr>
          <w:rStyle w:val="apple-converted-space"/>
          <w:rFonts w:ascii="Arial" w:hAnsi="Arial" w:cs="Arial"/>
          <w:color w:val="000000"/>
          <w:sz w:val="22"/>
          <w:szCs w:val="22"/>
        </w:rPr>
        <w:t> </w:t>
      </w:r>
      <w:hyperlink r:id="rId23" w:tgtFrame="_new" w:history="1">
        <w:r w:rsidRPr="00E916E1">
          <w:rPr>
            <w:rStyle w:val="Hyperlink"/>
            <w:rFonts w:ascii="Arial" w:hAnsi="Arial" w:cs="Arial"/>
            <w:sz w:val="22"/>
            <w:szCs w:val="22"/>
          </w:rPr>
          <w:t>https://sdgs.un.org/2030agenda</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5A620E28"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United Nations Development Programme (UNDP) (2022)</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SDG 3: Good Health and Wellbeing Progress Report</w:t>
      </w:r>
      <w:r w:rsidRPr="00E916E1">
        <w:rPr>
          <w:rFonts w:ascii="Arial" w:hAnsi="Arial" w:cs="Arial"/>
          <w:color w:val="000000"/>
          <w:sz w:val="22"/>
          <w:szCs w:val="22"/>
        </w:rPr>
        <w:t>. New York: UNDP. Available at:</w:t>
      </w:r>
      <w:r w:rsidRPr="00E916E1">
        <w:rPr>
          <w:rStyle w:val="apple-converted-space"/>
          <w:rFonts w:ascii="Arial" w:hAnsi="Arial" w:cs="Arial"/>
          <w:color w:val="000000"/>
          <w:sz w:val="22"/>
          <w:szCs w:val="22"/>
        </w:rPr>
        <w:t> </w:t>
      </w:r>
      <w:hyperlink r:id="rId24" w:tgtFrame="_new" w:history="1">
        <w:r w:rsidRPr="00E916E1">
          <w:rPr>
            <w:rStyle w:val="Hyperlink"/>
            <w:rFonts w:ascii="Arial" w:hAnsi="Arial" w:cs="Arial"/>
            <w:sz w:val="22"/>
            <w:szCs w:val="22"/>
          </w:rPr>
          <w:t>https://www.undp.org/sustainable-development-goals</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7EC60359"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United Nations Human Settlements Programme (UN-Habitat) (2020)</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World Cities Report 2020: The Value of Sustainable Urbanization</w:t>
      </w:r>
      <w:r w:rsidRPr="00E916E1">
        <w:rPr>
          <w:rFonts w:ascii="Arial" w:hAnsi="Arial" w:cs="Arial"/>
          <w:color w:val="000000"/>
          <w:sz w:val="22"/>
          <w:szCs w:val="22"/>
        </w:rPr>
        <w:t>. Nairobi: UN-Habitat. Available at:</w:t>
      </w:r>
      <w:r w:rsidRPr="00E916E1">
        <w:rPr>
          <w:rStyle w:val="apple-converted-space"/>
          <w:rFonts w:ascii="Arial" w:hAnsi="Arial" w:cs="Arial"/>
          <w:color w:val="000000"/>
          <w:sz w:val="22"/>
          <w:szCs w:val="22"/>
        </w:rPr>
        <w:t> </w:t>
      </w:r>
      <w:hyperlink r:id="rId25" w:tgtFrame="_new" w:history="1">
        <w:r w:rsidRPr="00E916E1">
          <w:rPr>
            <w:rStyle w:val="Hyperlink"/>
            <w:rFonts w:ascii="Arial" w:hAnsi="Arial" w:cs="Arial"/>
            <w:sz w:val="22"/>
            <w:szCs w:val="22"/>
          </w:rPr>
          <w:t>https://unhabitat.org/wcr/</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0D7B5FFA"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United Nations Human Settlements Programme (UN-Habitat) (2022)</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SDG 11 Progress Report: Sustainable Cities and Communities</w:t>
      </w:r>
      <w:r w:rsidRPr="00E916E1">
        <w:rPr>
          <w:rFonts w:ascii="Arial" w:hAnsi="Arial" w:cs="Arial"/>
          <w:color w:val="000000"/>
          <w:sz w:val="22"/>
          <w:szCs w:val="22"/>
        </w:rPr>
        <w:t>. Nairobi: UN-Habitat. Available at:</w:t>
      </w:r>
      <w:r w:rsidRPr="00E916E1">
        <w:rPr>
          <w:rStyle w:val="apple-converted-space"/>
          <w:rFonts w:ascii="Arial" w:hAnsi="Arial" w:cs="Arial"/>
          <w:color w:val="000000"/>
          <w:sz w:val="22"/>
          <w:szCs w:val="22"/>
        </w:rPr>
        <w:t> </w:t>
      </w:r>
      <w:hyperlink r:id="rId26" w:tgtFrame="_new" w:history="1">
        <w:r w:rsidRPr="00E916E1">
          <w:rPr>
            <w:rStyle w:val="Hyperlink"/>
            <w:rFonts w:ascii="Arial" w:hAnsi="Arial" w:cs="Arial"/>
            <w:sz w:val="22"/>
            <w:szCs w:val="22"/>
          </w:rPr>
          <w:t>https://unhabitat.org</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511DAA00"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United Nations Human Settlements Programme (UN-Habitat) (2024)</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World Cities Report 2024: Re-imagining Sustainable Urban Futures</w:t>
      </w:r>
      <w:r w:rsidRPr="00E916E1">
        <w:rPr>
          <w:rFonts w:ascii="Arial" w:hAnsi="Arial" w:cs="Arial"/>
          <w:color w:val="000000"/>
          <w:sz w:val="22"/>
          <w:szCs w:val="22"/>
        </w:rPr>
        <w:t>. Nairobi: UN-Habitat. Available at:</w:t>
      </w:r>
      <w:r w:rsidRPr="00E916E1">
        <w:rPr>
          <w:rStyle w:val="apple-converted-space"/>
          <w:rFonts w:ascii="Arial" w:hAnsi="Arial" w:cs="Arial"/>
          <w:color w:val="000000"/>
          <w:sz w:val="22"/>
          <w:szCs w:val="22"/>
        </w:rPr>
        <w:t> </w:t>
      </w:r>
      <w:hyperlink r:id="rId27" w:tgtFrame="_new" w:history="1">
        <w:r w:rsidRPr="00E916E1">
          <w:rPr>
            <w:rStyle w:val="Hyperlink"/>
            <w:rFonts w:ascii="Arial" w:hAnsi="Arial" w:cs="Arial"/>
            <w:sz w:val="22"/>
            <w:szCs w:val="22"/>
          </w:rPr>
          <w:t>https://unhabitat.org/world-cities-report-2024</w:t>
        </w:r>
      </w:hyperlink>
      <w:r w:rsidRPr="00E916E1">
        <w:rPr>
          <w:rFonts w:ascii="Arial" w:hAnsi="Arial" w:cs="Arial"/>
          <w:color w:val="000000"/>
          <w:sz w:val="22"/>
          <w:szCs w:val="22"/>
        </w:rPr>
        <w:t>(Accessed: 15 November 2025).</w:t>
      </w:r>
    </w:p>
    <w:p w14:paraId="7A0F93F8"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United Nations Sustainable Development Solutions Network (SDSN)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Sustainable Development Report 2023: The SDG Index</w:t>
      </w:r>
      <w:r w:rsidRPr="00E916E1">
        <w:rPr>
          <w:rFonts w:ascii="Arial" w:hAnsi="Arial" w:cs="Arial"/>
          <w:color w:val="000000"/>
          <w:sz w:val="22"/>
          <w:szCs w:val="22"/>
        </w:rPr>
        <w:t>. New York: SDSN. Available at:</w:t>
      </w:r>
      <w:r w:rsidRPr="00E916E1">
        <w:rPr>
          <w:rStyle w:val="apple-converted-space"/>
          <w:rFonts w:ascii="Arial" w:hAnsi="Arial" w:cs="Arial"/>
          <w:color w:val="000000"/>
          <w:sz w:val="22"/>
          <w:szCs w:val="22"/>
        </w:rPr>
        <w:t> </w:t>
      </w:r>
      <w:hyperlink r:id="rId28" w:tgtFrame="_new" w:history="1">
        <w:r w:rsidRPr="00E916E1">
          <w:rPr>
            <w:rStyle w:val="Hyperlink"/>
            <w:rFonts w:ascii="Arial" w:hAnsi="Arial" w:cs="Arial"/>
            <w:sz w:val="22"/>
            <w:szCs w:val="22"/>
          </w:rPr>
          <w:t>https://dashboards.sdgindex.org/</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42AC865B" w14:textId="385A4E6B"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World Bank (2021)</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Healthy Cities for All: Urban Development and Health</w:t>
      </w:r>
      <w:r w:rsidRPr="00E916E1">
        <w:rPr>
          <w:rFonts w:ascii="Arial" w:hAnsi="Arial" w:cs="Arial"/>
          <w:color w:val="000000"/>
          <w:sz w:val="22"/>
          <w:szCs w:val="22"/>
        </w:rPr>
        <w:t>. Washington, DC: World Bank. Available at:</w:t>
      </w:r>
      <w:r w:rsidRPr="00E916E1">
        <w:rPr>
          <w:rStyle w:val="apple-converted-space"/>
          <w:rFonts w:ascii="Arial" w:hAnsi="Arial" w:cs="Arial"/>
          <w:color w:val="000000"/>
          <w:sz w:val="22"/>
          <w:szCs w:val="22"/>
        </w:rPr>
        <w:t> </w:t>
      </w:r>
      <w:hyperlink r:id="rId29" w:tgtFrame="_new" w:history="1">
        <w:r w:rsidRPr="00E916E1">
          <w:rPr>
            <w:rStyle w:val="Hyperlink"/>
            <w:rFonts w:ascii="Arial" w:hAnsi="Arial" w:cs="Arial"/>
            <w:sz w:val="22"/>
            <w:szCs w:val="22"/>
          </w:rPr>
          <w:t>https://www.worldbank.org/en/topic/urbandevelopment</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7B7F37BC" w14:textId="77777777" w:rsidR="001902E8" w:rsidRPr="00E916E1" w:rsidRDefault="001902E8" w:rsidP="00E916E1">
      <w:pPr>
        <w:pStyle w:val="NormalWeb"/>
        <w:spacing w:line="360" w:lineRule="auto"/>
        <w:rPr>
          <w:rFonts w:ascii="Arial" w:hAnsi="Arial" w:cs="Arial"/>
          <w:color w:val="000000"/>
          <w:sz w:val="22"/>
          <w:szCs w:val="22"/>
        </w:rPr>
      </w:pPr>
    </w:p>
    <w:p w14:paraId="6FAB353C"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lastRenderedPageBreak/>
        <w:t>World Bank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Urban Sustainability and Resilience Report 2023</w:t>
      </w:r>
      <w:r w:rsidRPr="00E916E1">
        <w:rPr>
          <w:rFonts w:ascii="Arial" w:hAnsi="Arial" w:cs="Arial"/>
          <w:color w:val="000000"/>
          <w:sz w:val="22"/>
          <w:szCs w:val="22"/>
        </w:rPr>
        <w:t>. Washington, DC: World Bank. Available at:</w:t>
      </w:r>
      <w:r w:rsidRPr="00E916E1">
        <w:rPr>
          <w:rStyle w:val="apple-converted-space"/>
          <w:rFonts w:ascii="Arial" w:hAnsi="Arial" w:cs="Arial"/>
          <w:color w:val="000000"/>
          <w:sz w:val="22"/>
          <w:szCs w:val="22"/>
        </w:rPr>
        <w:t> </w:t>
      </w:r>
      <w:hyperlink r:id="rId30" w:tgtFrame="_new" w:history="1">
        <w:r w:rsidRPr="00E916E1">
          <w:rPr>
            <w:rStyle w:val="Hyperlink"/>
            <w:rFonts w:ascii="Arial" w:hAnsi="Arial" w:cs="Arial"/>
            <w:sz w:val="22"/>
            <w:szCs w:val="22"/>
          </w:rPr>
          <w:t>https://www.worldbank.org/en/topic/sustainabledevelopment</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16263962"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World Economic Forum (WEF)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Urban Transformation: Building Sustainable Cities of Tomorrow</w:t>
      </w:r>
      <w:r w:rsidRPr="00E916E1">
        <w:rPr>
          <w:rFonts w:ascii="Arial" w:hAnsi="Arial" w:cs="Arial"/>
          <w:color w:val="000000"/>
          <w:sz w:val="22"/>
          <w:szCs w:val="22"/>
        </w:rPr>
        <w:t>. Geneva: WEF. Available at:</w:t>
      </w:r>
      <w:r w:rsidRPr="00E916E1">
        <w:rPr>
          <w:rStyle w:val="apple-converted-space"/>
          <w:rFonts w:ascii="Arial" w:hAnsi="Arial" w:cs="Arial"/>
          <w:color w:val="000000"/>
          <w:sz w:val="22"/>
          <w:szCs w:val="22"/>
        </w:rPr>
        <w:t> </w:t>
      </w:r>
      <w:hyperlink r:id="rId31" w:tgtFrame="_new" w:history="1">
        <w:r w:rsidRPr="00E916E1">
          <w:rPr>
            <w:rStyle w:val="Hyperlink"/>
            <w:rFonts w:ascii="Arial" w:hAnsi="Arial" w:cs="Arial"/>
            <w:sz w:val="22"/>
            <w:szCs w:val="22"/>
          </w:rPr>
          <w:t>https://www.weforum.org/reports/urban-transformation-building-sustainable-cities-of-tomorrow</w:t>
        </w:r>
      </w:hyperlink>
      <w:r w:rsidRPr="00E916E1">
        <w:rPr>
          <w:rFonts w:ascii="Arial" w:hAnsi="Arial" w:cs="Arial"/>
          <w:color w:val="000000"/>
          <w:sz w:val="22"/>
          <w:szCs w:val="22"/>
        </w:rPr>
        <w:t>(Accessed: 15 November 2025).</w:t>
      </w:r>
    </w:p>
    <w:p w14:paraId="53741E5F"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World Health Organization (WHO) (2018)</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Global Action Plan for Healthy Lives and Well-being for All</w:t>
      </w:r>
      <w:r w:rsidRPr="00E916E1">
        <w:rPr>
          <w:rFonts w:ascii="Arial" w:hAnsi="Arial" w:cs="Arial"/>
          <w:color w:val="000000"/>
          <w:sz w:val="22"/>
          <w:szCs w:val="22"/>
        </w:rPr>
        <w:t>. Geneva: WHO. Available at:</w:t>
      </w:r>
      <w:r w:rsidRPr="00E916E1">
        <w:rPr>
          <w:rStyle w:val="apple-converted-space"/>
          <w:rFonts w:ascii="Arial" w:hAnsi="Arial" w:cs="Arial"/>
          <w:color w:val="000000"/>
          <w:sz w:val="22"/>
          <w:szCs w:val="22"/>
        </w:rPr>
        <w:t> </w:t>
      </w:r>
      <w:hyperlink r:id="rId32" w:tgtFrame="_new" w:history="1">
        <w:r w:rsidRPr="00E916E1">
          <w:rPr>
            <w:rStyle w:val="Hyperlink"/>
            <w:rFonts w:ascii="Arial" w:hAnsi="Arial" w:cs="Arial"/>
            <w:sz w:val="22"/>
            <w:szCs w:val="22"/>
          </w:rPr>
          <w:t>https://www.who.int/initiatives/sdg3-global-action-plan</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28BDFE13"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World Health Organization (WHO) (2021)</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Global Strategy on Health, Environment and Climate Change</w:t>
      </w:r>
      <w:r w:rsidRPr="00E916E1">
        <w:rPr>
          <w:rFonts w:ascii="Arial" w:hAnsi="Arial" w:cs="Arial"/>
          <w:color w:val="000000"/>
          <w:sz w:val="22"/>
          <w:szCs w:val="22"/>
        </w:rPr>
        <w:t>. Geneva: WHO. Available at:</w:t>
      </w:r>
      <w:r w:rsidRPr="00E916E1">
        <w:rPr>
          <w:rStyle w:val="apple-converted-space"/>
          <w:rFonts w:ascii="Arial" w:hAnsi="Arial" w:cs="Arial"/>
          <w:color w:val="000000"/>
          <w:sz w:val="22"/>
          <w:szCs w:val="22"/>
        </w:rPr>
        <w:t> </w:t>
      </w:r>
      <w:hyperlink r:id="rId33" w:tgtFrame="_new" w:history="1">
        <w:r w:rsidRPr="00E916E1">
          <w:rPr>
            <w:rStyle w:val="Hyperlink"/>
            <w:rFonts w:ascii="Arial" w:hAnsi="Arial" w:cs="Arial"/>
            <w:sz w:val="22"/>
            <w:szCs w:val="22"/>
          </w:rPr>
          <w:t>https://www.who.int/publications/i/item/9789240035831</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1BC8F765"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World Health Organization (WHO) (2022)</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Tracking Universal Health Coverage: 2022 Global Monitoring Report</w:t>
      </w:r>
      <w:r w:rsidRPr="00E916E1">
        <w:rPr>
          <w:rFonts w:ascii="Arial" w:hAnsi="Arial" w:cs="Arial"/>
          <w:color w:val="000000"/>
          <w:sz w:val="22"/>
          <w:szCs w:val="22"/>
        </w:rPr>
        <w:t>. Geneva: WHO. Available at:</w:t>
      </w:r>
      <w:r w:rsidRPr="00E916E1">
        <w:rPr>
          <w:rStyle w:val="apple-converted-space"/>
          <w:rFonts w:ascii="Arial" w:hAnsi="Arial" w:cs="Arial"/>
          <w:color w:val="000000"/>
          <w:sz w:val="22"/>
          <w:szCs w:val="22"/>
        </w:rPr>
        <w:t> </w:t>
      </w:r>
      <w:hyperlink r:id="rId34" w:tgtFrame="_new" w:history="1">
        <w:r w:rsidRPr="00E916E1">
          <w:rPr>
            <w:rStyle w:val="Hyperlink"/>
            <w:rFonts w:ascii="Arial" w:hAnsi="Arial" w:cs="Arial"/>
            <w:sz w:val="22"/>
            <w:szCs w:val="22"/>
          </w:rPr>
          <w:t>https://www.who.int/publications/i/item/9789240062431</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07C7A507"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World Health Organization (WHO) (2023)</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SDG 3 Progress Review: Health and Well-being for All</w:t>
      </w:r>
      <w:r w:rsidRPr="00E916E1">
        <w:rPr>
          <w:rFonts w:ascii="Arial" w:hAnsi="Arial" w:cs="Arial"/>
          <w:color w:val="000000"/>
          <w:sz w:val="22"/>
          <w:szCs w:val="22"/>
        </w:rPr>
        <w:t>. Geneva: WHO. Available at:</w:t>
      </w:r>
      <w:r w:rsidRPr="00E916E1">
        <w:rPr>
          <w:rStyle w:val="apple-converted-space"/>
          <w:rFonts w:ascii="Arial" w:hAnsi="Arial" w:cs="Arial"/>
          <w:color w:val="000000"/>
          <w:sz w:val="22"/>
          <w:szCs w:val="22"/>
        </w:rPr>
        <w:t> </w:t>
      </w:r>
      <w:hyperlink r:id="rId35" w:tgtFrame="_new" w:history="1">
        <w:r w:rsidRPr="00E916E1">
          <w:rPr>
            <w:rStyle w:val="Hyperlink"/>
            <w:rFonts w:ascii="Arial" w:hAnsi="Arial" w:cs="Arial"/>
            <w:sz w:val="22"/>
            <w:szCs w:val="22"/>
          </w:rPr>
          <w:t>https://www.who.int/data/gho/data/themes/topics/sdg-target-3_8-universal-health-coverage</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1112AE06" w14:textId="77777777" w:rsidR="001F190A" w:rsidRPr="00E916E1" w:rsidRDefault="001F190A" w:rsidP="00E916E1">
      <w:pPr>
        <w:pStyle w:val="NormalWeb"/>
        <w:spacing w:line="360" w:lineRule="auto"/>
        <w:rPr>
          <w:rFonts w:ascii="Arial" w:hAnsi="Arial" w:cs="Arial"/>
          <w:color w:val="000000"/>
          <w:sz w:val="22"/>
          <w:szCs w:val="22"/>
        </w:rPr>
      </w:pPr>
      <w:r w:rsidRPr="00E916E1">
        <w:rPr>
          <w:rFonts w:ascii="Arial" w:hAnsi="Arial" w:cs="Arial"/>
          <w:color w:val="000000"/>
          <w:sz w:val="22"/>
          <w:szCs w:val="22"/>
        </w:rPr>
        <w:t>World Health Organization (WHO) and United Nations Human Settlements Programme (UN-Habitat) (2021)</w:t>
      </w:r>
      <w:r w:rsidRPr="00E916E1">
        <w:rPr>
          <w:rStyle w:val="apple-converted-space"/>
          <w:rFonts w:ascii="Arial" w:hAnsi="Arial" w:cs="Arial"/>
          <w:color w:val="000000"/>
          <w:sz w:val="22"/>
          <w:szCs w:val="22"/>
        </w:rPr>
        <w:t> </w:t>
      </w:r>
      <w:r w:rsidRPr="00E916E1">
        <w:rPr>
          <w:rStyle w:val="Emphasis"/>
          <w:rFonts w:ascii="Arial" w:hAnsi="Arial" w:cs="Arial"/>
          <w:color w:val="000000"/>
          <w:sz w:val="22"/>
          <w:szCs w:val="22"/>
        </w:rPr>
        <w:t>Integrating Health into Urban Planning: A Global Review of Evidence and Practice</w:t>
      </w:r>
      <w:r w:rsidRPr="00E916E1">
        <w:rPr>
          <w:rFonts w:ascii="Arial" w:hAnsi="Arial" w:cs="Arial"/>
          <w:color w:val="000000"/>
          <w:sz w:val="22"/>
          <w:szCs w:val="22"/>
        </w:rPr>
        <w:t>. Geneva: WHO. Available at:</w:t>
      </w:r>
      <w:r w:rsidRPr="00E916E1">
        <w:rPr>
          <w:rStyle w:val="apple-converted-space"/>
          <w:rFonts w:ascii="Arial" w:hAnsi="Arial" w:cs="Arial"/>
          <w:color w:val="000000"/>
          <w:sz w:val="22"/>
          <w:szCs w:val="22"/>
        </w:rPr>
        <w:t> </w:t>
      </w:r>
      <w:hyperlink r:id="rId36" w:tgtFrame="_new" w:history="1">
        <w:r w:rsidRPr="00E916E1">
          <w:rPr>
            <w:rStyle w:val="Hyperlink"/>
            <w:rFonts w:ascii="Arial" w:hAnsi="Arial" w:cs="Arial"/>
            <w:sz w:val="22"/>
            <w:szCs w:val="22"/>
          </w:rPr>
          <w:t>https://www.who.int/publications/i/item/9789240010371</w:t>
        </w:r>
      </w:hyperlink>
      <w:r w:rsidRPr="00E916E1">
        <w:rPr>
          <w:rStyle w:val="apple-converted-space"/>
          <w:rFonts w:ascii="Arial" w:hAnsi="Arial" w:cs="Arial"/>
          <w:color w:val="000000"/>
          <w:sz w:val="22"/>
          <w:szCs w:val="22"/>
        </w:rPr>
        <w:t> </w:t>
      </w:r>
      <w:r w:rsidRPr="00E916E1">
        <w:rPr>
          <w:rFonts w:ascii="Arial" w:hAnsi="Arial" w:cs="Arial"/>
          <w:color w:val="000000"/>
          <w:sz w:val="22"/>
          <w:szCs w:val="22"/>
        </w:rPr>
        <w:t>(Accessed: 15 November 2025).</w:t>
      </w:r>
    </w:p>
    <w:p w14:paraId="13F97DE4" w14:textId="77777777" w:rsidR="001F190A" w:rsidRPr="00E916E1" w:rsidRDefault="001F190A" w:rsidP="00E916E1">
      <w:pPr>
        <w:spacing w:line="360" w:lineRule="auto"/>
        <w:rPr>
          <w:rFonts w:ascii="Arial" w:hAnsi="Arial" w:cs="Arial"/>
          <w:sz w:val="22"/>
          <w:szCs w:val="22"/>
        </w:rPr>
      </w:pPr>
    </w:p>
    <w:sectPr w:rsidR="001F190A" w:rsidRPr="00E916E1" w:rsidSect="00121C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13757" w14:textId="77777777" w:rsidR="00C630CE" w:rsidRDefault="00C630CE" w:rsidP="00D44D9B">
      <w:r>
        <w:separator/>
      </w:r>
    </w:p>
  </w:endnote>
  <w:endnote w:type="continuationSeparator" w:id="0">
    <w:p w14:paraId="449AE67F" w14:textId="77777777" w:rsidR="00C630CE" w:rsidRDefault="00C630CE" w:rsidP="00D44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6E7B2" w14:textId="77777777" w:rsidR="00C630CE" w:rsidRDefault="00C630CE" w:rsidP="00D44D9B">
      <w:r>
        <w:separator/>
      </w:r>
    </w:p>
  </w:footnote>
  <w:footnote w:type="continuationSeparator" w:id="0">
    <w:p w14:paraId="6CB24E9A" w14:textId="77777777" w:rsidR="00C630CE" w:rsidRDefault="00C630CE" w:rsidP="00D44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B225C"/>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70E4B"/>
    <w:multiLevelType w:val="multilevel"/>
    <w:tmpl w:val="F70A0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114DF"/>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E21C7"/>
    <w:multiLevelType w:val="multilevel"/>
    <w:tmpl w:val="2E7EF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F57545"/>
    <w:multiLevelType w:val="multilevel"/>
    <w:tmpl w:val="4A66B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196CDD"/>
    <w:multiLevelType w:val="multilevel"/>
    <w:tmpl w:val="526A4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F78A1"/>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F2B2A"/>
    <w:multiLevelType w:val="multilevel"/>
    <w:tmpl w:val="58D0A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40160A"/>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0967D2"/>
    <w:multiLevelType w:val="multilevel"/>
    <w:tmpl w:val="58CAA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B300C5"/>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46B5F"/>
    <w:multiLevelType w:val="multilevel"/>
    <w:tmpl w:val="C9B6E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153415"/>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483F58"/>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CD22DE"/>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235579"/>
    <w:multiLevelType w:val="multilevel"/>
    <w:tmpl w:val="9BAEF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7C4543"/>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9B1BF4"/>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71FB3"/>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14246A"/>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E93A20"/>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6756F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F1633A"/>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D661D1"/>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6B79E2"/>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2D2A39"/>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866DF0"/>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D8230C"/>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DD65F8"/>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2F2064"/>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620534"/>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F23F92"/>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9A3C8C"/>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562D34"/>
    <w:multiLevelType w:val="multilevel"/>
    <w:tmpl w:val="E4203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6052884">
    <w:abstractNumId w:val="33"/>
  </w:num>
  <w:num w:numId="2" w16cid:durableId="1064790681">
    <w:abstractNumId w:val="4"/>
  </w:num>
  <w:num w:numId="3" w16cid:durableId="836386477">
    <w:abstractNumId w:val="3"/>
  </w:num>
  <w:num w:numId="4" w16cid:durableId="968324068">
    <w:abstractNumId w:val="9"/>
  </w:num>
  <w:num w:numId="5" w16cid:durableId="1160275221">
    <w:abstractNumId w:val="1"/>
  </w:num>
  <w:num w:numId="6" w16cid:durableId="1851869809">
    <w:abstractNumId w:val="15"/>
  </w:num>
  <w:num w:numId="7" w16cid:durableId="267856619">
    <w:abstractNumId w:val="7"/>
  </w:num>
  <w:num w:numId="8" w16cid:durableId="381439698">
    <w:abstractNumId w:val="5"/>
  </w:num>
  <w:num w:numId="9" w16cid:durableId="552621719">
    <w:abstractNumId w:val="11"/>
  </w:num>
  <w:num w:numId="10" w16cid:durableId="14893461">
    <w:abstractNumId w:val="6"/>
  </w:num>
  <w:num w:numId="11" w16cid:durableId="914127701">
    <w:abstractNumId w:val="10"/>
  </w:num>
  <w:num w:numId="12" w16cid:durableId="819736838">
    <w:abstractNumId w:val="0"/>
  </w:num>
  <w:num w:numId="13" w16cid:durableId="1848401762">
    <w:abstractNumId w:val="13"/>
  </w:num>
  <w:num w:numId="14" w16cid:durableId="10569452">
    <w:abstractNumId w:val="25"/>
  </w:num>
  <w:num w:numId="15" w16cid:durableId="292449047">
    <w:abstractNumId w:val="12"/>
  </w:num>
  <w:num w:numId="16" w16cid:durableId="449016517">
    <w:abstractNumId w:val="31"/>
  </w:num>
  <w:num w:numId="17" w16cid:durableId="1035815576">
    <w:abstractNumId w:val="18"/>
  </w:num>
  <w:num w:numId="18" w16cid:durableId="1662387858">
    <w:abstractNumId w:val="30"/>
  </w:num>
  <w:num w:numId="19" w16cid:durableId="1051997848">
    <w:abstractNumId w:val="32"/>
  </w:num>
  <w:num w:numId="20" w16cid:durableId="740710356">
    <w:abstractNumId w:val="17"/>
  </w:num>
  <w:num w:numId="21" w16cid:durableId="855968836">
    <w:abstractNumId w:val="2"/>
  </w:num>
  <w:num w:numId="22" w16cid:durableId="1745831638">
    <w:abstractNumId w:val="21"/>
  </w:num>
  <w:num w:numId="23" w16cid:durableId="1035035701">
    <w:abstractNumId w:val="20"/>
  </w:num>
  <w:num w:numId="24" w16cid:durableId="373965066">
    <w:abstractNumId w:val="24"/>
  </w:num>
  <w:num w:numId="25" w16cid:durableId="1795175765">
    <w:abstractNumId w:val="27"/>
  </w:num>
  <w:num w:numId="26" w16cid:durableId="1090856714">
    <w:abstractNumId w:val="19"/>
  </w:num>
  <w:num w:numId="27" w16cid:durableId="1555579749">
    <w:abstractNumId w:val="14"/>
  </w:num>
  <w:num w:numId="28" w16cid:durableId="1185436553">
    <w:abstractNumId w:val="29"/>
  </w:num>
  <w:num w:numId="29" w16cid:durableId="1894610047">
    <w:abstractNumId w:val="23"/>
  </w:num>
  <w:num w:numId="30" w16cid:durableId="1994480388">
    <w:abstractNumId w:val="28"/>
  </w:num>
  <w:num w:numId="31" w16cid:durableId="1799491705">
    <w:abstractNumId w:val="26"/>
  </w:num>
  <w:num w:numId="32" w16cid:durableId="790249872">
    <w:abstractNumId w:val="8"/>
  </w:num>
  <w:num w:numId="33" w16cid:durableId="1637101772">
    <w:abstractNumId w:val="22"/>
  </w:num>
  <w:num w:numId="34" w16cid:durableId="2189037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A3E"/>
    <w:rsid w:val="00121C67"/>
    <w:rsid w:val="001902E8"/>
    <w:rsid w:val="001F190A"/>
    <w:rsid w:val="002214F2"/>
    <w:rsid w:val="0046543C"/>
    <w:rsid w:val="005F18D4"/>
    <w:rsid w:val="00636AFF"/>
    <w:rsid w:val="006F6163"/>
    <w:rsid w:val="007B65F2"/>
    <w:rsid w:val="008331CA"/>
    <w:rsid w:val="008449EE"/>
    <w:rsid w:val="00871A60"/>
    <w:rsid w:val="00A12A3E"/>
    <w:rsid w:val="00AB0776"/>
    <w:rsid w:val="00BC5E3C"/>
    <w:rsid w:val="00C630CE"/>
    <w:rsid w:val="00D31B88"/>
    <w:rsid w:val="00D44D9B"/>
    <w:rsid w:val="00E916E1"/>
    <w:rsid w:val="00F2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426AB"/>
  <w15:chartTrackingRefBased/>
  <w15:docId w15:val="{5AB0C5B7-F360-E64E-BC8E-F47DD0E75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90A"/>
    <w:rPr>
      <w:rFonts w:ascii="Times New Roman" w:eastAsia="Times New Roman" w:hAnsi="Times New Roman" w:cs="Times New Roman"/>
      <w:lang w:eastAsia="en-GB"/>
    </w:rPr>
  </w:style>
  <w:style w:type="paragraph" w:styleId="Heading1">
    <w:name w:val="heading 1"/>
    <w:basedOn w:val="Normal"/>
    <w:link w:val="Heading1Char"/>
    <w:uiPriority w:val="9"/>
    <w:qFormat/>
    <w:rsid w:val="00A12A3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BC5E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5E3C"/>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44D9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A3E"/>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A12A3E"/>
    <w:pPr>
      <w:spacing w:before="100" w:beforeAutospacing="1" w:after="100" w:afterAutospacing="1"/>
    </w:pPr>
  </w:style>
  <w:style w:type="character" w:customStyle="1" w:styleId="apple-converted-space">
    <w:name w:val="apple-converted-space"/>
    <w:basedOn w:val="DefaultParagraphFont"/>
    <w:rsid w:val="00A12A3E"/>
  </w:style>
  <w:style w:type="character" w:styleId="Emphasis">
    <w:name w:val="Emphasis"/>
    <w:basedOn w:val="DefaultParagraphFont"/>
    <w:uiPriority w:val="20"/>
    <w:qFormat/>
    <w:rsid w:val="00A12A3E"/>
    <w:rPr>
      <w:i/>
      <w:iCs/>
    </w:rPr>
  </w:style>
  <w:style w:type="character" w:styleId="Hyperlink">
    <w:name w:val="Hyperlink"/>
    <w:basedOn w:val="DefaultParagraphFont"/>
    <w:uiPriority w:val="99"/>
    <w:unhideWhenUsed/>
    <w:rsid w:val="00A12A3E"/>
    <w:rPr>
      <w:color w:val="0000FF"/>
      <w:u w:val="single"/>
    </w:rPr>
  </w:style>
  <w:style w:type="character" w:styleId="UnresolvedMention">
    <w:name w:val="Unresolved Mention"/>
    <w:basedOn w:val="DefaultParagraphFont"/>
    <w:uiPriority w:val="99"/>
    <w:semiHidden/>
    <w:unhideWhenUsed/>
    <w:rsid w:val="00A12A3E"/>
    <w:rPr>
      <w:color w:val="605E5C"/>
      <w:shd w:val="clear" w:color="auto" w:fill="E1DFDD"/>
    </w:rPr>
  </w:style>
  <w:style w:type="character" w:customStyle="1" w:styleId="Heading2Char">
    <w:name w:val="Heading 2 Char"/>
    <w:basedOn w:val="DefaultParagraphFont"/>
    <w:link w:val="Heading2"/>
    <w:uiPriority w:val="9"/>
    <w:rsid w:val="00BC5E3C"/>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BC5E3C"/>
    <w:rPr>
      <w:rFonts w:asciiTheme="majorHAnsi" w:eastAsiaTheme="majorEastAsia" w:hAnsiTheme="majorHAnsi" w:cstheme="majorBidi"/>
      <w:color w:val="1F3763" w:themeColor="accent1" w:themeShade="7F"/>
      <w:lang w:val="en-US"/>
    </w:rPr>
  </w:style>
  <w:style w:type="character" w:styleId="Strong">
    <w:name w:val="Strong"/>
    <w:basedOn w:val="DefaultParagraphFont"/>
    <w:uiPriority w:val="22"/>
    <w:qFormat/>
    <w:rsid w:val="00BC5E3C"/>
    <w:rPr>
      <w:b/>
      <w:bCs/>
    </w:rPr>
  </w:style>
  <w:style w:type="character" w:styleId="FollowedHyperlink">
    <w:name w:val="FollowedHyperlink"/>
    <w:basedOn w:val="DefaultParagraphFont"/>
    <w:uiPriority w:val="99"/>
    <w:semiHidden/>
    <w:unhideWhenUsed/>
    <w:rsid w:val="0046543C"/>
    <w:rPr>
      <w:color w:val="954F72" w:themeColor="followedHyperlink"/>
      <w:u w:val="single"/>
    </w:rPr>
  </w:style>
  <w:style w:type="paragraph" w:styleId="Header">
    <w:name w:val="header"/>
    <w:basedOn w:val="Normal"/>
    <w:link w:val="HeaderChar"/>
    <w:uiPriority w:val="99"/>
    <w:unhideWhenUsed/>
    <w:rsid w:val="00D44D9B"/>
    <w:pPr>
      <w:tabs>
        <w:tab w:val="center" w:pos="4513"/>
        <w:tab w:val="right" w:pos="9026"/>
      </w:tabs>
    </w:pPr>
  </w:style>
  <w:style w:type="character" w:customStyle="1" w:styleId="HeaderChar">
    <w:name w:val="Header Char"/>
    <w:basedOn w:val="DefaultParagraphFont"/>
    <w:link w:val="Header"/>
    <w:uiPriority w:val="99"/>
    <w:rsid w:val="00D44D9B"/>
    <w:rPr>
      <w:rFonts w:eastAsiaTheme="minorEastAsia"/>
      <w:sz w:val="22"/>
      <w:szCs w:val="22"/>
      <w:lang w:val="en-US"/>
    </w:rPr>
  </w:style>
  <w:style w:type="paragraph" w:styleId="Footer">
    <w:name w:val="footer"/>
    <w:basedOn w:val="Normal"/>
    <w:link w:val="FooterChar"/>
    <w:uiPriority w:val="99"/>
    <w:unhideWhenUsed/>
    <w:rsid w:val="00D44D9B"/>
    <w:pPr>
      <w:tabs>
        <w:tab w:val="center" w:pos="4513"/>
        <w:tab w:val="right" w:pos="9026"/>
      </w:tabs>
    </w:pPr>
  </w:style>
  <w:style w:type="character" w:customStyle="1" w:styleId="FooterChar">
    <w:name w:val="Footer Char"/>
    <w:basedOn w:val="DefaultParagraphFont"/>
    <w:link w:val="Footer"/>
    <w:uiPriority w:val="99"/>
    <w:rsid w:val="00D44D9B"/>
    <w:rPr>
      <w:rFonts w:eastAsiaTheme="minorEastAsia"/>
      <w:sz w:val="22"/>
      <w:szCs w:val="22"/>
      <w:lang w:val="en-US"/>
    </w:rPr>
  </w:style>
  <w:style w:type="character" w:customStyle="1" w:styleId="Heading4Char">
    <w:name w:val="Heading 4 Char"/>
    <w:basedOn w:val="DefaultParagraphFont"/>
    <w:link w:val="Heading4"/>
    <w:uiPriority w:val="9"/>
    <w:semiHidden/>
    <w:rsid w:val="00D44D9B"/>
    <w:rPr>
      <w:rFonts w:asciiTheme="majorHAnsi" w:eastAsiaTheme="majorEastAsia" w:hAnsiTheme="majorHAnsi" w:cstheme="majorBidi"/>
      <w:i/>
      <w:iCs/>
      <w:color w:val="2F5496" w:themeColor="accent1" w:themeShade="BF"/>
      <w:sz w:val="22"/>
      <w:szCs w:val="22"/>
      <w:lang w:val="en-US"/>
    </w:rPr>
  </w:style>
  <w:style w:type="table" w:styleId="TableGrid">
    <w:name w:val="Table Grid"/>
    <w:basedOn w:val="TableNormal"/>
    <w:uiPriority w:val="39"/>
    <w:rsid w:val="00D44D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21C67"/>
    <w:rPr>
      <w:rFonts w:eastAsiaTheme="minorEastAsia"/>
      <w:sz w:val="22"/>
      <w:szCs w:val="22"/>
      <w:lang w:val="en-US" w:eastAsia="zh-CN"/>
    </w:rPr>
  </w:style>
  <w:style w:type="character" w:customStyle="1" w:styleId="NoSpacingChar">
    <w:name w:val="No Spacing Char"/>
    <w:basedOn w:val="DefaultParagraphFont"/>
    <w:link w:val="NoSpacing"/>
    <w:uiPriority w:val="1"/>
    <w:rsid w:val="00121C6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68427">
      <w:bodyDiv w:val="1"/>
      <w:marLeft w:val="0"/>
      <w:marRight w:val="0"/>
      <w:marTop w:val="0"/>
      <w:marBottom w:val="0"/>
      <w:divBdr>
        <w:top w:val="none" w:sz="0" w:space="0" w:color="auto"/>
        <w:left w:val="none" w:sz="0" w:space="0" w:color="auto"/>
        <w:bottom w:val="none" w:sz="0" w:space="0" w:color="auto"/>
        <w:right w:val="none" w:sz="0" w:space="0" w:color="auto"/>
      </w:divBdr>
    </w:div>
    <w:div w:id="646739493">
      <w:bodyDiv w:val="1"/>
      <w:marLeft w:val="0"/>
      <w:marRight w:val="0"/>
      <w:marTop w:val="0"/>
      <w:marBottom w:val="0"/>
      <w:divBdr>
        <w:top w:val="none" w:sz="0" w:space="0" w:color="auto"/>
        <w:left w:val="none" w:sz="0" w:space="0" w:color="auto"/>
        <w:bottom w:val="none" w:sz="0" w:space="0" w:color="auto"/>
        <w:right w:val="none" w:sz="0" w:space="0" w:color="auto"/>
      </w:divBdr>
    </w:div>
    <w:div w:id="682627406">
      <w:bodyDiv w:val="1"/>
      <w:marLeft w:val="0"/>
      <w:marRight w:val="0"/>
      <w:marTop w:val="0"/>
      <w:marBottom w:val="0"/>
      <w:divBdr>
        <w:top w:val="none" w:sz="0" w:space="0" w:color="auto"/>
        <w:left w:val="none" w:sz="0" w:space="0" w:color="auto"/>
        <w:bottom w:val="none" w:sz="0" w:space="0" w:color="auto"/>
        <w:right w:val="none" w:sz="0" w:space="0" w:color="auto"/>
      </w:divBdr>
    </w:div>
    <w:div w:id="876623878">
      <w:bodyDiv w:val="1"/>
      <w:marLeft w:val="0"/>
      <w:marRight w:val="0"/>
      <w:marTop w:val="0"/>
      <w:marBottom w:val="0"/>
      <w:divBdr>
        <w:top w:val="none" w:sz="0" w:space="0" w:color="auto"/>
        <w:left w:val="none" w:sz="0" w:space="0" w:color="auto"/>
        <w:bottom w:val="none" w:sz="0" w:space="0" w:color="auto"/>
        <w:right w:val="none" w:sz="0" w:space="0" w:color="auto"/>
      </w:divBdr>
    </w:div>
    <w:div w:id="891304174">
      <w:bodyDiv w:val="1"/>
      <w:marLeft w:val="0"/>
      <w:marRight w:val="0"/>
      <w:marTop w:val="0"/>
      <w:marBottom w:val="0"/>
      <w:divBdr>
        <w:top w:val="none" w:sz="0" w:space="0" w:color="auto"/>
        <w:left w:val="none" w:sz="0" w:space="0" w:color="auto"/>
        <w:bottom w:val="none" w:sz="0" w:space="0" w:color="auto"/>
        <w:right w:val="none" w:sz="0" w:space="0" w:color="auto"/>
      </w:divBdr>
      <w:divsChild>
        <w:div w:id="1006596622">
          <w:marLeft w:val="0"/>
          <w:marRight w:val="0"/>
          <w:marTop w:val="0"/>
          <w:marBottom w:val="0"/>
          <w:divBdr>
            <w:top w:val="none" w:sz="0" w:space="0" w:color="auto"/>
            <w:left w:val="none" w:sz="0" w:space="0" w:color="auto"/>
            <w:bottom w:val="none" w:sz="0" w:space="0" w:color="auto"/>
            <w:right w:val="none" w:sz="0" w:space="0" w:color="auto"/>
          </w:divBdr>
          <w:divsChild>
            <w:div w:id="118267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71082">
      <w:bodyDiv w:val="1"/>
      <w:marLeft w:val="0"/>
      <w:marRight w:val="0"/>
      <w:marTop w:val="0"/>
      <w:marBottom w:val="0"/>
      <w:divBdr>
        <w:top w:val="none" w:sz="0" w:space="0" w:color="auto"/>
        <w:left w:val="none" w:sz="0" w:space="0" w:color="auto"/>
        <w:bottom w:val="none" w:sz="0" w:space="0" w:color="auto"/>
        <w:right w:val="none" w:sz="0" w:space="0" w:color="auto"/>
      </w:divBdr>
    </w:div>
    <w:div w:id="934367104">
      <w:bodyDiv w:val="1"/>
      <w:marLeft w:val="0"/>
      <w:marRight w:val="0"/>
      <w:marTop w:val="0"/>
      <w:marBottom w:val="0"/>
      <w:divBdr>
        <w:top w:val="none" w:sz="0" w:space="0" w:color="auto"/>
        <w:left w:val="none" w:sz="0" w:space="0" w:color="auto"/>
        <w:bottom w:val="none" w:sz="0" w:space="0" w:color="auto"/>
        <w:right w:val="none" w:sz="0" w:space="0" w:color="auto"/>
      </w:divBdr>
    </w:div>
    <w:div w:id="1018655737">
      <w:bodyDiv w:val="1"/>
      <w:marLeft w:val="0"/>
      <w:marRight w:val="0"/>
      <w:marTop w:val="0"/>
      <w:marBottom w:val="0"/>
      <w:divBdr>
        <w:top w:val="none" w:sz="0" w:space="0" w:color="auto"/>
        <w:left w:val="none" w:sz="0" w:space="0" w:color="auto"/>
        <w:bottom w:val="none" w:sz="0" w:space="0" w:color="auto"/>
        <w:right w:val="none" w:sz="0" w:space="0" w:color="auto"/>
      </w:divBdr>
    </w:div>
    <w:div w:id="1207646556">
      <w:bodyDiv w:val="1"/>
      <w:marLeft w:val="0"/>
      <w:marRight w:val="0"/>
      <w:marTop w:val="0"/>
      <w:marBottom w:val="0"/>
      <w:divBdr>
        <w:top w:val="none" w:sz="0" w:space="0" w:color="auto"/>
        <w:left w:val="none" w:sz="0" w:space="0" w:color="auto"/>
        <w:bottom w:val="none" w:sz="0" w:space="0" w:color="auto"/>
        <w:right w:val="none" w:sz="0" w:space="0" w:color="auto"/>
      </w:divBdr>
      <w:divsChild>
        <w:div w:id="1409384247">
          <w:marLeft w:val="0"/>
          <w:marRight w:val="0"/>
          <w:marTop w:val="0"/>
          <w:marBottom w:val="0"/>
          <w:divBdr>
            <w:top w:val="none" w:sz="0" w:space="0" w:color="auto"/>
            <w:left w:val="none" w:sz="0" w:space="0" w:color="auto"/>
            <w:bottom w:val="none" w:sz="0" w:space="0" w:color="auto"/>
            <w:right w:val="none" w:sz="0" w:space="0" w:color="auto"/>
          </w:divBdr>
          <w:divsChild>
            <w:div w:id="69954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34332">
      <w:bodyDiv w:val="1"/>
      <w:marLeft w:val="0"/>
      <w:marRight w:val="0"/>
      <w:marTop w:val="0"/>
      <w:marBottom w:val="0"/>
      <w:divBdr>
        <w:top w:val="none" w:sz="0" w:space="0" w:color="auto"/>
        <w:left w:val="none" w:sz="0" w:space="0" w:color="auto"/>
        <w:bottom w:val="none" w:sz="0" w:space="0" w:color="auto"/>
        <w:right w:val="none" w:sz="0" w:space="0" w:color="auto"/>
      </w:divBdr>
    </w:div>
    <w:div w:id="1781296571">
      <w:bodyDiv w:val="1"/>
      <w:marLeft w:val="0"/>
      <w:marRight w:val="0"/>
      <w:marTop w:val="0"/>
      <w:marBottom w:val="0"/>
      <w:divBdr>
        <w:top w:val="none" w:sz="0" w:space="0" w:color="auto"/>
        <w:left w:val="none" w:sz="0" w:space="0" w:color="auto"/>
        <w:bottom w:val="none" w:sz="0" w:space="0" w:color="auto"/>
        <w:right w:val="none" w:sz="0" w:space="0" w:color="auto"/>
      </w:divBdr>
    </w:div>
    <w:div w:id="1889537044">
      <w:bodyDiv w:val="1"/>
      <w:marLeft w:val="0"/>
      <w:marRight w:val="0"/>
      <w:marTop w:val="0"/>
      <w:marBottom w:val="0"/>
      <w:divBdr>
        <w:top w:val="none" w:sz="0" w:space="0" w:color="auto"/>
        <w:left w:val="none" w:sz="0" w:space="0" w:color="auto"/>
        <w:bottom w:val="none" w:sz="0" w:space="0" w:color="auto"/>
        <w:right w:val="none" w:sz="0" w:space="0" w:color="auto"/>
      </w:divBdr>
    </w:div>
    <w:div w:id="1969358638">
      <w:bodyDiv w:val="1"/>
      <w:marLeft w:val="0"/>
      <w:marRight w:val="0"/>
      <w:marTop w:val="0"/>
      <w:marBottom w:val="0"/>
      <w:divBdr>
        <w:top w:val="none" w:sz="0" w:space="0" w:color="auto"/>
        <w:left w:val="none" w:sz="0" w:space="0" w:color="auto"/>
        <w:bottom w:val="none" w:sz="0" w:space="0" w:color="auto"/>
        <w:right w:val="none" w:sz="0" w:space="0" w:color="auto"/>
      </w:divBdr>
    </w:div>
    <w:div w:id="1973050073">
      <w:bodyDiv w:val="1"/>
      <w:marLeft w:val="0"/>
      <w:marRight w:val="0"/>
      <w:marTop w:val="0"/>
      <w:marBottom w:val="0"/>
      <w:divBdr>
        <w:top w:val="none" w:sz="0" w:space="0" w:color="auto"/>
        <w:left w:val="none" w:sz="0" w:space="0" w:color="auto"/>
        <w:bottom w:val="none" w:sz="0" w:space="0" w:color="auto"/>
        <w:right w:val="none" w:sz="0" w:space="0" w:color="auto"/>
      </w:divBdr>
    </w:div>
    <w:div w:id="1987470170">
      <w:bodyDiv w:val="1"/>
      <w:marLeft w:val="0"/>
      <w:marRight w:val="0"/>
      <w:marTop w:val="0"/>
      <w:marBottom w:val="0"/>
      <w:divBdr>
        <w:top w:val="none" w:sz="0" w:space="0" w:color="auto"/>
        <w:left w:val="none" w:sz="0" w:space="0" w:color="auto"/>
        <w:bottom w:val="none" w:sz="0" w:space="0" w:color="auto"/>
        <w:right w:val="none" w:sz="0" w:space="0" w:color="auto"/>
      </w:divBdr>
      <w:divsChild>
        <w:div w:id="1201868007">
          <w:marLeft w:val="0"/>
          <w:marRight w:val="0"/>
          <w:marTop w:val="0"/>
          <w:marBottom w:val="0"/>
          <w:divBdr>
            <w:top w:val="none" w:sz="0" w:space="0" w:color="auto"/>
            <w:left w:val="none" w:sz="0" w:space="0" w:color="auto"/>
            <w:bottom w:val="none" w:sz="0" w:space="0" w:color="auto"/>
            <w:right w:val="none" w:sz="0" w:space="0" w:color="auto"/>
          </w:divBdr>
          <w:divsChild>
            <w:div w:id="193470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0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awaabs-law-policy-overview" TargetMode="External"/><Relationship Id="rId18" Type="http://schemas.openxmlformats.org/officeDocument/2006/relationships/hyperlink" Target="https://www.ons.gov.uk/" TargetMode="External"/><Relationship Id="rId26" Type="http://schemas.openxmlformats.org/officeDocument/2006/relationships/hyperlink" Target="https://unhabitat.org/" TargetMode="External"/><Relationship Id="rId21" Type="http://schemas.openxmlformats.org/officeDocument/2006/relationships/hyperlink" Target="https://www.gov.uk/government/publications/housing-and-health-evidence-review" TargetMode="External"/><Relationship Id="rId34" Type="http://schemas.openxmlformats.org/officeDocument/2006/relationships/hyperlink" Target="https://www.who.int/publications/i/item/9789240062431" TargetMode="External"/><Relationship Id="rId7" Type="http://schemas.openxmlformats.org/officeDocument/2006/relationships/hyperlink" Target="https://www.gov.uk/government/publications/independent-inquiry-into-inequalities-in-health-report" TargetMode="External"/><Relationship Id="rId12" Type="http://schemas.openxmlformats.org/officeDocument/2006/relationships/hyperlink" Target="https://www.gov.uk/government/publications/healthy-cities-strategy" TargetMode="External"/><Relationship Id="rId17" Type="http://schemas.openxmlformats.org/officeDocument/2006/relationships/hyperlink" Target="https://www.england.nhs.uk/about/equality/equality-hub/core20plus5/" TargetMode="External"/><Relationship Id="rId25" Type="http://schemas.openxmlformats.org/officeDocument/2006/relationships/hyperlink" Target="https://unhabitat.org/wcr/" TargetMode="External"/><Relationship Id="rId33" Type="http://schemas.openxmlformats.org/officeDocument/2006/relationships/hyperlink" Target="https://www.who.int/publications/i/item/978924003583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ongtermplan.nhs.uk/" TargetMode="External"/><Relationship Id="rId20" Type="http://schemas.openxmlformats.org/officeDocument/2006/relationships/hyperlink" Target="https://www.gov.uk/government/organisations/uk-health-security-agency" TargetMode="External"/><Relationship Id="rId29" Type="http://schemas.openxmlformats.org/officeDocument/2006/relationships/hyperlink" Target="https://www.worldbank.org/en/topic/urbandevelop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s11625-020-00886-9" TargetMode="External"/><Relationship Id="rId24" Type="http://schemas.openxmlformats.org/officeDocument/2006/relationships/hyperlink" Target="https://www.undp.org/sustainable-development-goals" TargetMode="External"/><Relationship Id="rId32" Type="http://schemas.openxmlformats.org/officeDocument/2006/relationships/hyperlink" Target="https://www.who.int/initiatives/sdg3-global-action-plan"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ealth.org.uk/publications/reports/the-marmot-review-10-years-on" TargetMode="External"/><Relationship Id="rId23" Type="http://schemas.openxmlformats.org/officeDocument/2006/relationships/hyperlink" Target="https://sdgs.un.org/2030agenda" TargetMode="External"/><Relationship Id="rId28" Type="http://schemas.openxmlformats.org/officeDocument/2006/relationships/hyperlink" Target="https://dashboards.sdgindex.org/" TargetMode="External"/><Relationship Id="rId36" Type="http://schemas.openxmlformats.org/officeDocument/2006/relationships/hyperlink" Target="https://www.who.int/publications/i/item/9789240010371" TargetMode="External"/><Relationship Id="rId10" Type="http://schemas.openxmlformats.org/officeDocument/2006/relationships/hyperlink" Target="https://www.gov.uk/government/publications/health-and-wellbeing-framework" TargetMode="External"/><Relationship Id="rId19" Type="http://schemas.openxmlformats.org/officeDocument/2006/relationships/hyperlink" Target="https://www.gov.uk/government/publications/health-profile-for-england-2019" TargetMode="External"/><Relationship Id="rId31" Type="http://schemas.openxmlformats.org/officeDocument/2006/relationships/hyperlink" Target="https://www.weforum.org/reports/urban-transformation-building-sustainable-cities-of-tomorrow" TargetMode="External"/><Relationship Id="rId4" Type="http://schemas.openxmlformats.org/officeDocument/2006/relationships/webSettings" Target="webSettings.xml"/><Relationship Id="rId9" Type="http://schemas.openxmlformats.org/officeDocument/2006/relationships/hyperlink" Target="https://www.gov.uk/government/publications/net-zero-strategy" TargetMode="External"/><Relationship Id="rId14" Type="http://schemas.openxmlformats.org/officeDocument/2006/relationships/hyperlink" Target="https://www.instituteofhealthequity.org/resources-reports/build-back-fairer-in-greater-manchester" TargetMode="External"/><Relationship Id="rId22" Type="http://schemas.openxmlformats.org/officeDocument/2006/relationships/hyperlink" Target="https://researchbriefings.files.parliament.uk/documents/CBP-9732/CBP-9732.pdf" TargetMode="External"/><Relationship Id="rId27" Type="http://schemas.openxmlformats.org/officeDocument/2006/relationships/hyperlink" Target="https://unhabitat.org/world-cities-report-2024" TargetMode="External"/><Relationship Id="rId30" Type="http://schemas.openxmlformats.org/officeDocument/2006/relationships/hyperlink" Target="https://www.worldbank.org/en/topic/sustainabledevelopment" TargetMode="External"/><Relationship Id="rId35" Type="http://schemas.openxmlformats.org/officeDocument/2006/relationships/hyperlink" Target="https://www.who.int/data/gho/data/themes/topics/sdg-target-3_8-universal-health-coverage" TargetMode="External"/><Relationship Id="rId8" Type="http://schemas.openxmlformats.org/officeDocument/2006/relationships/hyperlink" Target="https://globalizationandhealth.biomedcentral.com/articles/10.1186/s12992-015-0098-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13</Pages>
  <Words>3736</Words>
  <Characters>21299</Characters>
  <Application>Microsoft Office Word</Application>
  <DocSecurity>0</DocSecurity>
  <Lines>177</Lines>
  <Paragraphs>49</Paragraphs>
  <ScaleCrop>false</ScaleCrop>
  <Company>lecturer: Parese Ahmed</Company>
  <LinksUpToDate>false</LinksUpToDate>
  <CharactersWithSpaces>24986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 - BMHP6030</dc:title>
  <dc:subject>BMHP6030</dc:subject>
  <dc:creator>Fawaz Yaslam (2113070)</dc:creator>
  <cp:keywords/>
  <dc:description/>
  <cp:lastModifiedBy>Fawaz Yaslam (2113070)</cp:lastModifiedBy>
  <cp:revision>14</cp:revision>
  <dcterms:created xsi:type="dcterms:W3CDTF">2025-11-05T10:09:00Z</dcterms:created>
  <dcterms:modified xsi:type="dcterms:W3CDTF">2025-11-15T23:41:00Z</dcterms:modified>
</cp:coreProperties>
</file>