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2A0A12" w:rsidRDefault="002A0A12">
      <w:pPr>
        <w:spacing w:line="480" w:lineRule="auto"/>
        <w:jc w:val="center"/>
        <w:rPr>
          <w:b/>
        </w:rPr>
      </w:pPr>
    </w:p>
    <w:p w14:paraId="31716D9B" w14:textId="77777777" w:rsidR="00EA235D" w:rsidRDefault="00EA235D">
      <w:pPr>
        <w:spacing w:line="480" w:lineRule="auto"/>
        <w:jc w:val="center"/>
        <w:rPr>
          <w:b/>
        </w:rPr>
      </w:pPr>
    </w:p>
    <w:p w14:paraId="678696E4" w14:textId="77777777" w:rsidR="00EA235D" w:rsidRDefault="00EA235D">
      <w:pPr>
        <w:spacing w:line="480" w:lineRule="auto"/>
        <w:jc w:val="center"/>
        <w:rPr>
          <w:b/>
        </w:rPr>
      </w:pPr>
    </w:p>
    <w:p w14:paraId="00000002" w14:textId="77777777" w:rsidR="002A0A12" w:rsidRDefault="002A0A12">
      <w:pPr>
        <w:spacing w:line="480" w:lineRule="auto"/>
        <w:jc w:val="center"/>
      </w:pPr>
    </w:p>
    <w:p w14:paraId="00000003" w14:textId="77777777" w:rsidR="002A0A12" w:rsidRDefault="002A0A12">
      <w:pPr>
        <w:spacing w:line="480" w:lineRule="auto"/>
        <w:jc w:val="center"/>
      </w:pPr>
    </w:p>
    <w:p w14:paraId="00000004" w14:textId="77777777" w:rsidR="002A0A12" w:rsidRDefault="002A0A12">
      <w:pPr>
        <w:spacing w:line="480" w:lineRule="auto"/>
        <w:jc w:val="center"/>
        <w:rPr>
          <w:b/>
        </w:rPr>
      </w:pPr>
    </w:p>
    <w:p w14:paraId="00000005" w14:textId="77777777" w:rsidR="002A0A12" w:rsidRDefault="00727AF8">
      <w:pPr>
        <w:spacing w:line="480" w:lineRule="auto"/>
        <w:jc w:val="center"/>
        <w:rPr>
          <w:b/>
        </w:rPr>
      </w:pPr>
      <w:r>
        <w:rPr>
          <w:b/>
        </w:rPr>
        <w:t>Risks and Benefits of Non-Electronic Resources for Conducting Practical Legal Research</w:t>
      </w:r>
    </w:p>
    <w:p w14:paraId="00000006" w14:textId="065188DD" w:rsidR="002A0A12" w:rsidRPr="006A22F4" w:rsidRDefault="005639B6">
      <w:pPr>
        <w:spacing w:line="480" w:lineRule="auto"/>
        <w:jc w:val="center"/>
        <w:rPr>
          <w:b/>
        </w:rPr>
      </w:pPr>
      <w:r>
        <w:t xml:space="preserve"> </w:t>
      </w:r>
      <w:proofErr w:type="spellStart"/>
      <w:r w:rsidRPr="006A22F4">
        <w:rPr>
          <w:b/>
        </w:rPr>
        <w:t>Forida</w:t>
      </w:r>
      <w:proofErr w:type="spellEnd"/>
      <w:r w:rsidRPr="006A22F4">
        <w:rPr>
          <w:b/>
        </w:rPr>
        <w:t xml:space="preserve"> </w:t>
      </w:r>
      <w:proofErr w:type="spellStart"/>
      <w:r w:rsidRPr="006A22F4">
        <w:rPr>
          <w:b/>
        </w:rPr>
        <w:t>Yeasmin</w:t>
      </w:r>
      <w:proofErr w:type="spellEnd"/>
    </w:p>
    <w:p w14:paraId="65C270B6" w14:textId="77777777" w:rsidR="005639B6" w:rsidRDefault="005639B6">
      <w:pPr>
        <w:keepNext/>
        <w:keepLines/>
        <w:pBdr>
          <w:top w:val="nil"/>
          <w:left w:val="nil"/>
          <w:bottom w:val="nil"/>
          <w:right w:val="nil"/>
          <w:between w:val="nil"/>
        </w:pBdr>
        <w:spacing w:before="240" w:after="240" w:line="360" w:lineRule="auto"/>
        <w:jc w:val="center"/>
      </w:pPr>
    </w:p>
    <w:p w14:paraId="6F6ADA85" w14:textId="77777777" w:rsidR="005639B6" w:rsidRDefault="005639B6">
      <w:pPr>
        <w:keepNext/>
        <w:keepLines/>
        <w:pBdr>
          <w:top w:val="nil"/>
          <w:left w:val="nil"/>
          <w:bottom w:val="nil"/>
          <w:right w:val="nil"/>
          <w:between w:val="nil"/>
        </w:pBdr>
        <w:spacing w:before="240" w:after="240" w:line="360" w:lineRule="auto"/>
        <w:jc w:val="center"/>
      </w:pPr>
    </w:p>
    <w:p w14:paraId="714E14E7" w14:textId="77777777" w:rsidR="005639B6" w:rsidRDefault="005639B6">
      <w:pPr>
        <w:keepNext/>
        <w:keepLines/>
        <w:pBdr>
          <w:top w:val="nil"/>
          <w:left w:val="nil"/>
          <w:bottom w:val="nil"/>
          <w:right w:val="nil"/>
          <w:between w:val="nil"/>
        </w:pBdr>
        <w:spacing w:before="240" w:after="240" w:line="360" w:lineRule="auto"/>
        <w:jc w:val="center"/>
      </w:pPr>
    </w:p>
    <w:p w14:paraId="5B84D408" w14:textId="77777777" w:rsidR="005639B6" w:rsidRDefault="005639B6">
      <w:pPr>
        <w:keepNext/>
        <w:keepLines/>
        <w:pBdr>
          <w:top w:val="nil"/>
          <w:left w:val="nil"/>
          <w:bottom w:val="nil"/>
          <w:right w:val="nil"/>
          <w:between w:val="nil"/>
        </w:pBdr>
        <w:spacing w:before="240" w:after="240" w:line="360" w:lineRule="auto"/>
        <w:jc w:val="center"/>
      </w:pPr>
    </w:p>
    <w:p w14:paraId="11C72953" w14:textId="77777777" w:rsidR="005639B6" w:rsidRDefault="005639B6">
      <w:pPr>
        <w:keepNext/>
        <w:keepLines/>
        <w:pBdr>
          <w:top w:val="nil"/>
          <w:left w:val="nil"/>
          <w:bottom w:val="nil"/>
          <w:right w:val="nil"/>
          <w:between w:val="nil"/>
        </w:pBdr>
        <w:spacing w:before="240" w:after="240" w:line="360" w:lineRule="auto"/>
        <w:jc w:val="center"/>
      </w:pPr>
    </w:p>
    <w:p w14:paraId="208916A4" w14:textId="77777777" w:rsidR="005639B6" w:rsidRDefault="005639B6">
      <w:pPr>
        <w:keepNext/>
        <w:keepLines/>
        <w:pBdr>
          <w:top w:val="nil"/>
          <w:left w:val="nil"/>
          <w:bottom w:val="nil"/>
          <w:right w:val="nil"/>
          <w:between w:val="nil"/>
        </w:pBdr>
        <w:spacing w:before="240" w:after="240" w:line="360" w:lineRule="auto"/>
        <w:jc w:val="center"/>
      </w:pPr>
    </w:p>
    <w:p w14:paraId="463661FA" w14:textId="77777777" w:rsidR="005639B6" w:rsidRDefault="005639B6">
      <w:pPr>
        <w:keepNext/>
        <w:keepLines/>
        <w:pBdr>
          <w:top w:val="nil"/>
          <w:left w:val="nil"/>
          <w:bottom w:val="nil"/>
          <w:right w:val="nil"/>
          <w:between w:val="nil"/>
        </w:pBdr>
        <w:spacing w:before="240" w:after="240" w:line="360" w:lineRule="auto"/>
        <w:jc w:val="center"/>
      </w:pPr>
    </w:p>
    <w:p w14:paraId="2F5989D7" w14:textId="77777777" w:rsidR="005639B6" w:rsidRDefault="005639B6">
      <w:pPr>
        <w:keepNext/>
        <w:keepLines/>
        <w:pBdr>
          <w:top w:val="nil"/>
          <w:left w:val="nil"/>
          <w:bottom w:val="nil"/>
          <w:right w:val="nil"/>
          <w:between w:val="nil"/>
        </w:pBdr>
        <w:spacing w:before="240" w:after="240" w:line="360" w:lineRule="auto"/>
        <w:jc w:val="center"/>
      </w:pPr>
    </w:p>
    <w:p w14:paraId="1909C4AA" w14:textId="77777777" w:rsidR="005639B6" w:rsidRDefault="005639B6">
      <w:pPr>
        <w:keepNext/>
        <w:keepLines/>
        <w:pBdr>
          <w:top w:val="nil"/>
          <w:left w:val="nil"/>
          <w:bottom w:val="nil"/>
          <w:right w:val="nil"/>
          <w:between w:val="nil"/>
        </w:pBdr>
        <w:spacing w:before="240" w:after="240" w:line="360" w:lineRule="auto"/>
        <w:jc w:val="center"/>
      </w:pPr>
    </w:p>
    <w:p w14:paraId="00000019" w14:textId="189F6229" w:rsidR="002A0A12" w:rsidRDefault="002A0A12" w:rsidP="004B00D2">
      <w:pPr>
        <w:spacing w:line="360" w:lineRule="auto"/>
      </w:pPr>
    </w:p>
    <w:p w14:paraId="0000001A" w14:textId="77777777" w:rsidR="002A0A12" w:rsidRDefault="002A0A12">
      <w:pPr>
        <w:spacing w:line="480" w:lineRule="auto"/>
        <w:sectPr w:rsidR="002A0A12">
          <w:headerReference w:type="default" r:id="rId7"/>
          <w:pgSz w:w="12240" w:h="15840"/>
          <w:pgMar w:top="1440" w:right="1440" w:bottom="1440" w:left="1440" w:header="720" w:footer="720" w:gutter="0"/>
          <w:pgNumType w:start="1"/>
          <w:cols w:space="720"/>
        </w:sectPr>
      </w:pPr>
    </w:p>
    <w:p w14:paraId="0000001B" w14:textId="77777777" w:rsidR="002A0A12" w:rsidRDefault="00727AF8">
      <w:pPr>
        <w:pStyle w:val="Heading1"/>
        <w:spacing w:line="480" w:lineRule="auto"/>
      </w:pPr>
      <w:bookmarkStart w:id="0" w:name="_heading=h.gjdgxs" w:colFirst="0" w:colLast="0"/>
      <w:bookmarkEnd w:id="0"/>
      <w:r>
        <w:lastRenderedPageBreak/>
        <w:t>Introduction</w:t>
      </w:r>
    </w:p>
    <w:p w14:paraId="0000001C" w14:textId="5F02B2A0" w:rsidR="002A0A12" w:rsidRDefault="00727AF8">
      <w:pPr>
        <w:spacing w:line="480" w:lineRule="auto"/>
        <w:jc w:val="both"/>
      </w:pPr>
      <w:r>
        <w:tab/>
      </w:r>
      <w:r w:rsidR="00EA235D">
        <w:t xml:space="preserve">In the past few years </w:t>
      </w:r>
      <w:r>
        <w:t>non-electronic resources have been questioned due to</w:t>
      </w:r>
      <w:r w:rsidR="00EA235D">
        <w:t xml:space="preserve"> the intense use of digital</w:t>
      </w:r>
      <w:r>
        <w:t xml:space="preserve"> technologies. The time of non-digital learning which included personal notes, </w:t>
      </w:r>
      <w:r w:rsidR="005639B6">
        <w:t xml:space="preserve">newspapers, </w:t>
      </w:r>
      <w:r>
        <w:t>physical printin</w:t>
      </w:r>
      <w:r w:rsidR="005639B6">
        <w:t xml:space="preserve">g, textbooks and </w:t>
      </w:r>
      <w:r>
        <w:t>has been taken over with the usage of apps, internet searches, e-learning cases, podcasts and E-books. This essay will reflect on how non-electronic resources are being utilised in the conduct of the practice of legal re</w:t>
      </w:r>
      <w:r w:rsidR="00EA235D">
        <w:t xml:space="preserve">search for decades. Furthermore it will reflect on the </w:t>
      </w:r>
      <w:r>
        <w:t>benefits and risks associated with non-electronic</w:t>
      </w:r>
      <w:r w:rsidR="00EA235D">
        <w:t xml:space="preserve"> resources for practical</w:t>
      </w:r>
      <w:r>
        <w:t xml:space="preserve"> legal research practice under the laws and legislation.</w:t>
      </w:r>
    </w:p>
    <w:p w14:paraId="058B89BB" w14:textId="77777777" w:rsidR="005639B6" w:rsidRPr="004B00D2" w:rsidRDefault="005639B6">
      <w:pPr>
        <w:spacing w:line="480" w:lineRule="auto"/>
        <w:jc w:val="both"/>
        <w:rPr>
          <w:b/>
        </w:rPr>
      </w:pPr>
    </w:p>
    <w:p w14:paraId="0000001D" w14:textId="77777777" w:rsidR="002A0A12" w:rsidRPr="004B00D2" w:rsidRDefault="00727AF8">
      <w:pPr>
        <w:pStyle w:val="Heading2"/>
        <w:spacing w:line="480" w:lineRule="auto"/>
        <w:rPr>
          <w:i w:val="0"/>
        </w:rPr>
      </w:pPr>
      <w:bookmarkStart w:id="1" w:name="_heading=h.30j0zll" w:colFirst="0" w:colLast="0"/>
      <w:bookmarkEnd w:id="1"/>
      <w:r w:rsidRPr="004B00D2">
        <w:rPr>
          <w:i w:val="0"/>
        </w:rPr>
        <w:t>Non-Electronic Resources &amp; Practical Legal Research</w:t>
      </w:r>
    </w:p>
    <w:p w14:paraId="0000001E" w14:textId="2B4CCDC7" w:rsidR="002A0A12" w:rsidRDefault="00727AF8">
      <w:pPr>
        <w:spacing w:line="480" w:lineRule="auto"/>
        <w:jc w:val="both"/>
      </w:pPr>
      <w:r>
        <w:tab/>
        <w:t xml:space="preserve">The core purpose of utilising non-electronic resources is to serve the requirement of practising legal research </w:t>
      </w:r>
      <w:r w:rsidR="00393B88" w:rsidRPr="00393B88">
        <w:t>for today’s users and even to help tomorrow's individuals</w:t>
      </w:r>
      <w:r>
        <w:t>. Non-electronic r</w:t>
      </w:r>
      <w:r w:rsidR="00F70714">
        <w:t>esources such as textbooks, newspapers, books</w:t>
      </w:r>
      <w:r>
        <w:t xml:space="preserve">, maps </w:t>
      </w:r>
      <w:proofErr w:type="spellStart"/>
      <w:r>
        <w:t>etc</w:t>
      </w:r>
      <w:proofErr w:type="spellEnd"/>
      <w:r>
        <w:t xml:space="preserve"> have been known as one of those enduring collections </w:t>
      </w:r>
      <w:r w:rsidR="00F70714">
        <w:t xml:space="preserve">of resources. </w:t>
      </w:r>
      <w:r>
        <w:t xml:space="preserve"> According to Wolf et al. (2020), physical formats would remain in the collection for several years to come</w:t>
      </w:r>
      <w:proofErr w:type="gramStart"/>
      <w:r>
        <w:t>.</w:t>
      </w:r>
      <w:r w:rsidR="00F70714">
        <w:t>.</w:t>
      </w:r>
      <w:proofErr w:type="gramEnd"/>
      <w:r w:rsidR="00F70714">
        <w:t xml:space="preserve"> In addition to that </w:t>
      </w:r>
      <w:r>
        <w:t>it has been s</w:t>
      </w:r>
      <w:r w:rsidR="00F70714">
        <w:t xml:space="preserve">tated </w:t>
      </w:r>
      <w:r>
        <w:t>that the print format is time-tested and continues to fulfil the promises that digital technology cannot afford to deliver.</w:t>
      </w:r>
    </w:p>
    <w:p w14:paraId="0000001F" w14:textId="1C958498" w:rsidR="002A0A12" w:rsidRDefault="00727AF8">
      <w:pPr>
        <w:spacing w:line="480" w:lineRule="auto"/>
        <w:jc w:val="both"/>
      </w:pPr>
      <w:r>
        <w:tab/>
        <w:t xml:space="preserve">As per the statement of Wolf et al. (2020), the implementation of non-electronic resources in the conduct of legal research is more credible as printed data is considered to be more reliable as compared to digital media. Individuals who ought to do authentic research, refer to the newspapers and the books for a reason, as they believe that information contained within the </w:t>
      </w:r>
      <w:r w:rsidR="005639B6">
        <w:t xml:space="preserve">publication is accurate, </w:t>
      </w:r>
      <w:r>
        <w:t xml:space="preserve">up to the mark and offers them various benefits. </w:t>
      </w:r>
      <w:r w:rsidR="00F70714">
        <w:t>One of the</w:t>
      </w:r>
      <w:r>
        <w:t xml:space="preserve"> nu</w:t>
      </w:r>
      <w:r w:rsidR="00F70714">
        <w:t xml:space="preserve">merous </w:t>
      </w:r>
      <w:r w:rsidR="00F70714">
        <w:lastRenderedPageBreak/>
        <w:t xml:space="preserve">advantages of non-electronic resources </w:t>
      </w:r>
      <w:r>
        <w:t xml:space="preserve">it is extremely cost-effective, portable and </w:t>
      </w:r>
      <w:r w:rsidR="00C73DF0">
        <w:t xml:space="preserve">even comfortable to be utilised for </w:t>
      </w:r>
      <w:r>
        <w:t xml:space="preserve">the conduct of legalised research, printed materials can be utilised anywhere at any time, researchers can even review them at their speed. </w:t>
      </w:r>
      <w:r w:rsidR="00C73DF0">
        <w:t>I</w:t>
      </w:r>
      <w:r>
        <w:t>t can be said that non-electronic resources currently d</w:t>
      </w:r>
      <w:r w:rsidR="005639B6">
        <w:t xml:space="preserve">o deliver an advantage that </w:t>
      </w:r>
      <w:r>
        <w:t xml:space="preserve">electronic resources could not have, such as credibility or reliability. Legal and technological standards have not come into existence or are still under development (Paterson et al., 2017). Nevertheless, despite all these uncertainties that occur due to the increasing format, researchers are acknowledging how technology or in the other words electronic resources has transformed the landscape of research and changed the value of printing. </w:t>
      </w:r>
    </w:p>
    <w:p w14:paraId="00000020" w14:textId="77777777" w:rsidR="002A0A12" w:rsidRDefault="00727AF8">
      <w:pPr>
        <w:pStyle w:val="Heading2"/>
        <w:spacing w:line="480" w:lineRule="auto"/>
      </w:pPr>
      <w:bookmarkStart w:id="2" w:name="_heading=h.1fob9te" w:colFirst="0" w:colLast="0"/>
      <w:bookmarkEnd w:id="2"/>
      <w:r>
        <w:t>Risks of Non-Electronic Resources</w:t>
      </w:r>
    </w:p>
    <w:p w14:paraId="00000024" w14:textId="475CDED2" w:rsidR="002A0A12" w:rsidRPr="006A22F4" w:rsidRDefault="006A22F4" w:rsidP="006A22F4">
      <w:pPr>
        <w:spacing w:line="480" w:lineRule="auto"/>
        <w:jc w:val="both"/>
        <w:rPr>
          <w:color w:val="ED7D31" w:themeColor="accent2"/>
        </w:rPr>
      </w:pPr>
      <w:r>
        <w:rPr>
          <w:color w:val="ED7D31" w:themeColor="accent2"/>
        </w:rPr>
        <w:t xml:space="preserve"> </w:t>
      </w:r>
      <w:bookmarkStart w:id="3" w:name="_heading=h.3znysh7" w:colFirst="0" w:colLast="0"/>
      <w:bookmarkStart w:id="4" w:name="_heading=h.2et92p0" w:colFirst="0" w:colLast="0"/>
      <w:bookmarkEnd w:id="3"/>
      <w:bookmarkEnd w:id="4"/>
      <w:r w:rsidR="00727AF8" w:rsidRPr="006A22F4">
        <w:rPr>
          <w:i/>
        </w:rPr>
        <w:t>Portability</w:t>
      </w:r>
    </w:p>
    <w:p w14:paraId="50DEC094" w14:textId="056F57A7" w:rsidR="005639B6" w:rsidRPr="005639B6" w:rsidRDefault="006A22F4" w:rsidP="005639B6">
      <w:pPr>
        <w:spacing w:line="480" w:lineRule="auto"/>
        <w:jc w:val="both"/>
        <w:rPr>
          <w:shd w:val="clear" w:color="auto" w:fill="FFFFFF"/>
        </w:rPr>
      </w:pPr>
      <w:bookmarkStart w:id="5" w:name="_heading=h.tyjcwt" w:colFirst="0" w:colLast="0"/>
      <w:bookmarkEnd w:id="5"/>
      <w:r>
        <w:tab/>
      </w:r>
      <w:proofErr w:type="gramStart"/>
      <w:r w:rsidR="00F01606">
        <w:t>a</w:t>
      </w:r>
      <w:proofErr w:type="gramEnd"/>
      <w:r w:rsidR="00F01606">
        <w:t xml:space="preserve"> book </w:t>
      </w:r>
      <w:r w:rsidR="00727AF8">
        <w:t>does oc</w:t>
      </w:r>
      <w:r w:rsidR="004B6ACB">
        <w:t xml:space="preserve">cupy some space even data </w:t>
      </w:r>
      <w:r w:rsidR="00727AF8">
        <w:t>do necessitate a</w:t>
      </w:r>
      <w:r w:rsidR="004B6ACB">
        <w:t>t</w:t>
      </w:r>
      <w:r w:rsidR="00727AF8">
        <w:t xml:space="preserve"> home but the scale on which space is required is minuscule as compared to the physical formats. A physical library cannot be carried easily from one place to another, in comparison to that the devices such as those held by </w:t>
      </w:r>
      <w:r w:rsidR="00393B88">
        <w:t xml:space="preserve">a </w:t>
      </w:r>
      <w:r w:rsidR="00727AF8">
        <w:t>hand, USBs and laptops eminently give access to portable virtual legal r</w:t>
      </w:r>
      <w:r>
        <w:t>esearch d</w:t>
      </w:r>
      <w:r w:rsidR="00727AF8">
        <w:t xml:space="preserve">espite the data might not be included in the easily utilised or preferred format, it is still known to be accessible, downloadable, and transferable to several devices. </w:t>
      </w:r>
      <w:r w:rsidR="005639B6" w:rsidRPr="004B00D2">
        <w:t xml:space="preserve">The problem with </w:t>
      </w:r>
      <w:r>
        <w:rPr>
          <w:shd w:val="clear" w:color="auto" w:fill="FFFFFF"/>
        </w:rPr>
        <w:t>b</w:t>
      </w:r>
      <w:r w:rsidR="005639B6" w:rsidRPr="004B00D2">
        <w:rPr>
          <w:shd w:val="clear" w:color="auto" w:fill="FFFFFF"/>
        </w:rPr>
        <w:t xml:space="preserve">ooks, text books are known to be the key resource of academic critics and commentary upon the law and are often used more in addition to other </w:t>
      </w:r>
      <w:r w:rsidR="004B00D2" w:rsidRPr="004B00D2">
        <w:rPr>
          <w:shd w:val="clear" w:color="auto" w:fill="FFFFFF"/>
        </w:rPr>
        <w:t>resources</w:t>
      </w:r>
      <w:r w:rsidR="005639B6" w:rsidRPr="004B00D2">
        <w:rPr>
          <w:shd w:val="clear" w:color="auto" w:fill="FFFFFF"/>
        </w:rPr>
        <w:t xml:space="preserve"> the risk associated with books there usually is a delay of some month between submission of the final manuscript by the author and book appearing in the library. One of the main risks associated is </w:t>
      </w:r>
      <w:r>
        <w:rPr>
          <w:shd w:val="clear" w:color="auto" w:fill="FFFFFF"/>
        </w:rPr>
        <w:t>t</w:t>
      </w:r>
      <w:r w:rsidR="005639B6" w:rsidRPr="004B00D2">
        <w:rPr>
          <w:shd w:val="clear" w:color="auto" w:fill="FFFFFF"/>
        </w:rPr>
        <w:t>he law data protection act are quite often developing or new changes are being made fast that anything written about it needs to be able to be updated often this leads to law books, and legal textbooks being outdated before they are even printed.</w:t>
      </w:r>
      <w:r w:rsidR="005639B6" w:rsidRPr="004B00D2">
        <w:rPr>
          <w:rFonts w:ascii="Arial" w:hAnsi="Arial" w:cs="Arial"/>
          <w:shd w:val="clear" w:color="auto" w:fill="FFFFFF"/>
        </w:rPr>
        <w:t xml:space="preserve"> </w:t>
      </w:r>
    </w:p>
    <w:p w14:paraId="15AEE4EC" w14:textId="77777777" w:rsidR="005639B6" w:rsidRPr="004B00D2" w:rsidRDefault="005639B6">
      <w:pPr>
        <w:spacing w:line="480" w:lineRule="auto"/>
        <w:jc w:val="both"/>
      </w:pPr>
      <w:bookmarkStart w:id="6" w:name="_heading=h.3dy6vkm" w:colFirst="0" w:colLast="0"/>
      <w:bookmarkEnd w:id="6"/>
    </w:p>
    <w:p w14:paraId="00000028" w14:textId="77777777" w:rsidR="002A0A12" w:rsidRPr="004B00D2" w:rsidRDefault="00727AF8">
      <w:pPr>
        <w:pStyle w:val="Heading2"/>
        <w:spacing w:line="480" w:lineRule="auto"/>
        <w:rPr>
          <w:i w:val="0"/>
        </w:rPr>
      </w:pPr>
      <w:bookmarkStart w:id="7" w:name="_heading=h.1t3h5sf" w:colFirst="0" w:colLast="0"/>
      <w:bookmarkEnd w:id="7"/>
      <w:r w:rsidRPr="004B00D2">
        <w:rPr>
          <w:i w:val="0"/>
        </w:rPr>
        <w:t xml:space="preserve">Benefits of Electronic Non-Resources </w:t>
      </w:r>
    </w:p>
    <w:p w14:paraId="3A9EC946" w14:textId="03D9501C" w:rsidR="00F237CA" w:rsidRDefault="00727AF8">
      <w:pPr>
        <w:spacing w:line="480" w:lineRule="auto"/>
        <w:jc w:val="both"/>
      </w:pPr>
      <w:r>
        <w:tab/>
        <w:t xml:space="preserve">Despite the various risks of non-electronic resources, there are a lot of benefits that they have on the legal practice of the research. </w:t>
      </w:r>
      <w:r w:rsidR="00F01606">
        <w:t>Non-electronic</w:t>
      </w:r>
      <w:r>
        <w:t xml:space="preserve"> resources have been signified to appeal to the learners with t</w:t>
      </w:r>
      <w:r w:rsidR="00F01606">
        <w:t>he reliability that it provides</w:t>
      </w:r>
      <w:r>
        <w:t xml:space="preserve"> the kind of trust that it establishes within the people is one of the important factors that researchers, various laws and legislations still believe within the authenticity of the non-electronic</w:t>
      </w:r>
      <w:r w:rsidR="00F237CA">
        <w:t xml:space="preserve"> resources.</w:t>
      </w:r>
    </w:p>
    <w:p w14:paraId="0000002A" w14:textId="77777777" w:rsidR="002A0A12" w:rsidRPr="006A22F4" w:rsidRDefault="00727AF8">
      <w:pPr>
        <w:pStyle w:val="Heading3"/>
        <w:spacing w:line="480" w:lineRule="auto"/>
        <w:rPr>
          <w:i w:val="0"/>
        </w:rPr>
      </w:pPr>
      <w:bookmarkStart w:id="8" w:name="_heading=h.4d34og8" w:colFirst="0" w:colLast="0"/>
      <w:bookmarkEnd w:id="8"/>
      <w:r w:rsidRPr="006A22F4">
        <w:rPr>
          <w:i w:val="0"/>
        </w:rPr>
        <w:t xml:space="preserve">The availability of Data </w:t>
      </w:r>
    </w:p>
    <w:p w14:paraId="0000002B" w14:textId="77777777" w:rsidR="002A0A12" w:rsidRDefault="00727AF8">
      <w:pPr>
        <w:spacing w:line="480" w:lineRule="auto"/>
        <w:jc w:val="both"/>
      </w:pPr>
      <w:r>
        <w:tab/>
        <w:t>A most common misconception is that all data is available on the internet, whether it is free or through a fee-based service. Despite the incredible strides within published electronic media and its technologies of digitalisation, the majority of the published materials tend to remain in printed or microform formats only. According to Walsh et al. (2018), it has been stated that since the Gutenberg press of invention, the publishing site has emerged within more than five centuries, worth the materials and the current efforts to digitise scholarly previous publications have covered only a smaller part of them. For initiating a legal practice, this historical component of publications is significantly worth it, as much of the legal research is dependent on the evolution of law.</w:t>
      </w:r>
    </w:p>
    <w:p w14:paraId="0000002C" w14:textId="102A8301" w:rsidR="002A0A12" w:rsidRDefault="00727AF8">
      <w:pPr>
        <w:spacing w:line="480" w:lineRule="auto"/>
        <w:jc w:val="both"/>
      </w:pPr>
      <w:r>
        <w:tab/>
        <w:t xml:space="preserve">Even in recent times when the use of technology has been at its peak, printed textbooks have been considered obsolete by E-publishing. In fact, in the year 2003, the output of the print publishers outperformed that of the previous years, and most of the produced titles were not </w:t>
      </w:r>
      <w:r w:rsidR="00CB3074">
        <w:t>accessible in electronic format</w:t>
      </w:r>
      <w:r>
        <w:t xml:space="preserve">. Notable for the authorisation of laws, most of the legal treatises are not obtainable within the </w:t>
      </w:r>
      <w:r w:rsidR="00CB3074">
        <w:t>eBook</w:t>
      </w:r>
      <w:r>
        <w:t xml:space="preserve"> formatting. Such numbers reflect that libraries seeking to serve their patrons should continue examining, evaluating, and collecting the printing materials. </w:t>
      </w:r>
    </w:p>
    <w:p w14:paraId="0000002D" w14:textId="77777777" w:rsidR="002A0A12" w:rsidRPr="00CB3074" w:rsidRDefault="00727AF8">
      <w:pPr>
        <w:pStyle w:val="Heading3"/>
        <w:spacing w:line="480" w:lineRule="auto"/>
        <w:rPr>
          <w:i w:val="0"/>
        </w:rPr>
      </w:pPr>
      <w:bookmarkStart w:id="9" w:name="_heading=h.2s8eyo1" w:colFirst="0" w:colLast="0"/>
      <w:bookmarkEnd w:id="9"/>
      <w:r w:rsidRPr="00CB3074">
        <w:rPr>
          <w:i w:val="0"/>
        </w:rPr>
        <w:lastRenderedPageBreak/>
        <w:t xml:space="preserve">Easily Accessible </w:t>
      </w:r>
    </w:p>
    <w:p w14:paraId="0000002E" w14:textId="35C6902F" w:rsidR="002A0A12" w:rsidRDefault="00727AF8">
      <w:pPr>
        <w:spacing w:line="480" w:lineRule="auto"/>
        <w:jc w:val="both"/>
      </w:pPr>
      <w:r>
        <w:tab/>
        <w:t>A law library, even the most affluent one, has been known to be included in one of the finite budgets, and its resources should be thoughtfully placed among the range of requirements and interests. Users who do not directly authorise purchases frequently overlook the cost element involved in electi</w:t>
      </w:r>
      <w:r w:rsidR="00CB3074">
        <w:t>ng the resource of the library w</w:t>
      </w:r>
      <w:r>
        <w:t xml:space="preserve">ith much of the information </w:t>
      </w:r>
      <w:r w:rsidR="00393B88">
        <w:t>available to internet users</w:t>
      </w:r>
      <w:r>
        <w:t xml:space="preserve">, it appears that no-costing is the standard for electronic resources. Whereas, libraries can and do manage for unified authentication to the resources that are free-based hence eliminating the necessity for individual passwords and information identification, giving the option of free to the users. These users are unaware often of any restriction to the resource until they do direct access remotely and are asked for a password. </w:t>
      </w:r>
    </w:p>
    <w:p w14:paraId="0000002F" w14:textId="77777777" w:rsidR="002A0A12" w:rsidRPr="00CB3074" w:rsidRDefault="00727AF8">
      <w:pPr>
        <w:pStyle w:val="Heading3"/>
        <w:spacing w:line="480" w:lineRule="auto"/>
        <w:rPr>
          <w:i w:val="0"/>
        </w:rPr>
      </w:pPr>
      <w:bookmarkStart w:id="10" w:name="_heading=h.17dp8vu" w:colFirst="0" w:colLast="0"/>
      <w:bookmarkEnd w:id="10"/>
      <w:r w:rsidRPr="00CB3074">
        <w:rPr>
          <w:i w:val="0"/>
        </w:rPr>
        <w:t xml:space="preserve">Accuracy </w:t>
      </w:r>
    </w:p>
    <w:p w14:paraId="00000030" w14:textId="226275C2" w:rsidR="002A0A12" w:rsidRDefault="00727AF8">
      <w:pPr>
        <w:spacing w:line="480" w:lineRule="auto"/>
        <w:jc w:val="both"/>
      </w:pPr>
      <w:r>
        <w:tab/>
        <w:t>According to various studies, it has been formulated that with the growing dependence on internet research by the public, numerous issues from health to awareness have be</w:t>
      </w:r>
      <w:r w:rsidR="00CB3074">
        <w:t>en provoked</w:t>
      </w:r>
      <w:r>
        <w:t>. Anyone with a computer and the mandatory right to a web server can post or do alteratio</w:t>
      </w:r>
      <w:r w:rsidR="00CD56B3">
        <w:t>ns to the data t</w:t>
      </w:r>
      <w:r>
        <w:t>his greatly enhances the availability and accessibility of information on a range of topics that is limitless but</w:t>
      </w:r>
      <w:r w:rsidR="00CD56B3">
        <w:t xml:space="preserve"> it also indicates that e</w:t>
      </w:r>
      <w:r>
        <w:t xml:space="preserve">diting of the document and distribute false information,  . </w:t>
      </w:r>
    </w:p>
    <w:p w14:paraId="00000031" w14:textId="77777777" w:rsidR="002A0A12" w:rsidRPr="00CB3074" w:rsidRDefault="00727AF8">
      <w:pPr>
        <w:pStyle w:val="Heading3"/>
        <w:spacing w:line="480" w:lineRule="auto"/>
        <w:jc w:val="both"/>
        <w:rPr>
          <w:i w:val="0"/>
        </w:rPr>
      </w:pPr>
      <w:bookmarkStart w:id="11" w:name="_heading=h.3rdcrjn" w:colFirst="0" w:colLast="0"/>
      <w:bookmarkEnd w:id="11"/>
      <w:r w:rsidRPr="00CB3074">
        <w:rPr>
          <w:i w:val="0"/>
        </w:rPr>
        <w:t>Stability</w:t>
      </w:r>
    </w:p>
    <w:p w14:paraId="00000032" w14:textId="1A1F8162" w:rsidR="002A0A12" w:rsidRDefault="00CB3074">
      <w:pPr>
        <w:spacing w:line="480" w:lineRule="auto"/>
        <w:jc w:val="both"/>
      </w:pPr>
      <w:r>
        <w:tab/>
        <w:t>H</w:t>
      </w:r>
      <w:r w:rsidR="00727AF8">
        <w:t xml:space="preserve">aving endured centuries of mechanical and societal meddling, the manner and the result of physical printing are established. The materials that are printed and are non-electronic based carry a greater guarantee of permanence. Few of the uncertainties have been found in the printing or the process of acquisition, the user control of the printer form or the standards to be utilised within the publishing. Whereas, the fee-based ones do support the inclusion and exclusion of the information without the consent provided by the users. Secondly, legislators and courts are still </w:t>
      </w:r>
      <w:r w:rsidR="00727AF8">
        <w:lastRenderedPageBreak/>
        <w:t xml:space="preserve">struggling to answer the issues, specifically within the law of intellectual property, which emerged from the data given online </w:t>
      </w:r>
      <w:proofErr w:type="gramStart"/>
      <w:r w:rsidR="00727AF8">
        <w:t>Thirdly</w:t>
      </w:r>
      <w:proofErr w:type="gramEnd"/>
      <w:r w:rsidR="00727AF8">
        <w:t xml:space="preserve">, no set standards have been uniformly accepted and implemented on the E-documents. Without this standardisation, several proprietary and access formats have been created, even supported and distributed to the users </w:t>
      </w:r>
      <w:bookmarkStart w:id="12" w:name="_GoBack"/>
      <w:bookmarkEnd w:id="12"/>
      <w:r w:rsidR="00727AF8">
        <w:t xml:space="preserve">As technology has been moving forward, the lack of standardisation has been making the new forms a burden and impacting accessibility and that is why non-electronic resources have been shown to impact better and are easily accessible without any inclusion or exclusion that can happen within the electronic resources as stated earlier. </w:t>
      </w:r>
    </w:p>
    <w:p w14:paraId="5AC9D149" w14:textId="77777777" w:rsidR="006A22F4" w:rsidRDefault="006A22F4">
      <w:pPr>
        <w:spacing w:line="480" w:lineRule="auto"/>
        <w:jc w:val="both"/>
      </w:pPr>
    </w:p>
    <w:p w14:paraId="0B6EBF01" w14:textId="4FD2A514" w:rsidR="006A22F4" w:rsidRPr="006A22F4" w:rsidRDefault="006A22F4">
      <w:pPr>
        <w:spacing w:line="480" w:lineRule="auto"/>
        <w:jc w:val="both"/>
      </w:pPr>
      <w:r>
        <w:tab/>
      </w:r>
      <w:r>
        <w:tab/>
      </w:r>
      <w:r w:rsidRPr="006A22F4">
        <w:t>It has been demonstrated by various research how non-electronic resources have sustained their significance even with the emergence of different electrical resources but there are still many risks that are associated with the utilisation of non-electronic resources which is why the legal practices of research have been moving towards the utilisation of modern technology</w:t>
      </w:r>
    </w:p>
    <w:p w14:paraId="00000033" w14:textId="77777777" w:rsidR="002A0A12" w:rsidRDefault="00727AF8">
      <w:pPr>
        <w:pStyle w:val="Heading1"/>
        <w:spacing w:line="480" w:lineRule="auto"/>
      </w:pPr>
      <w:bookmarkStart w:id="13" w:name="_heading=h.26in1rg" w:colFirst="0" w:colLast="0"/>
      <w:bookmarkEnd w:id="13"/>
      <w:r>
        <w:t>Conclusion</w:t>
      </w:r>
    </w:p>
    <w:p w14:paraId="00000034" w14:textId="68969055" w:rsidR="002A0A12" w:rsidRDefault="00727AF8">
      <w:pPr>
        <w:spacing w:line="480" w:lineRule="auto"/>
        <w:jc w:val="both"/>
      </w:pPr>
      <w:r>
        <w:tab/>
        <w:t xml:space="preserve">Non-electronic resources have carried their integrity and have sustained the significance of the emergence of technology. Based on the above discussion, it can be concluded through the implementation of non-electronic resources, the researchers can have both advantages and disadvantages in conducting legal research practice. In the passing years, as technology has been advancing, the value of printing is still there due to its authenticity and credibility. The fear of losing information whether it’s personal, family or any case related to the law is overcome when credible authentic resources are targeted and those can be verified with the usage of non-electronic resources as they are more genuine and do keep the entire information as it was, not with the </w:t>
      </w:r>
      <w:r>
        <w:lastRenderedPageBreak/>
        <w:t xml:space="preserve">demand of </w:t>
      </w:r>
      <w:r w:rsidR="004B00D2">
        <w:t xml:space="preserve">any further changes. Therefore </w:t>
      </w:r>
      <w:r>
        <w:t>these statements target the importance of non-electronic information that can never be replaced even if technology has been taking place everywhere. The increase in electronic resources has been shown to prove that various data and information can be collected f</w:t>
      </w:r>
      <w:r w:rsidR="006A22F4">
        <w:t>rom one place to another therefore this values the</w:t>
      </w:r>
      <w:r>
        <w:t xml:space="preserve"> importance that th</w:t>
      </w:r>
      <w:r w:rsidR="005639B6">
        <w:t xml:space="preserve">e non-electronic resources </w:t>
      </w:r>
      <w:r w:rsidR="006A22F4">
        <w:t>will never diminish and it’s the authentic source of resource.</w:t>
      </w:r>
    </w:p>
    <w:p w14:paraId="00000035" w14:textId="77777777" w:rsidR="002A0A12" w:rsidRDefault="002A0A12">
      <w:pPr>
        <w:spacing w:line="480" w:lineRule="auto"/>
        <w:jc w:val="both"/>
      </w:pPr>
    </w:p>
    <w:p w14:paraId="00000036" w14:textId="77777777" w:rsidR="002A0A12" w:rsidRDefault="002A0A12">
      <w:pPr>
        <w:spacing w:line="480" w:lineRule="auto"/>
        <w:jc w:val="both"/>
      </w:pPr>
    </w:p>
    <w:p w14:paraId="00000037" w14:textId="77777777" w:rsidR="002A0A12" w:rsidRDefault="00727AF8">
      <w:pPr>
        <w:pStyle w:val="Heading1"/>
        <w:spacing w:line="480" w:lineRule="auto"/>
      </w:pPr>
      <w:bookmarkStart w:id="14" w:name="_heading=h.lnxbz9" w:colFirst="0" w:colLast="0"/>
      <w:bookmarkEnd w:id="14"/>
      <w:r>
        <w:t>References</w:t>
      </w:r>
    </w:p>
    <w:p w14:paraId="00000038" w14:textId="77777777" w:rsidR="002A0A12" w:rsidRDefault="00727AF8">
      <w:pPr>
        <w:spacing w:line="480" w:lineRule="auto"/>
        <w:ind w:left="720" w:hanging="720"/>
        <w:jc w:val="both"/>
      </w:pPr>
      <w:r>
        <w:t>Abbas, Z., MacFarlane, A. and Robinson, L., 2017. Use of mobile technologies by law students in the law library: An exploratory study. </w:t>
      </w:r>
      <w:r>
        <w:rPr>
          <w:i/>
        </w:rPr>
        <w:t>Legal information management</w:t>
      </w:r>
      <w:r>
        <w:t>, </w:t>
      </w:r>
      <w:r>
        <w:rPr>
          <w:i/>
        </w:rPr>
        <w:t>17</w:t>
      </w:r>
      <w:r>
        <w:t>(3), pp.180-189.</w:t>
      </w:r>
    </w:p>
    <w:p w14:paraId="00000039" w14:textId="77777777" w:rsidR="002A0A12" w:rsidRDefault="00727AF8">
      <w:pPr>
        <w:spacing w:line="480" w:lineRule="auto"/>
        <w:ind w:left="720" w:hanging="720"/>
        <w:jc w:val="both"/>
      </w:pPr>
      <w:proofErr w:type="spellStart"/>
      <w:r>
        <w:t>Adetayo</w:t>
      </w:r>
      <w:proofErr w:type="spellEnd"/>
      <w:r>
        <w:t>, A.J., 2021. Leveraging bring your own device for mobility of library reference services: The Nigerian perspective. </w:t>
      </w:r>
      <w:r>
        <w:rPr>
          <w:i/>
        </w:rPr>
        <w:t>The Reference Librarian</w:t>
      </w:r>
      <w:r>
        <w:t>, </w:t>
      </w:r>
      <w:r>
        <w:rPr>
          <w:i/>
        </w:rPr>
        <w:t>62</w:t>
      </w:r>
      <w:r>
        <w:t>(2), pp.106-125.</w:t>
      </w:r>
    </w:p>
    <w:p w14:paraId="0000003A" w14:textId="77777777" w:rsidR="002A0A12" w:rsidRDefault="00727AF8">
      <w:pPr>
        <w:spacing w:line="480" w:lineRule="auto"/>
        <w:ind w:left="720" w:hanging="720"/>
        <w:jc w:val="both"/>
      </w:pPr>
      <w:proofErr w:type="spellStart"/>
      <w:r>
        <w:t>Athanassiou</w:t>
      </w:r>
      <w:proofErr w:type="spellEnd"/>
      <w:r>
        <w:t>, P., 2017. Impact of digital innovation on the processing of electronic payments and contracting: an overview of legal risks. </w:t>
      </w:r>
      <w:r>
        <w:rPr>
          <w:i/>
        </w:rPr>
        <w:t>Available at SSRN 3067222</w:t>
      </w:r>
      <w:r>
        <w:t>.</w:t>
      </w:r>
    </w:p>
    <w:p w14:paraId="0000003B" w14:textId="77777777" w:rsidR="002A0A12" w:rsidRDefault="00727AF8">
      <w:pPr>
        <w:spacing w:line="480" w:lineRule="auto"/>
        <w:ind w:left="720" w:hanging="720"/>
        <w:jc w:val="both"/>
      </w:pPr>
      <w:r>
        <w:t xml:space="preserve">Campbell, J.I., </w:t>
      </w:r>
      <w:proofErr w:type="spellStart"/>
      <w:r>
        <w:t>Eyal</w:t>
      </w:r>
      <w:proofErr w:type="spellEnd"/>
      <w:r>
        <w:t xml:space="preserve">, N., </w:t>
      </w:r>
      <w:proofErr w:type="spellStart"/>
      <w:r>
        <w:t>Musiimenta</w:t>
      </w:r>
      <w:proofErr w:type="spellEnd"/>
      <w:r>
        <w:t xml:space="preserve">, A. and </w:t>
      </w:r>
      <w:proofErr w:type="spellStart"/>
      <w:r>
        <w:t>Haberer</w:t>
      </w:r>
      <w:proofErr w:type="spellEnd"/>
      <w:r>
        <w:t>, J.E., 2016. Ethical questions in medical electronic adherence monitoring. </w:t>
      </w:r>
      <w:r>
        <w:rPr>
          <w:i/>
        </w:rPr>
        <w:t>Journal of general internal medicine</w:t>
      </w:r>
      <w:r>
        <w:t>, </w:t>
      </w:r>
      <w:r>
        <w:rPr>
          <w:i/>
        </w:rPr>
        <w:t>31</w:t>
      </w:r>
      <w:r>
        <w:t>(3), pp.338-342.</w:t>
      </w:r>
    </w:p>
    <w:p w14:paraId="0000003C" w14:textId="77777777" w:rsidR="002A0A12" w:rsidRDefault="00727AF8">
      <w:pPr>
        <w:spacing w:line="480" w:lineRule="auto"/>
        <w:ind w:left="720" w:hanging="720"/>
        <w:jc w:val="both"/>
      </w:pPr>
      <w:r>
        <w:t xml:space="preserve">Hughes, J., </w:t>
      </w:r>
      <w:proofErr w:type="spellStart"/>
      <w:r>
        <w:t>Shinde</w:t>
      </w:r>
      <w:proofErr w:type="spellEnd"/>
      <w:r>
        <w:t>, S. and Brown, J.L., 2016. Electronic Signatures in Agriculture: Law, Guidelines, and Recommendations. </w:t>
      </w:r>
      <w:r>
        <w:rPr>
          <w:i/>
        </w:rPr>
        <w:t>Ky. J. Equine Agric. &amp; Nat. Resources L.</w:t>
      </w:r>
      <w:r>
        <w:t>, </w:t>
      </w:r>
      <w:r>
        <w:rPr>
          <w:i/>
        </w:rPr>
        <w:t>9</w:t>
      </w:r>
      <w:r>
        <w:t>, p.349.</w:t>
      </w:r>
    </w:p>
    <w:p w14:paraId="0000003D" w14:textId="77777777" w:rsidR="002A0A12" w:rsidRDefault="00727AF8">
      <w:pPr>
        <w:spacing w:line="480" w:lineRule="auto"/>
        <w:ind w:left="720" w:hanging="720"/>
        <w:jc w:val="both"/>
      </w:pPr>
      <w:r>
        <w:t xml:space="preserve">Paterson, M., Kinnear, M., Bond, C. and </w:t>
      </w:r>
      <w:proofErr w:type="spellStart"/>
      <w:r>
        <w:t>McKinstry</w:t>
      </w:r>
      <w:proofErr w:type="spellEnd"/>
      <w:r>
        <w:t xml:space="preserve">, B., 2017. A systematic review of electronic multi-compartment medication devices with reminder systems for improving adherence to </w:t>
      </w:r>
      <w:r>
        <w:lastRenderedPageBreak/>
        <w:t>self-administered medications. </w:t>
      </w:r>
      <w:r>
        <w:rPr>
          <w:i/>
        </w:rPr>
        <w:t>International Journal of Pharmacy Practice</w:t>
      </w:r>
      <w:r>
        <w:t>, </w:t>
      </w:r>
      <w:r>
        <w:rPr>
          <w:i/>
        </w:rPr>
        <w:t>25</w:t>
      </w:r>
      <w:r>
        <w:t>(3), pp.185-194.</w:t>
      </w:r>
    </w:p>
    <w:p w14:paraId="0000003E" w14:textId="77777777" w:rsidR="002A0A12" w:rsidRDefault="00727AF8">
      <w:pPr>
        <w:spacing w:line="480" w:lineRule="auto"/>
        <w:ind w:left="720" w:hanging="720"/>
        <w:jc w:val="both"/>
      </w:pPr>
      <w:proofErr w:type="spellStart"/>
      <w:r>
        <w:t>Savin</w:t>
      </w:r>
      <w:proofErr w:type="spellEnd"/>
      <w:r>
        <w:t xml:space="preserve">, A., 2019. Electronic Services </w:t>
      </w:r>
      <w:proofErr w:type="gramStart"/>
      <w:r>
        <w:t>With</w:t>
      </w:r>
      <w:proofErr w:type="gramEnd"/>
      <w:r>
        <w:t xml:space="preserve"> Non-Electronic Components and Their Regulation in EU Law. </w:t>
      </w:r>
      <w:r>
        <w:rPr>
          <w:i/>
        </w:rPr>
        <w:t>Copenhagen Business School, CBS LAW Research Paper</w:t>
      </w:r>
      <w:r>
        <w:t>, (1928).</w:t>
      </w:r>
    </w:p>
    <w:p w14:paraId="0000003F" w14:textId="77777777" w:rsidR="002A0A12" w:rsidRDefault="00727AF8">
      <w:pPr>
        <w:spacing w:line="480" w:lineRule="auto"/>
        <w:ind w:left="720" w:hanging="720"/>
        <w:jc w:val="both"/>
      </w:pPr>
      <w:proofErr w:type="spellStart"/>
      <w:r>
        <w:t>Vidiasova</w:t>
      </w:r>
      <w:proofErr w:type="spellEnd"/>
      <w:r>
        <w:t xml:space="preserve">, L., </w:t>
      </w:r>
      <w:proofErr w:type="spellStart"/>
      <w:r>
        <w:t>Cronemberger</w:t>
      </w:r>
      <w:proofErr w:type="spellEnd"/>
      <w:r>
        <w:t xml:space="preserve">, F. and </w:t>
      </w:r>
      <w:proofErr w:type="spellStart"/>
      <w:r>
        <w:t>Vidiasov</w:t>
      </w:r>
      <w:proofErr w:type="spellEnd"/>
      <w:r>
        <w:t>, E., 2018, November. Risk factors in smart city development in Russia: A survey. In </w:t>
      </w:r>
      <w:r>
        <w:rPr>
          <w:i/>
        </w:rPr>
        <w:t>International Conference on Electronic Governance and Open Society: Challenges in Eurasia</w:t>
      </w:r>
      <w:r>
        <w:t> (pp. 26-37). Springer, Cham.</w:t>
      </w:r>
    </w:p>
    <w:p w14:paraId="00000040" w14:textId="77777777" w:rsidR="002A0A12" w:rsidRDefault="00727AF8">
      <w:pPr>
        <w:spacing w:line="480" w:lineRule="auto"/>
        <w:ind w:left="720" w:hanging="720"/>
        <w:jc w:val="both"/>
      </w:pPr>
      <w:r>
        <w:t xml:space="preserve">Walsh, L., Hill, S., Allan, M., </w:t>
      </w:r>
      <w:proofErr w:type="spellStart"/>
      <w:r>
        <w:t>Balandin</w:t>
      </w:r>
      <w:proofErr w:type="spellEnd"/>
      <w:r>
        <w:t xml:space="preserve">, S., Georgiou, A., Higgins, I., Kraal, B., McCarthy, S. and </w:t>
      </w:r>
      <w:proofErr w:type="spellStart"/>
      <w:r>
        <w:t>Hemsley</w:t>
      </w:r>
      <w:proofErr w:type="spellEnd"/>
      <w:r>
        <w:t>, B., 2018. A content analysis of the consumer-facing online information about My Health Record: Implications for increasing knowledge and awareness to facilitate uptake and use. </w:t>
      </w:r>
      <w:r>
        <w:rPr>
          <w:i/>
        </w:rPr>
        <w:t>Health Information Management Journal</w:t>
      </w:r>
      <w:r>
        <w:t>, </w:t>
      </w:r>
      <w:r>
        <w:rPr>
          <w:i/>
        </w:rPr>
        <w:t>47</w:t>
      </w:r>
      <w:r>
        <w:t>(3), pp.106-115.</w:t>
      </w:r>
    </w:p>
    <w:p w14:paraId="00000041" w14:textId="77777777" w:rsidR="002A0A12" w:rsidRDefault="00727AF8">
      <w:pPr>
        <w:spacing w:line="480" w:lineRule="auto"/>
        <w:ind w:left="720" w:hanging="720"/>
        <w:jc w:val="both"/>
      </w:pPr>
      <w:r>
        <w:t xml:space="preserve">Wolf, L.E., </w:t>
      </w:r>
      <w:proofErr w:type="spellStart"/>
      <w:r>
        <w:t>Hammack</w:t>
      </w:r>
      <w:proofErr w:type="spellEnd"/>
      <w:r>
        <w:t xml:space="preserve">, C.M., Brown, E.F., </w:t>
      </w:r>
      <w:proofErr w:type="spellStart"/>
      <w:r>
        <w:t>Brelsford</w:t>
      </w:r>
      <w:proofErr w:type="spellEnd"/>
      <w:r>
        <w:t xml:space="preserve">, K.M. and </w:t>
      </w:r>
      <w:proofErr w:type="spellStart"/>
      <w:r>
        <w:t>Beskow</w:t>
      </w:r>
      <w:proofErr w:type="spellEnd"/>
      <w:r>
        <w:t>, L.M., 2020. Protecting participants in genomic research: Understanding the “web of protections” afforded by federal and state law. </w:t>
      </w:r>
      <w:r>
        <w:rPr>
          <w:i/>
        </w:rPr>
        <w:t>Journal of Law, Medicine &amp; Ethics</w:t>
      </w:r>
      <w:r>
        <w:t>, </w:t>
      </w:r>
      <w:r>
        <w:rPr>
          <w:i/>
        </w:rPr>
        <w:t>48</w:t>
      </w:r>
      <w:r>
        <w:t>(1), pp.126-141.</w:t>
      </w:r>
    </w:p>
    <w:p w14:paraId="00000042" w14:textId="77777777" w:rsidR="002A0A12" w:rsidRDefault="002A0A12">
      <w:pPr>
        <w:spacing w:line="480" w:lineRule="auto"/>
        <w:jc w:val="both"/>
      </w:pPr>
    </w:p>
    <w:p w14:paraId="00000043" w14:textId="77777777" w:rsidR="002A0A12" w:rsidRDefault="002A0A12">
      <w:pPr>
        <w:spacing w:line="480" w:lineRule="auto"/>
        <w:jc w:val="both"/>
      </w:pPr>
    </w:p>
    <w:p w14:paraId="00000044" w14:textId="77777777" w:rsidR="002A0A12" w:rsidRDefault="002A0A12">
      <w:pPr>
        <w:spacing w:line="480" w:lineRule="auto"/>
        <w:jc w:val="both"/>
      </w:pPr>
    </w:p>
    <w:p w14:paraId="00000045" w14:textId="77777777" w:rsidR="002A0A12" w:rsidRDefault="002A0A12">
      <w:pPr>
        <w:spacing w:line="480" w:lineRule="auto"/>
      </w:pPr>
    </w:p>
    <w:sectPr w:rsidR="002A0A12">
      <w:headerReference w:type="default" r:id="rId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8B5218" w14:textId="77777777" w:rsidR="009E5DB9" w:rsidRDefault="009E5DB9">
      <w:pPr>
        <w:spacing w:after="0" w:line="240" w:lineRule="auto"/>
      </w:pPr>
      <w:r>
        <w:separator/>
      </w:r>
    </w:p>
  </w:endnote>
  <w:endnote w:type="continuationSeparator" w:id="0">
    <w:p w14:paraId="70C0748C" w14:textId="77777777" w:rsidR="009E5DB9" w:rsidRDefault="009E5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FF9261" w14:textId="77777777" w:rsidR="009E5DB9" w:rsidRDefault="009E5DB9">
      <w:pPr>
        <w:spacing w:after="0" w:line="240" w:lineRule="auto"/>
      </w:pPr>
      <w:r>
        <w:separator/>
      </w:r>
    </w:p>
  </w:footnote>
  <w:footnote w:type="continuationSeparator" w:id="0">
    <w:p w14:paraId="04367246" w14:textId="77777777" w:rsidR="009E5DB9" w:rsidRDefault="009E5DB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48" w14:textId="182AC409" w:rsidR="002A0A12" w:rsidRDefault="00727AF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A3355">
      <w:rPr>
        <w:noProof/>
        <w:color w:val="000000"/>
      </w:rPr>
      <w:t>1</w:t>
    </w:r>
    <w:r>
      <w:rPr>
        <w:color w:val="000000"/>
      </w:rPr>
      <w:fldChar w:fldCharType="end"/>
    </w:r>
  </w:p>
  <w:p w14:paraId="00000049" w14:textId="77777777" w:rsidR="002A0A12" w:rsidRDefault="002A0A12">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46" w14:textId="4D119408" w:rsidR="002A0A12" w:rsidRDefault="00727AF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A3355">
      <w:rPr>
        <w:noProof/>
        <w:color w:val="000000"/>
      </w:rPr>
      <w:t>8</w:t>
    </w:r>
    <w:r>
      <w:rPr>
        <w:color w:val="000000"/>
      </w:rPr>
      <w:fldChar w:fldCharType="end"/>
    </w:r>
  </w:p>
  <w:p w14:paraId="00000047" w14:textId="77777777" w:rsidR="002A0A12" w:rsidRDefault="002A0A12">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A12"/>
    <w:rsid w:val="002A0A12"/>
    <w:rsid w:val="00393B88"/>
    <w:rsid w:val="004B00D2"/>
    <w:rsid w:val="004B6ACB"/>
    <w:rsid w:val="005639B6"/>
    <w:rsid w:val="005A3355"/>
    <w:rsid w:val="006A22F4"/>
    <w:rsid w:val="00727AF8"/>
    <w:rsid w:val="00763E9D"/>
    <w:rsid w:val="009E5DB9"/>
    <w:rsid w:val="00B83F2B"/>
    <w:rsid w:val="00C73DF0"/>
    <w:rsid w:val="00CB3074"/>
    <w:rsid w:val="00CD56B3"/>
    <w:rsid w:val="00D310BD"/>
    <w:rsid w:val="00EA235D"/>
    <w:rsid w:val="00F01606"/>
    <w:rsid w:val="00F237CA"/>
    <w:rsid w:val="00F707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8E25B"/>
  <w15:docId w15:val="{34C596F4-B354-4A0A-BB38-BC0CEB9A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2B17"/>
  </w:style>
  <w:style w:type="paragraph" w:styleId="Heading1">
    <w:name w:val="heading 1"/>
    <w:basedOn w:val="Normal"/>
    <w:next w:val="Normal"/>
    <w:link w:val="Heading1Char"/>
    <w:uiPriority w:val="9"/>
    <w:qFormat/>
    <w:rsid w:val="007F2B1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F2B17"/>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C825C4"/>
    <w:pPr>
      <w:keepNext/>
      <w:keepLines/>
      <w:spacing w:before="40" w:after="0"/>
      <w:outlineLvl w:val="2"/>
    </w:pPr>
    <w:rPr>
      <w:rFonts w:eastAsiaTheme="majorEastAsia" w:cstheme="majorBidi"/>
      <w:i/>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F2B17"/>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7F2B17"/>
    <w:pPr>
      <w:outlineLvl w:val="9"/>
    </w:pPr>
    <w:rPr>
      <w:lang w:val="en-US"/>
    </w:rPr>
  </w:style>
  <w:style w:type="paragraph" w:styleId="Header">
    <w:name w:val="header"/>
    <w:basedOn w:val="Normal"/>
    <w:link w:val="HeaderChar"/>
    <w:uiPriority w:val="99"/>
    <w:unhideWhenUsed/>
    <w:rsid w:val="007F2B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B17"/>
    <w:rPr>
      <w:rFonts w:ascii="Times New Roman" w:hAnsi="Times New Roman"/>
      <w:sz w:val="24"/>
      <w:lang w:val="en-GB"/>
    </w:rPr>
  </w:style>
  <w:style w:type="paragraph" w:styleId="Footer">
    <w:name w:val="footer"/>
    <w:basedOn w:val="Normal"/>
    <w:link w:val="FooterChar"/>
    <w:uiPriority w:val="99"/>
    <w:unhideWhenUsed/>
    <w:rsid w:val="007F2B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B17"/>
    <w:rPr>
      <w:rFonts w:ascii="Times New Roman" w:hAnsi="Times New Roman"/>
      <w:sz w:val="24"/>
      <w:lang w:val="en-GB"/>
    </w:rPr>
  </w:style>
  <w:style w:type="character" w:customStyle="1" w:styleId="Heading2Char">
    <w:name w:val="Heading 2 Char"/>
    <w:basedOn w:val="DefaultParagraphFont"/>
    <w:link w:val="Heading2"/>
    <w:uiPriority w:val="9"/>
    <w:rsid w:val="007F2B17"/>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rsid w:val="00C825C4"/>
    <w:rPr>
      <w:rFonts w:ascii="Times New Roman" w:eastAsiaTheme="majorEastAsia" w:hAnsi="Times New Roman" w:cstheme="majorBidi"/>
      <w:i/>
      <w:sz w:val="24"/>
      <w:szCs w:val="24"/>
      <w:lang w:val="en-GB"/>
    </w:rPr>
  </w:style>
  <w:style w:type="paragraph" w:styleId="TOC1">
    <w:name w:val="toc 1"/>
    <w:basedOn w:val="Normal"/>
    <w:next w:val="Normal"/>
    <w:autoRedefine/>
    <w:uiPriority w:val="39"/>
    <w:unhideWhenUsed/>
    <w:rsid w:val="00ED361B"/>
    <w:pPr>
      <w:spacing w:after="100"/>
    </w:pPr>
  </w:style>
  <w:style w:type="paragraph" w:styleId="TOC2">
    <w:name w:val="toc 2"/>
    <w:basedOn w:val="Normal"/>
    <w:next w:val="Normal"/>
    <w:autoRedefine/>
    <w:uiPriority w:val="39"/>
    <w:unhideWhenUsed/>
    <w:rsid w:val="00ED361B"/>
    <w:pPr>
      <w:spacing w:after="100"/>
      <w:ind w:left="240"/>
    </w:pPr>
  </w:style>
  <w:style w:type="paragraph" w:styleId="TOC3">
    <w:name w:val="toc 3"/>
    <w:basedOn w:val="Normal"/>
    <w:next w:val="Normal"/>
    <w:autoRedefine/>
    <w:uiPriority w:val="39"/>
    <w:unhideWhenUsed/>
    <w:rsid w:val="00ED361B"/>
    <w:pPr>
      <w:spacing w:after="100"/>
      <w:ind w:left="480"/>
    </w:pPr>
  </w:style>
  <w:style w:type="character" w:styleId="Hyperlink">
    <w:name w:val="Hyperlink"/>
    <w:basedOn w:val="DefaultParagraphFont"/>
    <w:uiPriority w:val="99"/>
    <w:unhideWhenUsed/>
    <w:rsid w:val="00ED361B"/>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z9hDrtw3L7uuYLTS4WhcFgCTqLQ==">AMUW2mVtV5N4jtjJCAXkqa2ArVO+/T6MrsHNEa+WUL9v43cFz8vR95F2RQFkyGRXi3VR1DhMoTHz9N0wkRxSpQ5TX1g1RIRT+EGtkO6LsNchKUEXyLwT0g7kUEDIa1kjAi4ZgskuPT71My0mM0J8s4a2IqI1fTGK96yNsfH3ZUZGO8Ft79G+qz/DpeYw+aeBKN6mCAlPWUchiodJLkv760QlVYr1Lf/kCy3dNi5lhCZxazyzeR2QRN503PhdArbuOA0BkXnsA7BQC9ffMULdI0Lu6cP+iVHlSO39463dPCYHGdkwc8EJhp3TsAnbj8rZIhbk/PwPhB7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8</Pages>
  <Words>1812</Words>
  <Characters>10331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123</dc:creator>
  <cp:keywords/>
  <dc:description/>
  <cp:lastModifiedBy>Windows User</cp:lastModifiedBy>
  <cp:revision>2</cp:revision>
  <dcterms:created xsi:type="dcterms:W3CDTF">2022-11-14T12:50:00Z</dcterms:created>
  <dcterms:modified xsi:type="dcterms:W3CDTF">2022-11-16T19:26:00Z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ce7b3fcd-2af4-4bb6-b0b8-027fd34676ca</vt:lpwstr>
  </property>
</Properties>
</file>